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2.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3.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4.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5.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6.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26025382" w:displacedByCustomXml="next"/>
    <w:bookmarkStart w:id="1" w:name="_Toc21594024" w:displacedByCustomXml="next"/>
    <w:bookmarkStart w:id="2" w:name="_Toc21593777" w:displacedByCustomXml="next"/>
    <w:bookmarkStart w:id="3" w:name="_Toc21590788" w:displacedByCustomXml="next"/>
    <w:sdt>
      <w:sdtPr>
        <w:rPr>
          <w:color w:val="5B9BD5" w:themeColor="accent1"/>
        </w:rPr>
        <w:id w:val="-1148360647"/>
        <w:docPartObj>
          <w:docPartGallery w:val="Cover Pages"/>
          <w:docPartUnique/>
        </w:docPartObj>
      </w:sdtPr>
      <w:sdtEndPr>
        <w:rPr>
          <w:color w:val="000000" w:themeColor="text1"/>
        </w:rPr>
      </w:sdtEndPr>
      <w:sdtContent>
        <w:p w:rsidR="005442F8" w:rsidRPr="0061469F" w:rsidRDefault="0061469F" w:rsidP="0061469F">
          <w:pPr>
            <w:pStyle w:val="Sinespaciado"/>
            <w:spacing w:before="1540" w:after="240"/>
            <w:ind w:left="-2127" w:right="-2049" w:firstLine="0"/>
            <w:jc w:val="center"/>
            <w:rPr>
              <w:color w:val="5B9BD5" w:themeColor="accent1"/>
              <w:sz w:val="28"/>
              <w:szCs w:val="28"/>
            </w:rPr>
          </w:pPr>
          <w:r w:rsidRPr="0061469F">
            <w:rPr>
              <w:noProof/>
              <w:color w:val="5B9BD5" w:themeColor="accent1"/>
              <w:lang w:val="es-DO" w:eastAsia="es-DO"/>
            </w:rPr>
            <w:drawing>
              <wp:anchor distT="0" distB="0" distL="114300" distR="114300" simplePos="0" relativeHeight="251722752" behindDoc="0" locked="0" layoutInCell="1" allowOverlap="1" wp14:anchorId="165DAEF2" wp14:editId="230D3F3A">
                <wp:simplePos x="361950" y="1895475"/>
                <wp:positionH relativeFrom="margin">
                  <wp:align>center</wp:align>
                </wp:positionH>
                <wp:positionV relativeFrom="margin">
                  <wp:align>top</wp:align>
                </wp:positionV>
                <wp:extent cx="6781800" cy="8776335"/>
                <wp:effectExtent l="0" t="0" r="0" b="5715"/>
                <wp:wrapSquare wrapText="bothSides"/>
                <wp:docPr id="15" name="Imagen 15" descr="\\172.30.1.20\Planificacion y Desarrollo\Planeacion Estrategica DGCP\Memorias Institucionales\Memoria Institucional 2019\Portada de inicio de elaboración MI 2019\MEMORIA Portada_Contraportada 2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72.30.1.20\Planificacion y Desarrollo\Planeacion Estrategica DGCP\Memorias Institucionales\Memoria Institucional 2019\Portada de inicio de elaboración MI 2019\MEMORIA Portada_Contraportada 201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81800" cy="8776335"/>
                        </a:xfrm>
                        <a:prstGeom prst="rect">
                          <a:avLst/>
                        </a:prstGeom>
                        <a:noFill/>
                        <a:ln>
                          <a:noFill/>
                        </a:ln>
                      </pic:spPr>
                    </pic:pic>
                  </a:graphicData>
                </a:graphic>
              </wp:anchor>
            </w:drawing>
          </w:r>
        </w:p>
      </w:sdtContent>
    </w:sdt>
    <w:p w:rsidR="00C904B2" w:rsidRDefault="00C904B2" w:rsidP="00615A2F">
      <w:pPr>
        <w:pStyle w:val="Ttulo1"/>
      </w:pPr>
      <w:r w:rsidRPr="00200F2E">
        <w:t>Índice de Contenido</w:t>
      </w:r>
      <w:bookmarkEnd w:id="3"/>
      <w:bookmarkEnd w:id="2"/>
      <w:bookmarkEnd w:id="1"/>
      <w:bookmarkEnd w:id="0"/>
    </w:p>
    <w:tbl>
      <w:tblPr>
        <w:tblW w:w="9214" w:type="dxa"/>
        <w:tblCellMar>
          <w:left w:w="70" w:type="dxa"/>
          <w:right w:w="70" w:type="dxa"/>
        </w:tblCellMar>
        <w:tblLook w:val="04A0" w:firstRow="1" w:lastRow="0" w:firstColumn="1" w:lastColumn="0" w:noHBand="0" w:noVBand="1"/>
      </w:tblPr>
      <w:tblGrid>
        <w:gridCol w:w="611"/>
        <w:gridCol w:w="743"/>
        <w:gridCol w:w="305"/>
        <w:gridCol w:w="489"/>
        <w:gridCol w:w="1564"/>
        <w:gridCol w:w="2087"/>
        <w:gridCol w:w="1223"/>
        <w:gridCol w:w="1216"/>
        <w:gridCol w:w="164"/>
        <w:gridCol w:w="160"/>
        <w:gridCol w:w="652"/>
      </w:tblGrid>
      <w:tr w:rsidR="00825291" w:rsidRPr="00825291" w:rsidTr="00825291">
        <w:trPr>
          <w:trHeight w:val="300"/>
        </w:trPr>
        <w:tc>
          <w:tcPr>
            <w:tcW w:w="611"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b/>
                <w:bCs/>
                <w:color w:val="000000"/>
                <w:sz w:val="22"/>
                <w:szCs w:val="22"/>
                <w:lang w:val="es-DO" w:eastAsia="es-DO"/>
              </w:rPr>
            </w:pPr>
            <w:r w:rsidRPr="00825291">
              <w:rPr>
                <w:rFonts w:eastAsia="Times New Roman"/>
                <w:b/>
                <w:bCs/>
                <w:color w:val="000000"/>
                <w:sz w:val="22"/>
                <w:szCs w:val="22"/>
                <w:lang w:val="es-DO" w:eastAsia="es-DO"/>
              </w:rPr>
              <w:t>II.</w:t>
            </w:r>
          </w:p>
        </w:tc>
        <w:tc>
          <w:tcPr>
            <w:tcW w:w="3101" w:type="dxa"/>
            <w:gridSpan w:val="4"/>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b/>
                <w:bCs/>
                <w:color w:val="000000"/>
                <w:sz w:val="22"/>
                <w:szCs w:val="22"/>
                <w:lang w:val="es-DO" w:eastAsia="es-DO"/>
              </w:rPr>
            </w:pPr>
            <w:r w:rsidRPr="00825291">
              <w:rPr>
                <w:rFonts w:eastAsia="Times New Roman"/>
                <w:b/>
                <w:bCs/>
                <w:color w:val="000000"/>
                <w:sz w:val="22"/>
                <w:szCs w:val="22"/>
                <w:lang w:val="es-DO" w:eastAsia="es-DO"/>
              </w:rPr>
              <w:t xml:space="preserve">Resumen Ejecutivo </w:t>
            </w:r>
          </w:p>
        </w:tc>
        <w:tc>
          <w:tcPr>
            <w:tcW w:w="2087"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b/>
                <w:bCs/>
                <w:color w:val="000000"/>
                <w:sz w:val="22"/>
                <w:szCs w:val="22"/>
                <w:lang w:val="es-DO" w:eastAsia="es-DO"/>
              </w:rPr>
            </w:pPr>
          </w:p>
        </w:tc>
        <w:tc>
          <w:tcPr>
            <w:tcW w:w="1223"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1216"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164"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160"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652"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center"/>
              <w:outlineLvl w:val="9"/>
              <w:rPr>
                <w:rFonts w:eastAsia="Times New Roman"/>
                <w:color w:val="000000"/>
                <w:sz w:val="22"/>
                <w:szCs w:val="22"/>
                <w:lang w:val="es-DO" w:eastAsia="es-DO"/>
              </w:rPr>
            </w:pPr>
            <w:r w:rsidRPr="00825291">
              <w:rPr>
                <w:rFonts w:eastAsia="Times New Roman"/>
                <w:color w:val="000000"/>
                <w:sz w:val="22"/>
                <w:szCs w:val="22"/>
                <w:lang w:val="es-DO" w:eastAsia="es-DO"/>
              </w:rPr>
              <w:t>2</w:t>
            </w:r>
          </w:p>
        </w:tc>
      </w:tr>
      <w:tr w:rsidR="00825291" w:rsidRPr="00825291" w:rsidTr="00825291">
        <w:trPr>
          <w:trHeight w:val="300"/>
        </w:trPr>
        <w:tc>
          <w:tcPr>
            <w:tcW w:w="611"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b/>
                <w:bCs/>
                <w:color w:val="000000"/>
                <w:sz w:val="22"/>
                <w:szCs w:val="22"/>
                <w:lang w:val="es-DO" w:eastAsia="es-DO"/>
              </w:rPr>
            </w:pPr>
            <w:r w:rsidRPr="00825291">
              <w:rPr>
                <w:rFonts w:eastAsia="Times New Roman"/>
                <w:b/>
                <w:bCs/>
                <w:color w:val="000000"/>
                <w:sz w:val="22"/>
                <w:szCs w:val="22"/>
                <w:lang w:val="es-DO" w:eastAsia="es-DO"/>
              </w:rPr>
              <w:t>III.</w:t>
            </w:r>
          </w:p>
        </w:tc>
        <w:tc>
          <w:tcPr>
            <w:tcW w:w="3101" w:type="dxa"/>
            <w:gridSpan w:val="4"/>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b/>
                <w:bCs/>
                <w:color w:val="000000"/>
                <w:sz w:val="22"/>
                <w:szCs w:val="22"/>
                <w:lang w:val="es-DO" w:eastAsia="es-DO"/>
              </w:rPr>
            </w:pPr>
            <w:r w:rsidRPr="00825291">
              <w:rPr>
                <w:rFonts w:eastAsia="Times New Roman"/>
                <w:b/>
                <w:bCs/>
                <w:color w:val="000000"/>
                <w:sz w:val="22"/>
                <w:szCs w:val="22"/>
                <w:lang w:val="es-DO" w:eastAsia="es-DO"/>
              </w:rPr>
              <w:t>Información Institucional</w:t>
            </w:r>
          </w:p>
        </w:tc>
        <w:tc>
          <w:tcPr>
            <w:tcW w:w="2087"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b/>
                <w:bCs/>
                <w:color w:val="000000"/>
                <w:sz w:val="22"/>
                <w:szCs w:val="22"/>
                <w:lang w:val="es-DO" w:eastAsia="es-DO"/>
              </w:rPr>
            </w:pPr>
          </w:p>
        </w:tc>
        <w:tc>
          <w:tcPr>
            <w:tcW w:w="1223"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1216"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164"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160"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652"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center"/>
              <w:outlineLvl w:val="9"/>
              <w:rPr>
                <w:rFonts w:eastAsia="Times New Roman"/>
                <w:color w:val="000000"/>
                <w:sz w:val="22"/>
                <w:szCs w:val="22"/>
                <w:lang w:val="es-DO" w:eastAsia="es-DO"/>
              </w:rPr>
            </w:pPr>
            <w:r w:rsidRPr="00825291">
              <w:rPr>
                <w:rFonts w:eastAsia="Times New Roman"/>
                <w:color w:val="000000"/>
                <w:sz w:val="22"/>
                <w:szCs w:val="22"/>
                <w:lang w:val="es-DO" w:eastAsia="es-DO"/>
              </w:rPr>
              <w:t>11</w:t>
            </w:r>
          </w:p>
        </w:tc>
      </w:tr>
      <w:tr w:rsidR="00825291" w:rsidRPr="00825291" w:rsidTr="00825291">
        <w:trPr>
          <w:trHeight w:val="300"/>
        </w:trPr>
        <w:tc>
          <w:tcPr>
            <w:tcW w:w="611"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b/>
                <w:bCs/>
                <w:color w:val="000000"/>
                <w:sz w:val="22"/>
                <w:szCs w:val="22"/>
                <w:lang w:val="es-DO" w:eastAsia="es-DO"/>
              </w:rPr>
            </w:pPr>
            <w:r w:rsidRPr="00825291">
              <w:rPr>
                <w:rFonts w:eastAsia="Times New Roman"/>
                <w:b/>
                <w:bCs/>
                <w:color w:val="000000"/>
                <w:sz w:val="22"/>
                <w:szCs w:val="22"/>
                <w:lang w:val="es-DO" w:eastAsia="es-DO"/>
              </w:rPr>
              <w:t>IV.</w:t>
            </w:r>
          </w:p>
        </w:tc>
        <w:tc>
          <w:tcPr>
            <w:tcW w:w="5188" w:type="dxa"/>
            <w:gridSpan w:val="5"/>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b/>
                <w:bCs/>
                <w:color w:val="000000"/>
                <w:sz w:val="22"/>
                <w:szCs w:val="22"/>
                <w:lang w:val="es-DO" w:eastAsia="es-DO"/>
              </w:rPr>
            </w:pPr>
            <w:r w:rsidRPr="00825291">
              <w:rPr>
                <w:rFonts w:eastAsia="Times New Roman"/>
                <w:b/>
                <w:bCs/>
                <w:color w:val="000000"/>
                <w:sz w:val="22"/>
                <w:szCs w:val="22"/>
                <w:lang w:val="es-DO" w:eastAsia="es-DO"/>
              </w:rPr>
              <w:t>Resultados de la Gestión del Año</w:t>
            </w:r>
          </w:p>
        </w:tc>
        <w:tc>
          <w:tcPr>
            <w:tcW w:w="1223"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b/>
                <w:bCs/>
                <w:color w:val="000000"/>
                <w:sz w:val="22"/>
                <w:szCs w:val="22"/>
                <w:lang w:val="es-DO" w:eastAsia="es-DO"/>
              </w:rPr>
            </w:pPr>
          </w:p>
        </w:tc>
        <w:tc>
          <w:tcPr>
            <w:tcW w:w="1216"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164"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160"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652"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center"/>
              <w:outlineLvl w:val="9"/>
              <w:rPr>
                <w:rFonts w:eastAsia="Times New Roman"/>
                <w:color w:val="000000"/>
                <w:sz w:val="22"/>
                <w:szCs w:val="22"/>
                <w:lang w:val="es-DO" w:eastAsia="es-DO"/>
              </w:rPr>
            </w:pPr>
            <w:r w:rsidRPr="00825291">
              <w:rPr>
                <w:rFonts w:eastAsia="Times New Roman"/>
                <w:color w:val="000000"/>
                <w:sz w:val="22"/>
                <w:szCs w:val="22"/>
                <w:lang w:val="es-DO" w:eastAsia="es-DO"/>
              </w:rPr>
              <w:t>17</w:t>
            </w:r>
          </w:p>
        </w:tc>
      </w:tr>
      <w:tr w:rsidR="00825291" w:rsidRPr="00825291" w:rsidTr="00825291">
        <w:trPr>
          <w:trHeight w:val="300"/>
        </w:trPr>
        <w:tc>
          <w:tcPr>
            <w:tcW w:w="611"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center"/>
              <w:outlineLvl w:val="9"/>
              <w:rPr>
                <w:rFonts w:eastAsia="Times New Roman"/>
                <w:color w:val="000000"/>
                <w:sz w:val="22"/>
                <w:szCs w:val="22"/>
                <w:lang w:val="es-DO" w:eastAsia="es-DO"/>
              </w:rPr>
            </w:pPr>
          </w:p>
        </w:tc>
        <w:tc>
          <w:tcPr>
            <w:tcW w:w="743"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center"/>
              <w:outlineLvl w:val="9"/>
              <w:rPr>
                <w:rFonts w:eastAsia="Times New Roman"/>
                <w:b/>
                <w:bCs/>
                <w:color w:val="000000"/>
                <w:sz w:val="22"/>
                <w:szCs w:val="22"/>
                <w:lang w:val="es-DO" w:eastAsia="es-DO"/>
              </w:rPr>
            </w:pPr>
            <w:r w:rsidRPr="00825291">
              <w:rPr>
                <w:rFonts w:eastAsia="Times New Roman"/>
                <w:b/>
                <w:bCs/>
                <w:color w:val="000000"/>
                <w:sz w:val="22"/>
                <w:szCs w:val="22"/>
                <w:lang w:val="es-DO" w:eastAsia="es-DO"/>
              </w:rPr>
              <w:t>1)</w:t>
            </w:r>
          </w:p>
        </w:tc>
        <w:tc>
          <w:tcPr>
            <w:tcW w:w="6884" w:type="dxa"/>
            <w:gridSpan w:val="6"/>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b/>
                <w:bCs/>
                <w:color w:val="000000"/>
                <w:sz w:val="22"/>
                <w:szCs w:val="22"/>
                <w:lang w:val="es-DO" w:eastAsia="es-DO"/>
              </w:rPr>
            </w:pPr>
            <w:r w:rsidRPr="00825291">
              <w:rPr>
                <w:rFonts w:eastAsia="Times New Roman"/>
                <w:b/>
                <w:bCs/>
                <w:color w:val="000000"/>
                <w:sz w:val="22"/>
                <w:szCs w:val="22"/>
                <w:lang w:val="es-DO" w:eastAsia="es-DO"/>
              </w:rPr>
              <w:t>Metas Institucionales de Impacto a la Ciudadanía</w:t>
            </w:r>
          </w:p>
        </w:tc>
        <w:tc>
          <w:tcPr>
            <w:tcW w:w="164"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b/>
                <w:bCs/>
                <w:color w:val="000000"/>
                <w:sz w:val="22"/>
                <w:szCs w:val="22"/>
                <w:lang w:val="es-DO" w:eastAsia="es-DO"/>
              </w:rPr>
            </w:pPr>
          </w:p>
        </w:tc>
        <w:tc>
          <w:tcPr>
            <w:tcW w:w="160"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652"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center"/>
              <w:outlineLvl w:val="9"/>
              <w:rPr>
                <w:rFonts w:eastAsia="Times New Roman"/>
                <w:color w:val="000000"/>
                <w:sz w:val="22"/>
                <w:szCs w:val="22"/>
                <w:lang w:val="es-DO" w:eastAsia="es-DO"/>
              </w:rPr>
            </w:pPr>
            <w:r w:rsidRPr="00825291">
              <w:rPr>
                <w:rFonts w:eastAsia="Times New Roman"/>
                <w:color w:val="000000"/>
                <w:sz w:val="22"/>
                <w:szCs w:val="22"/>
                <w:lang w:val="es-DO" w:eastAsia="es-DO"/>
              </w:rPr>
              <w:t>19</w:t>
            </w:r>
          </w:p>
        </w:tc>
      </w:tr>
      <w:tr w:rsidR="00825291" w:rsidRPr="00825291" w:rsidTr="00825291">
        <w:trPr>
          <w:trHeight w:val="300"/>
        </w:trPr>
        <w:tc>
          <w:tcPr>
            <w:tcW w:w="611"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center"/>
              <w:outlineLvl w:val="9"/>
              <w:rPr>
                <w:rFonts w:eastAsia="Times New Roman"/>
                <w:color w:val="000000"/>
                <w:sz w:val="22"/>
                <w:szCs w:val="22"/>
                <w:lang w:val="es-DO" w:eastAsia="es-DO"/>
              </w:rPr>
            </w:pPr>
          </w:p>
        </w:tc>
        <w:tc>
          <w:tcPr>
            <w:tcW w:w="743"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center"/>
              <w:outlineLvl w:val="9"/>
              <w:rPr>
                <w:rFonts w:eastAsia="Times New Roman"/>
                <w:b/>
                <w:bCs/>
                <w:color w:val="000000"/>
                <w:sz w:val="22"/>
                <w:szCs w:val="22"/>
                <w:lang w:val="es-DO" w:eastAsia="es-DO"/>
              </w:rPr>
            </w:pPr>
            <w:r w:rsidRPr="00825291">
              <w:rPr>
                <w:rFonts w:eastAsia="Times New Roman"/>
                <w:b/>
                <w:bCs/>
                <w:color w:val="000000"/>
                <w:sz w:val="22"/>
                <w:szCs w:val="22"/>
                <w:lang w:val="es-DO" w:eastAsia="es-DO"/>
              </w:rPr>
              <w:t>2)</w:t>
            </w:r>
          </w:p>
        </w:tc>
        <w:tc>
          <w:tcPr>
            <w:tcW w:w="4445" w:type="dxa"/>
            <w:gridSpan w:val="4"/>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b/>
                <w:bCs/>
                <w:color w:val="000000"/>
                <w:sz w:val="22"/>
                <w:szCs w:val="22"/>
                <w:lang w:val="es-DO" w:eastAsia="es-DO"/>
              </w:rPr>
            </w:pPr>
            <w:r w:rsidRPr="00825291">
              <w:rPr>
                <w:rFonts w:eastAsia="Times New Roman"/>
                <w:b/>
                <w:bCs/>
                <w:color w:val="000000"/>
                <w:sz w:val="22"/>
                <w:szCs w:val="22"/>
                <w:lang w:val="es-DO" w:eastAsia="es-DO"/>
              </w:rPr>
              <w:t>Indicadores de Gestión</w:t>
            </w:r>
          </w:p>
        </w:tc>
        <w:tc>
          <w:tcPr>
            <w:tcW w:w="1223"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b/>
                <w:bCs/>
                <w:color w:val="000000"/>
                <w:sz w:val="22"/>
                <w:szCs w:val="22"/>
                <w:lang w:val="es-DO" w:eastAsia="es-DO"/>
              </w:rPr>
            </w:pPr>
          </w:p>
        </w:tc>
        <w:tc>
          <w:tcPr>
            <w:tcW w:w="1216"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164"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160"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652"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center"/>
              <w:outlineLvl w:val="9"/>
              <w:rPr>
                <w:rFonts w:eastAsia="Times New Roman"/>
                <w:color w:val="000000"/>
                <w:sz w:val="22"/>
                <w:szCs w:val="22"/>
                <w:lang w:val="es-DO" w:eastAsia="es-DO"/>
              </w:rPr>
            </w:pPr>
            <w:r w:rsidRPr="00825291">
              <w:rPr>
                <w:rFonts w:eastAsia="Times New Roman"/>
                <w:color w:val="000000"/>
                <w:sz w:val="22"/>
                <w:szCs w:val="22"/>
                <w:lang w:val="es-DO" w:eastAsia="es-DO"/>
              </w:rPr>
              <w:t>47</w:t>
            </w:r>
          </w:p>
        </w:tc>
      </w:tr>
      <w:tr w:rsidR="00825291" w:rsidRPr="00825291" w:rsidTr="00825291">
        <w:trPr>
          <w:trHeight w:val="300"/>
        </w:trPr>
        <w:tc>
          <w:tcPr>
            <w:tcW w:w="611"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center"/>
              <w:outlineLvl w:val="9"/>
              <w:rPr>
                <w:rFonts w:eastAsia="Times New Roman"/>
                <w:color w:val="000000"/>
                <w:sz w:val="22"/>
                <w:szCs w:val="22"/>
                <w:lang w:val="es-DO" w:eastAsia="es-DO"/>
              </w:rPr>
            </w:pPr>
          </w:p>
        </w:tc>
        <w:tc>
          <w:tcPr>
            <w:tcW w:w="743"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305"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center"/>
              <w:outlineLvl w:val="9"/>
              <w:rPr>
                <w:rFonts w:eastAsia="Times New Roman"/>
                <w:b/>
                <w:bCs/>
                <w:color w:val="000000"/>
                <w:sz w:val="22"/>
                <w:szCs w:val="22"/>
                <w:lang w:val="es-DO" w:eastAsia="es-DO"/>
              </w:rPr>
            </w:pPr>
            <w:r w:rsidRPr="00825291">
              <w:rPr>
                <w:rFonts w:eastAsia="Times New Roman"/>
                <w:b/>
                <w:bCs/>
                <w:color w:val="000000"/>
                <w:sz w:val="22"/>
                <w:szCs w:val="22"/>
                <w:lang w:val="es-DO" w:eastAsia="es-DO"/>
              </w:rPr>
              <w:t>1.</w:t>
            </w:r>
          </w:p>
        </w:tc>
        <w:tc>
          <w:tcPr>
            <w:tcW w:w="4140" w:type="dxa"/>
            <w:gridSpan w:val="3"/>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b/>
                <w:bCs/>
                <w:color w:val="000000"/>
                <w:sz w:val="22"/>
                <w:szCs w:val="22"/>
                <w:lang w:val="es-DO" w:eastAsia="es-DO"/>
              </w:rPr>
            </w:pPr>
            <w:r w:rsidRPr="00825291">
              <w:rPr>
                <w:rFonts w:eastAsia="Times New Roman"/>
                <w:b/>
                <w:bCs/>
                <w:color w:val="000000"/>
                <w:sz w:val="22"/>
                <w:szCs w:val="22"/>
                <w:lang w:val="es-DO" w:eastAsia="es-DO"/>
              </w:rPr>
              <w:t>Perspectiva Estratégica</w:t>
            </w:r>
          </w:p>
        </w:tc>
        <w:tc>
          <w:tcPr>
            <w:tcW w:w="1223"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b/>
                <w:bCs/>
                <w:color w:val="000000"/>
                <w:sz w:val="22"/>
                <w:szCs w:val="22"/>
                <w:lang w:val="es-DO" w:eastAsia="es-DO"/>
              </w:rPr>
            </w:pPr>
          </w:p>
        </w:tc>
        <w:tc>
          <w:tcPr>
            <w:tcW w:w="1216"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164"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160"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652"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center"/>
              <w:outlineLvl w:val="9"/>
              <w:rPr>
                <w:rFonts w:eastAsia="Times New Roman"/>
                <w:color w:val="000000"/>
                <w:sz w:val="22"/>
                <w:szCs w:val="22"/>
                <w:lang w:val="es-DO" w:eastAsia="es-DO"/>
              </w:rPr>
            </w:pPr>
            <w:r w:rsidRPr="00825291">
              <w:rPr>
                <w:rFonts w:eastAsia="Times New Roman"/>
                <w:color w:val="000000"/>
                <w:sz w:val="22"/>
                <w:szCs w:val="22"/>
                <w:lang w:val="es-DO" w:eastAsia="es-DO"/>
              </w:rPr>
              <w:t>47</w:t>
            </w:r>
          </w:p>
        </w:tc>
      </w:tr>
      <w:tr w:rsidR="00825291" w:rsidRPr="00825291" w:rsidTr="00825291">
        <w:trPr>
          <w:trHeight w:val="300"/>
        </w:trPr>
        <w:tc>
          <w:tcPr>
            <w:tcW w:w="611"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center"/>
              <w:outlineLvl w:val="9"/>
              <w:rPr>
                <w:rFonts w:eastAsia="Times New Roman"/>
                <w:color w:val="000000"/>
                <w:sz w:val="22"/>
                <w:szCs w:val="22"/>
                <w:lang w:val="es-DO" w:eastAsia="es-DO"/>
              </w:rPr>
            </w:pPr>
          </w:p>
        </w:tc>
        <w:tc>
          <w:tcPr>
            <w:tcW w:w="743"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305"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489"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right"/>
              <w:outlineLvl w:val="9"/>
              <w:rPr>
                <w:rFonts w:eastAsia="Times New Roman"/>
                <w:color w:val="000000"/>
                <w:sz w:val="22"/>
                <w:szCs w:val="22"/>
                <w:lang w:val="es-DO" w:eastAsia="es-DO"/>
              </w:rPr>
            </w:pPr>
            <w:r w:rsidRPr="00825291">
              <w:rPr>
                <w:rFonts w:eastAsia="Times New Roman"/>
                <w:color w:val="000000"/>
                <w:sz w:val="22"/>
                <w:szCs w:val="22"/>
                <w:lang w:val="es-DO" w:eastAsia="es-DO"/>
              </w:rPr>
              <w:t>i.</w:t>
            </w:r>
          </w:p>
        </w:tc>
        <w:tc>
          <w:tcPr>
            <w:tcW w:w="3651" w:type="dxa"/>
            <w:gridSpan w:val="2"/>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000000"/>
                <w:sz w:val="22"/>
                <w:szCs w:val="22"/>
                <w:lang w:val="es-DO" w:eastAsia="es-DO"/>
              </w:rPr>
            </w:pPr>
            <w:r w:rsidRPr="00825291">
              <w:rPr>
                <w:rFonts w:eastAsia="Times New Roman"/>
                <w:color w:val="000000"/>
                <w:sz w:val="22"/>
                <w:szCs w:val="22"/>
                <w:lang w:val="es-DO" w:eastAsia="es-DO"/>
              </w:rPr>
              <w:t>Metas Presidenciales</w:t>
            </w:r>
          </w:p>
        </w:tc>
        <w:tc>
          <w:tcPr>
            <w:tcW w:w="1223"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000000"/>
                <w:sz w:val="22"/>
                <w:szCs w:val="22"/>
                <w:lang w:val="es-DO" w:eastAsia="es-DO"/>
              </w:rPr>
            </w:pPr>
          </w:p>
        </w:tc>
        <w:tc>
          <w:tcPr>
            <w:tcW w:w="1216"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164"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160"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652"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center"/>
              <w:outlineLvl w:val="9"/>
              <w:rPr>
                <w:rFonts w:eastAsia="Times New Roman"/>
                <w:color w:val="000000"/>
                <w:sz w:val="22"/>
                <w:szCs w:val="22"/>
                <w:lang w:val="es-DO" w:eastAsia="es-DO"/>
              </w:rPr>
            </w:pPr>
            <w:r w:rsidRPr="00825291">
              <w:rPr>
                <w:rFonts w:eastAsia="Times New Roman"/>
                <w:color w:val="000000"/>
                <w:sz w:val="22"/>
                <w:szCs w:val="22"/>
                <w:lang w:val="es-DO" w:eastAsia="es-DO"/>
              </w:rPr>
              <w:t>47</w:t>
            </w:r>
          </w:p>
        </w:tc>
      </w:tr>
      <w:tr w:rsidR="00825291" w:rsidRPr="00825291" w:rsidTr="00825291">
        <w:trPr>
          <w:trHeight w:val="300"/>
        </w:trPr>
        <w:tc>
          <w:tcPr>
            <w:tcW w:w="611"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center"/>
              <w:outlineLvl w:val="9"/>
              <w:rPr>
                <w:rFonts w:eastAsia="Times New Roman"/>
                <w:color w:val="000000"/>
                <w:sz w:val="22"/>
                <w:szCs w:val="22"/>
                <w:lang w:val="es-DO" w:eastAsia="es-DO"/>
              </w:rPr>
            </w:pPr>
          </w:p>
        </w:tc>
        <w:tc>
          <w:tcPr>
            <w:tcW w:w="743"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305"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489"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right"/>
              <w:outlineLvl w:val="9"/>
              <w:rPr>
                <w:rFonts w:eastAsia="Times New Roman"/>
                <w:color w:val="000000"/>
                <w:sz w:val="22"/>
                <w:szCs w:val="22"/>
                <w:lang w:val="es-DO" w:eastAsia="es-DO"/>
              </w:rPr>
            </w:pPr>
            <w:r w:rsidRPr="00825291">
              <w:rPr>
                <w:rFonts w:eastAsia="Times New Roman"/>
                <w:color w:val="000000"/>
                <w:sz w:val="22"/>
                <w:szCs w:val="22"/>
                <w:lang w:val="es-DO" w:eastAsia="es-DO"/>
              </w:rPr>
              <w:t>ii.</w:t>
            </w:r>
          </w:p>
        </w:tc>
        <w:tc>
          <w:tcPr>
            <w:tcW w:w="6254" w:type="dxa"/>
            <w:gridSpan w:val="5"/>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000000"/>
                <w:sz w:val="22"/>
                <w:szCs w:val="22"/>
                <w:lang w:val="es-DO" w:eastAsia="es-DO"/>
              </w:rPr>
            </w:pPr>
            <w:r w:rsidRPr="00825291">
              <w:rPr>
                <w:rFonts w:eastAsia="Times New Roman"/>
                <w:color w:val="000000"/>
                <w:sz w:val="22"/>
                <w:szCs w:val="22"/>
                <w:lang w:val="es-DO" w:eastAsia="es-DO"/>
              </w:rPr>
              <w:t>Sistema de Monitoreo y Medición de la Gestión Pública (SMMGP)</w:t>
            </w:r>
          </w:p>
        </w:tc>
        <w:tc>
          <w:tcPr>
            <w:tcW w:w="160"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000000"/>
                <w:sz w:val="22"/>
                <w:szCs w:val="22"/>
                <w:lang w:val="es-DO" w:eastAsia="es-DO"/>
              </w:rPr>
            </w:pPr>
          </w:p>
        </w:tc>
        <w:tc>
          <w:tcPr>
            <w:tcW w:w="652"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center"/>
              <w:outlineLvl w:val="9"/>
              <w:rPr>
                <w:rFonts w:eastAsia="Times New Roman"/>
                <w:color w:val="000000"/>
                <w:sz w:val="22"/>
                <w:szCs w:val="22"/>
                <w:lang w:val="es-DO" w:eastAsia="es-DO"/>
              </w:rPr>
            </w:pPr>
            <w:r w:rsidRPr="00825291">
              <w:rPr>
                <w:rFonts w:eastAsia="Times New Roman"/>
                <w:color w:val="000000"/>
                <w:sz w:val="22"/>
                <w:szCs w:val="22"/>
                <w:lang w:val="es-DO" w:eastAsia="es-DO"/>
              </w:rPr>
              <w:t>59</w:t>
            </w:r>
          </w:p>
        </w:tc>
      </w:tr>
      <w:tr w:rsidR="00825291" w:rsidRPr="00825291" w:rsidTr="00825291">
        <w:trPr>
          <w:trHeight w:val="300"/>
        </w:trPr>
        <w:tc>
          <w:tcPr>
            <w:tcW w:w="611"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center"/>
              <w:outlineLvl w:val="9"/>
              <w:rPr>
                <w:rFonts w:eastAsia="Times New Roman"/>
                <w:color w:val="000000"/>
                <w:sz w:val="22"/>
                <w:szCs w:val="22"/>
                <w:lang w:val="es-DO" w:eastAsia="es-DO"/>
              </w:rPr>
            </w:pPr>
          </w:p>
        </w:tc>
        <w:tc>
          <w:tcPr>
            <w:tcW w:w="743"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305"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489"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right"/>
              <w:outlineLvl w:val="9"/>
              <w:rPr>
                <w:rFonts w:eastAsia="Times New Roman"/>
                <w:color w:val="000000"/>
                <w:sz w:val="22"/>
                <w:szCs w:val="22"/>
                <w:lang w:val="es-DO" w:eastAsia="es-DO"/>
              </w:rPr>
            </w:pPr>
            <w:r w:rsidRPr="00825291">
              <w:rPr>
                <w:rFonts w:eastAsia="Times New Roman"/>
                <w:color w:val="000000"/>
                <w:sz w:val="22"/>
                <w:szCs w:val="22"/>
                <w:lang w:val="es-DO" w:eastAsia="es-DO"/>
              </w:rPr>
              <w:t>iii.</w:t>
            </w:r>
          </w:p>
        </w:tc>
        <w:tc>
          <w:tcPr>
            <w:tcW w:w="6254" w:type="dxa"/>
            <w:gridSpan w:val="5"/>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000000"/>
                <w:sz w:val="22"/>
                <w:szCs w:val="22"/>
                <w:lang w:val="es-DO" w:eastAsia="es-DO"/>
              </w:rPr>
            </w:pPr>
            <w:r w:rsidRPr="00825291">
              <w:rPr>
                <w:rFonts w:eastAsia="Times New Roman"/>
                <w:color w:val="000000"/>
                <w:sz w:val="22"/>
                <w:szCs w:val="22"/>
                <w:lang w:val="es-DO" w:eastAsia="es-DO"/>
              </w:rPr>
              <w:t>Sistema de Monitoreo de la Administración Pública (SISMAP)</w:t>
            </w:r>
          </w:p>
        </w:tc>
        <w:tc>
          <w:tcPr>
            <w:tcW w:w="160"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000000"/>
                <w:sz w:val="22"/>
                <w:szCs w:val="22"/>
                <w:lang w:val="es-DO" w:eastAsia="es-DO"/>
              </w:rPr>
            </w:pPr>
          </w:p>
        </w:tc>
        <w:tc>
          <w:tcPr>
            <w:tcW w:w="652"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center"/>
              <w:outlineLvl w:val="9"/>
              <w:rPr>
                <w:rFonts w:eastAsia="Times New Roman"/>
                <w:color w:val="000000"/>
                <w:sz w:val="22"/>
                <w:szCs w:val="22"/>
                <w:lang w:val="es-DO" w:eastAsia="es-DO"/>
              </w:rPr>
            </w:pPr>
            <w:r w:rsidRPr="00825291">
              <w:rPr>
                <w:rFonts w:eastAsia="Times New Roman"/>
                <w:color w:val="000000"/>
                <w:sz w:val="22"/>
                <w:szCs w:val="22"/>
                <w:lang w:val="es-DO" w:eastAsia="es-DO"/>
              </w:rPr>
              <w:t>60</w:t>
            </w:r>
          </w:p>
        </w:tc>
      </w:tr>
      <w:tr w:rsidR="00825291" w:rsidRPr="00825291" w:rsidTr="00825291">
        <w:trPr>
          <w:trHeight w:val="300"/>
        </w:trPr>
        <w:tc>
          <w:tcPr>
            <w:tcW w:w="611"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center"/>
              <w:outlineLvl w:val="9"/>
              <w:rPr>
                <w:rFonts w:eastAsia="Times New Roman"/>
                <w:color w:val="000000"/>
                <w:sz w:val="22"/>
                <w:szCs w:val="22"/>
                <w:lang w:val="es-DO" w:eastAsia="es-DO"/>
              </w:rPr>
            </w:pPr>
          </w:p>
        </w:tc>
        <w:tc>
          <w:tcPr>
            <w:tcW w:w="743"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305"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center"/>
              <w:outlineLvl w:val="9"/>
              <w:rPr>
                <w:rFonts w:eastAsia="Times New Roman"/>
                <w:b/>
                <w:bCs/>
                <w:color w:val="000000"/>
                <w:sz w:val="22"/>
                <w:szCs w:val="22"/>
                <w:lang w:val="es-DO" w:eastAsia="es-DO"/>
              </w:rPr>
            </w:pPr>
            <w:r w:rsidRPr="00825291">
              <w:rPr>
                <w:rFonts w:eastAsia="Times New Roman"/>
                <w:b/>
                <w:bCs/>
                <w:color w:val="000000"/>
                <w:sz w:val="22"/>
                <w:szCs w:val="22"/>
                <w:lang w:val="es-DO" w:eastAsia="es-DO"/>
              </w:rPr>
              <w:t>2.</w:t>
            </w:r>
          </w:p>
        </w:tc>
        <w:tc>
          <w:tcPr>
            <w:tcW w:w="4140" w:type="dxa"/>
            <w:gridSpan w:val="3"/>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b/>
                <w:bCs/>
                <w:color w:val="000000"/>
                <w:sz w:val="22"/>
                <w:szCs w:val="22"/>
                <w:lang w:val="es-DO" w:eastAsia="es-DO"/>
              </w:rPr>
            </w:pPr>
            <w:r w:rsidRPr="00825291">
              <w:rPr>
                <w:rFonts w:eastAsia="Times New Roman"/>
                <w:b/>
                <w:bCs/>
                <w:color w:val="000000"/>
                <w:sz w:val="22"/>
                <w:szCs w:val="22"/>
                <w:lang w:val="es-DO" w:eastAsia="es-DO"/>
              </w:rPr>
              <w:t>Perspectiva Operativa</w:t>
            </w:r>
          </w:p>
        </w:tc>
        <w:tc>
          <w:tcPr>
            <w:tcW w:w="1223"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b/>
                <w:bCs/>
                <w:color w:val="000000"/>
                <w:sz w:val="22"/>
                <w:szCs w:val="22"/>
                <w:lang w:val="es-DO" w:eastAsia="es-DO"/>
              </w:rPr>
            </w:pPr>
          </w:p>
        </w:tc>
        <w:tc>
          <w:tcPr>
            <w:tcW w:w="1216"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164"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160"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652"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center"/>
              <w:outlineLvl w:val="9"/>
              <w:rPr>
                <w:rFonts w:eastAsia="Times New Roman"/>
                <w:color w:val="000000"/>
                <w:sz w:val="22"/>
                <w:szCs w:val="22"/>
                <w:lang w:val="es-DO" w:eastAsia="es-DO"/>
              </w:rPr>
            </w:pPr>
            <w:r w:rsidRPr="00825291">
              <w:rPr>
                <w:rFonts w:eastAsia="Times New Roman"/>
                <w:color w:val="000000"/>
                <w:sz w:val="22"/>
                <w:szCs w:val="22"/>
                <w:lang w:val="es-DO" w:eastAsia="es-DO"/>
              </w:rPr>
              <w:t>62</w:t>
            </w:r>
          </w:p>
        </w:tc>
      </w:tr>
      <w:tr w:rsidR="00825291" w:rsidRPr="00825291" w:rsidTr="00825291">
        <w:trPr>
          <w:trHeight w:val="300"/>
        </w:trPr>
        <w:tc>
          <w:tcPr>
            <w:tcW w:w="611"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center"/>
              <w:outlineLvl w:val="9"/>
              <w:rPr>
                <w:rFonts w:eastAsia="Times New Roman"/>
                <w:color w:val="000000"/>
                <w:sz w:val="22"/>
                <w:szCs w:val="22"/>
                <w:lang w:val="es-DO" w:eastAsia="es-DO"/>
              </w:rPr>
            </w:pPr>
          </w:p>
        </w:tc>
        <w:tc>
          <w:tcPr>
            <w:tcW w:w="743"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305"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489"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right"/>
              <w:outlineLvl w:val="9"/>
              <w:rPr>
                <w:rFonts w:eastAsia="Times New Roman"/>
                <w:color w:val="000000"/>
                <w:sz w:val="22"/>
                <w:szCs w:val="22"/>
                <w:lang w:val="es-DO" w:eastAsia="es-DO"/>
              </w:rPr>
            </w:pPr>
            <w:r w:rsidRPr="00825291">
              <w:rPr>
                <w:rFonts w:eastAsia="Times New Roman"/>
                <w:color w:val="000000"/>
                <w:sz w:val="22"/>
                <w:szCs w:val="22"/>
                <w:lang w:val="es-DO" w:eastAsia="es-DO"/>
              </w:rPr>
              <w:t>i.</w:t>
            </w:r>
          </w:p>
        </w:tc>
        <w:tc>
          <w:tcPr>
            <w:tcW w:w="3651" w:type="dxa"/>
            <w:gridSpan w:val="2"/>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000000"/>
                <w:sz w:val="22"/>
                <w:szCs w:val="22"/>
                <w:lang w:val="es-DO" w:eastAsia="es-DO"/>
              </w:rPr>
            </w:pPr>
            <w:r w:rsidRPr="00825291">
              <w:rPr>
                <w:rFonts w:eastAsia="Times New Roman"/>
                <w:color w:val="000000"/>
                <w:sz w:val="22"/>
                <w:szCs w:val="22"/>
                <w:lang w:val="es-DO" w:eastAsia="es-DO"/>
              </w:rPr>
              <w:t>Índice de Transparencia</w:t>
            </w:r>
          </w:p>
        </w:tc>
        <w:tc>
          <w:tcPr>
            <w:tcW w:w="1223"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000000"/>
                <w:sz w:val="22"/>
                <w:szCs w:val="22"/>
                <w:lang w:val="es-DO" w:eastAsia="es-DO"/>
              </w:rPr>
            </w:pPr>
          </w:p>
        </w:tc>
        <w:tc>
          <w:tcPr>
            <w:tcW w:w="1216"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164"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160"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652"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center"/>
              <w:outlineLvl w:val="9"/>
              <w:rPr>
                <w:rFonts w:eastAsia="Times New Roman"/>
                <w:color w:val="000000"/>
                <w:sz w:val="22"/>
                <w:szCs w:val="22"/>
                <w:lang w:val="es-DO" w:eastAsia="es-DO"/>
              </w:rPr>
            </w:pPr>
            <w:r w:rsidRPr="00825291">
              <w:rPr>
                <w:rFonts w:eastAsia="Times New Roman"/>
                <w:color w:val="000000"/>
                <w:sz w:val="22"/>
                <w:szCs w:val="22"/>
                <w:lang w:val="es-DO" w:eastAsia="es-DO"/>
              </w:rPr>
              <w:t>62</w:t>
            </w:r>
          </w:p>
        </w:tc>
      </w:tr>
      <w:tr w:rsidR="00825291" w:rsidRPr="00825291" w:rsidTr="00825291">
        <w:trPr>
          <w:trHeight w:val="300"/>
        </w:trPr>
        <w:tc>
          <w:tcPr>
            <w:tcW w:w="611"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center"/>
              <w:outlineLvl w:val="9"/>
              <w:rPr>
                <w:rFonts w:eastAsia="Times New Roman"/>
                <w:color w:val="000000"/>
                <w:sz w:val="22"/>
                <w:szCs w:val="22"/>
                <w:lang w:val="es-DO" w:eastAsia="es-DO"/>
              </w:rPr>
            </w:pPr>
          </w:p>
        </w:tc>
        <w:tc>
          <w:tcPr>
            <w:tcW w:w="743"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305"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489"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right"/>
              <w:outlineLvl w:val="9"/>
              <w:rPr>
                <w:rFonts w:eastAsia="Times New Roman"/>
                <w:color w:val="000000"/>
                <w:sz w:val="22"/>
                <w:szCs w:val="22"/>
                <w:lang w:val="es-DO" w:eastAsia="es-DO"/>
              </w:rPr>
            </w:pPr>
            <w:r w:rsidRPr="00825291">
              <w:rPr>
                <w:rFonts w:eastAsia="Times New Roman"/>
                <w:color w:val="000000"/>
                <w:sz w:val="22"/>
                <w:szCs w:val="22"/>
                <w:lang w:val="es-DO" w:eastAsia="es-DO"/>
              </w:rPr>
              <w:t>ii.</w:t>
            </w:r>
          </w:p>
        </w:tc>
        <w:tc>
          <w:tcPr>
            <w:tcW w:w="6254" w:type="dxa"/>
            <w:gridSpan w:val="5"/>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000000"/>
                <w:sz w:val="22"/>
                <w:szCs w:val="22"/>
                <w:lang w:val="es-DO" w:eastAsia="es-DO"/>
              </w:rPr>
            </w:pPr>
            <w:r w:rsidRPr="00825291">
              <w:rPr>
                <w:rFonts w:eastAsia="Times New Roman"/>
                <w:color w:val="000000"/>
                <w:sz w:val="22"/>
                <w:szCs w:val="22"/>
                <w:lang w:val="es-DO" w:eastAsia="es-DO"/>
              </w:rPr>
              <w:t>Índice de Uso Tic e implementación Gobierno Electrónico</w:t>
            </w:r>
          </w:p>
        </w:tc>
        <w:tc>
          <w:tcPr>
            <w:tcW w:w="160"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000000"/>
                <w:sz w:val="22"/>
                <w:szCs w:val="22"/>
                <w:lang w:val="es-DO" w:eastAsia="es-DO"/>
              </w:rPr>
            </w:pPr>
          </w:p>
        </w:tc>
        <w:tc>
          <w:tcPr>
            <w:tcW w:w="652"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center"/>
              <w:outlineLvl w:val="9"/>
              <w:rPr>
                <w:rFonts w:eastAsia="Times New Roman"/>
                <w:color w:val="000000"/>
                <w:sz w:val="22"/>
                <w:szCs w:val="22"/>
                <w:lang w:val="es-DO" w:eastAsia="es-DO"/>
              </w:rPr>
            </w:pPr>
            <w:r w:rsidRPr="00825291">
              <w:rPr>
                <w:rFonts w:eastAsia="Times New Roman"/>
                <w:color w:val="000000"/>
                <w:sz w:val="22"/>
                <w:szCs w:val="22"/>
                <w:lang w:val="es-DO" w:eastAsia="es-DO"/>
              </w:rPr>
              <w:t>63</w:t>
            </w:r>
          </w:p>
        </w:tc>
      </w:tr>
      <w:tr w:rsidR="00825291" w:rsidRPr="00825291" w:rsidTr="00825291">
        <w:trPr>
          <w:trHeight w:val="300"/>
        </w:trPr>
        <w:tc>
          <w:tcPr>
            <w:tcW w:w="611"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center"/>
              <w:outlineLvl w:val="9"/>
              <w:rPr>
                <w:rFonts w:eastAsia="Times New Roman"/>
                <w:color w:val="000000"/>
                <w:sz w:val="22"/>
                <w:szCs w:val="22"/>
                <w:lang w:val="es-DO" w:eastAsia="es-DO"/>
              </w:rPr>
            </w:pPr>
          </w:p>
        </w:tc>
        <w:tc>
          <w:tcPr>
            <w:tcW w:w="743"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305"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489"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right"/>
              <w:outlineLvl w:val="9"/>
              <w:rPr>
                <w:rFonts w:eastAsia="Times New Roman"/>
                <w:color w:val="000000"/>
                <w:sz w:val="22"/>
                <w:szCs w:val="22"/>
                <w:lang w:val="es-DO" w:eastAsia="es-DO"/>
              </w:rPr>
            </w:pPr>
            <w:r w:rsidRPr="00825291">
              <w:rPr>
                <w:rFonts w:eastAsia="Times New Roman"/>
                <w:color w:val="000000"/>
                <w:sz w:val="22"/>
                <w:szCs w:val="22"/>
                <w:lang w:val="es-DO" w:eastAsia="es-DO"/>
              </w:rPr>
              <w:t>iii.</w:t>
            </w:r>
          </w:p>
        </w:tc>
        <w:tc>
          <w:tcPr>
            <w:tcW w:w="6090" w:type="dxa"/>
            <w:gridSpan w:val="4"/>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000000"/>
                <w:sz w:val="22"/>
                <w:szCs w:val="22"/>
                <w:lang w:val="es-DO" w:eastAsia="es-DO"/>
              </w:rPr>
            </w:pPr>
            <w:r w:rsidRPr="00825291">
              <w:rPr>
                <w:rFonts w:eastAsia="Times New Roman"/>
                <w:color w:val="000000"/>
                <w:sz w:val="22"/>
                <w:szCs w:val="22"/>
                <w:lang w:val="es-DO" w:eastAsia="es-DO"/>
              </w:rPr>
              <w:t>Normas Básicas de Control Interno (NOBACI)</w:t>
            </w:r>
          </w:p>
        </w:tc>
        <w:tc>
          <w:tcPr>
            <w:tcW w:w="164"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000000"/>
                <w:sz w:val="22"/>
                <w:szCs w:val="22"/>
                <w:lang w:val="es-DO" w:eastAsia="es-DO"/>
              </w:rPr>
            </w:pPr>
          </w:p>
        </w:tc>
        <w:tc>
          <w:tcPr>
            <w:tcW w:w="160"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652"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center"/>
              <w:outlineLvl w:val="9"/>
              <w:rPr>
                <w:rFonts w:eastAsia="Times New Roman"/>
                <w:color w:val="000000"/>
                <w:sz w:val="22"/>
                <w:szCs w:val="22"/>
                <w:lang w:val="es-DO" w:eastAsia="es-DO"/>
              </w:rPr>
            </w:pPr>
            <w:r w:rsidRPr="00825291">
              <w:rPr>
                <w:rFonts w:eastAsia="Times New Roman"/>
                <w:color w:val="000000"/>
                <w:sz w:val="22"/>
                <w:szCs w:val="22"/>
                <w:lang w:val="es-DO" w:eastAsia="es-DO"/>
              </w:rPr>
              <w:t>64</w:t>
            </w:r>
          </w:p>
        </w:tc>
      </w:tr>
      <w:tr w:rsidR="00825291" w:rsidRPr="00825291" w:rsidTr="00825291">
        <w:trPr>
          <w:trHeight w:val="300"/>
        </w:trPr>
        <w:tc>
          <w:tcPr>
            <w:tcW w:w="611"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center"/>
              <w:outlineLvl w:val="9"/>
              <w:rPr>
                <w:rFonts w:eastAsia="Times New Roman"/>
                <w:color w:val="000000"/>
                <w:sz w:val="22"/>
                <w:szCs w:val="22"/>
                <w:lang w:val="es-DO" w:eastAsia="es-DO"/>
              </w:rPr>
            </w:pPr>
          </w:p>
        </w:tc>
        <w:tc>
          <w:tcPr>
            <w:tcW w:w="743"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305"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489"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right"/>
              <w:outlineLvl w:val="9"/>
              <w:rPr>
                <w:rFonts w:eastAsia="Times New Roman"/>
                <w:color w:val="000000"/>
                <w:sz w:val="22"/>
                <w:szCs w:val="22"/>
                <w:lang w:val="es-DO" w:eastAsia="es-DO"/>
              </w:rPr>
            </w:pPr>
            <w:r w:rsidRPr="00825291">
              <w:rPr>
                <w:rFonts w:eastAsia="Times New Roman"/>
                <w:color w:val="000000"/>
                <w:sz w:val="22"/>
                <w:szCs w:val="22"/>
                <w:lang w:val="es-DO" w:eastAsia="es-DO"/>
              </w:rPr>
              <w:t>iv.</w:t>
            </w:r>
          </w:p>
        </w:tc>
        <w:tc>
          <w:tcPr>
            <w:tcW w:w="3651" w:type="dxa"/>
            <w:gridSpan w:val="2"/>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000000"/>
                <w:sz w:val="22"/>
                <w:szCs w:val="22"/>
                <w:lang w:val="es-DO" w:eastAsia="es-DO"/>
              </w:rPr>
            </w:pPr>
            <w:r w:rsidRPr="00825291">
              <w:rPr>
                <w:rFonts w:eastAsia="Times New Roman"/>
                <w:color w:val="000000"/>
                <w:sz w:val="22"/>
                <w:szCs w:val="22"/>
                <w:lang w:val="es-DO" w:eastAsia="es-DO"/>
              </w:rPr>
              <w:t>Gestión Presupuestaria</w:t>
            </w:r>
          </w:p>
        </w:tc>
        <w:tc>
          <w:tcPr>
            <w:tcW w:w="1223"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000000"/>
                <w:sz w:val="22"/>
                <w:szCs w:val="22"/>
                <w:lang w:val="es-DO" w:eastAsia="es-DO"/>
              </w:rPr>
            </w:pPr>
          </w:p>
        </w:tc>
        <w:tc>
          <w:tcPr>
            <w:tcW w:w="1216"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164"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160"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652"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center"/>
              <w:outlineLvl w:val="9"/>
              <w:rPr>
                <w:rFonts w:eastAsia="Times New Roman"/>
                <w:color w:val="000000"/>
                <w:sz w:val="22"/>
                <w:szCs w:val="22"/>
                <w:lang w:val="es-DO" w:eastAsia="es-DO"/>
              </w:rPr>
            </w:pPr>
            <w:r w:rsidRPr="00825291">
              <w:rPr>
                <w:rFonts w:eastAsia="Times New Roman"/>
                <w:color w:val="000000"/>
                <w:sz w:val="22"/>
                <w:szCs w:val="22"/>
                <w:lang w:val="es-DO" w:eastAsia="es-DO"/>
              </w:rPr>
              <w:t>66</w:t>
            </w:r>
          </w:p>
        </w:tc>
      </w:tr>
      <w:tr w:rsidR="00825291" w:rsidRPr="00825291" w:rsidTr="00825291">
        <w:trPr>
          <w:trHeight w:val="300"/>
        </w:trPr>
        <w:tc>
          <w:tcPr>
            <w:tcW w:w="611"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center"/>
              <w:outlineLvl w:val="9"/>
              <w:rPr>
                <w:rFonts w:eastAsia="Times New Roman"/>
                <w:color w:val="000000"/>
                <w:sz w:val="22"/>
                <w:szCs w:val="22"/>
                <w:lang w:val="es-DO" w:eastAsia="es-DO"/>
              </w:rPr>
            </w:pPr>
          </w:p>
        </w:tc>
        <w:tc>
          <w:tcPr>
            <w:tcW w:w="743"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305"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489"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right"/>
              <w:outlineLvl w:val="9"/>
              <w:rPr>
                <w:rFonts w:eastAsia="Times New Roman"/>
                <w:color w:val="000000"/>
                <w:sz w:val="22"/>
                <w:szCs w:val="22"/>
                <w:lang w:val="es-DO" w:eastAsia="es-DO"/>
              </w:rPr>
            </w:pPr>
            <w:r w:rsidRPr="00825291">
              <w:rPr>
                <w:rFonts w:eastAsia="Times New Roman"/>
                <w:color w:val="000000"/>
                <w:sz w:val="22"/>
                <w:szCs w:val="22"/>
                <w:lang w:val="es-DO" w:eastAsia="es-DO"/>
              </w:rPr>
              <w:t>v.</w:t>
            </w:r>
          </w:p>
        </w:tc>
        <w:tc>
          <w:tcPr>
            <w:tcW w:w="6090" w:type="dxa"/>
            <w:gridSpan w:val="4"/>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000000"/>
                <w:sz w:val="22"/>
                <w:szCs w:val="22"/>
                <w:lang w:val="es-DO" w:eastAsia="es-DO"/>
              </w:rPr>
            </w:pPr>
            <w:r w:rsidRPr="00825291">
              <w:rPr>
                <w:rFonts w:eastAsia="Times New Roman"/>
                <w:color w:val="000000"/>
                <w:sz w:val="22"/>
                <w:szCs w:val="22"/>
                <w:lang w:val="es-DO" w:eastAsia="es-DO"/>
              </w:rPr>
              <w:t>Plan Anual de Compras y Contrataciones (PACC)</w:t>
            </w:r>
          </w:p>
        </w:tc>
        <w:tc>
          <w:tcPr>
            <w:tcW w:w="164"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000000"/>
                <w:sz w:val="22"/>
                <w:szCs w:val="22"/>
                <w:lang w:val="es-DO" w:eastAsia="es-DO"/>
              </w:rPr>
            </w:pPr>
          </w:p>
        </w:tc>
        <w:tc>
          <w:tcPr>
            <w:tcW w:w="160"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652"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center"/>
              <w:outlineLvl w:val="9"/>
              <w:rPr>
                <w:rFonts w:eastAsia="Times New Roman"/>
                <w:color w:val="000000"/>
                <w:sz w:val="22"/>
                <w:szCs w:val="22"/>
                <w:lang w:val="es-DO" w:eastAsia="es-DO"/>
              </w:rPr>
            </w:pPr>
            <w:r w:rsidRPr="00825291">
              <w:rPr>
                <w:rFonts w:eastAsia="Times New Roman"/>
                <w:color w:val="000000"/>
                <w:sz w:val="22"/>
                <w:szCs w:val="22"/>
                <w:lang w:val="es-DO" w:eastAsia="es-DO"/>
              </w:rPr>
              <w:t>67</w:t>
            </w:r>
          </w:p>
        </w:tc>
      </w:tr>
      <w:tr w:rsidR="00825291" w:rsidRPr="00825291" w:rsidTr="00825291">
        <w:trPr>
          <w:trHeight w:val="300"/>
        </w:trPr>
        <w:tc>
          <w:tcPr>
            <w:tcW w:w="611"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center"/>
              <w:outlineLvl w:val="9"/>
              <w:rPr>
                <w:rFonts w:eastAsia="Times New Roman"/>
                <w:color w:val="000000"/>
                <w:sz w:val="22"/>
                <w:szCs w:val="22"/>
                <w:lang w:val="es-DO" w:eastAsia="es-DO"/>
              </w:rPr>
            </w:pPr>
          </w:p>
        </w:tc>
        <w:tc>
          <w:tcPr>
            <w:tcW w:w="743"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305"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489"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right"/>
              <w:outlineLvl w:val="9"/>
              <w:rPr>
                <w:rFonts w:eastAsia="Times New Roman"/>
                <w:color w:val="000000"/>
                <w:sz w:val="22"/>
                <w:szCs w:val="22"/>
                <w:lang w:val="es-DO" w:eastAsia="es-DO"/>
              </w:rPr>
            </w:pPr>
            <w:r w:rsidRPr="00825291">
              <w:rPr>
                <w:rFonts w:eastAsia="Times New Roman"/>
                <w:color w:val="000000"/>
                <w:sz w:val="22"/>
                <w:szCs w:val="22"/>
                <w:lang w:val="es-DO" w:eastAsia="es-DO"/>
              </w:rPr>
              <w:t>vi.</w:t>
            </w:r>
          </w:p>
        </w:tc>
        <w:tc>
          <w:tcPr>
            <w:tcW w:w="6254" w:type="dxa"/>
            <w:gridSpan w:val="5"/>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000000"/>
                <w:sz w:val="22"/>
                <w:szCs w:val="22"/>
                <w:lang w:val="es-DO" w:eastAsia="es-DO"/>
              </w:rPr>
            </w:pPr>
            <w:r w:rsidRPr="00825291">
              <w:rPr>
                <w:rFonts w:eastAsia="Times New Roman"/>
                <w:color w:val="000000"/>
                <w:sz w:val="22"/>
                <w:szCs w:val="22"/>
                <w:lang w:val="es-DO" w:eastAsia="es-DO"/>
              </w:rPr>
              <w:t>Sistema Nacional de Compras y Contrataciones Públicas (SNCCP)</w:t>
            </w:r>
          </w:p>
        </w:tc>
        <w:tc>
          <w:tcPr>
            <w:tcW w:w="160"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000000"/>
                <w:sz w:val="22"/>
                <w:szCs w:val="22"/>
                <w:lang w:val="es-DO" w:eastAsia="es-DO"/>
              </w:rPr>
            </w:pPr>
          </w:p>
        </w:tc>
        <w:tc>
          <w:tcPr>
            <w:tcW w:w="652"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center"/>
              <w:outlineLvl w:val="9"/>
              <w:rPr>
                <w:rFonts w:eastAsia="Times New Roman"/>
                <w:color w:val="000000"/>
                <w:sz w:val="22"/>
                <w:szCs w:val="22"/>
                <w:lang w:val="es-DO" w:eastAsia="es-DO"/>
              </w:rPr>
            </w:pPr>
            <w:r w:rsidRPr="00825291">
              <w:rPr>
                <w:rFonts w:eastAsia="Times New Roman"/>
                <w:color w:val="000000"/>
                <w:sz w:val="22"/>
                <w:szCs w:val="22"/>
                <w:lang w:val="es-DO" w:eastAsia="es-DO"/>
              </w:rPr>
              <w:t>68</w:t>
            </w:r>
          </w:p>
        </w:tc>
      </w:tr>
      <w:tr w:rsidR="00825291" w:rsidRPr="00825291" w:rsidTr="00825291">
        <w:trPr>
          <w:trHeight w:val="300"/>
        </w:trPr>
        <w:tc>
          <w:tcPr>
            <w:tcW w:w="611"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center"/>
              <w:outlineLvl w:val="9"/>
              <w:rPr>
                <w:rFonts w:eastAsia="Times New Roman"/>
                <w:color w:val="000000"/>
                <w:sz w:val="22"/>
                <w:szCs w:val="22"/>
                <w:lang w:val="es-DO" w:eastAsia="es-DO"/>
              </w:rPr>
            </w:pPr>
          </w:p>
        </w:tc>
        <w:tc>
          <w:tcPr>
            <w:tcW w:w="743"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305"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489"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right"/>
              <w:outlineLvl w:val="9"/>
              <w:rPr>
                <w:rFonts w:eastAsia="Times New Roman"/>
                <w:color w:val="000000"/>
                <w:sz w:val="22"/>
                <w:szCs w:val="22"/>
                <w:lang w:val="es-DO" w:eastAsia="es-DO"/>
              </w:rPr>
            </w:pPr>
            <w:r w:rsidRPr="00825291">
              <w:rPr>
                <w:rFonts w:eastAsia="Times New Roman"/>
                <w:color w:val="000000"/>
                <w:sz w:val="22"/>
                <w:szCs w:val="22"/>
                <w:lang w:val="es-DO" w:eastAsia="es-DO"/>
              </w:rPr>
              <w:t>vii.</w:t>
            </w:r>
          </w:p>
        </w:tc>
        <w:tc>
          <w:tcPr>
            <w:tcW w:w="4874" w:type="dxa"/>
            <w:gridSpan w:val="3"/>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000000"/>
                <w:sz w:val="22"/>
                <w:szCs w:val="22"/>
                <w:lang w:val="es-DO" w:eastAsia="es-DO"/>
              </w:rPr>
            </w:pPr>
            <w:r w:rsidRPr="00825291">
              <w:rPr>
                <w:rFonts w:eastAsia="Times New Roman"/>
                <w:color w:val="000000"/>
                <w:sz w:val="22"/>
                <w:szCs w:val="22"/>
                <w:lang w:val="es-DO" w:eastAsia="es-DO"/>
              </w:rPr>
              <w:t>Comisiones de Veeduría Ciudadana</w:t>
            </w:r>
          </w:p>
        </w:tc>
        <w:tc>
          <w:tcPr>
            <w:tcW w:w="1216"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000000"/>
                <w:sz w:val="22"/>
                <w:szCs w:val="22"/>
                <w:lang w:val="es-DO" w:eastAsia="es-DO"/>
              </w:rPr>
            </w:pPr>
          </w:p>
        </w:tc>
        <w:tc>
          <w:tcPr>
            <w:tcW w:w="164"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160"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652"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center"/>
              <w:outlineLvl w:val="9"/>
              <w:rPr>
                <w:rFonts w:eastAsia="Times New Roman"/>
                <w:color w:val="000000"/>
                <w:sz w:val="22"/>
                <w:szCs w:val="22"/>
                <w:lang w:val="es-DO" w:eastAsia="es-DO"/>
              </w:rPr>
            </w:pPr>
            <w:r w:rsidRPr="00825291">
              <w:rPr>
                <w:rFonts w:eastAsia="Times New Roman"/>
                <w:color w:val="000000"/>
                <w:sz w:val="22"/>
                <w:szCs w:val="22"/>
                <w:lang w:val="es-DO" w:eastAsia="es-DO"/>
              </w:rPr>
              <w:t>70</w:t>
            </w:r>
          </w:p>
        </w:tc>
      </w:tr>
      <w:tr w:rsidR="00825291" w:rsidRPr="00825291" w:rsidTr="00825291">
        <w:trPr>
          <w:trHeight w:val="300"/>
        </w:trPr>
        <w:tc>
          <w:tcPr>
            <w:tcW w:w="611"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center"/>
              <w:outlineLvl w:val="9"/>
              <w:rPr>
                <w:rFonts w:eastAsia="Times New Roman"/>
                <w:color w:val="000000"/>
                <w:sz w:val="22"/>
                <w:szCs w:val="22"/>
                <w:lang w:val="es-DO" w:eastAsia="es-DO"/>
              </w:rPr>
            </w:pPr>
          </w:p>
        </w:tc>
        <w:tc>
          <w:tcPr>
            <w:tcW w:w="743"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305"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489"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right"/>
              <w:outlineLvl w:val="9"/>
              <w:rPr>
                <w:rFonts w:eastAsia="Times New Roman"/>
                <w:color w:val="000000"/>
                <w:sz w:val="22"/>
                <w:szCs w:val="22"/>
                <w:lang w:val="es-DO" w:eastAsia="es-DO"/>
              </w:rPr>
            </w:pPr>
            <w:r w:rsidRPr="00825291">
              <w:rPr>
                <w:rFonts w:eastAsia="Times New Roman"/>
                <w:color w:val="000000"/>
                <w:sz w:val="22"/>
                <w:szCs w:val="22"/>
                <w:lang w:val="es-DO" w:eastAsia="es-DO"/>
              </w:rPr>
              <w:t>viii.</w:t>
            </w:r>
          </w:p>
        </w:tc>
        <w:tc>
          <w:tcPr>
            <w:tcW w:w="4874" w:type="dxa"/>
            <w:gridSpan w:val="3"/>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000000"/>
                <w:sz w:val="22"/>
                <w:szCs w:val="22"/>
                <w:lang w:val="es-DO" w:eastAsia="es-DO"/>
              </w:rPr>
            </w:pPr>
            <w:r w:rsidRPr="00825291">
              <w:rPr>
                <w:rFonts w:eastAsia="Times New Roman"/>
                <w:color w:val="000000"/>
                <w:sz w:val="22"/>
                <w:szCs w:val="22"/>
                <w:lang w:val="es-DO" w:eastAsia="es-DO"/>
              </w:rPr>
              <w:t>Auditorías y Declaraciones Juradas</w:t>
            </w:r>
          </w:p>
        </w:tc>
        <w:tc>
          <w:tcPr>
            <w:tcW w:w="1216"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000000"/>
                <w:sz w:val="22"/>
                <w:szCs w:val="22"/>
                <w:lang w:val="es-DO" w:eastAsia="es-DO"/>
              </w:rPr>
            </w:pPr>
          </w:p>
        </w:tc>
        <w:tc>
          <w:tcPr>
            <w:tcW w:w="164"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160"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652"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center"/>
              <w:outlineLvl w:val="9"/>
              <w:rPr>
                <w:rFonts w:eastAsia="Times New Roman"/>
                <w:color w:val="000000"/>
                <w:sz w:val="22"/>
                <w:szCs w:val="22"/>
                <w:lang w:val="es-DO" w:eastAsia="es-DO"/>
              </w:rPr>
            </w:pPr>
            <w:r w:rsidRPr="00825291">
              <w:rPr>
                <w:rFonts w:eastAsia="Times New Roman"/>
                <w:color w:val="000000"/>
                <w:sz w:val="22"/>
                <w:szCs w:val="22"/>
                <w:lang w:val="es-DO" w:eastAsia="es-DO"/>
              </w:rPr>
              <w:t>71</w:t>
            </w:r>
          </w:p>
        </w:tc>
      </w:tr>
      <w:tr w:rsidR="00825291" w:rsidRPr="00825291" w:rsidTr="00825291">
        <w:trPr>
          <w:trHeight w:val="300"/>
        </w:trPr>
        <w:tc>
          <w:tcPr>
            <w:tcW w:w="611"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center"/>
              <w:outlineLvl w:val="9"/>
              <w:rPr>
                <w:rFonts w:eastAsia="Times New Roman"/>
                <w:color w:val="000000"/>
                <w:sz w:val="22"/>
                <w:szCs w:val="22"/>
                <w:lang w:val="es-DO" w:eastAsia="es-DO"/>
              </w:rPr>
            </w:pPr>
          </w:p>
        </w:tc>
        <w:tc>
          <w:tcPr>
            <w:tcW w:w="743"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305"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center"/>
              <w:outlineLvl w:val="9"/>
              <w:rPr>
                <w:rFonts w:eastAsia="Times New Roman"/>
                <w:b/>
                <w:bCs/>
                <w:color w:val="000000"/>
                <w:sz w:val="22"/>
                <w:szCs w:val="22"/>
                <w:lang w:val="es-DO" w:eastAsia="es-DO"/>
              </w:rPr>
            </w:pPr>
            <w:r w:rsidRPr="00825291">
              <w:rPr>
                <w:rFonts w:eastAsia="Times New Roman"/>
                <w:b/>
                <w:bCs/>
                <w:color w:val="000000"/>
                <w:sz w:val="22"/>
                <w:szCs w:val="22"/>
                <w:lang w:val="es-DO" w:eastAsia="es-DO"/>
              </w:rPr>
              <w:t>3.</w:t>
            </w:r>
          </w:p>
        </w:tc>
        <w:tc>
          <w:tcPr>
            <w:tcW w:w="4140" w:type="dxa"/>
            <w:gridSpan w:val="3"/>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b/>
                <w:bCs/>
                <w:color w:val="000000"/>
                <w:sz w:val="22"/>
                <w:szCs w:val="22"/>
                <w:lang w:val="es-DO" w:eastAsia="es-DO"/>
              </w:rPr>
            </w:pPr>
            <w:r w:rsidRPr="00825291">
              <w:rPr>
                <w:rFonts w:eastAsia="Times New Roman"/>
                <w:b/>
                <w:bCs/>
                <w:color w:val="000000"/>
                <w:sz w:val="22"/>
                <w:szCs w:val="22"/>
                <w:lang w:val="es-DO" w:eastAsia="es-DO"/>
              </w:rPr>
              <w:t>Perspectiva de los Usuarios</w:t>
            </w:r>
          </w:p>
        </w:tc>
        <w:tc>
          <w:tcPr>
            <w:tcW w:w="1223"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b/>
                <w:bCs/>
                <w:color w:val="000000"/>
                <w:sz w:val="22"/>
                <w:szCs w:val="22"/>
                <w:lang w:val="es-DO" w:eastAsia="es-DO"/>
              </w:rPr>
            </w:pPr>
          </w:p>
        </w:tc>
        <w:tc>
          <w:tcPr>
            <w:tcW w:w="1216"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164"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160"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652"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center"/>
              <w:outlineLvl w:val="9"/>
              <w:rPr>
                <w:rFonts w:eastAsia="Times New Roman"/>
                <w:color w:val="000000"/>
                <w:sz w:val="22"/>
                <w:szCs w:val="22"/>
                <w:lang w:val="es-DO" w:eastAsia="es-DO"/>
              </w:rPr>
            </w:pPr>
            <w:r w:rsidRPr="00825291">
              <w:rPr>
                <w:rFonts w:eastAsia="Times New Roman"/>
                <w:color w:val="000000"/>
                <w:sz w:val="22"/>
                <w:szCs w:val="22"/>
                <w:lang w:val="es-DO" w:eastAsia="es-DO"/>
              </w:rPr>
              <w:t>73</w:t>
            </w:r>
          </w:p>
        </w:tc>
      </w:tr>
      <w:tr w:rsidR="00825291" w:rsidRPr="00825291" w:rsidTr="00825291">
        <w:trPr>
          <w:trHeight w:val="300"/>
        </w:trPr>
        <w:tc>
          <w:tcPr>
            <w:tcW w:w="611"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center"/>
              <w:outlineLvl w:val="9"/>
              <w:rPr>
                <w:rFonts w:eastAsia="Times New Roman"/>
                <w:color w:val="000000"/>
                <w:sz w:val="22"/>
                <w:szCs w:val="22"/>
                <w:lang w:val="es-DO" w:eastAsia="es-DO"/>
              </w:rPr>
            </w:pPr>
          </w:p>
        </w:tc>
        <w:tc>
          <w:tcPr>
            <w:tcW w:w="743"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305"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489"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right"/>
              <w:outlineLvl w:val="9"/>
              <w:rPr>
                <w:rFonts w:eastAsia="Times New Roman"/>
                <w:color w:val="000000"/>
                <w:sz w:val="22"/>
                <w:szCs w:val="22"/>
                <w:lang w:val="es-DO" w:eastAsia="es-DO"/>
              </w:rPr>
            </w:pPr>
            <w:r w:rsidRPr="00825291">
              <w:rPr>
                <w:rFonts w:eastAsia="Times New Roman"/>
                <w:color w:val="000000"/>
                <w:sz w:val="22"/>
                <w:szCs w:val="22"/>
                <w:lang w:val="es-DO" w:eastAsia="es-DO"/>
              </w:rPr>
              <w:t>i.</w:t>
            </w:r>
          </w:p>
        </w:tc>
        <w:tc>
          <w:tcPr>
            <w:tcW w:w="4874" w:type="dxa"/>
            <w:gridSpan w:val="3"/>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000000"/>
                <w:sz w:val="22"/>
                <w:szCs w:val="22"/>
                <w:lang w:val="es-DO" w:eastAsia="es-DO"/>
              </w:rPr>
            </w:pPr>
            <w:r w:rsidRPr="00825291">
              <w:rPr>
                <w:rFonts w:eastAsia="Times New Roman"/>
                <w:color w:val="000000"/>
                <w:sz w:val="22"/>
                <w:szCs w:val="22"/>
                <w:lang w:val="es-DO" w:eastAsia="es-DO"/>
              </w:rPr>
              <w:t>Sistema de Atención Ciudadana 3-1-1</w:t>
            </w:r>
          </w:p>
        </w:tc>
        <w:tc>
          <w:tcPr>
            <w:tcW w:w="1216"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000000"/>
                <w:sz w:val="22"/>
                <w:szCs w:val="22"/>
                <w:lang w:val="es-DO" w:eastAsia="es-DO"/>
              </w:rPr>
            </w:pPr>
          </w:p>
        </w:tc>
        <w:tc>
          <w:tcPr>
            <w:tcW w:w="164"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160"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652"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center"/>
              <w:outlineLvl w:val="9"/>
              <w:rPr>
                <w:rFonts w:eastAsia="Times New Roman"/>
                <w:color w:val="000000"/>
                <w:sz w:val="22"/>
                <w:szCs w:val="22"/>
                <w:lang w:val="es-DO" w:eastAsia="es-DO"/>
              </w:rPr>
            </w:pPr>
            <w:r w:rsidRPr="00825291">
              <w:rPr>
                <w:rFonts w:eastAsia="Times New Roman"/>
                <w:color w:val="000000"/>
                <w:sz w:val="22"/>
                <w:szCs w:val="22"/>
                <w:lang w:val="es-DO" w:eastAsia="es-DO"/>
              </w:rPr>
              <w:t>73</w:t>
            </w:r>
          </w:p>
        </w:tc>
      </w:tr>
      <w:tr w:rsidR="00825291" w:rsidRPr="00825291" w:rsidTr="00825291">
        <w:trPr>
          <w:trHeight w:val="559"/>
        </w:trPr>
        <w:tc>
          <w:tcPr>
            <w:tcW w:w="611"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center"/>
              <w:outlineLvl w:val="9"/>
              <w:rPr>
                <w:rFonts w:eastAsia="Times New Roman"/>
                <w:color w:val="000000"/>
                <w:sz w:val="22"/>
                <w:szCs w:val="22"/>
                <w:lang w:val="es-DO" w:eastAsia="es-DO"/>
              </w:rPr>
            </w:pPr>
          </w:p>
        </w:tc>
        <w:tc>
          <w:tcPr>
            <w:tcW w:w="743"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305"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489"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right"/>
              <w:outlineLvl w:val="9"/>
              <w:rPr>
                <w:rFonts w:eastAsia="Times New Roman"/>
                <w:color w:val="000000"/>
                <w:sz w:val="22"/>
                <w:szCs w:val="22"/>
                <w:lang w:val="es-DO" w:eastAsia="es-DO"/>
              </w:rPr>
            </w:pPr>
            <w:r w:rsidRPr="00825291">
              <w:rPr>
                <w:rFonts w:eastAsia="Times New Roman"/>
                <w:color w:val="000000"/>
                <w:sz w:val="22"/>
                <w:szCs w:val="22"/>
                <w:lang w:val="es-DO" w:eastAsia="es-DO"/>
              </w:rPr>
              <w:t>ii.</w:t>
            </w:r>
          </w:p>
        </w:tc>
        <w:tc>
          <w:tcPr>
            <w:tcW w:w="6254" w:type="dxa"/>
            <w:gridSpan w:val="5"/>
            <w:tcBorders>
              <w:top w:val="nil"/>
              <w:left w:val="nil"/>
              <w:bottom w:val="nil"/>
              <w:right w:val="nil"/>
            </w:tcBorders>
            <w:shd w:val="clear" w:color="auto" w:fill="auto"/>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000000"/>
                <w:sz w:val="22"/>
                <w:szCs w:val="22"/>
                <w:lang w:val="es-DO" w:eastAsia="es-DO"/>
              </w:rPr>
            </w:pPr>
            <w:r w:rsidRPr="00825291">
              <w:rPr>
                <w:rFonts w:eastAsia="Times New Roman"/>
                <w:color w:val="000000"/>
                <w:sz w:val="22"/>
                <w:szCs w:val="22"/>
                <w:lang w:val="es-DO" w:eastAsia="es-DO"/>
              </w:rPr>
              <w:t>Entrada de servicios en línea, simplificación de trámites, mejora de servicios públicos.</w:t>
            </w:r>
          </w:p>
        </w:tc>
        <w:tc>
          <w:tcPr>
            <w:tcW w:w="160" w:type="dxa"/>
            <w:tcBorders>
              <w:top w:val="nil"/>
              <w:left w:val="nil"/>
              <w:bottom w:val="nil"/>
              <w:right w:val="nil"/>
            </w:tcBorders>
            <w:shd w:val="clear" w:color="auto" w:fill="auto"/>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000000"/>
                <w:sz w:val="22"/>
                <w:szCs w:val="22"/>
                <w:lang w:val="es-DO" w:eastAsia="es-DO"/>
              </w:rPr>
            </w:pPr>
          </w:p>
        </w:tc>
        <w:tc>
          <w:tcPr>
            <w:tcW w:w="652"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center"/>
              <w:outlineLvl w:val="9"/>
              <w:rPr>
                <w:rFonts w:eastAsia="Times New Roman"/>
                <w:color w:val="000000"/>
                <w:sz w:val="22"/>
                <w:szCs w:val="22"/>
                <w:lang w:val="es-DO" w:eastAsia="es-DO"/>
              </w:rPr>
            </w:pPr>
            <w:r w:rsidRPr="00825291">
              <w:rPr>
                <w:rFonts w:eastAsia="Times New Roman"/>
                <w:color w:val="000000"/>
                <w:sz w:val="22"/>
                <w:szCs w:val="22"/>
                <w:lang w:val="es-DO" w:eastAsia="es-DO"/>
              </w:rPr>
              <w:t>73</w:t>
            </w:r>
          </w:p>
        </w:tc>
      </w:tr>
      <w:tr w:rsidR="00825291" w:rsidRPr="00825291" w:rsidTr="00825291">
        <w:trPr>
          <w:trHeight w:val="300"/>
        </w:trPr>
        <w:tc>
          <w:tcPr>
            <w:tcW w:w="611"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center"/>
              <w:outlineLvl w:val="9"/>
              <w:rPr>
                <w:rFonts w:eastAsia="Times New Roman"/>
                <w:color w:val="000000"/>
                <w:sz w:val="22"/>
                <w:szCs w:val="22"/>
                <w:lang w:val="es-DO" w:eastAsia="es-DO"/>
              </w:rPr>
            </w:pPr>
          </w:p>
        </w:tc>
        <w:tc>
          <w:tcPr>
            <w:tcW w:w="743"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center"/>
              <w:outlineLvl w:val="9"/>
              <w:rPr>
                <w:rFonts w:eastAsia="Times New Roman"/>
                <w:b/>
                <w:bCs/>
                <w:color w:val="000000"/>
                <w:sz w:val="22"/>
                <w:szCs w:val="22"/>
                <w:lang w:val="es-DO" w:eastAsia="es-DO"/>
              </w:rPr>
            </w:pPr>
            <w:r w:rsidRPr="00825291">
              <w:rPr>
                <w:rFonts w:eastAsia="Times New Roman"/>
                <w:b/>
                <w:bCs/>
                <w:color w:val="000000"/>
                <w:sz w:val="22"/>
                <w:szCs w:val="22"/>
                <w:lang w:val="es-DO" w:eastAsia="es-DO"/>
              </w:rPr>
              <w:t>3)</w:t>
            </w:r>
          </w:p>
        </w:tc>
        <w:tc>
          <w:tcPr>
            <w:tcW w:w="4445" w:type="dxa"/>
            <w:gridSpan w:val="4"/>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b/>
                <w:bCs/>
                <w:color w:val="000000"/>
                <w:sz w:val="22"/>
                <w:szCs w:val="22"/>
                <w:lang w:val="es-DO" w:eastAsia="es-DO"/>
              </w:rPr>
            </w:pPr>
            <w:r w:rsidRPr="00825291">
              <w:rPr>
                <w:rFonts w:eastAsia="Times New Roman"/>
                <w:b/>
                <w:bCs/>
                <w:color w:val="000000"/>
                <w:sz w:val="22"/>
                <w:szCs w:val="22"/>
                <w:lang w:val="es-DO" w:eastAsia="es-DO"/>
              </w:rPr>
              <w:t>Otras Acciones Desarrolladas</w:t>
            </w:r>
          </w:p>
        </w:tc>
        <w:tc>
          <w:tcPr>
            <w:tcW w:w="1223"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b/>
                <w:bCs/>
                <w:color w:val="000000"/>
                <w:sz w:val="22"/>
                <w:szCs w:val="22"/>
                <w:lang w:val="es-DO" w:eastAsia="es-DO"/>
              </w:rPr>
            </w:pPr>
          </w:p>
        </w:tc>
        <w:tc>
          <w:tcPr>
            <w:tcW w:w="1216"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164"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160"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652"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center"/>
              <w:outlineLvl w:val="9"/>
              <w:rPr>
                <w:rFonts w:eastAsia="Times New Roman"/>
                <w:color w:val="000000"/>
                <w:sz w:val="22"/>
                <w:szCs w:val="22"/>
                <w:lang w:val="es-DO" w:eastAsia="es-DO"/>
              </w:rPr>
            </w:pPr>
            <w:r w:rsidRPr="00825291">
              <w:rPr>
                <w:rFonts w:eastAsia="Times New Roman"/>
                <w:color w:val="000000"/>
                <w:sz w:val="22"/>
                <w:szCs w:val="22"/>
                <w:lang w:val="es-DO" w:eastAsia="es-DO"/>
              </w:rPr>
              <w:t>82</w:t>
            </w:r>
          </w:p>
        </w:tc>
      </w:tr>
      <w:tr w:rsidR="00825291" w:rsidRPr="00825291" w:rsidTr="00825291">
        <w:trPr>
          <w:trHeight w:val="960"/>
        </w:trPr>
        <w:tc>
          <w:tcPr>
            <w:tcW w:w="611"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center"/>
              <w:outlineLvl w:val="9"/>
              <w:rPr>
                <w:rFonts w:eastAsia="Times New Roman"/>
                <w:color w:val="000000"/>
                <w:sz w:val="22"/>
                <w:szCs w:val="22"/>
                <w:lang w:val="es-DO" w:eastAsia="es-DO"/>
              </w:rPr>
            </w:pPr>
          </w:p>
        </w:tc>
        <w:tc>
          <w:tcPr>
            <w:tcW w:w="743"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305"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center"/>
              <w:outlineLvl w:val="9"/>
              <w:rPr>
                <w:rFonts w:eastAsia="Times New Roman"/>
                <w:color w:val="auto"/>
                <w:sz w:val="20"/>
                <w:szCs w:val="20"/>
                <w:lang w:val="es-DO" w:eastAsia="es-DO"/>
              </w:rPr>
            </w:pPr>
          </w:p>
        </w:tc>
        <w:tc>
          <w:tcPr>
            <w:tcW w:w="489"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right"/>
              <w:outlineLvl w:val="9"/>
              <w:rPr>
                <w:rFonts w:eastAsia="Times New Roman"/>
                <w:color w:val="000000"/>
                <w:sz w:val="22"/>
                <w:szCs w:val="22"/>
                <w:lang w:val="es-DO" w:eastAsia="es-DO"/>
              </w:rPr>
            </w:pPr>
            <w:r w:rsidRPr="00825291">
              <w:rPr>
                <w:rFonts w:eastAsia="Times New Roman"/>
                <w:color w:val="000000"/>
                <w:sz w:val="22"/>
                <w:szCs w:val="22"/>
                <w:lang w:val="es-DO" w:eastAsia="es-DO"/>
              </w:rPr>
              <w:t>i.</w:t>
            </w:r>
          </w:p>
        </w:tc>
        <w:tc>
          <w:tcPr>
            <w:tcW w:w="6254" w:type="dxa"/>
            <w:gridSpan w:val="5"/>
            <w:tcBorders>
              <w:top w:val="nil"/>
              <w:left w:val="nil"/>
              <w:bottom w:val="nil"/>
              <w:right w:val="nil"/>
            </w:tcBorders>
            <w:shd w:val="clear" w:color="auto" w:fill="auto"/>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000000"/>
                <w:sz w:val="22"/>
                <w:szCs w:val="22"/>
                <w:lang w:val="es-DO" w:eastAsia="es-DO"/>
              </w:rPr>
            </w:pPr>
            <w:r w:rsidRPr="00825291">
              <w:rPr>
                <w:rFonts w:eastAsia="Times New Roman"/>
                <w:color w:val="000000"/>
                <w:sz w:val="22"/>
                <w:szCs w:val="22"/>
                <w:lang w:val="es-DO" w:eastAsia="es-DO"/>
              </w:rPr>
              <w:t>EJE ESTRATÉGICO I - REGULACIÓN Y SUPERVISIÓN: Marco legal para un Sistema Nacional de Compras Públicas (SNCCP) confiable y transparente.</w:t>
            </w:r>
          </w:p>
        </w:tc>
        <w:tc>
          <w:tcPr>
            <w:tcW w:w="160"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000000"/>
                <w:sz w:val="22"/>
                <w:szCs w:val="22"/>
                <w:lang w:val="es-DO" w:eastAsia="es-DO"/>
              </w:rPr>
            </w:pPr>
          </w:p>
        </w:tc>
        <w:tc>
          <w:tcPr>
            <w:tcW w:w="652"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center"/>
              <w:outlineLvl w:val="9"/>
              <w:rPr>
                <w:rFonts w:eastAsia="Times New Roman"/>
                <w:color w:val="000000"/>
                <w:sz w:val="22"/>
                <w:szCs w:val="22"/>
                <w:lang w:val="es-DO" w:eastAsia="es-DO"/>
              </w:rPr>
            </w:pPr>
            <w:r w:rsidRPr="00825291">
              <w:rPr>
                <w:rFonts w:eastAsia="Times New Roman"/>
                <w:color w:val="000000"/>
                <w:sz w:val="22"/>
                <w:szCs w:val="22"/>
                <w:lang w:val="es-DO" w:eastAsia="es-DO"/>
              </w:rPr>
              <w:t>82</w:t>
            </w:r>
          </w:p>
        </w:tc>
      </w:tr>
      <w:tr w:rsidR="00825291" w:rsidRPr="00825291" w:rsidTr="00825291">
        <w:trPr>
          <w:trHeight w:val="615"/>
        </w:trPr>
        <w:tc>
          <w:tcPr>
            <w:tcW w:w="611"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center"/>
              <w:outlineLvl w:val="9"/>
              <w:rPr>
                <w:rFonts w:eastAsia="Times New Roman"/>
                <w:color w:val="000000"/>
                <w:sz w:val="22"/>
                <w:szCs w:val="22"/>
                <w:lang w:val="es-DO" w:eastAsia="es-DO"/>
              </w:rPr>
            </w:pPr>
          </w:p>
        </w:tc>
        <w:tc>
          <w:tcPr>
            <w:tcW w:w="743"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305"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center"/>
              <w:outlineLvl w:val="9"/>
              <w:rPr>
                <w:rFonts w:eastAsia="Times New Roman"/>
                <w:color w:val="auto"/>
                <w:sz w:val="20"/>
                <w:szCs w:val="20"/>
                <w:lang w:val="es-DO" w:eastAsia="es-DO"/>
              </w:rPr>
            </w:pPr>
          </w:p>
        </w:tc>
        <w:tc>
          <w:tcPr>
            <w:tcW w:w="489"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right"/>
              <w:outlineLvl w:val="9"/>
              <w:rPr>
                <w:rFonts w:eastAsia="Times New Roman"/>
                <w:color w:val="000000"/>
                <w:sz w:val="22"/>
                <w:szCs w:val="22"/>
                <w:lang w:val="es-DO" w:eastAsia="es-DO"/>
              </w:rPr>
            </w:pPr>
            <w:r w:rsidRPr="00825291">
              <w:rPr>
                <w:rFonts w:eastAsia="Times New Roman"/>
                <w:color w:val="000000"/>
                <w:sz w:val="22"/>
                <w:szCs w:val="22"/>
                <w:lang w:val="es-DO" w:eastAsia="es-DO"/>
              </w:rPr>
              <w:t>ii.</w:t>
            </w:r>
          </w:p>
        </w:tc>
        <w:tc>
          <w:tcPr>
            <w:tcW w:w="6254" w:type="dxa"/>
            <w:gridSpan w:val="5"/>
            <w:tcBorders>
              <w:top w:val="nil"/>
              <w:left w:val="nil"/>
              <w:bottom w:val="nil"/>
              <w:right w:val="nil"/>
            </w:tcBorders>
            <w:shd w:val="clear" w:color="auto" w:fill="auto"/>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000000"/>
                <w:sz w:val="22"/>
                <w:szCs w:val="22"/>
                <w:lang w:val="es-DO" w:eastAsia="es-DO"/>
              </w:rPr>
            </w:pPr>
            <w:r w:rsidRPr="00825291">
              <w:rPr>
                <w:rFonts w:eastAsia="Times New Roman"/>
                <w:iCs/>
                <w:color w:val="000000"/>
                <w:sz w:val="22"/>
                <w:szCs w:val="22"/>
                <w:lang w:eastAsia="es-DO"/>
              </w:rPr>
              <w:t>EJE ESTRATÉGICO II – FOMENTO Y DESARROLLO DEL MERCADO DE COMPRAS PÚBLICAS</w:t>
            </w:r>
          </w:p>
        </w:tc>
        <w:tc>
          <w:tcPr>
            <w:tcW w:w="160"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000000"/>
                <w:sz w:val="22"/>
                <w:szCs w:val="22"/>
                <w:lang w:val="es-DO" w:eastAsia="es-DO"/>
              </w:rPr>
            </w:pPr>
          </w:p>
        </w:tc>
        <w:tc>
          <w:tcPr>
            <w:tcW w:w="652"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center"/>
              <w:outlineLvl w:val="9"/>
              <w:rPr>
                <w:rFonts w:eastAsia="Times New Roman"/>
                <w:color w:val="000000"/>
                <w:sz w:val="22"/>
                <w:szCs w:val="22"/>
                <w:lang w:val="es-DO" w:eastAsia="es-DO"/>
              </w:rPr>
            </w:pPr>
            <w:r w:rsidRPr="00825291">
              <w:rPr>
                <w:rFonts w:eastAsia="Times New Roman"/>
                <w:color w:val="000000"/>
                <w:sz w:val="22"/>
                <w:szCs w:val="22"/>
                <w:lang w:val="es-DO" w:eastAsia="es-DO"/>
              </w:rPr>
              <w:t>95</w:t>
            </w:r>
          </w:p>
        </w:tc>
      </w:tr>
      <w:tr w:rsidR="00825291" w:rsidRPr="00825291" w:rsidTr="00825291">
        <w:trPr>
          <w:trHeight w:val="900"/>
        </w:trPr>
        <w:tc>
          <w:tcPr>
            <w:tcW w:w="611"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center"/>
              <w:outlineLvl w:val="9"/>
              <w:rPr>
                <w:rFonts w:eastAsia="Times New Roman"/>
                <w:color w:val="000000"/>
                <w:sz w:val="22"/>
                <w:szCs w:val="22"/>
                <w:lang w:val="es-DO" w:eastAsia="es-DO"/>
              </w:rPr>
            </w:pPr>
          </w:p>
        </w:tc>
        <w:tc>
          <w:tcPr>
            <w:tcW w:w="743"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305"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center"/>
              <w:outlineLvl w:val="9"/>
              <w:rPr>
                <w:rFonts w:eastAsia="Times New Roman"/>
                <w:color w:val="auto"/>
                <w:sz w:val="20"/>
                <w:szCs w:val="20"/>
                <w:lang w:val="es-DO" w:eastAsia="es-DO"/>
              </w:rPr>
            </w:pPr>
          </w:p>
        </w:tc>
        <w:tc>
          <w:tcPr>
            <w:tcW w:w="489"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right"/>
              <w:outlineLvl w:val="9"/>
              <w:rPr>
                <w:rFonts w:eastAsia="Times New Roman"/>
                <w:color w:val="000000"/>
                <w:sz w:val="22"/>
                <w:szCs w:val="22"/>
                <w:lang w:val="es-DO" w:eastAsia="es-DO"/>
              </w:rPr>
            </w:pPr>
            <w:r w:rsidRPr="00825291">
              <w:rPr>
                <w:rFonts w:eastAsia="Times New Roman"/>
                <w:color w:val="000000"/>
                <w:sz w:val="22"/>
                <w:szCs w:val="22"/>
                <w:lang w:val="es-DO" w:eastAsia="es-DO"/>
              </w:rPr>
              <w:t>iii.</w:t>
            </w:r>
          </w:p>
        </w:tc>
        <w:tc>
          <w:tcPr>
            <w:tcW w:w="6254" w:type="dxa"/>
            <w:gridSpan w:val="5"/>
            <w:tcBorders>
              <w:top w:val="nil"/>
              <w:left w:val="nil"/>
              <w:bottom w:val="nil"/>
              <w:right w:val="nil"/>
            </w:tcBorders>
            <w:shd w:val="clear" w:color="auto" w:fill="auto"/>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000000"/>
                <w:sz w:val="22"/>
                <w:szCs w:val="22"/>
                <w:lang w:val="es-DO" w:eastAsia="es-DO"/>
              </w:rPr>
            </w:pPr>
            <w:r w:rsidRPr="00825291">
              <w:rPr>
                <w:rFonts w:eastAsia="Times New Roman"/>
                <w:color w:val="000000"/>
                <w:sz w:val="22"/>
                <w:szCs w:val="22"/>
                <w:lang w:val="es-DO" w:eastAsia="es-DO"/>
              </w:rPr>
              <w:t>EJE ESTRATÉGICO III - FORTALECIMIENTO INSTITUCIONAL: órgano rector con las capacidades para la gestión del SNCCP.</w:t>
            </w:r>
          </w:p>
        </w:tc>
        <w:tc>
          <w:tcPr>
            <w:tcW w:w="160"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000000"/>
                <w:sz w:val="22"/>
                <w:szCs w:val="22"/>
                <w:lang w:val="es-DO" w:eastAsia="es-DO"/>
              </w:rPr>
            </w:pPr>
          </w:p>
        </w:tc>
        <w:tc>
          <w:tcPr>
            <w:tcW w:w="652"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center"/>
              <w:outlineLvl w:val="9"/>
              <w:rPr>
                <w:rFonts w:eastAsia="Times New Roman"/>
                <w:color w:val="000000"/>
                <w:sz w:val="22"/>
                <w:szCs w:val="22"/>
                <w:lang w:val="es-DO" w:eastAsia="es-DO"/>
              </w:rPr>
            </w:pPr>
            <w:r w:rsidRPr="00825291">
              <w:rPr>
                <w:rFonts w:eastAsia="Times New Roman"/>
                <w:color w:val="000000"/>
                <w:sz w:val="22"/>
                <w:szCs w:val="22"/>
                <w:lang w:val="es-DO" w:eastAsia="es-DO"/>
              </w:rPr>
              <w:t>115</w:t>
            </w:r>
          </w:p>
        </w:tc>
      </w:tr>
      <w:tr w:rsidR="00825291" w:rsidRPr="00825291" w:rsidTr="00825291">
        <w:trPr>
          <w:trHeight w:val="300"/>
        </w:trPr>
        <w:tc>
          <w:tcPr>
            <w:tcW w:w="611"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b/>
                <w:bCs/>
                <w:color w:val="000000"/>
                <w:sz w:val="22"/>
                <w:szCs w:val="22"/>
                <w:lang w:val="es-DO" w:eastAsia="es-DO"/>
              </w:rPr>
            </w:pPr>
            <w:r w:rsidRPr="00825291">
              <w:rPr>
                <w:rFonts w:eastAsia="Times New Roman"/>
                <w:b/>
                <w:bCs/>
                <w:color w:val="000000"/>
                <w:sz w:val="22"/>
                <w:szCs w:val="22"/>
                <w:lang w:val="es-DO" w:eastAsia="es-DO"/>
              </w:rPr>
              <w:t>V.</w:t>
            </w:r>
          </w:p>
        </w:tc>
        <w:tc>
          <w:tcPr>
            <w:tcW w:w="3101" w:type="dxa"/>
            <w:gridSpan w:val="4"/>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b/>
                <w:bCs/>
                <w:color w:val="000000"/>
                <w:sz w:val="22"/>
                <w:szCs w:val="22"/>
                <w:lang w:val="es-DO" w:eastAsia="es-DO"/>
              </w:rPr>
            </w:pPr>
            <w:r w:rsidRPr="00825291">
              <w:rPr>
                <w:rFonts w:eastAsia="Times New Roman"/>
                <w:b/>
                <w:bCs/>
                <w:color w:val="000000"/>
                <w:sz w:val="22"/>
                <w:szCs w:val="22"/>
                <w:lang w:val="es-DO" w:eastAsia="es-DO"/>
              </w:rPr>
              <w:t xml:space="preserve">Gestión Interna </w:t>
            </w:r>
          </w:p>
        </w:tc>
        <w:tc>
          <w:tcPr>
            <w:tcW w:w="2087"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b/>
                <w:bCs/>
                <w:color w:val="000000"/>
                <w:sz w:val="22"/>
                <w:szCs w:val="22"/>
                <w:lang w:val="es-DO" w:eastAsia="es-DO"/>
              </w:rPr>
            </w:pPr>
          </w:p>
        </w:tc>
        <w:tc>
          <w:tcPr>
            <w:tcW w:w="1223"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1216"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164"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160"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652"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center"/>
              <w:outlineLvl w:val="9"/>
              <w:rPr>
                <w:rFonts w:eastAsia="Times New Roman"/>
                <w:color w:val="000000"/>
                <w:sz w:val="22"/>
                <w:szCs w:val="22"/>
                <w:lang w:val="es-DO" w:eastAsia="es-DO"/>
              </w:rPr>
            </w:pPr>
            <w:r w:rsidRPr="00825291">
              <w:rPr>
                <w:rFonts w:eastAsia="Times New Roman"/>
                <w:color w:val="000000"/>
                <w:sz w:val="22"/>
                <w:szCs w:val="22"/>
                <w:lang w:val="es-DO" w:eastAsia="es-DO"/>
              </w:rPr>
              <w:t>130</w:t>
            </w:r>
          </w:p>
        </w:tc>
      </w:tr>
      <w:tr w:rsidR="00825291" w:rsidRPr="00825291" w:rsidTr="00825291">
        <w:trPr>
          <w:trHeight w:val="300"/>
        </w:trPr>
        <w:tc>
          <w:tcPr>
            <w:tcW w:w="611"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center"/>
              <w:outlineLvl w:val="9"/>
              <w:rPr>
                <w:rFonts w:eastAsia="Times New Roman"/>
                <w:color w:val="000000"/>
                <w:sz w:val="22"/>
                <w:szCs w:val="22"/>
                <w:lang w:val="es-DO" w:eastAsia="es-DO"/>
              </w:rPr>
            </w:pPr>
          </w:p>
        </w:tc>
        <w:tc>
          <w:tcPr>
            <w:tcW w:w="743"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center"/>
              <w:outlineLvl w:val="9"/>
              <w:rPr>
                <w:rFonts w:eastAsia="Times New Roman"/>
                <w:b/>
                <w:bCs/>
                <w:color w:val="000000"/>
                <w:sz w:val="22"/>
                <w:szCs w:val="22"/>
                <w:lang w:val="es-DO" w:eastAsia="es-DO"/>
              </w:rPr>
            </w:pPr>
            <w:r w:rsidRPr="00825291">
              <w:rPr>
                <w:rFonts w:eastAsia="Times New Roman"/>
                <w:b/>
                <w:bCs/>
                <w:color w:val="000000"/>
                <w:sz w:val="22"/>
                <w:szCs w:val="22"/>
                <w:lang w:val="es-DO" w:eastAsia="es-DO"/>
              </w:rPr>
              <w:t>a)</w:t>
            </w:r>
          </w:p>
        </w:tc>
        <w:tc>
          <w:tcPr>
            <w:tcW w:w="4445" w:type="dxa"/>
            <w:gridSpan w:val="4"/>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b/>
                <w:bCs/>
                <w:color w:val="000000"/>
                <w:sz w:val="22"/>
                <w:szCs w:val="22"/>
                <w:lang w:val="es-DO" w:eastAsia="es-DO"/>
              </w:rPr>
            </w:pPr>
            <w:r w:rsidRPr="00825291">
              <w:rPr>
                <w:rFonts w:eastAsia="Times New Roman"/>
                <w:b/>
                <w:bCs/>
                <w:color w:val="000000"/>
                <w:sz w:val="22"/>
                <w:szCs w:val="22"/>
                <w:lang w:val="es-DO" w:eastAsia="es-DO"/>
              </w:rPr>
              <w:t xml:space="preserve">Desempeño Financiero </w:t>
            </w:r>
          </w:p>
        </w:tc>
        <w:tc>
          <w:tcPr>
            <w:tcW w:w="1223"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b/>
                <w:bCs/>
                <w:color w:val="000000"/>
                <w:sz w:val="22"/>
                <w:szCs w:val="22"/>
                <w:lang w:val="es-DO" w:eastAsia="es-DO"/>
              </w:rPr>
            </w:pPr>
          </w:p>
        </w:tc>
        <w:tc>
          <w:tcPr>
            <w:tcW w:w="1216"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164"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160"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652"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center"/>
              <w:outlineLvl w:val="9"/>
              <w:rPr>
                <w:rFonts w:eastAsia="Times New Roman"/>
                <w:color w:val="000000"/>
                <w:sz w:val="22"/>
                <w:szCs w:val="22"/>
                <w:lang w:val="es-DO" w:eastAsia="es-DO"/>
              </w:rPr>
            </w:pPr>
            <w:r w:rsidRPr="00825291">
              <w:rPr>
                <w:rFonts w:eastAsia="Times New Roman"/>
                <w:color w:val="000000"/>
                <w:sz w:val="22"/>
                <w:szCs w:val="22"/>
                <w:lang w:val="es-DO" w:eastAsia="es-DO"/>
              </w:rPr>
              <w:t>130</w:t>
            </w:r>
          </w:p>
        </w:tc>
      </w:tr>
      <w:tr w:rsidR="00825291" w:rsidRPr="00825291" w:rsidTr="00825291">
        <w:trPr>
          <w:trHeight w:val="300"/>
        </w:trPr>
        <w:tc>
          <w:tcPr>
            <w:tcW w:w="611"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center"/>
              <w:outlineLvl w:val="9"/>
              <w:rPr>
                <w:rFonts w:eastAsia="Times New Roman"/>
                <w:color w:val="000000"/>
                <w:sz w:val="22"/>
                <w:szCs w:val="22"/>
                <w:lang w:val="es-DO" w:eastAsia="es-DO"/>
              </w:rPr>
            </w:pPr>
          </w:p>
        </w:tc>
        <w:tc>
          <w:tcPr>
            <w:tcW w:w="743"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center"/>
              <w:outlineLvl w:val="9"/>
              <w:rPr>
                <w:rFonts w:eastAsia="Times New Roman"/>
                <w:b/>
                <w:bCs/>
                <w:color w:val="000000"/>
                <w:sz w:val="22"/>
                <w:szCs w:val="22"/>
                <w:lang w:val="es-DO" w:eastAsia="es-DO"/>
              </w:rPr>
            </w:pPr>
            <w:r w:rsidRPr="00825291">
              <w:rPr>
                <w:rFonts w:eastAsia="Times New Roman"/>
                <w:b/>
                <w:bCs/>
                <w:color w:val="000000"/>
                <w:sz w:val="22"/>
                <w:szCs w:val="22"/>
                <w:lang w:val="es-DO" w:eastAsia="es-DO"/>
              </w:rPr>
              <w:t>b)</w:t>
            </w:r>
          </w:p>
        </w:tc>
        <w:tc>
          <w:tcPr>
            <w:tcW w:w="4445" w:type="dxa"/>
            <w:gridSpan w:val="4"/>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b/>
                <w:bCs/>
                <w:color w:val="000000"/>
                <w:sz w:val="22"/>
                <w:szCs w:val="22"/>
                <w:lang w:val="es-DO" w:eastAsia="es-DO"/>
              </w:rPr>
            </w:pPr>
            <w:r w:rsidRPr="00825291">
              <w:rPr>
                <w:rFonts w:eastAsia="Times New Roman"/>
                <w:b/>
                <w:bCs/>
                <w:color w:val="000000"/>
                <w:sz w:val="22"/>
                <w:szCs w:val="22"/>
                <w:lang w:val="es-DO" w:eastAsia="es-DO"/>
              </w:rPr>
              <w:t>Contrataciones y Adquisiciones</w:t>
            </w:r>
          </w:p>
        </w:tc>
        <w:tc>
          <w:tcPr>
            <w:tcW w:w="1223"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b/>
                <w:bCs/>
                <w:color w:val="000000"/>
                <w:sz w:val="22"/>
                <w:szCs w:val="22"/>
                <w:lang w:val="es-DO" w:eastAsia="es-DO"/>
              </w:rPr>
            </w:pPr>
          </w:p>
        </w:tc>
        <w:tc>
          <w:tcPr>
            <w:tcW w:w="1216"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164"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160"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652"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center"/>
              <w:outlineLvl w:val="9"/>
              <w:rPr>
                <w:rFonts w:eastAsia="Times New Roman"/>
                <w:color w:val="000000"/>
                <w:sz w:val="22"/>
                <w:szCs w:val="22"/>
                <w:lang w:val="es-DO" w:eastAsia="es-DO"/>
              </w:rPr>
            </w:pPr>
            <w:r w:rsidRPr="00825291">
              <w:rPr>
                <w:rFonts w:eastAsia="Times New Roman"/>
                <w:color w:val="000000"/>
                <w:sz w:val="22"/>
                <w:szCs w:val="22"/>
                <w:lang w:val="es-DO" w:eastAsia="es-DO"/>
              </w:rPr>
              <w:t>133</w:t>
            </w:r>
          </w:p>
        </w:tc>
      </w:tr>
      <w:tr w:rsidR="00825291" w:rsidRPr="00825291" w:rsidTr="00825291">
        <w:trPr>
          <w:trHeight w:val="300"/>
        </w:trPr>
        <w:tc>
          <w:tcPr>
            <w:tcW w:w="611"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b/>
                <w:bCs/>
                <w:color w:val="000000"/>
                <w:sz w:val="22"/>
                <w:szCs w:val="22"/>
                <w:lang w:val="es-DO" w:eastAsia="es-DO"/>
              </w:rPr>
            </w:pPr>
            <w:r w:rsidRPr="00825291">
              <w:rPr>
                <w:rFonts w:eastAsia="Times New Roman"/>
                <w:b/>
                <w:bCs/>
                <w:color w:val="000000"/>
                <w:sz w:val="22"/>
                <w:szCs w:val="22"/>
                <w:lang w:val="es-DO" w:eastAsia="es-DO"/>
              </w:rPr>
              <w:t>VI.</w:t>
            </w:r>
          </w:p>
        </w:tc>
        <w:tc>
          <w:tcPr>
            <w:tcW w:w="3101" w:type="dxa"/>
            <w:gridSpan w:val="4"/>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b/>
                <w:bCs/>
                <w:color w:val="000000"/>
                <w:sz w:val="22"/>
                <w:szCs w:val="22"/>
                <w:lang w:val="es-DO" w:eastAsia="es-DO"/>
              </w:rPr>
            </w:pPr>
            <w:r w:rsidRPr="00825291">
              <w:rPr>
                <w:rFonts w:eastAsia="Times New Roman"/>
                <w:b/>
                <w:bCs/>
                <w:color w:val="000000"/>
                <w:sz w:val="22"/>
                <w:szCs w:val="22"/>
                <w:lang w:val="es-DO" w:eastAsia="es-DO"/>
              </w:rPr>
              <w:t>Reconocimientos</w:t>
            </w:r>
          </w:p>
        </w:tc>
        <w:tc>
          <w:tcPr>
            <w:tcW w:w="2087"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b/>
                <w:bCs/>
                <w:color w:val="000000"/>
                <w:sz w:val="22"/>
                <w:szCs w:val="22"/>
                <w:lang w:val="es-DO" w:eastAsia="es-DO"/>
              </w:rPr>
            </w:pPr>
          </w:p>
        </w:tc>
        <w:tc>
          <w:tcPr>
            <w:tcW w:w="1223"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1216"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164"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160"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652"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center"/>
              <w:outlineLvl w:val="9"/>
              <w:rPr>
                <w:rFonts w:eastAsia="Times New Roman"/>
                <w:color w:val="000000"/>
                <w:sz w:val="22"/>
                <w:szCs w:val="22"/>
                <w:lang w:val="es-DO" w:eastAsia="es-DO"/>
              </w:rPr>
            </w:pPr>
            <w:r w:rsidRPr="00825291">
              <w:rPr>
                <w:rFonts w:eastAsia="Times New Roman"/>
                <w:color w:val="000000"/>
                <w:sz w:val="22"/>
                <w:szCs w:val="22"/>
                <w:lang w:val="es-DO" w:eastAsia="es-DO"/>
              </w:rPr>
              <w:t>135</w:t>
            </w:r>
          </w:p>
        </w:tc>
      </w:tr>
      <w:tr w:rsidR="00825291" w:rsidRPr="00825291" w:rsidTr="00825291">
        <w:trPr>
          <w:trHeight w:val="300"/>
        </w:trPr>
        <w:tc>
          <w:tcPr>
            <w:tcW w:w="611"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b/>
                <w:bCs/>
                <w:color w:val="000000"/>
                <w:sz w:val="22"/>
                <w:szCs w:val="22"/>
                <w:lang w:val="es-DO" w:eastAsia="es-DO"/>
              </w:rPr>
            </w:pPr>
            <w:r w:rsidRPr="00825291">
              <w:rPr>
                <w:rFonts w:eastAsia="Times New Roman"/>
                <w:b/>
                <w:bCs/>
                <w:color w:val="000000"/>
                <w:sz w:val="22"/>
                <w:szCs w:val="22"/>
                <w:lang w:val="es-DO" w:eastAsia="es-DO"/>
              </w:rPr>
              <w:t>VII.</w:t>
            </w:r>
          </w:p>
        </w:tc>
        <w:tc>
          <w:tcPr>
            <w:tcW w:w="5188" w:type="dxa"/>
            <w:gridSpan w:val="5"/>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b/>
                <w:bCs/>
                <w:color w:val="000000"/>
                <w:sz w:val="22"/>
                <w:szCs w:val="22"/>
                <w:lang w:val="es-DO" w:eastAsia="es-DO"/>
              </w:rPr>
            </w:pPr>
            <w:r w:rsidRPr="00825291">
              <w:rPr>
                <w:rFonts w:eastAsia="Times New Roman"/>
                <w:b/>
                <w:bCs/>
                <w:color w:val="000000"/>
                <w:sz w:val="22"/>
                <w:szCs w:val="22"/>
                <w:lang w:val="es-DO" w:eastAsia="es-DO"/>
              </w:rPr>
              <w:t>Proyecciones al Próximo Año</w:t>
            </w:r>
          </w:p>
        </w:tc>
        <w:tc>
          <w:tcPr>
            <w:tcW w:w="1223"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b/>
                <w:bCs/>
                <w:color w:val="000000"/>
                <w:sz w:val="22"/>
                <w:szCs w:val="22"/>
                <w:lang w:val="es-DO" w:eastAsia="es-DO"/>
              </w:rPr>
            </w:pPr>
          </w:p>
        </w:tc>
        <w:tc>
          <w:tcPr>
            <w:tcW w:w="1216"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164"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160"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652"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center"/>
              <w:outlineLvl w:val="9"/>
              <w:rPr>
                <w:rFonts w:eastAsia="Times New Roman"/>
                <w:color w:val="000000"/>
                <w:sz w:val="22"/>
                <w:szCs w:val="22"/>
                <w:lang w:val="es-DO" w:eastAsia="es-DO"/>
              </w:rPr>
            </w:pPr>
            <w:r w:rsidRPr="00825291">
              <w:rPr>
                <w:rFonts w:eastAsia="Times New Roman"/>
                <w:color w:val="000000"/>
                <w:sz w:val="22"/>
                <w:szCs w:val="22"/>
                <w:lang w:val="es-DO" w:eastAsia="es-DO"/>
              </w:rPr>
              <w:t>138</w:t>
            </w:r>
          </w:p>
        </w:tc>
      </w:tr>
      <w:tr w:rsidR="00825291" w:rsidRPr="00825291" w:rsidTr="00825291">
        <w:trPr>
          <w:trHeight w:val="300"/>
        </w:trPr>
        <w:tc>
          <w:tcPr>
            <w:tcW w:w="611"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b/>
                <w:bCs/>
                <w:color w:val="000000"/>
                <w:sz w:val="22"/>
                <w:szCs w:val="22"/>
                <w:lang w:val="es-DO" w:eastAsia="es-DO"/>
              </w:rPr>
            </w:pPr>
            <w:r w:rsidRPr="00825291">
              <w:rPr>
                <w:rFonts w:eastAsia="Times New Roman"/>
                <w:b/>
                <w:bCs/>
                <w:color w:val="000000"/>
                <w:sz w:val="22"/>
                <w:szCs w:val="22"/>
                <w:lang w:val="es-DO" w:eastAsia="es-DO"/>
              </w:rPr>
              <w:t>VIII.</w:t>
            </w:r>
          </w:p>
        </w:tc>
        <w:tc>
          <w:tcPr>
            <w:tcW w:w="1048" w:type="dxa"/>
            <w:gridSpan w:val="2"/>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b/>
                <w:bCs/>
                <w:color w:val="000000"/>
                <w:sz w:val="22"/>
                <w:szCs w:val="22"/>
                <w:lang w:val="es-DO" w:eastAsia="es-DO"/>
              </w:rPr>
            </w:pPr>
            <w:r w:rsidRPr="00825291">
              <w:rPr>
                <w:rFonts w:eastAsia="Times New Roman"/>
                <w:b/>
                <w:bCs/>
                <w:color w:val="000000"/>
                <w:sz w:val="22"/>
                <w:szCs w:val="22"/>
                <w:lang w:val="es-DO" w:eastAsia="es-DO"/>
              </w:rPr>
              <w:t>Anexos</w:t>
            </w:r>
          </w:p>
        </w:tc>
        <w:tc>
          <w:tcPr>
            <w:tcW w:w="489"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b/>
                <w:bCs/>
                <w:color w:val="000000"/>
                <w:sz w:val="22"/>
                <w:szCs w:val="22"/>
                <w:lang w:val="es-DO" w:eastAsia="es-DO"/>
              </w:rPr>
            </w:pPr>
          </w:p>
        </w:tc>
        <w:tc>
          <w:tcPr>
            <w:tcW w:w="1564"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2087"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1223"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1216"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164"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160"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left"/>
              <w:outlineLvl w:val="9"/>
              <w:rPr>
                <w:rFonts w:eastAsia="Times New Roman"/>
                <w:color w:val="auto"/>
                <w:sz w:val="20"/>
                <w:szCs w:val="20"/>
                <w:lang w:val="es-DO" w:eastAsia="es-DO"/>
              </w:rPr>
            </w:pPr>
          </w:p>
        </w:tc>
        <w:tc>
          <w:tcPr>
            <w:tcW w:w="652" w:type="dxa"/>
            <w:tcBorders>
              <w:top w:val="nil"/>
              <w:left w:val="nil"/>
              <w:bottom w:val="nil"/>
              <w:right w:val="nil"/>
            </w:tcBorders>
            <w:shd w:val="clear" w:color="auto" w:fill="auto"/>
            <w:noWrap/>
            <w:vAlign w:val="center"/>
            <w:hideMark/>
          </w:tcPr>
          <w:p w:rsidR="00825291" w:rsidRPr="00825291" w:rsidRDefault="00825291" w:rsidP="00825291">
            <w:pPr>
              <w:keepNext w:val="0"/>
              <w:keepLines w:val="0"/>
              <w:spacing w:before="0" w:line="240" w:lineRule="auto"/>
              <w:ind w:firstLine="0"/>
              <w:jc w:val="center"/>
              <w:outlineLvl w:val="9"/>
              <w:rPr>
                <w:rFonts w:eastAsia="Times New Roman"/>
                <w:color w:val="000000"/>
                <w:sz w:val="22"/>
                <w:szCs w:val="22"/>
                <w:lang w:val="es-DO" w:eastAsia="es-DO"/>
              </w:rPr>
            </w:pPr>
            <w:r w:rsidRPr="00825291">
              <w:rPr>
                <w:rFonts w:eastAsia="Times New Roman"/>
                <w:color w:val="000000"/>
                <w:sz w:val="22"/>
                <w:szCs w:val="22"/>
                <w:lang w:val="es-DO" w:eastAsia="es-DO"/>
              </w:rPr>
              <w:t>140</w:t>
            </w:r>
          </w:p>
        </w:tc>
      </w:tr>
    </w:tbl>
    <w:p w:rsidR="00D22754" w:rsidRDefault="00D22754">
      <w:pPr>
        <w:keepNext w:val="0"/>
        <w:keepLines w:val="0"/>
        <w:spacing w:before="0" w:after="160" w:line="259" w:lineRule="auto"/>
        <w:ind w:firstLine="0"/>
        <w:jc w:val="left"/>
        <w:outlineLvl w:val="9"/>
      </w:pPr>
    </w:p>
    <w:p w:rsidR="00A803BF" w:rsidRDefault="00A803BF" w:rsidP="00D153F4">
      <w:pPr>
        <w:pStyle w:val="Ttulo1"/>
      </w:pPr>
      <w:bookmarkStart w:id="4" w:name="_Toc21590789"/>
      <w:bookmarkStart w:id="5" w:name="_Toc21593778"/>
      <w:bookmarkStart w:id="6" w:name="_Toc21594025"/>
      <w:r w:rsidRPr="00200F2E">
        <w:t>II. Resumen Ejecutivo</w:t>
      </w:r>
      <w:bookmarkEnd w:id="4"/>
      <w:bookmarkEnd w:id="5"/>
      <w:bookmarkEnd w:id="6"/>
    </w:p>
    <w:p w:rsidR="00D22754" w:rsidRDefault="00D22754" w:rsidP="00046316">
      <w:pPr>
        <w:ind w:firstLine="708"/>
      </w:pPr>
      <w:r>
        <w:t>La contratación pública, ha tenido importantes cambios a nivel nacional e internacional, exigiendo un enfoque cada vez más estratégico. Según señala el Observatorio de Contratación Pública de España, las contrataciones públicas han pasado “</w:t>
      </w:r>
      <w:r w:rsidRPr="00D22754">
        <w:rPr>
          <w:i/>
        </w:rPr>
        <w:t>de una visión burocrática, diseñada desde una prospectiva hacendística y con escasa prospectiva, se ha evolucionado hacia la idea de la contratación pública como herramienta jurídica al servicio de los poderes públicos para el cumplimiento efectivo de sus fines o sus políticas públicas. Por ello la contratación pública debe ser re contextualizada desde la perspectiva de la inversión y el gasto</w:t>
      </w:r>
      <w:r>
        <w:t>”. Y en esa visión estratégica el Sistema de Compras y Contrataciones de República Dominicana es una referencia internacional.</w:t>
      </w:r>
    </w:p>
    <w:p w:rsidR="00D22754" w:rsidRDefault="00D22754" w:rsidP="00046316">
      <w:pPr>
        <w:pStyle w:val="Textoindependiente"/>
      </w:pPr>
      <w:r>
        <w:t xml:space="preserve">En este </w:t>
      </w:r>
      <w:r w:rsidR="0085600B">
        <w:t>rumbo</w:t>
      </w:r>
      <w:r>
        <w:t xml:space="preserve"> ha venido el gobierno dominicano desde septiembre del año 2012 a la fecha, estableciendo que las compras y contrataciones públicas constituyen una  herramienta estratégica para el cumplimiento de los Objetivos de Desarrollo Sostenibles (ODS), los objetivos generales, específicos y líneas de acción de la Estrategia Nacional de Desarrollo (END) 2030 y el Plan Plurianual del Sector Público (PNPSP) debido a que el presupuesto destinado a este sector de la economía, es el único disponible, por estar los otros recursos comprometidos con el pago de la deuda, los intereses de la deuda y la nómina pública.</w:t>
      </w:r>
    </w:p>
    <w:p w:rsidR="00D22754" w:rsidRDefault="00D22754" w:rsidP="00046316">
      <w:pPr>
        <w:pStyle w:val="Textoindependiente"/>
      </w:pPr>
      <w:r>
        <w:lastRenderedPageBreak/>
        <w:t>Es por esa razón que la Dirección General de Contrataciones Públicas, ha trabajado en la definición de un Modelo de Compras Públicas Inclusivas y Sostenibles que utiliza las informaciones del sistema de compras, para promover la participación de las MIPYME y mujeres que integran el 98% del tejido empresarial, la inclusión de personas con alguna discapacidad, la compra a productores agropecuarios nacionales, y la protección del medioambiente, entre otros.</w:t>
      </w:r>
    </w:p>
    <w:p w:rsidR="00D22754" w:rsidRDefault="00D22754" w:rsidP="00046316">
      <w:pPr>
        <w:pStyle w:val="Textoindependiente"/>
      </w:pPr>
      <w:r>
        <w:t xml:space="preserve">Este enfoque es un referente de buenas prácticas, el cual ha sido reconocido por organismos internacionales e instituciones homólogas de la región. Se ha continuado la transferencia  del Modelo Dominicano de Compras Públicas Sostenibles e Inclusivas, con el apoyo de </w:t>
      </w:r>
      <w:r w:rsidR="00507CBC">
        <w:t xml:space="preserve">la </w:t>
      </w:r>
      <w:r>
        <w:t>Agencia de Cooperación Española  y el MEPYD, a Costa Rica, Guatemala y El Salvador, para lo cual se suscribió un convenio de cooperación bilateral entre la República Dominicana y España denominado “Apoyo para la implementación de una iniciativa piloto de cooperación triangular de República Dominicana como oferente para apoyar los sistemas de compras públicas nacionales de El Salvador y Costa Rica”.</w:t>
      </w:r>
    </w:p>
    <w:p w:rsidR="00D22754" w:rsidRPr="00B71D8B" w:rsidRDefault="00B71D8B" w:rsidP="00B71D8B">
      <w:pPr>
        <w:pStyle w:val="Ttulo4"/>
        <w:rPr>
          <w:i w:val="0"/>
        </w:rPr>
      </w:pPr>
      <w:r>
        <w:rPr>
          <w:i w:val="0"/>
        </w:rPr>
        <w:t>DE LO OPERATIVO A LO ESTRATÉGICO.</w:t>
      </w:r>
    </w:p>
    <w:p w:rsidR="00D22754" w:rsidRDefault="00D22754" w:rsidP="0085600B">
      <w:pPr>
        <w:pStyle w:val="Textoindependiente"/>
        <w:ind w:firstLine="708"/>
      </w:pPr>
      <w:r w:rsidRPr="0085600B">
        <w:rPr>
          <w:b/>
        </w:rPr>
        <w:t>Incremento de la inscripción en el Registro de Proveedores del Estado</w:t>
      </w:r>
      <w:r w:rsidR="00046316">
        <w:t xml:space="preserve">. </w:t>
      </w:r>
      <w:r>
        <w:t>Durante el año 2019, se inscribieron 4,592 nuevos proveedores (as), para un total general de 83,376; de los cuales el 22.84% son mujeres y el 77.16% hombres.</w:t>
      </w:r>
    </w:p>
    <w:p w:rsidR="00D22754" w:rsidRDefault="00D22754" w:rsidP="000E2B52">
      <w:pPr>
        <w:pStyle w:val="Textoindependiente"/>
        <w:ind w:firstLine="708"/>
      </w:pPr>
      <w:r w:rsidRPr="0085600B">
        <w:rPr>
          <w:b/>
        </w:rPr>
        <w:t xml:space="preserve">Adjudicaciones durante el 2019 a MIPYME y </w:t>
      </w:r>
      <w:r w:rsidR="00B6703D">
        <w:rPr>
          <w:b/>
        </w:rPr>
        <w:t>M</w:t>
      </w:r>
      <w:r w:rsidRPr="0085600B">
        <w:rPr>
          <w:b/>
        </w:rPr>
        <w:t>ujeres</w:t>
      </w:r>
      <w:r w:rsidR="00046316">
        <w:t xml:space="preserve">. </w:t>
      </w:r>
      <w:r>
        <w:t>Durante el período enero - septiembre 2019, el monto total contratado en el Sistema Nacional de Compras y Contrataciones Públicas (SNCCP) asciende a RD$74,637 millones, del cual el total adjudicado a MIPYME y personas físicas asciende a RD$17,391millones</w:t>
      </w:r>
      <w:r w:rsidR="00507CBC">
        <w:t>,</w:t>
      </w:r>
      <w:r>
        <w:t xml:space="preserve"> representando un 23% del monto total contratado. La cuota establecida en la Ley No. 488-08 dispone que el 20% de los presupuestos destinados a compras sean dirigidos a MIPYME. En este período</w:t>
      </w:r>
      <w:r w:rsidR="00507CBC">
        <w:t>,</w:t>
      </w:r>
      <w:r>
        <w:t xml:space="preserve"> el monto que correspondía por ley era de RD$14,927 millones, evidenciándose un excedente de RD$2,463 millones.   Al igual que todos los años en el 2019 se cumplió y excedió la cuota reservada a las MIPYME.</w:t>
      </w:r>
      <w:r w:rsidR="000E2B52">
        <w:t xml:space="preserve"> </w:t>
      </w:r>
      <w:r>
        <w:t xml:space="preserve">Durante el mismo período, </w:t>
      </w:r>
      <w:r w:rsidR="00DA21F7">
        <w:t>d</w:t>
      </w:r>
      <w:r>
        <w:t>el monto t</w:t>
      </w:r>
      <w:r w:rsidR="00DA21F7">
        <w:t xml:space="preserve">otal contratado en el SNCCP, </w:t>
      </w:r>
      <w:r>
        <w:t>lo adjudicado a mujeres asciende a RD$13,670 millones, evidenciándose un excedente en el cumplimiento de</w:t>
      </w:r>
      <w:r w:rsidR="00DA21F7">
        <w:t>l</w:t>
      </w:r>
      <w:r>
        <w:t xml:space="preserve"> compromiso de </w:t>
      </w:r>
      <w:r w:rsidR="00DA21F7">
        <w:t xml:space="preserve">adjudicación </w:t>
      </w:r>
      <w:r w:rsidR="002C4906">
        <w:t xml:space="preserve">para un total de </w:t>
      </w:r>
      <w:r>
        <w:t>RD$12,924.</w:t>
      </w:r>
    </w:p>
    <w:p w:rsidR="00D22754" w:rsidRDefault="00D22754" w:rsidP="0085600B">
      <w:pPr>
        <w:pStyle w:val="Textoindependiente"/>
        <w:ind w:firstLine="708"/>
      </w:pPr>
      <w:r w:rsidRPr="0085600B">
        <w:rPr>
          <w:b/>
        </w:rPr>
        <w:t xml:space="preserve">Sectores Productivos </w:t>
      </w:r>
      <w:r w:rsidR="00046316" w:rsidRPr="0085600B">
        <w:rPr>
          <w:b/>
        </w:rPr>
        <w:t>–</w:t>
      </w:r>
      <w:r w:rsidRPr="0085600B">
        <w:rPr>
          <w:b/>
        </w:rPr>
        <w:t xml:space="preserve"> Agricultura</w:t>
      </w:r>
      <w:r w:rsidR="00046316">
        <w:t xml:space="preserve">. </w:t>
      </w:r>
      <w:r>
        <w:t xml:space="preserve">El sector agrícola es uno de los más inclusivos del SNCCP. En este sector, desde el 2017 hasta el septiembre del 2019 se han adjudicado más de RD$3,685 millones de pesos de los cuales el 45%, que representa RD$839 han sido MIPYMES y más del 30% que equivale a RD$559 millones se han adjudicado a mujeres. Dentro de los artículos más contratados de este sector se destacan granos de cereal, semillas de apio, granos diversos y verduras. </w:t>
      </w:r>
    </w:p>
    <w:p w:rsidR="00D22754" w:rsidRDefault="00D22754" w:rsidP="0085600B">
      <w:pPr>
        <w:pStyle w:val="Textoindependiente"/>
        <w:ind w:firstLine="708"/>
      </w:pPr>
      <w:r w:rsidRPr="0085600B">
        <w:rPr>
          <w:b/>
        </w:rPr>
        <w:t>Expansión del Portal Transaccional</w:t>
      </w:r>
      <w:r w:rsidR="00046316">
        <w:t xml:space="preserve">. </w:t>
      </w:r>
      <w:r>
        <w:t>Durante el 2019, el Portal Transaccional fue implementado en 79 instituciones: 16 Gobiernos locales y 63 instituciones del gobierno central y descentralizadas, para un total general de 305; de las cuales 41 son gobiernos locales que gestionan sus procesos desde la convocatoria hasta el cierre del contrato a través de la plataforma electrónica. A consecuencia de la continuidad en la implantación de los Decretos Núm. 15-17 y 350-17 sobre el uso obligatorio del Portal, excediendo en un 234% el total de instituciones implementadas, razón por la cual la institución trabaja en la optimización de la infraestructura tecnológica.</w:t>
      </w:r>
    </w:p>
    <w:p w:rsidR="00D22754" w:rsidRDefault="00D22754" w:rsidP="0085600B">
      <w:pPr>
        <w:pStyle w:val="Textoindependiente"/>
        <w:ind w:firstLine="708"/>
      </w:pPr>
      <w:r w:rsidRPr="0085600B">
        <w:rPr>
          <w:b/>
        </w:rPr>
        <w:t>Reportes del Portal Transaccional para consulta</w:t>
      </w:r>
      <w:r w:rsidR="00046316" w:rsidRPr="0085600B">
        <w:t>.</w:t>
      </w:r>
      <w:r w:rsidR="00046316">
        <w:t xml:space="preserve"> </w:t>
      </w:r>
      <w:r>
        <w:t xml:space="preserve">Cada vez más las unidades de compra y la Dirección General de Contrataciones Públicas requieren de una reportería. Los reportes disponibles por actor son los siguientes: (i) Vista publica: 8 reportes; (ii) Órgano rector: 12 reportes; (iii) Unidades de Compra: 10 reportes; y (iv) Proveedores: 8 reportes. </w:t>
      </w:r>
      <w:r w:rsidR="00046316">
        <w:t>Desde la</w:t>
      </w:r>
      <w:r>
        <w:t xml:space="preserve"> vista pública, en la sesión “estadísticas</w:t>
      </w:r>
      <w:r w:rsidR="00046316">
        <w:t>”, se</w:t>
      </w:r>
      <w:r>
        <w:t xml:space="preserve"> puede </w:t>
      </w:r>
      <w:r w:rsidR="00046316">
        <w:t>acceder a</w:t>
      </w:r>
      <w:r>
        <w:t xml:space="preserve"> los </w:t>
      </w:r>
      <w:r w:rsidR="00046316">
        <w:t>mismos a</w:t>
      </w:r>
      <w:r>
        <w:t xml:space="preserve"> través del vínculo: https://www.dgcp.gob.do/new_dgcp/documentos/catal4/#page/1.</w:t>
      </w:r>
    </w:p>
    <w:p w:rsidR="00D22754" w:rsidRDefault="00D22754" w:rsidP="0085600B">
      <w:pPr>
        <w:pStyle w:val="Textoindependiente"/>
        <w:ind w:firstLine="708"/>
      </w:pPr>
      <w:r w:rsidRPr="0085600B">
        <w:rPr>
          <w:b/>
        </w:rPr>
        <w:t>Desarrollo de aplicativos de inteligencia de negocio (AI)</w:t>
      </w:r>
      <w:r w:rsidR="00046316">
        <w:t xml:space="preserve">. </w:t>
      </w:r>
      <w:r>
        <w:t>Las nuevas tendencias en Inteligencia Artificial y los softwares de código abierto, que específicamente fueron diseñados para el sector privado, están siendo utilizados en Compras Públicas. Los algoritmos no supervisados permiten agrupar a los proveedores en segmentos y entender su comportamiento. ¿Cuáles son las modalidades de compras en las que tienden a participar? ¿Cuáles son las barreras de acceso al mercado que impiden su participación? ¿Cuáles son los mercados que tienen mayor concentración y menor participación de MIPYMES y mujeres?, etc.</w:t>
      </w:r>
    </w:p>
    <w:p w:rsidR="00D22754" w:rsidRDefault="00D22754" w:rsidP="00046316">
      <w:pPr>
        <w:pStyle w:val="Textoindependiente"/>
      </w:pPr>
      <w:r>
        <w:t xml:space="preserve">El detalle de la información y los formatos de datos abiertos exponen patrones de compras y apoyan el monitoreo del cumplimiento de la normativa por parte de las entidades. Estos patrones acompañados con algoritmos de inteligencia artificial permiten trazar el origen de incumplimientos a la normativa.  </w:t>
      </w:r>
    </w:p>
    <w:p w:rsidR="00D22754" w:rsidRDefault="00D22754" w:rsidP="00046316">
      <w:pPr>
        <w:pStyle w:val="Textoindependiente"/>
      </w:pPr>
      <w:r>
        <w:t>Con el objetivo de que los usuarios internos y externos de la institución puedan auto servirse de los datos que genera el SNCCP, se ha trabajado en el desarrollo y mantenimiento de aplicativos webs. Dentro de los cuales se encuentra (i) el aplicativo SISCOMPRAS disponible en la página institucional; (ii) el aplicativo MIPYME, diseñado para uso del Ministerio de Industria, Comercio y MIPYME para el observatorio MIPYME; y (iii) el aplicativo que desagrega las compras públicas a nivel regional que se encuentra a disposición del ciudadano a través del enlace de datos abiertos.</w:t>
      </w:r>
    </w:p>
    <w:p w:rsidR="00B73562" w:rsidRDefault="00B73562">
      <w:pPr>
        <w:keepNext w:val="0"/>
        <w:keepLines w:val="0"/>
        <w:spacing w:before="0" w:after="160" w:line="259" w:lineRule="auto"/>
        <w:ind w:firstLine="0"/>
        <w:jc w:val="left"/>
        <w:outlineLvl w:val="9"/>
        <w:rPr>
          <w:rFonts w:asciiTheme="majorHAnsi" w:hAnsiTheme="majorHAnsi" w:cstheme="majorBidi"/>
          <w:iCs/>
          <w:color w:val="2E74B5" w:themeColor="accent1" w:themeShade="BF"/>
        </w:rPr>
      </w:pPr>
      <w:r>
        <w:rPr>
          <w:i/>
        </w:rPr>
        <w:br w:type="page"/>
      </w:r>
    </w:p>
    <w:p w:rsidR="0085600B" w:rsidRPr="00B71D8B" w:rsidRDefault="00B71D8B" w:rsidP="00B71D8B">
      <w:pPr>
        <w:pStyle w:val="Ttulo4"/>
        <w:rPr>
          <w:i w:val="0"/>
        </w:rPr>
      </w:pPr>
      <w:r w:rsidRPr="00B71D8B">
        <w:rPr>
          <w:i w:val="0"/>
        </w:rPr>
        <w:t>OTROS AVANCES</w:t>
      </w:r>
      <w:r w:rsidR="0085600B" w:rsidRPr="00B71D8B">
        <w:rPr>
          <w:i w:val="0"/>
        </w:rPr>
        <w:t>.</w:t>
      </w:r>
    </w:p>
    <w:p w:rsidR="00D22754" w:rsidRDefault="00D22754" w:rsidP="0085600B">
      <w:pPr>
        <w:pStyle w:val="Textoindependiente"/>
        <w:ind w:firstLine="708"/>
      </w:pPr>
      <w:r w:rsidRPr="0085600B">
        <w:rPr>
          <w:b/>
        </w:rPr>
        <w:t>SISCOMPRAS, interface con el SIGEF y tiempos de pago</w:t>
      </w:r>
      <w:r w:rsidR="00046316">
        <w:t xml:space="preserve">. </w:t>
      </w:r>
      <w:r>
        <w:t xml:space="preserve">Junto al Ministerio de la Presidencia se trabaja en las mediciones trimestrales del SISCOMPRAS como indicador del uso del Portal Transaccional, presentando avances significativos. La consulta de este indicador desagregado por los 5 sub-indicadores y por institución y sus avances, se encuentran disponible al público en el </w:t>
      </w:r>
      <w:r w:rsidR="00046316">
        <w:t>vínculo https://www.dgcp.gob.do/index.php/siscompras/</w:t>
      </w:r>
      <w:r>
        <w:t>.</w:t>
      </w:r>
    </w:p>
    <w:p w:rsidR="00D22754" w:rsidRDefault="00D22754" w:rsidP="0085600B">
      <w:pPr>
        <w:pStyle w:val="Textoindependiente"/>
        <w:ind w:firstLine="708"/>
      </w:pPr>
      <w:r w:rsidRPr="0085600B">
        <w:rPr>
          <w:b/>
        </w:rPr>
        <w:t xml:space="preserve">Interface Compras Públicas y Presupuesto, Portal – TRE, Portal </w:t>
      </w:r>
      <w:r w:rsidR="00046316" w:rsidRPr="0085600B">
        <w:rPr>
          <w:b/>
        </w:rPr>
        <w:t>–</w:t>
      </w:r>
      <w:r w:rsidRPr="0085600B">
        <w:rPr>
          <w:b/>
        </w:rPr>
        <w:t xml:space="preserve"> JAC</w:t>
      </w:r>
      <w:r w:rsidR="00046316">
        <w:t xml:space="preserve">. </w:t>
      </w:r>
      <w:r>
        <w:t xml:space="preserve">Durante el año 2019 fue desarrollada la interface entre el Portal Transaccional y el Sistema Integrado de Gestión Financiera (SIGEF) para las consultas en línea de la disponibilidad de apropiación presupuestaria y la asignación de cuota para comprometer, iniciando con un Piloto en el mes de octubre que incluye al Ministerio de Hacienda y a la Dirección de Contrataciones, lo que constituye un avance trascendental para el país. Para el primer trimestre de 2020 se expandirá esta funcionalidad a las demás instituciones. </w:t>
      </w:r>
    </w:p>
    <w:p w:rsidR="00D22754" w:rsidRDefault="00D22754" w:rsidP="00046316">
      <w:pPr>
        <w:pStyle w:val="Textoindependiente"/>
      </w:pPr>
      <w:r>
        <w:t>Con la finalidad de eliminar la duplicidad de información se desarrollaron las siguientes funcionalidades: (i) la integración del Portal Transaccional con el proceso de certificación de contratos de la Contraloría General de la República (CGR) y la interoperabilidad con el Sistema TRE de dicha institución; así como también con la Junta de Aviación Civil (JAC).</w:t>
      </w:r>
    </w:p>
    <w:p w:rsidR="00D22754" w:rsidRDefault="00D22754" w:rsidP="00046316">
      <w:pPr>
        <w:pStyle w:val="Textoindependiente"/>
      </w:pPr>
      <w:r>
        <w:t>También se realiza una auditoría al software y a la plataforma para asegurar que cumplen los estándares de seguridad e informático; y fue presentado el perfil de un proyecto al Ministerio de Economía, Planificación y Desarrollo, que permitirá realizar las mejoras funcionales (infraestructura y software), y la expansión de la implementación a las instituciones faltantes. La aprobación de este proyecto resulta imprescindible para dar sostenibilidad al Portal Transaccional, herramienta que aporta a la transparencia y gestión de los recursos públicos.</w:t>
      </w:r>
    </w:p>
    <w:p w:rsidR="00D22754" w:rsidRDefault="00D22754" w:rsidP="0085600B">
      <w:pPr>
        <w:pStyle w:val="Textoindependiente"/>
        <w:ind w:firstLine="708"/>
      </w:pPr>
      <w:r w:rsidRPr="0085600B">
        <w:rPr>
          <w:b/>
        </w:rPr>
        <w:t>Control de los Tiempos de Pago</w:t>
      </w:r>
      <w:r w:rsidR="00046316">
        <w:t xml:space="preserve">. </w:t>
      </w:r>
      <w:r>
        <w:t>En el año 2019 se desarrollaron funcionalidades en el Portal Transaccional, para asegurar que, en los contratos, órdenes de compra y de servicio, se incluya la fecha en la que se realizará el pago.</w:t>
      </w:r>
    </w:p>
    <w:p w:rsidR="00D22754" w:rsidRDefault="00D22754" w:rsidP="0085600B">
      <w:pPr>
        <w:pStyle w:val="Textoindependiente"/>
        <w:ind w:firstLine="708"/>
      </w:pPr>
      <w:r w:rsidRPr="0085600B">
        <w:rPr>
          <w:b/>
        </w:rPr>
        <w:t>Implementación Decreto No.</w:t>
      </w:r>
      <w:r w:rsidR="00234693">
        <w:rPr>
          <w:b/>
        </w:rPr>
        <w:t xml:space="preserve"> </w:t>
      </w:r>
      <w:r w:rsidRPr="0085600B">
        <w:rPr>
          <w:b/>
        </w:rPr>
        <w:t>168-19</w:t>
      </w:r>
      <w:r w:rsidR="00046316">
        <w:t xml:space="preserve">. </w:t>
      </w:r>
      <w:r>
        <w:t xml:space="preserve">Durante este año se trabajó también en la implementación de las políticas para el cumplimiento del Decreto No. 168-19, sobre Compras Públicas para el Desarrollo de la Producción Nacional, con la finalidad de continuar dotando de probidad a los procesos de compra y ofrecer más oportunidades de acceso inclusivo en el mercado de compras públicas, en particular a los productores agropecuarios nacionales. </w:t>
      </w:r>
    </w:p>
    <w:p w:rsidR="00D22754" w:rsidRDefault="00D22754" w:rsidP="00046316">
      <w:pPr>
        <w:pStyle w:val="Textoindependiente"/>
      </w:pPr>
      <w:r>
        <w:t>Junto al Ministerio de Agricultura, se impartieron talleres de formación en 8 Regionales del Ministerio: La Vega, Santiago, Baní, San Juan de la Maguana, Higüey, Barahona, San Francisco de Macorís, Mao y Azua, contando con la participación de 426 pequeños productores, representantes de 46 asociaciones y cooperativas del sector. Se estima que un total de 530 agricultores fueron capacitados al cierre del año. También, se realizaron encuentros y sensibilizaciones dirigidas exclusivamente a mujeres.</w:t>
      </w:r>
    </w:p>
    <w:p w:rsidR="00D22754" w:rsidRDefault="00D22754" w:rsidP="0085600B">
      <w:pPr>
        <w:pStyle w:val="Textoindependiente"/>
        <w:ind w:firstLine="708"/>
      </w:pPr>
      <w:r w:rsidRPr="0085600B">
        <w:rPr>
          <w:b/>
        </w:rPr>
        <w:t>Compras en el Territorio</w:t>
      </w:r>
      <w:r>
        <w:t>.</w:t>
      </w:r>
      <w:r w:rsidR="00046316">
        <w:t xml:space="preserve"> </w:t>
      </w:r>
      <w:r>
        <w:t xml:space="preserve">En el marco de la implementación del modelo bajo la metodología de trabajo en el territorio, se celebraron 6 ruedas de Negocio, las cuales contaron con la participación de 108 unidades de compras y 399 MIPYME. De éstas, 195 son lideradas por mujeres. Durante dichos encuentros, se concertaron un total de 2,232 entrevistas de negocios.  Igualmente, se celebró la 3era. Edición del Concurso de Artesanía para árboles de navidad, consolidándose como una herramienta de mercado para los artesanos. </w:t>
      </w:r>
    </w:p>
    <w:p w:rsidR="00D22754" w:rsidRDefault="00D22754" w:rsidP="0085600B">
      <w:pPr>
        <w:pStyle w:val="Textoindependiente"/>
        <w:ind w:firstLine="708"/>
      </w:pPr>
      <w:r w:rsidRPr="0085600B">
        <w:rPr>
          <w:b/>
        </w:rPr>
        <w:t>Inclusión de criterios de accesibilidad universal</w:t>
      </w:r>
      <w:r>
        <w:t>. Acerca de la inclusión de criterios de accesibilidad en las contrataciones públicas, fue emitida, mediante Resolución No. 03-2019, la “Guía Práctica de Compras Públicas Accesibles, versión 1.0” para contribuir desde el Sistema Nacional de Compras y Contrataciones Públicas, a que los bienes, obras y servicios adquiridos por las instituciones del Estado sean accesibles.</w:t>
      </w:r>
    </w:p>
    <w:p w:rsidR="00B73562" w:rsidRDefault="00B73562">
      <w:pPr>
        <w:keepNext w:val="0"/>
        <w:keepLines w:val="0"/>
        <w:spacing w:before="0" w:after="160" w:line="259" w:lineRule="auto"/>
        <w:ind w:firstLine="0"/>
        <w:jc w:val="left"/>
        <w:outlineLvl w:val="9"/>
        <w:rPr>
          <w:rFonts w:asciiTheme="majorHAnsi" w:hAnsiTheme="majorHAnsi" w:cstheme="majorBidi"/>
          <w:iCs/>
          <w:color w:val="2E74B5" w:themeColor="accent1" w:themeShade="BF"/>
        </w:rPr>
      </w:pPr>
      <w:r>
        <w:rPr>
          <w:i/>
        </w:rPr>
        <w:br w:type="page"/>
      </w:r>
    </w:p>
    <w:p w:rsidR="0085600B" w:rsidRPr="00B71D8B" w:rsidRDefault="00B71D8B" w:rsidP="00B71D8B">
      <w:pPr>
        <w:pStyle w:val="Ttulo4"/>
        <w:rPr>
          <w:i w:val="0"/>
        </w:rPr>
      </w:pPr>
      <w:r>
        <w:rPr>
          <w:i w:val="0"/>
        </w:rPr>
        <w:t>MEJORAS ORGANIZATIVAS.</w:t>
      </w:r>
    </w:p>
    <w:p w:rsidR="00D22754" w:rsidRDefault="0052681E" w:rsidP="0085600B">
      <w:pPr>
        <w:pStyle w:val="Textoindependiente"/>
        <w:ind w:firstLine="708"/>
      </w:pPr>
      <w:r w:rsidRPr="0052681E">
        <w:rPr>
          <w:b/>
        </w:rPr>
        <w:t>Estructura Organizacional</w:t>
      </w:r>
      <w:r>
        <w:t xml:space="preserve">. </w:t>
      </w:r>
      <w:r w:rsidR="00D22754">
        <w:t>Para consolidar el desarrollo que ha venido experimentando la institución, la Dirección General inició la implementación de la estructura organizativa, a través de la actualización del Manual de Organización y Funciones, el Manual de Descripción de Cargos y la Escala Salarial. Se tiene previsto, realizar la apertura de los concursos de oposición para llenar las nuevas plazas previo a finalizar el año.</w:t>
      </w:r>
    </w:p>
    <w:p w:rsidR="00200F2E" w:rsidRPr="00046316" w:rsidRDefault="00D22754" w:rsidP="0085600B">
      <w:pPr>
        <w:pStyle w:val="Textoindependiente"/>
        <w:ind w:firstLine="708"/>
      </w:pPr>
      <w:r w:rsidRPr="007E4B27">
        <w:rPr>
          <w:b/>
        </w:rPr>
        <w:t>Plan de Acción de la Auditoría Participativa de Género (APG)</w:t>
      </w:r>
      <w:r>
        <w:t xml:space="preserve">. </w:t>
      </w:r>
      <w:r w:rsidR="00046316" w:rsidRPr="00046316">
        <w:t>En adición, Contrataciones Públicas puso en marcha el Plan de Acción de la Auditoría Participativa de Género (APG), con el apoyo de ONU Mujeres y el Ministerio de la Mujer, con la finalidad de institucionalizar una estructura para la igualdad de género, que permita la transversalización del enfoque de género en la institución y en el SNCCP.</w:t>
      </w:r>
    </w:p>
    <w:p w:rsidR="00046316" w:rsidRDefault="00046316">
      <w:pPr>
        <w:keepNext w:val="0"/>
        <w:keepLines w:val="0"/>
        <w:spacing w:before="0" w:after="160" w:line="259" w:lineRule="auto"/>
        <w:ind w:firstLine="0"/>
        <w:jc w:val="left"/>
        <w:outlineLvl w:val="9"/>
      </w:pPr>
      <w:r>
        <w:br w:type="page"/>
      </w:r>
    </w:p>
    <w:p w:rsidR="00A803BF" w:rsidRPr="00FF1D59" w:rsidRDefault="00C904B2" w:rsidP="00D153F4">
      <w:pPr>
        <w:pStyle w:val="Ttulo1"/>
      </w:pPr>
      <w:bookmarkStart w:id="7" w:name="_Toc21590790"/>
      <w:bookmarkStart w:id="8" w:name="_Toc21593779"/>
      <w:bookmarkStart w:id="9" w:name="_Toc21594026"/>
      <w:r w:rsidRPr="00FF1D59">
        <w:t>I</w:t>
      </w:r>
      <w:r w:rsidR="00A803BF" w:rsidRPr="00FF1D59">
        <w:t>II. Información Institucional</w:t>
      </w:r>
      <w:bookmarkEnd w:id="7"/>
      <w:bookmarkEnd w:id="8"/>
      <w:bookmarkEnd w:id="9"/>
      <w:r w:rsidR="00E11E97" w:rsidRPr="00FF1D59">
        <w:t>.</w:t>
      </w:r>
    </w:p>
    <w:p w:rsidR="00003C68" w:rsidRPr="00BA0AC4" w:rsidRDefault="00003C68" w:rsidP="00BA0AC4">
      <w:pPr>
        <w:pStyle w:val="Ttulo2"/>
      </w:pPr>
      <w:r w:rsidRPr="00BA0AC4">
        <w:t>Base Legal</w:t>
      </w:r>
    </w:p>
    <w:p w:rsidR="00486F9B" w:rsidRDefault="00486F9B" w:rsidP="00E75B80">
      <w:pPr>
        <w:pStyle w:val="Textoindependiente"/>
      </w:pPr>
      <w:r>
        <w:t>La Dirección General de Contrataciones Públicas fue creada mediante la Ley Núm. 340-06, sobre Compras y Contrataciones de Bienes, Obras, Servicios y Concesiones, y la estableció como órgano rector de los principios que rigen el sector; la misma fue modificada posteriormente por la Ley No. 449-06. Su Reglamento de Aplicación fue aprobado mediante el Decreto No. 543-12.</w:t>
      </w:r>
    </w:p>
    <w:p w:rsidR="00486F9B" w:rsidRDefault="00486F9B" w:rsidP="00E75B80">
      <w:pPr>
        <w:pStyle w:val="Textoindependiente"/>
      </w:pPr>
      <w:r>
        <w:t xml:space="preserve">    Durante el período que abarca esta memoria se ha venido trabajando en la actualización, revisión y redacción del borrador de anteproyecto de modificación de la Ley No. 340-06, sobre compras y contrataciones públicas de bienes, servicios, obras y concesiones, junto al Ministerio de Hacienda, a la Consultoría Jurídica del Poder Ejecutivo y al Ministerio de la Presidencia.</w:t>
      </w:r>
    </w:p>
    <w:p w:rsidR="00486F9B" w:rsidRDefault="00486F9B" w:rsidP="00E75B80">
      <w:pPr>
        <w:pStyle w:val="Textoindependiente"/>
      </w:pPr>
      <w:r>
        <w:t xml:space="preserve">     Asimismo, se elaboró la propuesta del Decreto No. 168-19, emitido en fecha 6 de mayo de 2019 por el Poder Ejecutivo, el cual tiene como objetivo apoyar a la producción nacional, eliminar la intermediación, regionalizar las compras, contribuir al desarrollo económico, generar empleos en el territorio, disminuir el impacto ambiental, elevar la capacidad competitiva de los productores nacionales y fomentar la innovación tecnológica. El indicado Decreto pone en manos de la Dirección General de Contrataciones Públicas establecer las políticas necesarias para hacer operativas dichas disposiciones.</w:t>
      </w:r>
    </w:p>
    <w:p w:rsidR="00754A6D" w:rsidRDefault="00486F9B" w:rsidP="00E75B80">
      <w:pPr>
        <w:pStyle w:val="Textoindependiente"/>
      </w:pPr>
      <w:r>
        <w:t>A continuación, el compendio de la Base legal que ampara a la Dirección General de Contrataciones Públicas</w:t>
      </w:r>
      <w:r w:rsidR="00003C68" w:rsidRPr="00E75B80">
        <w:t>:</w:t>
      </w:r>
      <w:r w:rsidR="006533DC">
        <w:t xml:space="preserve"> </w:t>
      </w:r>
    </w:p>
    <w:tbl>
      <w:tblPr>
        <w:tblW w:w="8300" w:type="dxa"/>
        <w:tblCellMar>
          <w:left w:w="70" w:type="dxa"/>
          <w:right w:w="70" w:type="dxa"/>
        </w:tblCellMar>
        <w:tblLook w:val="04A0" w:firstRow="1" w:lastRow="0" w:firstColumn="1" w:lastColumn="0" w:noHBand="0" w:noVBand="1"/>
      </w:tblPr>
      <w:tblGrid>
        <w:gridCol w:w="2320"/>
        <w:gridCol w:w="5980"/>
      </w:tblGrid>
      <w:tr w:rsidR="00507CBC" w:rsidRPr="00507CBC" w:rsidTr="00507CBC">
        <w:trPr>
          <w:trHeight w:val="630"/>
        </w:trPr>
        <w:tc>
          <w:tcPr>
            <w:tcW w:w="2320" w:type="dxa"/>
            <w:tcBorders>
              <w:top w:val="single" w:sz="8" w:space="0" w:color="auto"/>
              <w:left w:val="single" w:sz="8" w:space="0" w:color="auto"/>
              <w:bottom w:val="single" w:sz="8" w:space="0" w:color="auto"/>
              <w:right w:val="single" w:sz="8" w:space="0" w:color="auto"/>
            </w:tcBorders>
            <w:shd w:val="clear" w:color="000000" w:fill="2E74B5"/>
            <w:vAlign w:val="center"/>
            <w:hideMark/>
          </w:tcPr>
          <w:p w:rsidR="00507CBC" w:rsidRPr="00507CBC" w:rsidRDefault="00507CBC" w:rsidP="00507CBC">
            <w:pPr>
              <w:keepNext w:val="0"/>
              <w:keepLines w:val="0"/>
              <w:spacing w:before="0" w:line="240" w:lineRule="auto"/>
              <w:ind w:firstLine="0"/>
              <w:jc w:val="center"/>
              <w:outlineLvl w:val="9"/>
              <w:rPr>
                <w:rFonts w:eastAsia="Times New Roman"/>
                <w:b/>
                <w:bCs/>
                <w:color w:val="FFFFFF"/>
                <w:lang w:val="es-DO" w:eastAsia="es-DO"/>
              </w:rPr>
            </w:pPr>
            <w:r w:rsidRPr="00507CBC">
              <w:rPr>
                <w:rFonts w:eastAsia="Times New Roman"/>
                <w:b/>
                <w:bCs/>
                <w:color w:val="FFFFFF"/>
                <w:lang w:val="es-DO" w:eastAsia="es-DO"/>
              </w:rPr>
              <w:t>Ley / Decreto</w:t>
            </w:r>
          </w:p>
        </w:tc>
        <w:tc>
          <w:tcPr>
            <w:tcW w:w="5980" w:type="dxa"/>
            <w:tcBorders>
              <w:top w:val="single" w:sz="8" w:space="0" w:color="auto"/>
              <w:left w:val="nil"/>
              <w:bottom w:val="single" w:sz="8" w:space="0" w:color="auto"/>
              <w:right w:val="single" w:sz="8" w:space="0" w:color="auto"/>
            </w:tcBorders>
            <w:shd w:val="clear" w:color="000000" w:fill="2E74B5"/>
            <w:vAlign w:val="center"/>
            <w:hideMark/>
          </w:tcPr>
          <w:p w:rsidR="00507CBC" w:rsidRPr="00507CBC" w:rsidRDefault="00507CBC" w:rsidP="00507CBC">
            <w:pPr>
              <w:keepNext w:val="0"/>
              <w:keepLines w:val="0"/>
              <w:spacing w:before="0" w:line="240" w:lineRule="auto"/>
              <w:ind w:firstLine="0"/>
              <w:jc w:val="center"/>
              <w:outlineLvl w:val="9"/>
              <w:rPr>
                <w:rFonts w:eastAsia="Times New Roman"/>
                <w:b/>
                <w:bCs/>
                <w:color w:val="FFFFFF"/>
                <w:lang w:val="es-DO" w:eastAsia="es-DO"/>
              </w:rPr>
            </w:pPr>
            <w:r w:rsidRPr="00507CBC">
              <w:rPr>
                <w:rFonts w:eastAsia="Times New Roman"/>
                <w:b/>
                <w:bCs/>
                <w:color w:val="FFFFFF"/>
                <w:lang w:val="es-DO" w:eastAsia="es-DO"/>
              </w:rPr>
              <w:t>Descripción</w:t>
            </w:r>
          </w:p>
        </w:tc>
      </w:tr>
      <w:tr w:rsidR="00507CBC" w:rsidRPr="00507CBC" w:rsidTr="00507CBC">
        <w:trPr>
          <w:trHeight w:val="1275"/>
        </w:trPr>
        <w:tc>
          <w:tcPr>
            <w:tcW w:w="2320" w:type="dxa"/>
            <w:tcBorders>
              <w:top w:val="nil"/>
              <w:left w:val="single" w:sz="8" w:space="0" w:color="auto"/>
              <w:bottom w:val="single" w:sz="8" w:space="0" w:color="auto"/>
              <w:right w:val="single" w:sz="8" w:space="0" w:color="auto"/>
            </w:tcBorders>
            <w:shd w:val="clear" w:color="auto" w:fill="auto"/>
            <w:vAlign w:val="center"/>
            <w:hideMark/>
          </w:tcPr>
          <w:p w:rsidR="00507CBC" w:rsidRPr="00507CBC" w:rsidRDefault="00507CBC" w:rsidP="00507CBC">
            <w:pPr>
              <w:keepNext w:val="0"/>
              <w:keepLines w:val="0"/>
              <w:spacing w:before="0" w:line="240" w:lineRule="auto"/>
              <w:ind w:firstLine="0"/>
              <w:jc w:val="center"/>
              <w:outlineLvl w:val="9"/>
              <w:rPr>
                <w:rFonts w:eastAsia="Times New Roman"/>
                <w:b/>
                <w:bCs/>
                <w:color w:val="000000"/>
                <w:lang w:val="es-DO" w:eastAsia="es-DO"/>
              </w:rPr>
            </w:pPr>
            <w:r w:rsidRPr="00507CBC">
              <w:rPr>
                <w:rFonts w:eastAsia="Times New Roman"/>
                <w:b/>
                <w:bCs/>
                <w:color w:val="000000"/>
                <w:lang w:val="es-DO" w:eastAsia="es-DO"/>
              </w:rPr>
              <w:t>Ley No. 340-06</w:t>
            </w:r>
          </w:p>
        </w:tc>
        <w:tc>
          <w:tcPr>
            <w:tcW w:w="5980" w:type="dxa"/>
            <w:tcBorders>
              <w:top w:val="nil"/>
              <w:left w:val="nil"/>
              <w:bottom w:val="single" w:sz="8" w:space="0" w:color="auto"/>
              <w:right w:val="single" w:sz="8" w:space="0" w:color="auto"/>
            </w:tcBorders>
            <w:shd w:val="clear" w:color="auto" w:fill="auto"/>
            <w:vAlign w:val="center"/>
            <w:hideMark/>
          </w:tcPr>
          <w:p w:rsidR="00507CBC" w:rsidRPr="00507CBC" w:rsidRDefault="00507CBC" w:rsidP="00507CBC">
            <w:pPr>
              <w:keepNext w:val="0"/>
              <w:keepLines w:val="0"/>
              <w:spacing w:before="0" w:line="240" w:lineRule="auto"/>
              <w:ind w:firstLine="0"/>
              <w:jc w:val="left"/>
              <w:outlineLvl w:val="9"/>
              <w:rPr>
                <w:rFonts w:eastAsia="Times New Roman"/>
                <w:color w:val="000000"/>
                <w:lang w:val="es-DO" w:eastAsia="es-DO"/>
              </w:rPr>
            </w:pPr>
            <w:r w:rsidRPr="00507CBC">
              <w:rPr>
                <w:rFonts w:eastAsia="Times New Roman"/>
                <w:color w:val="000000"/>
                <w:lang w:val="es-DO" w:eastAsia="es-DO"/>
              </w:rPr>
              <w:t>Sobre Contrataciones de Bienes, Obras, Servicios y Concesiones, modificada por la Ley No. 449-06. Crea la Dirección General de Compras y Contrataciones, y establece los principios que rigen las compras públicas.</w:t>
            </w:r>
          </w:p>
        </w:tc>
      </w:tr>
      <w:tr w:rsidR="00507CBC" w:rsidRPr="00507CBC" w:rsidTr="00507CBC">
        <w:trPr>
          <w:trHeight w:val="1275"/>
        </w:trPr>
        <w:tc>
          <w:tcPr>
            <w:tcW w:w="2320" w:type="dxa"/>
            <w:tcBorders>
              <w:top w:val="nil"/>
              <w:left w:val="single" w:sz="8" w:space="0" w:color="auto"/>
              <w:bottom w:val="single" w:sz="8" w:space="0" w:color="auto"/>
              <w:right w:val="single" w:sz="8" w:space="0" w:color="auto"/>
            </w:tcBorders>
            <w:shd w:val="clear" w:color="auto" w:fill="auto"/>
            <w:vAlign w:val="center"/>
            <w:hideMark/>
          </w:tcPr>
          <w:p w:rsidR="00507CBC" w:rsidRPr="00507CBC" w:rsidRDefault="00507CBC" w:rsidP="00507CBC">
            <w:pPr>
              <w:keepNext w:val="0"/>
              <w:keepLines w:val="0"/>
              <w:spacing w:before="0" w:line="240" w:lineRule="auto"/>
              <w:ind w:firstLine="0"/>
              <w:jc w:val="center"/>
              <w:outlineLvl w:val="9"/>
              <w:rPr>
                <w:rFonts w:eastAsia="Times New Roman"/>
                <w:b/>
                <w:bCs/>
                <w:color w:val="000000"/>
                <w:lang w:val="es-DO" w:eastAsia="es-DO"/>
              </w:rPr>
            </w:pPr>
            <w:r w:rsidRPr="00507CBC">
              <w:rPr>
                <w:rFonts w:eastAsia="Times New Roman"/>
                <w:b/>
                <w:bCs/>
                <w:color w:val="000000"/>
                <w:lang w:val="es-DO" w:eastAsia="es-DO"/>
              </w:rPr>
              <w:t>Ley No. 488-08</w:t>
            </w:r>
          </w:p>
        </w:tc>
        <w:tc>
          <w:tcPr>
            <w:tcW w:w="5980" w:type="dxa"/>
            <w:tcBorders>
              <w:top w:val="nil"/>
              <w:left w:val="nil"/>
              <w:bottom w:val="single" w:sz="8" w:space="0" w:color="auto"/>
              <w:right w:val="single" w:sz="8" w:space="0" w:color="auto"/>
            </w:tcBorders>
            <w:shd w:val="clear" w:color="auto" w:fill="auto"/>
            <w:vAlign w:val="center"/>
            <w:hideMark/>
          </w:tcPr>
          <w:p w:rsidR="00507CBC" w:rsidRPr="00507CBC" w:rsidRDefault="00507CBC" w:rsidP="00507CBC">
            <w:pPr>
              <w:keepNext w:val="0"/>
              <w:keepLines w:val="0"/>
              <w:spacing w:before="0" w:line="240" w:lineRule="auto"/>
              <w:ind w:firstLine="0"/>
              <w:jc w:val="left"/>
              <w:outlineLvl w:val="9"/>
              <w:rPr>
                <w:rFonts w:eastAsia="Times New Roman"/>
                <w:color w:val="000000"/>
                <w:lang w:val="es-DO" w:eastAsia="es-DO"/>
              </w:rPr>
            </w:pPr>
            <w:r w:rsidRPr="00507CBC">
              <w:rPr>
                <w:rFonts w:eastAsia="Times New Roman"/>
                <w:color w:val="000000"/>
                <w:lang w:val="es-DO" w:eastAsia="es-DO"/>
              </w:rPr>
              <w:t>Regula el sector de las micro, pequeñas y medianas empresas (MIPYME) y establece que el 20% de los presupuestos de compras debe ser destinado a MIPYME y de éstos, el 5% a MIPYME de mujeres.</w:t>
            </w:r>
          </w:p>
        </w:tc>
      </w:tr>
      <w:tr w:rsidR="00507CBC" w:rsidRPr="00507CBC" w:rsidTr="00507CBC">
        <w:trPr>
          <w:trHeight w:val="1590"/>
        </w:trPr>
        <w:tc>
          <w:tcPr>
            <w:tcW w:w="2320" w:type="dxa"/>
            <w:tcBorders>
              <w:top w:val="nil"/>
              <w:left w:val="single" w:sz="8" w:space="0" w:color="auto"/>
              <w:bottom w:val="single" w:sz="8" w:space="0" w:color="auto"/>
              <w:right w:val="single" w:sz="8" w:space="0" w:color="auto"/>
            </w:tcBorders>
            <w:shd w:val="clear" w:color="auto" w:fill="auto"/>
            <w:vAlign w:val="center"/>
            <w:hideMark/>
          </w:tcPr>
          <w:p w:rsidR="00507CBC" w:rsidRPr="00507CBC" w:rsidRDefault="00507CBC" w:rsidP="00507CBC">
            <w:pPr>
              <w:keepNext w:val="0"/>
              <w:keepLines w:val="0"/>
              <w:spacing w:before="0" w:line="240" w:lineRule="auto"/>
              <w:ind w:firstLine="0"/>
              <w:jc w:val="center"/>
              <w:outlineLvl w:val="9"/>
              <w:rPr>
                <w:rFonts w:eastAsia="Times New Roman"/>
                <w:b/>
                <w:bCs/>
                <w:color w:val="000000"/>
                <w:lang w:val="es-DO" w:eastAsia="es-DO"/>
              </w:rPr>
            </w:pPr>
            <w:r w:rsidRPr="00507CBC">
              <w:rPr>
                <w:rFonts w:eastAsia="Times New Roman"/>
                <w:b/>
                <w:bCs/>
                <w:color w:val="000000"/>
                <w:lang w:val="es-DO" w:eastAsia="es-DO"/>
              </w:rPr>
              <w:t>Ley No. 5-13</w:t>
            </w:r>
          </w:p>
        </w:tc>
        <w:tc>
          <w:tcPr>
            <w:tcW w:w="5980" w:type="dxa"/>
            <w:tcBorders>
              <w:top w:val="nil"/>
              <w:left w:val="nil"/>
              <w:bottom w:val="single" w:sz="8" w:space="0" w:color="auto"/>
              <w:right w:val="single" w:sz="8" w:space="0" w:color="auto"/>
            </w:tcBorders>
            <w:shd w:val="clear" w:color="auto" w:fill="auto"/>
            <w:vAlign w:val="center"/>
            <w:hideMark/>
          </w:tcPr>
          <w:p w:rsidR="00507CBC" w:rsidRPr="00507CBC" w:rsidRDefault="00507CBC" w:rsidP="00507CBC">
            <w:pPr>
              <w:keepNext w:val="0"/>
              <w:keepLines w:val="0"/>
              <w:spacing w:before="0" w:line="240" w:lineRule="auto"/>
              <w:ind w:firstLine="0"/>
              <w:jc w:val="left"/>
              <w:outlineLvl w:val="9"/>
              <w:rPr>
                <w:rFonts w:eastAsia="Times New Roman"/>
                <w:color w:val="000000"/>
                <w:lang w:val="es-DO" w:eastAsia="es-DO"/>
              </w:rPr>
            </w:pPr>
            <w:r w:rsidRPr="00507CBC">
              <w:rPr>
                <w:rFonts w:eastAsia="Times New Roman"/>
                <w:color w:val="000000"/>
                <w:lang w:val="es-DO" w:eastAsia="es-DO"/>
              </w:rPr>
              <w:t>Ampara y garantiza la igualdad de derechos y la equiparación de oportunidades a todas las personas con discapacidad y regula las personas morales, sin ﬁnes de lucro, cuyo objeto social sea trabajar para mejorar la calidad de vida de las personas con discapacidad.</w:t>
            </w:r>
          </w:p>
        </w:tc>
      </w:tr>
      <w:tr w:rsidR="00507CBC" w:rsidRPr="00507CBC" w:rsidTr="00507CBC">
        <w:trPr>
          <w:trHeight w:val="1905"/>
        </w:trPr>
        <w:tc>
          <w:tcPr>
            <w:tcW w:w="2320" w:type="dxa"/>
            <w:tcBorders>
              <w:top w:val="nil"/>
              <w:left w:val="single" w:sz="8" w:space="0" w:color="auto"/>
              <w:bottom w:val="single" w:sz="8" w:space="0" w:color="auto"/>
              <w:right w:val="single" w:sz="8" w:space="0" w:color="auto"/>
            </w:tcBorders>
            <w:shd w:val="clear" w:color="auto" w:fill="auto"/>
            <w:vAlign w:val="center"/>
            <w:hideMark/>
          </w:tcPr>
          <w:p w:rsidR="00507CBC" w:rsidRPr="00507CBC" w:rsidRDefault="00507CBC" w:rsidP="00507CBC">
            <w:pPr>
              <w:keepNext w:val="0"/>
              <w:keepLines w:val="0"/>
              <w:spacing w:before="0" w:line="240" w:lineRule="auto"/>
              <w:ind w:firstLine="0"/>
              <w:jc w:val="center"/>
              <w:outlineLvl w:val="9"/>
              <w:rPr>
                <w:rFonts w:eastAsia="Times New Roman"/>
                <w:b/>
                <w:bCs/>
                <w:color w:val="000000"/>
                <w:lang w:val="es-DO" w:eastAsia="es-DO"/>
              </w:rPr>
            </w:pPr>
            <w:r w:rsidRPr="00507CBC">
              <w:rPr>
                <w:rFonts w:eastAsia="Times New Roman"/>
                <w:b/>
                <w:bCs/>
                <w:color w:val="000000"/>
                <w:lang w:val="es-DO" w:eastAsia="es-DO"/>
              </w:rPr>
              <w:t>Decreto No. 543-12</w:t>
            </w:r>
          </w:p>
        </w:tc>
        <w:tc>
          <w:tcPr>
            <w:tcW w:w="5980" w:type="dxa"/>
            <w:tcBorders>
              <w:top w:val="nil"/>
              <w:left w:val="nil"/>
              <w:bottom w:val="single" w:sz="8" w:space="0" w:color="auto"/>
              <w:right w:val="single" w:sz="8" w:space="0" w:color="auto"/>
            </w:tcBorders>
            <w:shd w:val="clear" w:color="auto" w:fill="auto"/>
            <w:vAlign w:val="center"/>
            <w:hideMark/>
          </w:tcPr>
          <w:p w:rsidR="00507CBC" w:rsidRPr="00507CBC" w:rsidRDefault="00507CBC" w:rsidP="00507CBC">
            <w:pPr>
              <w:keepNext w:val="0"/>
              <w:keepLines w:val="0"/>
              <w:spacing w:before="0" w:line="240" w:lineRule="auto"/>
              <w:ind w:firstLine="0"/>
              <w:jc w:val="left"/>
              <w:outlineLvl w:val="9"/>
              <w:rPr>
                <w:rFonts w:eastAsia="Times New Roman"/>
                <w:color w:val="000000"/>
                <w:lang w:val="es-DO" w:eastAsia="es-DO"/>
              </w:rPr>
            </w:pPr>
            <w:r w:rsidRPr="00507CBC">
              <w:rPr>
                <w:rFonts w:eastAsia="Times New Roman"/>
                <w:color w:val="000000"/>
                <w:lang w:val="es-DO" w:eastAsia="es-DO"/>
              </w:rPr>
              <w:t>Aprueba el Reglamento de la Ley sobre Compras, Contrataciones de Bienes, Servicios y Obras. Establece que todos los procesos de compras deben publicarse sin importar su modalidad (lo que no se publique puede ser anulado), reduce las garantías de presentación de ofertas y flexibiliza los criterios para calificar como suplidoras del Estado.</w:t>
            </w:r>
          </w:p>
        </w:tc>
      </w:tr>
      <w:tr w:rsidR="00507CBC" w:rsidRPr="00507CBC" w:rsidTr="00507CBC">
        <w:trPr>
          <w:trHeight w:val="1590"/>
        </w:trPr>
        <w:tc>
          <w:tcPr>
            <w:tcW w:w="2320" w:type="dxa"/>
            <w:tcBorders>
              <w:top w:val="nil"/>
              <w:left w:val="single" w:sz="8" w:space="0" w:color="auto"/>
              <w:bottom w:val="single" w:sz="8" w:space="0" w:color="auto"/>
              <w:right w:val="single" w:sz="8" w:space="0" w:color="auto"/>
            </w:tcBorders>
            <w:shd w:val="clear" w:color="auto" w:fill="auto"/>
            <w:vAlign w:val="center"/>
            <w:hideMark/>
          </w:tcPr>
          <w:p w:rsidR="00507CBC" w:rsidRPr="00507CBC" w:rsidRDefault="00507CBC" w:rsidP="00507CBC">
            <w:pPr>
              <w:keepNext w:val="0"/>
              <w:keepLines w:val="0"/>
              <w:spacing w:before="0" w:line="240" w:lineRule="auto"/>
              <w:ind w:firstLine="0"/>
              <w:jc w:val="center"/>
              <w:outlineLvl w:val="9"/>
              <w:rPr>
                <w:rFonts w:eastAsia="Times New Roman"/>
                <w:b/>
                <w:bCs/>
                <w:color w:val="000000"/>
                <w:lang w:val="es-DO" w:eastAsia="es-DO"/>
              </w:rPr>
            </w:pPr>
            <w:r w:rsidRPr="00507CBC">
              <w:rPr>
                <w:rFonts w:eastAsia="Times New Roman"/>
                <w:b/>
                <w:bCs/>
                <w:color w:val="000000"/>
                <w:lang w:val="es-DO" w:eastAsia="es-DO"/>
              </w:rPr>
              <w:t>Decreto No. 164-13</w:t>
            </w:r>
          </w:p>
        </w:tc>
        <w:tc>
          <w:tcPr>
            <w:tcW w:w="5980" w:type="dxa"/>
            <w:tcBorders>
              <w:top w:val="nil"/>
              <w:left w:val="nil"/>
              <w:bottom w:val="single" w:sz="8" w:space="0" w:color="auto"/>
              <w:right w:val="single" w:sz="8" w:space="0" w:color="auto"/>
            </w:tcBorders>
            <w:shd w:val="clear" w:color="auto" w:fill="auto"/>
            <w:vAlign w:val="center"/>
            <w:hideMark/>
          </w:tcPr>
          <w:p w:rsidR="00507CBC" w:rsidRPr="00507CBC" w:rsidRDefault="00507CBC" w:rsidP="00507CBC">
            <w:pPr>
              <w:keepNext w:val="0"/>
              <w:keepLines w:val="0"/>
              <w:spacing w:before="0" w:line="240" w:lineRule="auto"/>
              <w:ind w:firstLine="0"/>
              <w:jc w:val="left"/>
              <w:outlineLvl w:val="9"/>
              <w:rPr>
                <w:rFonts w:eastAsia="Times New Roman"/>
                <w:color w:val="000000"/>
                <w:lang w:val="es-DO" w:eastAsia="es-DO"/>
              </w:rPr>
            </w:pPr>
            <w:r w:rsidRPr="00507CBC">
              <w:rPr>
                <w:rFonts w:eastAsia="Times New Roman"/>
                <w:color w:val="000000"/>
                <w:lang w:val="es-DO" w:eastAsia="es-DO"/>
              </w:rPr>
              <w:t>Establece que en las compras a MIPYME tendrán prioridad las de fabricación y producción nacional y atribuye a la Dirección General de Contrataciones Públicas, responsabilidades para el monitoreo y cumplimiento de esta política.</w:t>
            </w:r>
          </w:p>
        </w:tc>
      </w:tr>
      <w:tr w:rsidR="00507CBC" w:rsidRPr="00507CBC" w:rsidTr="00507CBC">
        <w:trPr>
          <w:trHeight w:val="1275"/>
        </w:trPr>
        <w:tc>
          <w:tcPr>
            <w:tcW w:w="2320" w:type="dxa"/>
            <w:tcBorders>
              <w:top w:val="nil"/>
              <w:left w:val="single" w:sz="8" w:space="0" w:color="auto"/>
              <w:bottom w:val="single" w:sz="8" w:space="0" w:color="auto"/>
              <w:right w:val="single" w:sz="8" w:space="0" w:color="auto"/>
            </w:tcBorders>
            <w:shd w:val="clear" w:color="auto" w:fill="auto"/>
            <w:vAlign w:val="center"/>
            <w:hideMark/>
          </w:tcPr>
          <w:p w:rsidR="00507CBC" w:rsidRPr="00507CBC" w:rsidRDefault="00507CBC" w:rsidP="00507CBC">
            <w:pPr>
              <w:keepNext w:val="0"/>
              <w:keepLines w:val="0"/>
              <w:spacing w:before="0" w:line="240" w:lineRule="auto"/>
              <w:ind w:firstLine="0"/>
              <w:jc w:val="center"/>
              <w:outlineLvl w:val="9"/>
              <w:rPr>
                <w:rFonts w:eastAsia="Times New Roman"/>
                <w:b/>
                <w:bCs/>
                <w:color w:val="000000"/>
                <w:lang w:val="es-DO" w:eastAsia="es-DO"/>
              </w:rPr>
            </w:pPr>
            <w:r w:rsidRPr="00507CBC">
              <w:rPr>
                <w:rFonts w:eastAsia="Times New Roman"/>
                <w:b/>
                <w:bCs/>
                <w:color w:val="000000"/>
                <w:lang w:val="es-DO" w:eastAsia="es-DO"/>
              </w:rPr>
              <w:t>Decreto No. 188-14</w:t>
            </w:r>
          </w:p>
        </w:tc>
        <w:tc>
          <w:tcPr>
            <w:tcW w:w="5980" w:type="dxa"/>
            <w:tcBorders>
              <w:top w:val="nil"/>
              <w:left w:val="nil"/>
              <w:bottom w:val="single" w:sz="8" w:space="0" w:color="auto"/>
              <w:right w:val="single" w:sz="8" w:space="0" w:color="auto"/>
            </w:tcBorders>
            <w:shd w:val="clear" w:color="auto" w:fill="auto"/>
            <w:vAlign w:val="center"/>
            <w:hideMark/>
          </w:tcPr>
          <w:p w:rsidR="00507CBC" w:rsidRPr="00507CBC" w:rsidRDefault="00507CBC" w:rsidP="00507CBC">
            <w:pPr>
              <w:keepNext w:val="0"/>
              <w:keepLines w:val="0"/>
              <w:spacing w:before="0" w:line="240" w:lineRule="auto"/>
              <w:ind w:firstLine="0"/>
              <w:jc w:val="left"/>
              <w:outlineLvl w:val="9"/>
              <w:rPr>
                <w:rFonts w:eastAsia="Times New Roman"/>
                <w:color w:val="000000"/>
                <w:lang w:val="es-DO" w:eastAsia="es-DO"/>
              </w:rPr>
            </w:pPr>
            <w:r w:rsidRPr="00507CBC">
              <w:rPr>
                <w:rFonts w:eastAsia="Times New Roman"/>
                <w:color w:val="000000"/>
                <w:lang w:val="es-DO" w:eastAsia="es-DO"/>
              </w:rPr>
              <w:t>Define los principios y normas que rigen a las Comisiones de Veeduría Ciudadanas para las Compras Públicas e instruye a la Dirección General de Contrataciones Públicas a ofrecer Asistencia Técnica y Capacitación a todas las Comisiones.</w:t>
            </w:r>
          </w:p>
        </w:tc>
      </w:tr>
    </w:tbl>
    <w:p w:rsidR="00507CBC" w:rsidRDefault="00507CBC" w:rsidP="006533DC">
      <w:pPr>
        <w:jc w:val="center"/>
        <w:rPr>
          <w:lang w:val="es-DO"/>
        </w:rPr>
      </w:pPr>
    </w:p>
    <w:p w:rsidR="00507CBC" w:rsidRDefault="00507CBC" w:rsidP="00507CBC">
      <w:pPr>
        <w:rPr>
          <w:lang w:val="es-DO"/>
        </w:rPr>
      </w:pPr>
      <w:r>
        <w:rPr>
          <w:lang w:val="es-DO"/>
        </w:rPr>
        <w:br w:type="page"/>
      </w:r>
    </w:p>
    <w:tbl>
      <w:tblPr>
        <w:tblW w:w="8300" w:type="dxa"/>
        <w:tblCellMar>
          <w:left w:w="70" w:type="dxa"/>
          <w:right w:w="70" w:type="dxa"/>
        </w:tblCellMar>
        <w:tblLook w:val="04A0" w:firstRow="1" w:lastRow="0" w:firstColumn="1" w:lastColumn="0" w:noHBand="0" w:noVBand="1"/>
      </w:tblPr>
      <w:tblGrid>
        <w:gridCol w:w="2320"/>
        <w:gridCol w:w="5980"/>
      </w:tblGrid>
      <w:tr w:rsidR="00507CBC" w:rsidRPr="00507CBC" w:rsidTr="00507CBC">
        <w:trPr>
          <w:trHeight w:val="630"/>
        </w:trPr>
        <w:tc>
          <w:tcPr>
            <w:tcW w:w="2320" w:type="dxa"/>
            <w:tcBorders>
              <w:top w:val="single" w:sz="8" w:space="0" w:color="auto"/>
              <w:left w:val="single" w:sz="8" w:space="0" w:color="auto"/>
              <w:bottom w:val="single" w:sz="8" w:space="0" w:color="auto"/>
              <w:right w:val="single" w:sz="8" w:space="0" w:color="auto"/>
            </w:tcBorders>
            <w:shd w:val="clear" w:color="000000" w:fill="2E74B5"/>
            <w:vAlign w:val="center"/>
            <w:hideMark/>
          </w:tcPr>
          <w:p w:rsidR="00507CBC" w:rsidRPr="00507CBC" w:rsidRDefault="00507CBC" w:rsidP="00507CBC">
            <w:pPr>
              <w:keepNext w:val="0"/>
              <w:keepLines w:val="0"/>
              <w:spacing w:before="0" w:line="240" w:lineRule="auto"/>
              <w:ind w:firstLine="0"/>
              <w:jc w:val="center"/>
              <w:outlineLvl w:val="9"/>
              <w:rPr>
                <w:rFonts w:eastAsia="Times New Roman"/>
                <w:b/>
                <w:bCs/>
                <w:color w:val="FFFFFF"/>
                <w:lang w:val="es-DO" w:eastAsia="es-DO"/>
              </w:rPr>
            </w:pPr>
            <w:r w:rsidRPr="00507CBC">
              <w:rPr>
                <w:rFonts w:eastAsia="Times New Roman"/>
                <w:b/>
                <w:bCs/>
                <w:color w:val="FFFFFF"/>
                <w:lang w:val="es-DO" w:eastAsia="es-DO"/>
              </w:rPr>
              <w:t>Ley / Decreto</w:t>
            </w:r>
          </w:p>
        </w:tc>
        <w:tc>
          <w:tcPr>
            <w:tcW w:w="5980" w:type="dxa"/>
            <w:tcBorders>
              <w:top w:val="single" w:sz="8" w:space="0" w:color="auto"/>
              <w:left w:val="nil"/>
              <w:bottom w:val="single" w:sz="8" w:space="0" w:color="auto"/>
              <w:right w:val="single" w:sz="8" w:space="0" w:color="auto"/>
            </w:tcBorders>
            <w:shd w:val="clear" w:color="000000" w:fill="2E74B5"/>
            <w:vAlign w:val="center"/>
            <w:hideMark/>
          </w:tcPr>
          <w:p w:rsidR="00507CBC" w:rsidRPr="00507CBC" w:rsidRDefault="00507CBC" w:rsidP="00507CBC">
            <w:pPr>
              <w:keepNext w:val="0"/>
              <w:keepLines w:val="0"/>
              <w:spacing w:before="0" w:line="240" w:lineRule="auto"/>
              <w:ind w:firstLine="0"/>
              <w:jc w:val="center"/>
              <w:outlineLvl w:val="9"/>
              <w:rPr>
                <w:rFonts w:eastAsia="Times New Roman"/>
                <w:b/>
                <w:bCs/>
                <w:color w:val="FFFFFF"/>
                <w:lang w:val="es-DO" w:eastAsia="es-DO"/>
              </w:rPr>
            </w:pPr>
            <w:r w:rsidRPr="00507CBC">
              <w:rPr>
                <w:rFonts w:eastAsia="Times New Roman"/>
                <w:b/>
                <w:bCs/>
                <w:color w:val="FFFFFF"/>
                <w:lang w:val="es-DO" w:eastAsia="es-DO"/>
              </w:rPr>
              <w:t>Descripción</w:t>
            </w:r>
          </w:p>
        </w:tc>
      </w:tr>
      <w:tr w:rsidR="00507CBC" w:rsidRPr="00507CBC" w:rsidTr="00507CBC">
        <w:trPr>
          <w:trHeight w:val="1275"/>
        </w:trPr>
        <w:tc>
          <w:tcPr>
            <w:tcW w:w="2320" w:type="dxa"/>
            <w:tcBorders>
              <w:top w:val="nil"/>
              <w:left w:val="single" w:sz="8" w:space="0" w:color="auto"/>
              <w:bottom w:val="single" w:sz="8" w:space="0" w:color="auto"/>
              <w:right w:val="single" w:sz="8" w:space="0" w:color="auto"/>
            </w:tcBorders>
            <w:shd w:val="clear" w:color="auto" w:fill="auto"/>
            <w:vAlign w:val="center"/>
            <w:hideMark/>
          </w:tcPr>
          <w:p w:rsidR="00507CBC" w:rsidRPr="00507CBC" w:rsidRDefault="00507CBC" w:rsidP="00507CBC">
            <w:pPr>
              <w:keepNext w:val="0"/>
              <w:keepLines w:val="0"/>
              <w:spacing w:before="0" w:line="240" w:lineRule="auto"/>
              <w:ind w:firstLine="0"/>
              <w:jc w:val="center"/>
              <w:outlineLvl w:val="9"/>
              <w:rPr>
                <w:rFonts w:eastAsia="Times New Roman"/>
                <w:b/>
                <w:bCs/>
                <w:color w:val="000000"/>
                <w:lang w:val="es-DO" w:eastAsia="es-DO"/>
              </w:rPr>
            </w:pPr>
            <w:r w:rsidRPr="00507CBC">
              <w:rPr>
                <w:rFonts w:eastAsia="Times New Roman"/>
                <w:b/>
                <w:bCs/>
                <w:color w:val="000000"/>
                <w:lang w:val="es-DO" w:eastAsia="es-DO"/>
              </w:rPr>
              <w:t>Decreto No. 85-15</w:t>
            </w:r>
          </w:p>
        </w:tc>
        <w:tc>
          <w:tcPr>
            <w:tcW w:w="5980" w:type="dxa"/>
            <w:tcBorders>
              <w:top w:val="nil"/>
              <w:left w:val="nil"/>
              <w:bottom w:val="single" w:sz="8" w:space="0" w:color="auto"/>
              <w:right w:val="single" w:sz="8" w:space="0" w:color="auto"/>
            </w:tcBorders>
            <w:shd w:val="clear" w:color="auto" w:fill="auto"/>
            <w:vAlign w:val="center"/>
            <w:hideMark/>
          </w:tcPr>
          <w:p w:rsidR="00507CBC" w:rsidRPr="00507CBC" w:rsidRDefault="00507CBC" w:rsidP="00507CBC">
            <w:pPr>
              <w:keepNext w:val="0"/>
              <w:keepLines w:val="0"/>
              <w:spacing w:before="0" w:line="240" w:lineRule="auto"/>
              <w:ind w:firstLine="0"/>
              <w:jc w:val="left"/>
              <w:outlineLvl w:val="9"/>
              <w:rPr>
                <w:rFonts w:eastAsia="Times New Roman"/>
                <w:color w:val="000000"/>
                <w:lang w:val="es-DO" w:eastAsia="es-DO"/>
              </w:rPr>
            </w:pPr>
            <w:r w:rsidRPr="00507CBC">
              <w:rPr>
                <w:rFonts w:eastAsia="Times New Roman"/>
                <w:color w:val="000000"/>
                <w:lang w:val="es-DO" w:eastAsia="es-DO"/>
              </w:rPr>
              <w:t>Integra la Comisión Presidencial para la Reforma Municipal con el objetivo de elaborar, en cumplimiento de la Estrategia Nacional de Desarrollo, una política de reforma municipal y desarrollo local sostenible.</w:t>
            </w:r>
          </w:p>
        </w:tc>
      </w:tr>
      <w:tr w:rsidR="00507CBC" w:rsidRPr="00507CBC" w:rsidTr="00507CBC">
        <w:trPr>
          <w:trHeight w:val="645"/>
        </w:trPr>
        <w:tc>
          <w:tcPr>
            <w:tcW w:w="2320" w:type="dxa"/>
            <w:tcBorders>
              <w:top w:val="nil"/>
              <w:left w:val="single" w:sz="8" w:space="0" w:color="auto"/>
              <w:bottom w:val="single" w:sz="8" w:space="0" w:color="auto"/>
              <w:right w:val="single" w:sz="8" w:space="0" w:color="auto"/>
            </w:tcBorders>
            <w:shd w:val="clear" w:color="auto" w:fill="auto"/>
            <w:vAlign w:val="center"/>
            <w:hideMark/>
          </w:tcPr>
          <w:p w:rsidR="00507CBC" w:rsidRPr="00507CBC" w:rsidRDefault="00507CBC" w:rsidP="00507CBC">
            <w:pPr>
              <w:keepNext w:val="0"/>
              <w:keepLines w:val="0"/>
              <w:spacing w:before="0" w:line="240" w:lineRule="auto"/>
              <w:ind w:firstLine="0"/>
              <w:jc w:val="center"/>
              <w:outlineLvl w:val="9"/>
              <w:rPr>
                <w:rFonts w:eastAsia="Times New Roman"/>
                <w:b/>
                <w:bCs/>
                <w:color w:val="000000"/>
                <w:lang w:val="es-DO" w:eastAsia="es-DO"/>
              </w:rPr>
            </w:pPr>
            <w:r w:rsidRPr="00507CBC">
              <w:rPr>
                <w:rFonts w:eastAsia="Times New Roman"/>
                <w:b/>
                <w:bCs/>
                <w:color w:val="000000"/>
                <w:lang w:val="es-DO" w:eastAsia="es-DO"/>
              </w:rPr>
              <w:t>Decreto No. 183-15</w:t>
            </w:r>
          </w:p>
        </w:tc>
        <w:tc>
          <w:tcPr>
            <w:tcW w:w="5980" w:type="dxa"/>
            <w:tcBorders>
              <w:top w:val="nil"/>
              <w:left w:val="nil"/>
              <w:bottom w:val="single" w:sz="8" w:space="0" w:color="auto"/>
              <w:right w:val="single" w:sz="8" w:space="0" w:color="auto"/>
            </w:tcBorders>
            <w:shd w:val="clear" w:color="auto" w:fill="auto"/>
            <w:vAlign w:val="center"/>
            <w:hideMark/>
          </w:tcPr>
          <w:p w:rsidR="00507CBC" w:rsidRPr="00507CBC" w:rsidRDefault="00507CBC" w:rsidP="00507CBC">
            <w:pPr>
              <w:keepNext w:val="0"/>
              <w:keepLines w:val="0"/>
              <w:spacing w:before="0" w:line="240" w:lineRule="auto"/>
              <w:ind w:firstLine="0"/>
              <w:jc w:val="left"/>
              <w:outlineLvl w:val="9"/>
              <w:rPr>
                <w:rFonts w:eastAsia="Times New Roman"/>
                <w:color w:val="000000"/>
                <w:lang w:val="es-DO" w:eastAsia="es-DO"/>
              </w:rPr>
            </w:pPr>
            <w:r w:rsidRPr="00507CBC">
              <w:rPr>
                <w:rFonts w:eastAsia="Times New Roman"/>
                <w:color w:val="000000"/>
                <w:lang w:val="es-DO" w:eastAsia="es-DO"/>
              </w:rPr>
              <w:t>Establece el Reglamento para el funcionamiento de las Comisiones de Veeduría Ciudadana.</w:t>
            </w:r>
          </w:p>
        </w:tc>
      </w:tr>
      <w:tr w:rsidR="00507CBC" w:rsidRPr="00507CBC" w:rsidTr="00507CBC">
        <w:trPr>
          <w:trHeight w:val="1590"/>
        </w:trPr>
        <w:tc>
          <w:tcPr>
            <w:tcW w:w="2320" w:type="dxa"/>
            <w:tcBorders>
              <w:top w:val="nil"/>
              <w:left w:val="single" w:sz="8" w:space="0" w:color="auto"/>
              <w:bottom w:val="single" w:sz="8" w:space="0" w:color="auto"/>
              <w:right w:val="single" w:sz="8" w:space="0" w:color="auto"/>
            </w:tcBorders>
            <w:shd w:val="clear" w:color="auto" w:fill="auto"/>
            <w:vAlign w:val="center"/>
            <w:hideMark/>
          </w:tcPr>
          <w:p w:rsidR="00507CBC" w:rsidRPr="00507CBC" w:rsidRDefault="00507CBC" w:rsidP="00507CBC">
            <w:pPr>
              <w:keepNext w:val="0"/>
              <w:keepLines w:val="0"/>
              <w:spacing w:before="0" w:line="240" w:lineRule="auto"/>
              <w:ind w:firstLine="0"/>
              <w:jc w:val="center"/>
              <w:outlineLvl w:val="9"/>
              <w:rPr>
                <w:rFonts w:eastAsia="Times New Roman"/>
                <w:b/>
                <w:bCs/>
                <w:color w:val="000000"/>
                <w:lang w:val="es-DO" w:eastAsia="es-DO"/>
              </w:rPr>
            </w:pPr>
            <w:r w:rsidRPr="00507CBC">
              <w:rPr>
                <w:rFonts w:eastAsia="Times New Roman"/>
                <w:b/>
                <w:bCs/>
                <w:color w:val="000000"/>
                <w:lang w:val="es-DO" w:eastAsia="es-DO"/>
              </w:rPr>
              <w:t>Decreto No. 370-15</w:t>
            </w:r>
          </w:p>
        </w:tc>
        <w:tc>
          <w:tcPr>
            <w:tcW w:w="5980" w:type="dxa"/>
            <w:tcBorders>
              <w:top w:val="nil"/>
              <w:left w:val="nil"/>
              <w:bottom w:val="single" w:sz="8" w:space="0" w:color="auto"/>
              <w:right w:val="single" w:sz="8" w:space="0" w:color="auto"/>
            </w:tcBorders>
            <w:shd w:val="clear" w:color="auto" w:fill="auto"/>
            <w:vAlign w:val="center"/>
            <w:hideMark/>
          </w:tcPr>
          <w:p w:rsidR="00507CBC" w:rsidRPr="00507CBC" w:rsidRDefault="00507CBC" w:rsidP="00507CBC">
            <w:pPr>
              <w:keepNext w:val="0"/>
              <w:keepLines w:val="0"/>
              <w:spacing w:before="0" w:line="240" w:lineRule="auto"/>
              <w:ind w:firstLine="0"/>
              <w:jc w:val="left"/>
              <w:outlineLvl w:val="9"/>
              <w:rPr>
                <w:rFonts w:eastAsia="Times New Roman"/>
                <w:color w:val="000000"/>
                <w:lang w:val="es-DO" w:eastAsia="es-DO"/>
              </w:rPr>
            </w:pPr>
            <w:r w:rsidRPr="00507CBC">
              <w:rPr>
                <w:rFonts w:eastAsia="Times New Roman"/>
                <w:color w:val="000000"/>
                <w:lang w:val="es-DO" w:eastAsia="es-DO"/>
              </w:rPr>
              <w:t>Integra la Iniciativa Presidencial para el Apoyo y Promoción de las Micro, Pequeñas y Medianas Empresas (MIPYME), con el objetivo de identificar y promover acciones y reformas que impacten la formalización, productividad y la competitividad del sector.</w:t>
            </w:r>
          </w:p>
        </w:tc>
      </w:tr>
      <w:tr w:rsidR="00507CBC" w:rsidRPr="00507CBC" w:rsidTr="00507CBC">
        <w:trPr>
          <w:trHeight w:val="645"/>
        </w:trPr>
        <w:tc>
          <w:tcPr>
            <w:tcW w:w="2320" w:type="dxa"/>
            <w:tcBorders>
              <w:top w:val="nil"/>
              <w:left w:val="single" w:sz="8" w:space="0" w:color="auto"/>
              <w:bottom w:val="single" w:sz="8" w:space="0" w:color="auto"/>
              <w:right w:val="single" w:sz="8" w:space="0" w:color="auto"/>
            </w:tcBorders>
            <w:shd w:val="clear" w:color="auto" w:fill="auto"/>
            <w:vAlign w:val="center"/>
            <w:hideMark/>
          </w:tcPr>
          <w:p w:rsidR="00507CBC" w:rsidRPr="00507CBC" w:rsidRDefault="00507CBC" w:rsidP="00507CBC">
            <w:pPr>
              <w:keepNext w:val="0"/>
              <w:keepLines w:val="0"/>
              <w:spacing w:before="0" w:line="240" w:lineRule="auto"/>
              <w:ind w:firstLine="0"/>
              <w:jc w:val="center"/>
              <w:outlineLvl w:val="9"/>
              <w:rPr>
                <w:rFonts w:eastAsia="Times New Roman"/>
                <w:b/>
                <w:bCs/>
                <w:color w:val="000000"/>
                <w:lang w:val="es-DO" w:eastAsia="es-DO"/>
              </w:rPr>
            </w:pPr>
            <w:r w:rsidRPr="00507CBC">
              <w:rPr>
                <w:rFonts w:eastAsia="Times New Roman"/>
                <w:b/>
                <w:bCs/>
                <w:color w:val="000000"/>
                <w:lang w:val="es-DO" w:eastAsia="es-DO"/>
              </w:rPr>
              <w:t xml:space="preserve">Decreto No. 363-16 </w:t>
            </w:r>
          </w:p>
        </w:tc>
        <w:tc>
          <w:tcPr>
            <w:tcW w:w="5980" w:type="dxa"/>
            <w:tcBorders>
              <w:top w:val="nil"/>
              <w:left w:val="nil"/>
              <w:bottom w:val="single" w:sz="8" w:space="0" w:color="auto"/>
              <w:right w:val="single" w:sz="8" w:space="0" w:color="auto"/>
            </w:tcBorders>
            <w:shd w:val="clear" w:color="auto" w:fill="auto"/>
            <w:vAlign w:val="center"/>
            <w:hideMark/>
          </w:tcPr>
          <w:p w:rsidR="00507CBC" w:rsidRPr="00507CBC" w:rsidRDefault="00507CBC" w:rsidP="00507CBC">
            <w:pPr>
              <w:keepNext w:val="0"/>
              <w:keepLines w:val="0"/>
              <w:spacing w:before="0" w:line="240" w:lineRule="auto"/>
              <w:ind w:firstLine="0"/>
              <w:jc w:val="left"/>
              <w:outlineLvl w:val="9"/>
              <w:rPr>
                <w:rFonts w:eastAsia="Times New Roman"/>
                <w:color w:val="000000"/>
                <w:lang w:val="es-DO" w:eastAsia="es-DO"/>
              </w:rPr>
            </w:pPr>
            <w:r w:rsidRPr="00507CBC">
              <w:rPr>
                <w:rFonts w:eastAsia="Times New Roman"/>
                <w:color w:val="000000"/>
                <w:lang w:val="es-DO" w:eastAsia="es-DO"/>
              </w:rPr>
              <w:t>Decreto que crea el reglamento de aplicación de la Ley 5-13, la cual versa sobre la discapacidad en la República Dominicana.</w:t>
            </w:r>
          </w:p>
        </w:tc>
      </w:tr>
      <w:tr w:rsidR="00507CBC" w:rsidRPr="00507CBC" w:rsidTr="00507CBC">
        <w:trPr>
          <w:trHeight w:val="960"/>
        </w:trPr>
        <w:tc>
          <w:tcPr>
            <w:tcW w:w="2320" w:type="dxa"/>
            <w:tcBorders>
              <w:top w:val="nil"/>
              <w:left w:val="single" w:sz="8" w:space="0" w:color="auto"/>
              <w:bottom w:val="single" w:sz="8" w:space="0" w:color="auto"/>
              <w:right w:val="single" w:sz="8" w:space="0" w:color="auto"/>
            </w:tcBorders>
            <w:shd w:val="clear" w:color="auto" w:fill="auto"/>
            <w:vAlign w:val="center"/>
            <w:hideMark/>
          </w:tcPr>
          <w:p w:rsidR="00507CBC" w:rsidRPr="00507CBC" w:rsidRDefault="00507CBC" w:rsidP="00507CBC">
            <w:pPr>
              <w:keepNext w:val="0"/>
              <w:keepLines w:val="0"/>
              <w:spacing w:before="0" w:line="240" w:lineRule="auto"/>
              <w:ind w:firstLine="0"/>
              <w:jc w:val="center"/>
              <w:outlineLvl w:val="9"/>
              <w:rPr>
                <w:rFonts w:eastAsia="Times New Roman"/>
                <w:b/>
                <w:bCs/>
                <w:color w:val="000000"/>
                <w:lang w:val="es-DO" w:eastAsia="es-DO"/>
              </w:rPr>
            </w:pPr>
            <w:r w:rsidRPr="00507CBC">
              <w:rPr>
                <w:rFonts w:eastAsia="Times New Roman"/>
                <w:b/>
                <w:bCs/>
                <w:color w:val="000000"/>
                <w:lang w:val="es-DO" w:eastAsia="es-DO"/>
              </w:rPr>
              <w:t>Decreto No. 15-17</w:t>
            </w:r>
          </w:p>
        </w:tc>
        <w:tc>
          <w:tcPr>
            <w:tcW w:w="5980" w:type="dxa"/>
            <w:tcBorders>
              <w:top w:val="nil"/>
              <w:left w:val="nil"/>
              <w:bottom w:val="single" w:sz="8" w:space="0" w:color="auto"/>
              <w:right w:val="single" w:sz="8" w:space="0" w:color="auto"/>
            </w:tcBorders>
            <w:shd w:val="clear" w:color="auto" w:fill="auto"/>
            <w:vAlign w:val="center"/>
            <w:hideMark/>
          </w:tcPr>
          <w:p w:rsidR="00507CBC" w:rsidRPr="00507CBC" w:rsidRDefault="00507CBC" w:rsidP="00507CBC">
            <w:pPr>
              <w:keepNext w:val="0"/>
              <w:keepLines w:val="0"/>
              <w:spacing w:before="0" w:line="240" w:lineRule="auto"/>
              <w:ind w:firstLine="0"/>
              <w:jc w:val="left"/>
              <w:outlineLvl w:val="9"/>
              <w:rPr>
                <w:rFonts w:eastAsia="Times New Roman"/>
                <w:color w:val="000000"/>
                <w:lang w:val="es-DO" w:eastAsia="es-DO"/>
              </w:rPr>
            </w:pPr>
            <w:r w:rsidRPr="00507CBC">
              <w:rPr>
                <w:rFonts w:eastAsia="Times New Roman"/>
                <w:color w:val="000000"/>
                <w:lang w:val="es-DO" w:eastAsia="es-DO"/>
              </w:rPr>
              <w:t>De control de gastos y pago a proveedores, para mejorar la transparencia en las compras públicas y asegurar el pago expedito a los proveedores.</w:t>
            </w:r>
          </w:p>
        </w:tc>
      </w:tr>
      <w:tr w:rsidR="00507CBC" w:rsidRPr="00507CBC" w:rsidTr="00507CBC">
        <w:trPr>
          <w:trHeight w:val="960"/>
        </w:trPr>
        <w:tc>
          <w:tcPr>
            <w:tcW w:w="2320" w:type="dxa"/>
            <w:tcBorders>
              <w:top w:val="nil"/>
              <w:left w:val="single" w:sz="8" w:space="0" w:color="auto"/>
              <w:bottom w:val="single" w:sz="8" w:space="0" w:color="auto"/>
              <w:right w:val="single" w:sz="8" w:space="0" w:color="auto"/>
            </w:tcBorders>
            <w:shd w:val="clear" w:color="auto" w:fill="auto"/>
            <w:vAlign w:val="center"/>
            <w:hideMark/>
          </w:tcPr>
          <w:p w:rsidR="00507CBC" w:rsidRPr="00507CBC" w:rsidRDefault="00507CBC" w:rsidP="00507CBC">
            <w:pPr>
              <w:keepNext w:val="0"/>
              <w:keepLines w:val="0"/>
              <w:spacing w:before="0" w:line="240" w:lineRule="auto"/>
              <w:ind w:firstLine="0"/>
              <w:jc w:val="center"/>
              <w:outlineLvl w:val="9"/>
              <w:rPr>
                <w:rFonts w:eastAsia="Times New Roman"/>
                <w:b/>
                <w:bCs/>
                <w:color w:val="000000"/>
                <w:lang w:val="es-DO" w:eastAsia="es-DO"/>
              </w:rPr>
            </w:pPr>
            <w:r w:rsidRPr="00507CBC">
              <w:rPr>
                <w:rFonts w:eastAsia="Times New Roman"/>
                <w:b/>
                <w:bCs/>
                <w:color w:val="000000"/>
                <w:lang w:val="es-DO" w:eastAsia="es-DO"/>
              </w:rPr>
              <w:t>Decreto No. 350-17</w:t>
            </w:r>
          </w:p>
        </w:tc>
        <w:tc>
          <w:tcPr>
            <w:tcW w:w="5980" w:type="dxa"/>
            <w:tcBorders>
              <w:top w:val="nil"/>
              <w:left w:val="nil"/>
              <w:bottom w:val="single" w:sz="8" w:space="0" w:color="auto"/>
              <w:right w:val="single" w:sz="8" w:space="0" w:color="auto"/>
            </w:tcBorders>
            <w:shd w:val="clear" w:color="auto" w:fill="auto"/>
            <w:vAlign w:val="center"/>
            <w:hideMark/>
          </w:tcPr>
          <w:p w:rsidR="00507CBC" w:rsidRPr="00507CBC" w:rsidRDefault="00507CBC" w:rsidP="00507CBC">
            <w:pPr>
              <w:keepNext w:val="0"/>
              <w:keepLines w:val="0"/>
              <w:spacing w:before="0" w:line="240" w:lineRule="auto"/>
              <w:ind w:firstLine="0"/>
              <w:jc w:val="left"/>
              <w:outlineLvl w:val="9"/>
              <w:rPr>
                <w:rFonts w:eastAsia="Times New Roman"/>
                <w:color w:val="000000"/>
                <w:lang w:val="es-DO" w:eastAsia="es-DO"/>
              </w:rPr>
            </w:pPr>
            <w:r w:rsidRPr="00507CBC">
              <w:rPr>
                <w:rFonts w:eastAsia="Times New Roman"/>
                <w:color w:val="000000"/>
                <w:lang w:val="es-DO" w:eastAsia="es-DO"/>
              </w:rPr>
              <w:t>Ordena la obligatoriedad del uso del Portal Transaccional a las instituciones del Estado que abarca la Ley No. 340-06 y su reglamento de aplicación.</w:t>
            </w:r>
          </w:p>
        </w:tc>
      </w:tr>
      <w:tr w:rsidR="00507CBC" w:rsidRPr="00507CBC" w:rsidTr="00507CBC">
        <w:trPr>
          <w:trHeight w:val="1275"/>
        </w:trPr>
        <w:tc>
          <w:tcPr>
            <w:tcW w:w="2320" w:type="dxa"/>
            <w:tcBorders>
              <w:top w:val="nil"/>
              <w:left w:val="single" w:sz="8" w:space="0" w:color="auto"/>
              <w:bottom w:val="single" w:sz="8" w:space="0" w:color="auto"/>
              <w:right w:val="single" w:sz="8" w:space="0" w:color="auto"/>
            </w:tcBorders>
            <w:shd w:val="clear" w:color="auto" w:fill="auto"/>
            <w:vAlign w:val="center"/>
            <w:hideMark/>
          </w:tcPr>
          <w:p w:rsidR="00507CBC" w:rsidRPr="00507CBC" w:rsidRDefault="00507CBC" w:rsidP="00507CBC">
            <w:pPr>
              <w:keepNext w:val="0"/>
              <w:keepLines w:val="0"/>
              <w:spacing w:before="0" w:line="240" w:lineRule="auto"/>
              <w:ind w:firstLine="0"/>
              <w:jc w:val="center"/>
              <w:outlineLvl w:val="9"/>
              <w:rPr>
                <w:rFonts w:eastAsia="Times New Roman"/>
                <w:b/>
                <w:bCs/>
                <w:color w:val="000000"/>
                <w:lang w:val="es-DO" w:eastAsia="es-DO"/>
              </w:rPr>
            </w:pPr>
            <w:r w:rsidRPr="00507CBC">
              <w:rPr>
                <w:rFonts w:eastAsia="Times New Roman"/>
                <w:b/>
                <w:bCs/>
                <w:color w:val="000000"/>
                <w:lang w:val="es-DO" w:eastAsia="es-DO"/>
              </w:rPr>
              <w:t>Decreto No. 168-19</w:t>
            </w:r>
          </w:p>
        </w:tc>
        <w:tc>
          <w:tcPr>
            <w:tcW w:w="5980" w:type="dxa"/>
            <w:tcBorders>
              <w:top w:val="nil"/>
              <w:left w:val="nil"/>
              <w:bottom w:val="single" w:sz="8" w:space="0" w:color="auto"/>
              <w:right w:val="single" w:sz="8" w:space="0" w:color="auto"/>
            </w:tcBorders>
            <w:shd w:val="clear" w:color="auto" w:fill="auto"/>
            <w:vAlign w:val="center"/>
            <w:hideMark/>
          </w:tcPr>
          <w:p w:rsidR="00507CBC" w:rsidRPr="00507CBC" w:rsidRDefault="00507CBC" w:rsidP="00507CBC">
            <w:pPr>
              <w:keepNext w:val="0"/>
              <w:keepLines w:val="0"/>
              <w:spacing w:before="0" w:line="240" w:lineRule="auto"/>
              <w:ind w:firstLine="0"/>
              <w:jc w:val="left"/>
              <w:outlineLvl w:val="9"/>
              <w:rPr>
                <w:rFonts w:eastAsia="Times New Roman"/>
                <w:color w:val="000000"/>
                <w:lang w:val="es-DO" w:eastAsia="es-DO"/>
              </w:rPr>
            </w:pPr>
            <w:r w:rsidRPr="00507CBC">
              <w:rPr>
                <w:rFonts w:eastAsia="Times New Roman"/>
                <w:color w:val="000000"/>
                <w:lang w:val="es-DO" w:eastAsia="es-DO"/>
              </w:rPr>
              <w:t>Dispone que todas las compras del Estado para programas de alivio de la pobreza, alimentación escolar y otros se hagan exclusivamente de productos agropecuarios nacionales y directamente a los productores.</w:t>
            </w:r>
            <w:r w:rsidRPr="00507CBC">
              <w:rPr>
                <w:rFonts w:eastAsia="Times New Roman"/>
                <w:color w:val="000000"/>
                <w:lang w:val="es-DO" w:eastAsia="es-DO"/>
              </w:rPr>
              <w:t>‬</w:t>
            </w:r>
          </w:p>
        </w:tc>
      </w:tr>
    </w:tbl>
    <w:p w:rsidR="00003C68" w:rsidRPr="00A01FEA" w:rsidRDefault="007F31F6" w:rsidP="006533DC">
      <w:pPr>
        <w:ind w:firstLine="0"/>
        <w:jc w:val="right"/>
        <w:rPr>
          <w:sz w:val="16"/>
          <w:szCs w:val="16"/>
        </w:rPr>
      </w:pPr>
      <w:r>
        <w:rPr>
          <w:sz w:val="16"/>
          <w:szCs w:val="16"/>
        </w:rPr>
        <w:t>Tabla</w:t>
      </w:r>
      <w:r w:rsidR="00003C68" w:rsidRPr="00A01FEA">
        <w:rPr>
          <w:sz w:val="16"/>
          <w:szCs w:val="16"/>
        </w:rPr>
        <w:t>: Base legal</w:t>
      </w:r>
      <w:r>
        <w:rPr>
          <w:sz w:val="16"/>
          <w:szCs w:val="16"/>
        </w:rPr>
        <w:t xml:space="preserve"> institucional</w:t>
      </w:r>
      <w:r w:rsidR="00003C68" w:rsidRPr="00A01FEA">
        <w:rPr>
          <w:sz w:val="16"/>
          <w:szCs w:val="16"/>
        </w:rPr>
        <w:t>.</w:t>
      </w:r>
    </w:p>
    <w:p w:rsidR="00352DCE" w:rsidRDefault="006533DC" w:rsidP="00713DE6">
      <w:pPr>
        <w:pStyle w:val="Ttulo2"/>
      </w:pPr>
      <w:r>
        <w:br w:type="page"/>
      </w:r>
      <w:r w:rsidR="00BA0AC4">
        <w:t>Principales F</w:t>
      </w:r>
      <w:r w:rsidR="00352DCE" w:rsidRPr="00F4323B">
        <w:t>uncionarios</w:t>
      </w:r>
    </w:p>
    <w:p w:rsidR="00E75B80" w:rsidRDefault="00E75B80" w:rsidP="00E75B80">
      <w:pPr>
        <w:ind w:firstLine="0"/>
        <w:jc w:val="center"/>
        <w:rPr>
          <w:sz w:val="20"/>
          <w:szCs w:val="20"/>
        </w:rPr>
      </w:pPr>
      <w:r>
        <w:rPr>
          <w:noProof/>
          <w:lang w:val="es-DO" w:eastAsia="es-DO"/>
        </w:rPr>
        <w:drawing>
          <wp:anchor distT="0" distB="0" distL="114300" distR="114300" simplePos="0" relativeHeight="251713536" behindDoc="0" locked="0" layoutInCell="1" allowOverlap="1">
            <wp:simplePos x="0" y="0"/>
            <wp:positionH relativeFrom="margin">
              <wp:posOffset>463550</wp:posOffset>
            </wp:positionH>
            <wp:positionV relativeFrom="margin">
              <wp:posOffset>447675</wp:posOffset>
            </wp:positionV>
            <wp:extent cx="2531655" cy="1556732"/>
            <wp:effectExtent l="0" t="0" r="2540" b="5715"/>
            <wp:wrapSquare wrapText="bothSides"/>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555550" cy="1571425"/>
                    </a:xfrm>
                    <a:prstGeom prst="rect">
                      <a:avLst/>
                    </a:prstGeom>
                  </pic:spPr>
                </pic:pic>
              </a:graphicData>
            </a:graphic>
            <wp14:sizeRelH relativeFrom="margin">
              <wp14:pctWidth>0</wp14:pctWidth>
            </wp14:sizeRelH>
            <wp14:sizeRelV relativeFrom="margin">
              <wp14:pctHeight>0</wp14:pctHeight>
            </wp14:sizeRelV>
          </wp:anchor>
        </w:drawing>
      </w:r>
    </w:p>
    <w:p w:rsidR="00E75B80" w:rsidRDefault="00E75B80" w:rsidP="00E75B80">
      <w:pPr>
        <w:ind w:firstLine="0"/>
        <w:jc w:val="center"/>
        <w:rPr>
          <w:sz w:val="20"/>
          <w:szCs w:val="20"/>
        </w:rPr>
      </w:pPr>
    </w:p>
    <w:p w:rsidR="00105772" w:rsidRPr="007D3AA4" w:rsidRDefault="0083435C" w:rsidP="00105772">
      <w:pPr>
        <w:ind w:firstLine="0"/>
        <w:jc w:val="center"/>
        <w:rPr>
          <w:sz w:val="20"/>
          <w:szCs w:val="20"/>
        </w:rPr>
      </w:pPr>
      <w:r>
        <w:rPr>
          <w:noProof/>
          <w:lang w:val="es-DO" w:eastAsia="es-DO"/>
        </w:rPr>
        <w:drawing>
          <wp:anchor distT="0" distB="0" distL="114300" distR="114300" simplePos="0" relativeHeight="251714560" behindDoc="0" locked="0" layoutInCell="1" allowOverlap="1" wp14:anchorId="2EB9F840" wp14:editId="2F756A25">
            <wp:simplePos x="0" y="0"/>
            <wp:positionH relativeFrom="margin">
              <wp:posOffset>521335</wp:posOffset>
            </wp:positionH>
            <wp:positionV relativeFrom="margin">
              <wp:posOffset>2144395</wp:posOffset>
            </wp:positionV>
            <wp:extent cx="3152775" cy="1580319"/>
            <wp:effectExtent l="0" t="0" r="0" b="1270"/>
            <wp:wrapSquare wrapText="bothSides"/>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3152775" cy="1580319"/>
                    </a:xfrm>
                    <a:prstGeom prst="rect">
                      <a:avLst/>
                    </a:prstGeom>
                  </pic:spPr>
                </pic:pic>
              </a:graphicData>
            </a:graphic>
            <wp14:sizeRelH relativeFrom="margin">
              <wp14:pctWidth>0</wp14:pctWidth>
            </wp14:sizeRelH>
            <wp14:sizeRelV relativeFrom="margin">
              <wp14:pctHeight>0</wp14:pctHeight>
            </wp14:sizeRelV>
          </wp:anchor>
        </w:drawing>
      </w:r>
    </w:p>
    <w:p w:rsidR="00DC4873" w:rsidRDefault="00E74625" w:rsidP="00E75B80">
      <w:pPr>
        <w:keepNext w:val="0"/>
        <w:keepLines w:val="0"/>
        <w:spacing w:before="0" w:after="160" w:line="259" w:lineRule="auto"/>
        <w:ind w:firstLine="0"/>
        <w:jc w:val="center"/>
        <w:outlineLvl w:val="9"/>
        <w:rPr>
          <w:sz w:val="32"/>
          <w:szCs w:val="32"/>
        </w:rPr>
      </w:pPr>
      <w:r>
        <w:rPr>
          <w:noProof/>
          <w:lang w:val="es-DO" w:eastAsia="es-DO"/>
        </w:rPr>
        <w:drawing>
          <wp:inline distT="0" distB="0" distL="0" distR="0" wp14:anchorId="2DA77481" wp14:editId="7ACD9128">
            <wp:extent cx="4781550" cy="3819525"/>
            <wp:effectExtent l="0" t="0" r="0" b="952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781550" cy="3819525"/>
                    </a:xfrm>
                    <a:prstGeom prst="rect">
                      <a:avLst/>
                    </a:prstGeom>
                  </pic:spPr>
                </pic:pic>
              </a:graphicData>
            </a:graphic>
          </wp:inline>
        </w:drawing>
      </w:r>
      <w:r w:rsidR="00DC4873">
        <w:rPr>
          <w:sz w:val="32"/>
          <w:szCs w:val="32"/>
        </w:rPr>
        <w:br w:type="page"/>
      </w:r>
    </w:p>
    <w:p w:rsidR="00DC4873" w:rsidRDefault="00352DCE" w:rsidP="00DC4873">
      <w:pPr>
        <w:pStyle w:val="Ttulo2"/>
      </w:pPr>
      <w:r w:rsidRPr="00F4323B">
        <w:t>Misión, Visión y Valores Institucionales.</w:t>
      </w:r>
    </w:p>
    <w:p w:rsidR="00DC4873" w:rsidRDefault="00DC4873" w:rsidP="00DC4873">
      <w:pPr>
        <w:ind w:firstLine="0"/>
        <w:jc w:val="center"/>
        <w:rPr>
          <w:sz w:val="16"/>
          <w:szCs w:val="16"/>
        </w:rPr>
      </w:pPr>
      <w:r>
        <w:rPr>
          <w:noProof/>
          <w:sz w:val="32"/>
          <w:szCs w:val="32"/>
          <w:lang w:val="es-DO" w:eastAsia="es-DO"/>
        </w:rPr>
        <w:drawing>
          <wp:inline distT="0" distB="0" distL="0" distR="0" wp14:anchorId="137EDDAB">
            <wp:extent cx="5073640" cy="5667375"/>
            <wp:effectExtent l="0" t="0" r="635" b="0"/>
            <wp:docPr id="336" name="Imagen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b="9931"/>
                    <a:stretch/>
                  </pic:blipFill>
                  <pic:spPr bwMode="auto">
                    <a:xfrm>
                      <a:off x="0" y="0"/>
                      <a:ext cx="5073640" cy="5667375"/>
                    </a:xfrm>
                    <a:prstGeom prst="rect">
                      <a:avLst/>
                    </a:prstGeom>
                    <a:noFill/>
                    <a:ln>
                      <a:noFill/>
                    </a:ln>
                    <a:extLst>
                      <a:ext uri="{53640926-AAD7-44D8-BBD7-CCE9431645EC}">
                        <a14:shadowObscured xmlns:a14="http://schemas.microsoft.com/office/drawing/2010/main"/>
                      </a:ext>
                    </a:extLst>
                  </pic:spPr>
                </pic:pic>
              </a:graphicData>
            </a:graphic>
          </wp:inline>
        </w:drawing>
      </w:r>
    </w:p>
    <w:p w:rsidR="00352DCE" w:rsidRPr="00E930CE" w:rsidRDefault="00D063DA" w:rsidP="00093277">
      <w:pPr>
        <w:ind w:firstLine="0"/>
        <w:rPr>
          <w:sz w:val="16"/>
          <w:szCs w:val="16"/>
        </w:rPr>
      </w:pPr>
      <w:r w:rsidRPr="009B14D9">
        <w:rPr>
          <w:noProof/>
          <w:sz w:val="20"/>
          <w:szCs w:val="20"/>
          <w:lang w:val="es-DO" w:eastAsia="es-DO"/>
        </w:rPr>
        <w:drawing>
          <wp:anchor distT="0" distB="0" distL="114300" distR="114300" simplePos="0" relativeHeight="251672576" behindDoc="1" locked="0" layoutInCell="1" allowOverlap="1" wp14:anchorId="5A42E6AE" wp14:editId="539891C1">
            <wp:simplePos x="0" y="0"/>
            <wp:positionH relativeFrom="column">
              <wp:posOffset>-669925</wp:posOffset>
            </wp:positionH>
            <wp:positionV relativeFrom="paragraph">
              <wp:posOffset>0</wp:posOffset>
            </wp:positionV>
            <wp:extent cx="6038850" cy="7324725"/>
            <wp:effectExtent l="0" t="0" r="635" b="0"/>
            <wp:wrapTight wrapText="bothSides">
              <wp:wrapPolygon edited="0">
                <wp:start x="0" y="0"/>
                <wp:lineTo x="0" y="21540"/>
                <wp:lineTo x="21529" y="21540"/>
                <wp:lineTo x="21529" y="0"/>
                <wp:lineTo x="0" y="0"/>
              </wp:wrapPolygon>
            </wp:wrapTight>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isión, visión, valores_PARED .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038850" cy="7324725"/>
                    </a:xfrm>
                    <a:prstGeom prst="rect">
                      <a:avLst/>
                    </a:prstGeom>
                  </pic:spPr>
                </pic:pic>
              </a:graphicData>
            </a:graphic>
            <wp14:sizeRelH relativeFrom="margin">
              <wp14:pctWidth>0</wp14:pctWidth>
            </wp14:sizeRelH>
            <wp14:sizeRelV relativeFrom="margin">
              <wp14:pctHeight>0</wp14:pctHeight>
            </wp14:sizeRelV>
          </wp:anchor>
        </w:drawing>
      </w:r>
    </w:p>
    <w:p w:rsidR="001D286A" w:rsidRDefault="001D286A">
      <w:pPr>
        <w:keepNext w:val="0"/>
        <w:keepLines w:val="0"/>
        <w:spacing w:before="0" w:after="160" w:line="259" w:lineRule="auto"/>
        <w:ind w:firstLine="0"/>
        <w:jc w:val="left"/>
        <w:outlineLvl w:val="9"/>
        <w:rPr>
          <w:sz w:val="32"/>
          <w:szCs w:val="32"/>
        </w:rPr>
      </w:pPr>
      <w:bookmarkStart w:id="10" w:name="_Toc21590791"/>
      <w:bookmarkStart w:id="11" w:name="_Toc21593780"/>
      <w:bookmarkStart w:id="12" w:name="_Toc21594027"/>
      <w:r>
        <w:br w:type="page"/>
      </w:r>
    </w:p>
    <w:p w:rsidR="00A803BF" w:rsidRDefault="00A803BF" w:rsidP="00D153F4">
      <w:pPr>
        <w:pStyle w:val="Ttulo1"/>
      </w:pPr>
      <w:r w:rsidRPr="00200F2E">
        <w:t>IV. Resultados de la Gestión del Año</w:t>
      </w:r>
      <w:bookmarkEnd w:id="10"/>
      <w:bookmarkEnd w:id="11"/>
      <w:bookmarkEnd w:id="12"/>
    </w:p>
    <w:p w:rsidR="005F7B60" w:rsidRDefault="005F7B60" w:rsidP="00C9669C">
      <w:pPr>
        <w:pStyle w:val="Textoindependiente"/>
      </w:pPr>
      <w:r>
        <w:t>La Dirección General ha logrado la consolidación del Sistema Nacional de Contrataciones Públicas (SNCCP), desde la perspectiva de la transparencia y lucha contra la corrupción, presentando un sistema de contrataciones fortalecido, que apoya la transformación de la política pública de adquisiciones, mediante herramientas de producción y sistematización de información, apoyando la función de compras en las instituciones del Estado dominicano, y al mismo tiempo garantizando la participación económica de grupos en condiciones de vulnerabilidad.</w:t>
      </w:r>
    </w:p>
    <w:p w:rsidR="0084618C" w:rsidRPr="00C9669C" w:rsidRDefault="005F7B60" w:rsidP="00C9669C">
      <w:pPr>
        <w:pStyle w:val="Textoindependiente"/>
      </w:pPr>
      <w:r w:rsidRPr="00C9669C">
        <w:rPr>
          <w:noProof/>
          <w:lang w:val="es-DO" w:eastAsia="es-DO"/>
        </w:rPr>
        <mc:AlternateContent>
          <mc:Choice Requires="wps">
            <w:drawing>
              <wp:anchor distT="45720" distB="45720" distL="114300" distR="114300" simplePos="0" relativeHeight="251685888" behindDoc="0" locked="0" layoutInCell="1" allowOverlap="1" wp14:anchorId="51B2BAEE" wp14:editId="50BA1A92">
                <wp:simplePos x="0" y="0"/>
                <wp:positionH relativeFrom="column">
                  <wp:posOffset>1303655</wp:posOffset>
                </wp:positionH>
                <wp:positionV relativeFrom="paragraph">
                  <wp:posOffset>1569085</wp:posOffset>
                </wp:positionV>
                <wp:extent cx="3357245" cy="1404620"/>
                <wp:effectExtent l="57150" t="57150" r="357505" b="34607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7245" cy="1404620"/>
                        </a:xfrm>
                        <a:prstGeom prst="rect">
                          <a:avLst/>
                        </a:prstGeom>
                        <a:solidFill>
                          <a:srgbClr val="FFFFFF"/>
                        </a:solidFill>
                        <a:ln w="3175">
                          <a:noFill/>
                          <a:prstDash val="solid"/>
                          <a:miter lim="800000"/>
                          <a:headEnd/>
                          <a:tailEnd/>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txbx>
                        <w:txbxContent>
                          <w:p w:rsidR="007F31F6" w:rsidRPr="00114971" w:rsidRDefault="007F31F6" w:rsidP="005F7B60">
                            <w:pPr>
                              <w:spacing w:line="240" w:lineRule="auto"/>
                              <w:ind w:firstLine="0"/>
                              <w:rPr>
                                <w:b/>
                                <w:color w:val="4472C4" w:themeColor="accent5"/>
                                <w:sz w:val="22"/>
                              </w:rPr>
                            </w:pPr>
                            <w:r w:rsidRPr="00114971">
                              <w:rPr>
                                <w:b/>
                                <w:color w:val="4472C4" w:themeColor="accent5"/>
                                <w:sz w:val="22"/>
                              </w:rPr>
                              <w:t>PROCESOS REGISTRADOS (ENE-SEPT 2019)</w:t>
                            </w:r>
                          </w:p>
                          <w:p w:rsidR="007F31F6" w:rsidRPr="00114971" w:rsidRDefault="007F31F6" w:rsidP="005F7B60">
                            <w:pPr>
                              <w:spacing w:line="240" w:lineRule="auto"/>
                              <w:jc w:val="right"/>
                              <w:rPr>
                                <w:sz w:val="22"/>
                              </w:rPr>
                            </w:pPr>
                            <w:r w:rsidRPr="00114971">
                              <w:rPr>
                                <w:rFonts w:ascii="Agency FB" w:hAnsi="Agency FB"/>
                                <w:color w:val="44546A" w:themeColor="text2"/>
                                <w:sz w:val="22"/>
                              </w:rPr>
                              <w:t>Cantidad de Procesos</w:t>
                            </w:r>
                            <w:r w:rsidRPr="00114971">
                              <w:rPr>
                                <w:color w:val="44546A" w:themeColor="text2"/>
                                <w:sz w:val="28"/>
                              </w:rPr>
                              <w:t xml:space="preserve"> </w:t>
                            </w:r>
                            <w:r w:rsidRPr="00114971">
                              <w:rPr>
                                <w:sz w:val="22"/>
                              </w:rPr>
                              <w:t xml:space="preserve"> </w:t>
                            </w:r>
                            <w:r w:rsidRPr="00114971">
                              <w:rPr>
                                <w:color w:val="5B9BD5" w:themeColor="accent1"/>
                                <w:sz w:val="40"/>
                                <w:szCs w:val="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59,318</w:t>
                            </w:r>
                            <w:r w:rsidRPr="00114971">
                              <w:rPr>
                                <w:color w:val="5B9BD5" w:themeColor="accent1"/>
                                <w:sz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rsidR="007F31F6" w:rsidRPr="00114971" w:rsidRDefault="007F31F6" w:rsidP="005F7B60">
                            <w:pPr>
                              <w:spacing w:line="240" w:lineRule="auto"/>
                              <w:jc w:val="right"/>
                              <w:rPr>
                                <w:sz w:val="22"/>
                              </w:rPr>
                            </w:pPr>
                            <w:r w:rsidRPr="00114971">
                              <w:rPr>
                                <w:rFonts w:ascii="Agency FB" w:hAnsi="Agency FB"/>
                                <w:color w:val="44546A" w:themeColor="text2"/>
                                <w:sz w:val="22"/>
                              </w:rPr>
                              <w:t>Monto Transparentado</w:t>
                            </w:r>
                            <w:r w:rsidRPr="00114971">
                              <w:rPr>
                                <w:color w:val="44546A" w:themeColor="text2"/>
                                <w:sz w:val="22"/>
                              </w:rPr>
                              <w:t xml:space="preserve">  </w:t>
                            </w:r>
                            <w:r w:rsidRPr="00114971">
                              <w:rPr>
                                <w:color w:val="5B9BD5" w:themeColor="accent1"/>
                                <w:sz w:val="40"/>
                                <w:szCs w:val="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RD$ 74,637.6</w:t>
                            </w:r>
                            <w:r w:rsidRPr="00114971">
                              <w:rPr>
                                <w:sz w:val="1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1B2BAEE" id="_x0000_t202" coordsize="21600,21600" o:spt="202" path="m,l,21600r21600,l21600,xe">
                <v:stroke joinstyle="miter"/>
                <v:path gradientshapeok="t" o:connecttype="rect"/>
              </v:shapetype>
              <v:shape id="Cuadro de texto 2" o:spid="_x0000_s1026" type="#_x0000_t202" style="position:absolute;left:0;text-align:left;margin-left:102.65pt;margin-top:123.55pt;width:264.35pt;height:110.6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" stroked="f" strokeweight=".25pt">
                <v:shadow on="t" color="black" opacity="19660f" offset="4.49014mm,4.49014mm"/>
                <v:textbox style="mso-fit-shape-to-text:t">
                  <w:txbxContent>
                    <w:p w:rsidR="007F31F6" w:rsidRPr="00114971" w:rsidRDefault="007F31F6" w:rsidP="005F7B60">
                      <w:pPr>
                        <w:spacing w:line="240" w:lineRule="auto"/>
                        <w:ind w:firstLine="0"/>
                        <w:rPr>
                          <w:b/>
                          <w:color w:val="4472C4" w:themeColor="accent5"/>
                          <w:sz w:val="22"/>
                        </w:rPr>
                      </w:pPr>
                      <w:r w:rsidRPr="00114971">
                        <w:rPr>
                          <w:b/>
                          <w:color w:val="4472C4" w:themeColor="accent5"/>
                          <w:sz w:val="22"/>
                        </w:rPr>
                        <w:t>PROCESOS REGISTRADOS (ENE-SEPT 2019)</w:t>
                      </w:r>
                    </w:p>
                    <w:p w:rsidR="007F31F6" w:rsidRPr="00114971" w:rsidRDefault="007F31F6" w:rsidP="005F7B60">
                      <w:pPr>
                        <w:spacing w:line="240" w:lineRule="auto"/>
                        <w:jc w:val="right"/>
                        <w:rPr>
                          <w:sz w:val="22"/>
                        </w:rPr>
                      </w:pPr>
                      <w:r w:rsidRPr="00114971">
                        <w:rPr>
                          <w:rFonts w:ascii="Agency FB" w:hAnsi="Agency FB"/>
                          <w:color w:val="44546A" w:themeColor="text2"/>
                          <w:sz w:val="22"/>
                        </w:rPr>
                        <w:t>Cantidad de Procesos</w:t>
                      </w:r>
                      <w:r w:rsidRPr="00114971">
                        <w:rPr>
                          <w:color w:val="44546A" w:themeColor="text2"/>
                          <w:sz w:val="28"/>
                        </w:rPr>
                        <w:t xml:space="preserve"> </w:t>
                      </w:r>
                      <w:r w:rsidRPr="00114971">
                        <w:rPr>
                          <w:sz w:val="22"/>
                        </w:rPr>
                        <w:t xml:space="preserve"> </w:t>
                      </w:r>
                      <w:r w:rsidRPr="00114971">
                        <w:rPr>
                          <w:color w:val="5B9BD5" w:themeColor="accent1"/>
                          <w:sz w:val="40"/>
                          <w:szCs w:val="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59,318</w:t>
                      </w:r>
                      <w:r w:rsidRPr="00114971">
                        <w:rPr>
                          <w:color w:val="5B9BD5" w:themeColor="accent1"/>
                          <w:sz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rsidR="007F31F6" w:rsidRPr="00114971" w:rsidRDefault="007F31F6" w:rsidP="005F7B60">
                      <w:pPr>
                        <w:spacing w:line="240" w:lineRule="auto"/>
                        <w:jc w:val="right"/>
                        <w:rPr>
                          <w:sz w:val="22"/>
                        </w:rPr>
                      </w:pPr>
                      <w:r w:rsidRPr="00114971">
                        <w:rPr>
                          <w:rFonts w:ascii="Agency FB" w:hAnsi="Agency FB"/>
                          <w:color w:val="44546A" w:themeColor="text2"/>
                          <w:sz w:val="22"/>
                        </w:rPr>
                        <w:t>Monto Transparentado</w:t>
                      </w:r>
                      <w:r w:rsidRPr="00114971">
                        <w:rPr>
                          <w:color w:val="44546A" w:themeColor="text2"/>
                          <w:sz w:val="22"/>
                        </w:rPr>
                        <w:t xml:space="preserve">  </w:t>
                      </w:r>
                      <w:r w:rsidRPr="00114971">
                        <w:rPr>
                          <w:color w:val="5B9BD5" w:themeColor="accent1"/>
                          <w:sz w:val="40"/>
                          <w:szCs w:val="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RD$ 74,637.6</w:t>
                      </w:r>
                      <w:r w:rsidRPr="00114971">
                        <w:rPr>
                          <w:sz w:val="1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p>
                  </w:txbxContent>
                </v:textbox>
                <w10:wrap type="square"/>
              </v:shape>
            </w:pict>
          </mc:Fallback>
        </mc:AlternateContent>
      </w:r>
      <w:r>
        <w:t>La contribución de las compras públicas al desarrollo económico y social del país, se evidencia en la capacidad del  Sistema Nacional de Compras y Contrataciones Públicas (SNCCP) para incentivar la economía nacional con la utilización del poder de compras del Estado, para desarrollar los sectores productivos nacionales y que tengan un impacto en la evolución de indicadores macroeconómicos, como la proporción de las mismas, respecto al Producto Interno Bruto (PIB) del país, la generación de empleo y de ingresos, incluyendo la ocupación femenina/masculina, el ingreso laboral y su distribución, con atención a la reducción de las brechas de género, como determinantes en la reducción de la pobreza.</w:t>
      </w:r>
      <w:r w:rsidRPr="00C9669C">
        <w:t xml:space="preserve"> </w:t>
      </w:r>
    </w:p>
    <w:p w:rsidR="00F81814" w:rsidRPr="00C9669C" w:rsidRDefault="00F87FB4" w:rsidP="00C9669C">
      <w:pPr>
        <w:pStyle w:val="Textoindependiente"/>
      </w:pPr>
      <w:r>
        <w:t>En el período enero-septiembre del año 2019, se desarrollaron actividades e iniciativas para la consolidación de la identidad institucional de la Dirección General de Contrataciones Públicas, a través de la promoción de sus servicios</w:t>
      </w:r>
      <w:r w:rsidR="00F81814">
        <w:t xml:space="preserve"> en los medios de comunicación, con el fin de</w:t>
      </w:r>
      <w:r>
        <w:t xml:space="preserve"> mantener a la ciudadanía informada de las actividades que se están realizando, así como también </w:t>
      </w:r>
      <w:r w:rsidR="00F032EC">
        <w:t>sobre</w:t>
      </w:r>
      <w:r>
        <w:t xml:space="preserve"> las últimas normas y decretos en materia de compras. Est</w:t>
      </w:r>
      <w:r w:rsidR="003955DC">
        <w:t>as publicaciones</w:t>
      </w:r>
      <w:r>
        <w:t xml:space="preserve"> responden a la cobertura de actividades institucionales, </w:t>
      </w:r>
      <w:r w:rsidR="00F032EC">
        <w:t>emisiones</w:t>
      </w:r>
      <w:r>
        <w:t xml:space="preserve"> de políticas</w:t>
      </w:r>
      <w:r w:rsidR="003955DC">
        <w:t>,</w:t>
      </w:r>
      <w:r>
        <w:t xml:space="preserve"> y las acciones propias de la Dirección General, en materia de transparencia, acceso e igualdad de oportunidades en el mercado de compras públicas y sobre las políticas, normas y procedimientos que regulan el Sistema Nacional de Compras y Contrataciones Públicas (SNCCP). </w:t>
      </w:r>
    </w:p>
    <w:p w:rsidR="00F87FB4" w:rsidRDefault="00F87FB4" w:rsidP="00C9669C">
      <w:pPr>
        <w:pStyle w:val="Textoindependiente"/>
      </w:pPr>
      <w:r>
        <w:t xml:space="preserve">Igualmente, con el propósito de </w:t>
      </w:r>
      <w:r w:rsidR="00E51954">
        <w:t>fortalecer l</w:t>
      </w:r>
      <w:r>
        <w:t xml:space="preserve">a interacción en tiempo real entre </w:t>
      </w:r>
      <w:r w:rsidR="00E51954">
        <w:t xml:space="preserve">Contrataciones Públicas, </w:t>
      </w:r>
      <w:r w:rsidR="00E51954" w:rsidRPr="00E51954">
        <w:t>actores del SNCCP</w:t>
      </w:r>
      <w:r w:rsidR="00E51954">
        <w:t xml:space="preserve">, </w:t>
      </w:r>
      <w:r>
        <w:t xml:space="preserve">y </w:t>
      </w:r>
      <w:r w:rsidR="00E51954">
        <w:t>la ciudadanía</w:t>
      </w:r>
      <w:r>
        <w:t xml:space="preserve"> en general, se </w:t>
      </w:r>
      <w:r w:rsidR="00E51954">
        <w:t>intensificó</w:t>
      </w:r>
      <w:r>
        <w:t xml:space="preserve"> el uso de las redes sociales y la interacción en el portal institucional, con lo que se respondió a las inquietudes de los usuarios de las plataformas digitales sobre los planes y trabajos de esta Dirección General. </w:t>
      </w:r>
    </w:p>
    <w:p w:rsidR="008346B0" w:rsidRDefault="00F87FB4" w:rsidP="00C9669C">
      <w:pPr>
        <w:pStyle w:val="Textoindependiente"/>
      </w:pPr>
      <w:r>
        <w:t xml:space="preserve">El portal de la institución recibió 187,977 visitas, de las cuales 31% fueron nuevos usuarios, mientras que en el portal de transparencia fueron 16, 314 visitas, de las cuales 24% </w:t>
      </w:r>
      <w:r w:rsidR="00E51954">
        <w:t>representan</w:t>
      </w:r>
      <w:r>
        <w:t xml:space="preserve"> nuevos usuarios. Se realizaron 369 asistencias a través de las diferentes redes sociales, se alcanzaron 42,880 seguidores y u</w:t>
      </w:r>
      <w:r w:rsidR="003955DC">
        <w:t>n total de 23,930 interacciones con la ciudadanía.</w:t>
      </w:r>
    </w:p>
    <w:p w:rsidR="008346B0" w:rsidRDefault="008346B0" w:rsidP="008346B0">
      <w:r>
        <w:br w:type="page"/>
      </w:r>
    </w:p>
    <w:p w:rsidR="000D7BE3" w:rsidRPr="00993F1C" w:rsidRDefault="00A803BF" w:rsidP="008346B0">
      <w:pPr>
        <w:pStyle w:val="Ttulo2"/>
        <w:numPr>
          <w:ilvl w:val="0"/>
          <w:numId w:val="14"/>
        </w:numPr>
        <w:rPr>
          <w:b/>
        </w:rPr>
      </w:pPr>
      <w:bookmarkStart w:id="13" w:name="_bookmark4"/>
      <w:bookmarkStart w:id="14" w:name="_Toc21590792"/>
      <w:bookmarkStart w:id="15" w:name="_Toc21593781"/>
      <w:bookmarkStart w:id="16" w:name="_Toc21594028"/>
      <w:bookmarkEnd w:id="13"/>
      <w:r w:rsidRPr="002D6812">
        <w:rPr>
          <w:b/>
        </w:rPr>
        <w:t>Metas Institucionales de Impacto a la Ciudadanía</w:t>
      </w:r>
      <w:bookmarkEnd w:id="14"/>
      <w:bookmarkEnd w:id="15"/>
      <w:bookmarkEnd w:id="16"/>
    </w:p>
    <w:p w:rsidR="00D912EA" w:rsidRDefault="005E6BE7" w:rsidP="00C9669C">
      <w:pPr>
        <w:pStyle w:val="Textoindependiente"/>
      </w:pPr>
      <w:r w:rsidRPr="0006754F">
        <w:rPr>
          <w:noProof/>
          <w:lang w:val="es-DO" w:eastAsia="es-DO"/>
        </w:rPr>
        <w:drawing>
          <wp:anchor distT="0" distB="0" distL="114300" distR="114300" simplePos="0" relativeHeight="251683840" behindDoc="0" locked="0" layoutInCell="1" allowOverlap="1" wp14:anchorId="6F77757F" wp14:editId="54E37542">
            <wp:simplePos x="0" y="0"/>
            <wp:positionH relativeFrom="margin">
              <wp:posOffset>127879</wp:posOffset>
            </wp:positionH>
            <wp:positionV relativeFrom="margin">
              <wp:posOffset>5606415</wp:posOffset>
            </wp:positionV>
            <wp:extent cx="4686300" cy="623687"/>
            <wp:effectExtent l="0" t="0" r="0" b="5080"/>
            <wp:wrapSquare wrapText="bothSides"/>
            <wp:docPr id="347" name="Imagen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686300" cy="623687"/>
                    </a:xfrm>
                    <a:prstGeom prst="rect">
                      <a:avLst/>
                    </a:prstGeom>
                    <a:noFill/>
                  </pic:spPr>
                </pic:pic>
              </a:graphicData>
            </a:graphic>
            <wp14:sizeRelH relativeFrom="margin">
              <wp14:pctWidth>0</wp14:pctWidth>
            </wp14:sizeRelH>
            <wp14:sizeRelV relativeFrom="margin">
              <wp14:pctHeight>0</wp14:pctHeight>
            </wp14:sizeRelV>
          </wp:anchor>
        </w:drawing>
      </w:r>
      <w:r w:rsidR="00937496" w:rsidRPr="00937496">
        <w:t>Las principales funciones de la Dirección General de Contrataciones Públicas (DGCP), Órgano Rector del Sistema Nacional de Compras y Contrataciones Públicas, se pueden resumir en establecer el conjunto de principios, normas, herramientas y procesos que rigen, y son utilizados, por los organismos públicos para adquirir bienes y servicios, contratar obras públicas, y otorgar concesiones, así como sus modalidades</w:t>
      </w:r>
      <w:r w:rsidR="00937496">
        <w:t>. Además de este objetivo misional, l</w:t>
      </w:r>
      <w:r w:rsidR="00937496" w:rsidRPr="00937496">
        <w:t xml:space="preserve">as compras públicas constituyen una herramienta estratégica para el cumplimiento de la Agenda 2030 y los Objetivos de Desarrollo Sostenibles (ODS), los objetivos generales, específicos y líneas de acción de la Estrategia Nacional de Desarrollo (END) 2030 y el Plan Nacional Plurianual del Sector Público (PNPSP), puesto que, en el Sistema Nacional de Compras y Contrataciones Públicas </w:t>
      </w:r>
      <w:r w:rsidR="00D912EA">
        <w:t xml:space="preserve">es donde </w:t>
      </w:r>
      <w:r w:rsidR="00937496" w:rsidRPr="00937496">
        <w:t>convergen las dimensiones económica</w:t>
      </w:r>
      <w:r w:rsidR="00937496">
        <w:t>s</w:t>
      </w:r>
      <w:r w:rsidR="00937496" w:rsidRPr="00937496">
        <w:t xml:space="preserve"> y social, </w:t>
      </w:r>
      <w:r w:rsidR="00D912EA">
        <w:t xml:space="preserve">en forma de políticas públicas para </w:t>
      </w:r>
      <w:r w:rsidR="00D912EA" w:rsidRPr="00937496">
        <w:t>la inclusión social y el desarrollo sostenible (empleo, ingreso, equidad de género)</w:t>
      </w:r>
      <w:r w:rsidR="00D912EA">
        <w:t xml:space="preserve">. </w:t>
      </w:r>
    </w:p>
    <w:p w:rsidR="00C9669C" w:rsidRDefault="00D912EA" w:rsidP="00C9669C">
      <w:pPr>
        <w:pStyle w:val="Textoindependiente"/>
      </w:pPr>
      <w:r w:rsidRPr="00D912EA">
        <w:t xml:space="preserve">En este sentido, durante el año 2019 Contrataciones Públicas, conforme a </w:t>
      </w:r>
      <w:r>
        <w:t>las metas establecidas</w:t>
      </w:r>
      <w:r w:rsidRPr="00D912EA">
        <w:t xml:space="preserve"> en el Plan Estrat</w:t>
      </w:r>
      <w:r>
        <w:t xml:space="preserve">égico Institucional 2018 – 2021, ha </w:t>
      </w:r>
      <w:r w:rsidRPr="00D912EA">
        <w:t>desarrolla</w:t>
      </w:r>
      <w:r>
        <w:t xml:space="preserve">do </w:t>
      </w:r>
      <w:r w:rsidR="005E6BE7">
        <w:t>una serie de</w:t>
      </w:r>
      <w:r w:rsidRPr="00D912EA">
        <w:t xml:space="preserve"> iniciativas</w:t>
      </w:r>
      <w:r>
        <w:t xml:space="preserve"> de impacto a la ciudanía, que resultan como acelerador</w:t>
      </w:r>
      <w:r w:rsidR="00E51954">
        <w:t>e</w:t>
      </w:r>
      <w:r>
        <w:t>s de la conciencia pública y el</w:t>
      </w:r>
      <w:r w:rsidRPr="00D912EA">
        <w:t xml:space="preserve"> comprom</w:t>
      </w:r>
      <w:r>
        <w:t>iso con la s</w:t>
      </w:r>
      <w:r w:rsidRPr="00D912EA">
        <w:t>ociedad civil</w:t>
      </w:r>
      <w:r w:rsidR="005E6BE7">
        <w:t>, tales como:</w:t>
      </w:r>
    </w:p>
    <w:p w:rsidR="00C9669C" w:rsidRDefault="00C9669C">
      <w:pPr>
        <w:keepNext w:val="0"/>
        <w:keepLines w:val="0"/>
        <w:spacing w:before="0" w:after="160" w:line="259" w:lineRule="auto"/>
        <w:ind w:firstLine="0"/>
        <w:jc w:val="left"/>
        <w:outlineLvl w:val="9"/>
      </w:pPr>
      <w:r>
        <w:br w:type="page"/>
      </w:r>
    </w:p>
    <w:p w:rsidR="000B70D3" w:rsidRDefault="00D912EA" w:rsidP="000B70D3">
      <w:pPr>
        <w:pStyle w:val="Ttulo3"/>
      </w:pPr>
      <w:r w:rsidRPr="00D912EA">
        <w:t>Implementación del Modelo Dominicano de Compras Públicas Inclusivas y Sostenibles.</w:t>
      </w:r>
    </w:p>
    <w:p w:rsidR="00E51954" w:rsidRPr="00E51954" w:rsidRDefault="00E51954" w:rsidP="00E51954">
      <w:r>
        <w:t xml:space="preserve">Con el objetivo de fortalecer el Sistema Nacional de Compras y Contrataciones Públicas, transformando las compras del Estado en una herramienta que contribuye a impulsar el desarrollo sostenible del país, desde 2012 </w:t>
      </w:r>
      <w:r w:rsidR="00627ED6" w:rsidRPr="00627ED6">
        <w:t>ha trabajado en darle un nuevo enfoque al modelo dominicano de compras públicas, fomentando la participación de mujeres, MIPYME y sectores productivos nacionales,</w:t>
      </w:r>
      <w:r w:rsidR="00627ED6">
        <w:t xml:space="preserve"> </w:t>
      </w:r>
      <w:r w:rsidR="00627ED6" w:rsidRPr="00627ED6">
        <w:t>convirtiéndose así en el Nuevo Modelo Dominicano de Compras Públ</w:t>
      </w:r>
      <w:r w:rsidR="00627ED6">
        <w:t xml:space="preserve">icas e Inclusivas y Sostenibles. </w:t>
      </w:r>
      <w:r>
        <w:t xml:space="preserve">Este programa se enmarca </w:t>
      </w:r>
      <w:r w:rsidR="00627ED6" w:rsidRPr="00627ED6">
        <w:t>dentro del Eje Estratégico No. 2: “</w:t>
      </w:r>
      <w:r w:rsidR="00627ED6" w:rsidRPr="00627ED6">
        <w:rPr>
          <w:i/>
        </w:rPr>
        <w:t>Promoción del acceso inclusivo al mercado de Compras Públicas Sostenibles desde la perspectiva económica, social y medioambiental</w:t>
      </w:r>
      <w:r w:rsidR="00627ED6" w:rsidRPr="00627ED6">
        <w:t>”</w:t>
      </w:r>
      <w:r>
        <w:t xml:space="preserve"> </w:t>
      </w:r>
      <w:r w:rsidR="00627ED6">
        <w:t>d</w:t>
      </w:r>
      <w:r>
        <w:t xml:space="preserve">el Plan </w:t>
      </w:r>
      <w:r w:rsidR="00627ED6">
        <w:t xml:space="preserve">Estratégico Institucional 2018 - 2021, </w:t>
      </w:r>
      <w:r>
        <w:t>y se alinea a la Estrategia Naciona</w:t>
      </w:r>
      <w:r w:rsidR="00627ED6">
        <w:t xml:space="preserve">l de Desarrollo en el Eje No. 3. También responde a los compromisos asumidos </w:t>
      </w:r>
      <w:r>
        <w:t xml:space="preserve">en el </w:t>
      </w:r>
      <w:r w:rsidR="00627ED6" w:rsidRPr="00627ED6">
        <w:t xml:space="preserve">Eje III del </w:t>
      </w:r>
      <w:r>
        <w:t xml:space="preserve">Programa de Gobierno 2016-2020, y con los ODS 1, 5, 8, 12 y 16. El </w:t>
      </w:r>
      <w:r w:rsidR="00627ED6" w:rsidRPr="00627ED6">
        <w:t>nuevo modelo de compras públicas</w:t>
      </w:r>
      <w:r>
        <w:t xml:space="preserve"> tiene tres ejes de acción</w:t>
      </w:r>
      <w:r w:rsidR="00627ED6">
        <w:t>:</w:t>
      </w:r>
      <w:r>
        <w:t xml:space="preserve"> 1) </w:t>
      </w:r>
      <w:r w:rsidRPr="0006754F">
        <w:rPr>
          <w:i/>
        </w:rPr>
        <w:t>Compras Públicas Inclusivas</w:t>
      </w:r>
      <w:r w:rsidR="00EF7B79" w:rsidRPr="00EF7B79">
        <w:rPr>
          <w:b/>
          <w:i/>
        </w:rPr>
        <w:t>,</w:t>
      </w:r>
      <w:r>
        <w:t xml:space="preserve"> con acciones que vinculan la demanda pública con los sectores productivos, priorizando la inclusión de </w:t>
      </w:r>
      <w:r w:rsidR="00EF7B79">
        <w:t>mujeres y MIPYME</w:t>
      </w:r>
      <w:r>
        <w:t xml:space="preserve">; 2) </w:t>
      </w:r>
      <w:r w:rsidRPr="0006754F">
        <w:rPr>
          <w:i/>
        </w:rPr>
        <w:t>Compras Públicas Territoriales</w:t>
      </w:r>
      <w:r w:rsidR="00EF7B79">
        <w:rPr>
          <w:i/>
        </w:rPr>
        <w:t>,</w:t>
      </w:r>
      <w:r>
        <w:t xml:space="preserve"> sobre fortalecimiento institucional en materia de compras y contrataciones públicas </w:t>
      </w:r>
      <w:r w:rsidR="00EF7B79">
        <w:t>en todo el territorio nacional</w:t>
      </w:r>
      <w:r>
        <w:t xml:space="preserve">; y 3) </w:t>
      </w:r>
      <w:r w:rsidRPr="0006754F">
        <w:rPr>
          <w:i/>
        </w:rPr>
        <w:t>Compras Públicas Sostenibles</w:t>
      </w:r>
      <w:r>
        <w:t xml:space="preserve">, estableciendo condiciones para la formulación de políticas para la implementación de las Compras Públicas </w:t>
      </w:r>
      <w:r w:rsidR="00EF7B79">
        <w:t>a</w:t>
      </w:r>
      <w:r>
        <w:t xml:space="preserve">mbientalmente </w:t>
      </w:r>
      <w:r w:rsidR="00EF7B79">
        <w:t>sostenibles.</w:t>
      </w:r>
    </w:p>
    <w:p w:rsidR="00E51954" w:rsidRDefault="00E51954" w:rsidP="00E51954">
      <w:r w:rsidRPr="00C9669C">
        <w:rPr>
          <w:noProof/>
          <w:lang w:val="es-DO" w:eastAsia="es-DO"/>
        </w:rPr>
        <w:drawing>
          <wp:anchor distT="0" distB="0" distL="114300" distR="114300" simplePos="0" relativeHeight="251718656" behindDoc="0" locked="0" layoutInCell="1" allowOverlap="1" wp14:anchorId="238CA92F" wp14:editId="66433A07">
            <wp:simplePos x="0" y="0"/>
            <wp:positionH relativeFrom="margin">
              <wp:posOffset>0</wp:posOffset>
            </wp:positionH>
            <wp:positionV relativeFrom="margin">
              <wp:posOffset>-29210</wp:posOffset>
            </wp:positionV>
            <wp:extent cx="4835525" cy="3000375"/>
            <wp:effectExtent l="0" t="0" r="3175" b="9525"/>
            <wp:wrapSquare wrapText="bothSides"/>
            <wp:docPr id="200" name="Imagen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4835525" cy="3000375"/>
                    </a:xfrm>
                    <a:prstGeom prst="rect">
                      <a:avLst/>
                    </a:prstGeom>
                  </pic:spPr>
                </pic:pic>
              </a:graphicData>
            </a:graphic>
            <wp14:sizeRelH relativeFrom="margin">
              <wp14:pctWidth>0</wp14:pctWidth>
            </wp14:sizeRelH>
            <wp14:sizeRelV relativeFrom="margin">
              <wp14:pctHeight>0</wp14:pctHeight>
            </wp14:sizeRelV>
          </wp:anchor>
        </w:drawing>
      </w:r>
    </w:p>
    <w:p w:rsidR="00D912EA" w:rsidRDefault="00E51954" w:rsidP="00E51954">
      <w:r>
        <w:rPr>
          <w:noProof/>
          <w:lang w:val="es-DO" w:eastAsia="es-DO"/>
        </w:rPr>
        <w:drawing>
          <wp:anchor distT="0" distB="0" distL="114300" distR="114300" simplePos="0" relativeHeight="251716608" behindDoc="0" locked="0" layoutInCell="1" allowOverlap="1" wp14:anchorId="6D67971B" wp14:editId="3A1CD867">
            <wp:simplePos x="0" y="0"/>
            <wp:positionH relativeFrom="margin">
              <wp:posOffset>340995</wp:posOffset>
            </wp:positionH>
            <wp:positionV relativeFrom="margin">
              <wp:posOffset>6471285</wp:posOffset>
            </wp:positionV>
            <wp:extent cx="4333875" cy="2311400"/>
            <wp:effectExtent l="0" t="0" r="9525" b="0"/>
            <wp:wrapSquare wrapText="bothSides"/>
            <wp:docPr id="196" name="Imagen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4333875" cy="2311400"/>
                    </a:xfrm>
                    <a:prstGeom prst="rect">
                      <a:avLst/>
                    </a:prstGeom>
                  </pic:spPr>
                </pic:pic>
              </a:graphicData>
            </a:graphic>
            <wp14:sizeRelH relativeFrom="margin">
              <wp14:pctWidth>0</wp14:pctWidth>
            </wp14:sizeRelH>
            <wp14:sizeRelV relativeFrom="margin">
              <wp14:pctHeight>0</wp14:pctHeight>
            </wp14:sizeRelV>
          </wp:anchor>
        </w:drawing>
      </w:r>
      <w:r w:rsidR="00EF7B79">
        <w:t>El</w:t>
      </w:r>
      <w:r w:rsidR="00D912EA" w:rsidRPr="00E51954">
        <w:t xml:space="preserve"> enfoque de género es tra</w:t>
      </w:r>
      <w:r w:rsidR="00EF7B79">
        <w:t>n</w:t>
      </w:r>
      <w:r w:rsidR="00D912EA" w:rsidRPr="00E51954">
        <w:t>sversal a las líneas de acción</w:t>
      </w:r>
      <w:r w:rsidR="00EF7B79">
        <w:t>,</w:t>
      </w:r>
      <w:r w:rsidR="00D912EA" w:rsidRPr="00E51954">
        <w:t xml:space="preserve"> con el fin de </w:t>
      </w:r>
      <w:r w:rsidR="00EF7B79" w:rsidRPr="00EF7B79">
        <w:t xml:space="preserve">procurar la igualdad de oportunidades </w:t>
      </w:r>
      <w:r w:rsidR="00EF7B79">
        <w:t>en el mercado de las compras públicas y</w:t>
      </w:r>
      <w:r w:rsidR="00D912EA" w:rsidRPr="00E51954">
        <w:t>, la cohesión territorial buscando generar una mejor distribución del gasto</w:t>
      </w:r>
      <w:r w:rsidR="00EF7B79">
        <w:t xml:space="preserve"> en el territorio</w:t>
      </w:r>
      <w:r w:rsidR="00D912EA" w:rsidRPr="00E51954">
        <w:t>. Esta in</w:t>
      </w:r>
      <w:r w:rsidR="00EF7B79">
        <w:t>iciativa tiene alcance nacional</w:t>
      </w:r>
      <w:r w:rsidR="00D912EA" w:rsidRPr="00E51954">
        <w:t xml:space="preserve"> ya que, traslada los servicios de la Dirección </w:t>
      </w:r>
      <w:r w:rsidR="00EF7B79">
        <w:t xml:space="preserve">General </w:t>
      </w:r>
      <w:r w:rsidR="00D912EA" w:rsidRPr="00E51954">
        <w:t>a las diferentes regiones del país (</w:t>
      </w:r>
      <w:r w:rsidR="00EF7B79">
        <w:t>m</w:t>
      </w:r>
      <w:r w:rsidR="00D912EA" w:rsidRPr="00E51954">
        <w:t>ediante diferentes intervenciones, dentro de las que se incluyen las Ruedas de Negocios), e internacional, puesto que, se realiza</w:t>
      </w:r>
      <w:r w:rsidR="00D912EA">
        <w:t xml:space="preserve"> desde 2015 la transferencia de buenas prácticas de este mo</w:t>
      </w:r>
      <w:r w:rsidR="00DD4A2E">
        <w:t xml:space="preserve">delo a </w:t>
      </w:r>
      <w:r w:rsidR="001268A7">
        <w:t>Guatemala, Panamá, El Salvador y Honduras</w:t>
      </w:r>
      <w:r w:rsidR="00D912EA">
        <w:t>.</w:t>
      </w:r>
      <w:r w:rsidR="00DD4A2E" w:rsidRPr="00DD4A2E">
        <w:rPr>
          <w:noProof/>
          <w:lang w:val="es-DO" w:eastAsia="es-DO"/>
        </w:rPr>
        <w:t xml:space="preserve"> </w:t>
      </w:r>
    </w:p>
    <w:p w:rsidR="00937496" w:rsidRDefault="00D912EA" w:rsidP="00C9669C">
      <w:pPr>
        <w:pStyle w:val="Textoindependiente"/>
      </w:pPr>
      <w:r>
        <w:t>A la fecha</w:t>
      </w:r>
      <w:r w:rsidR="0006754F">
        <w:t>,</w:t>
      </w:r>
      <w:r>
        <w:t xml:space="preserve"> 4</w:t>
      </w:r>
      <w:r w:rsidR="001268A7">
        <w:t>3</w:t>
      </w:r>
      <w:r>
        <w:t xml:space="preserve"> gobiernos locales han sido integrados al Portal Transaccional de Compras</w:t>
      </w:r>
      <w:r w:rsidR="001268A7">
        <w:t xml:space="preserve"> Públicas</w:t>
      </w:r>
      <w:r>
        <w:t xml:space="preserve">, 265 funcionarios municipales capacitados sobre la Ley </w:t>
      </w:r>
      <w:r w:rsidR="001268A7">
        <w:t>de Compras y Contrataciones Públicas</w:t>
      </w:r>
      <w:r>
        <w:t xml:space="preserve"> y sus principios en 3 ciclos de implementación; 52 instituciones públicas han recibido formación sobre Compras Sostenibles, 501 personas del sector agropecuario nacional han recibido sensibilización sobre la po</w:t>
      </w:r>
      <w:r w:rsidR="0006754F">
        <w:t xml:space="preserve">lítica de agricultura familiar; </w:t>
      </w:r>
      <w:r>
        <w:t>más de 15,000 mujeres han recibido capacitación sobre cómo vender al Estado; y 670 artesanos, 426 mujeres y 44 hombres, de todas las regiones del territorio naci</w:t>
      </w:r>
      <w:r w:rsidR="0006754F">
        <w:t>onal, que han elaborado unas 88,</w:t>
      </w:r>
      <w:r>
        <w:t xml:space="preserve">440 piezas para el concurso nacional de artesanías navideñas, por citar los impactos de algunas de las acciones que se desarrollan desde Compras Sostenibles. En estas intervenciones hemos contado con una estrecha colaboración de diferentes Socios Estratégicos, en los que se destacan CEMPROMYPE, Sistema de Integración Centroamericano, SICA, Agencia Española de Cooperación, FEDOMU, FEDODIM, </w:t>
      </w:r>
      <w:r w:rsidR="0006754F" w:rsidRPr="0006754F">
        <w:t>Liga Municipal Dominicana</w:t>
      </w:r>
      <w:r>
        <w:t>, la Delegación de la Unión Europea en la República Dominicana, ONU Mujeres, No</w:t>
      </w:r>
      <w:r w:rsidR="00D063DA">
        <w:t>v</w:t>
      </w:r>
      <w:r>
        <w:t>a</w:t>
      </w:r>
      <w:r w:rsidR="00D063DA">
        <w:t>G</w:t>
      </w:r>
      <w:r>
        <w:t xml:space="preserve">ob, Ministerio de Agricultura, Ministerio de </w:t>
      </w:r>
      <w:r w:rsidR="001268A7">
        <w:t xml:space="preserve">Medio </w:t>
      </w:r>
      <w:r>
        <w:t>Ambiente</w:t>
      </w:r>
      <w:r w:rsidR="001268A7">
        <w:t xml:space="preserve"> y Recursos Nacionales</w:t>
      </w:r>
      <w:r>
        <w:t>, Red Nacional de Apoyo Empresarial a la Protección Ambiental (Ecored), por citar algunos  y el respaldo de la Presidencia de la República.</w:t>
      </w:r>
    </w:p>
    <w:p w:rsidR="00663005" w:rsidRDefault="00663005" w:rsidP="00745A43"/>
    <w:p w:rsidR="00663005" w:rsidRDefault="00663005" w:rsidP="00745A43"/>
    <w:p w:rsidR="00663005" w:rsidRDefault="00663005" w:rsidP="00745A43"/>
    <w:p w:rsidR="00663005" w:rsidRDefault="00663005" w:rsidP="00745A43"/>
    <w:p w:rsidR="00663005" w:rsidRDefault="00663005" w:rsidP="00745A43"/>
    <w:p w:rsidR="000B70D3" w:rsidRPr="005D25A9" w:rsidRDefault="00DD4A2E" w:rsidP="00C9669C">
      <w:pPr>
        <w:pStyle w:val="Textoindependiente"/>
      </w:pPr>
      <w:r w:rsidRPr="00C9669C">
        <w:rPr>
          <w:noProof/>
          <w:lang w:val="es-DO" w:eastAsia="es-DO"/>
        </w:rPr>
        <mc:AlternateContent>
          <mc:Choice Requires="wpg">
            <w:drawing>
              <wp:anchor distT="0" distB="0" distL="114300" distR="114300" simplePos="0" relativeHeight="251691008" behindDoc="0" locked="0" layoutInCell="1" allowOverlap="1" wp14:anchorId="7256972A" wp14:editId="7EF22196">
                <wp:simplePos x="0" y="0"/>
                <wp:positionH relativeFrom="margin">
                  <wp:posOffset>1083669</wp:posOffset>
                </wp:positionH>
                <wp:positionV relativeFrom="margin">
                  <wp:posOffset>942975</wp:posOffset>
                </wp:positionV>
                <wp:extent cx="3609340" cy="1240790"/>
                <wp:effectExtent l="0" t="0" r="0" b="16510"/>
                <wp:wrapSquare wrapText="bothSides"/>
                <wp:docPr id="202" name="Grupo 202"/>
                <wp:cNvGraphicFramePr/>
                <a:graphic xmlns:a="http://schemas.openxmlformats.org/drawingml/2006/main">
                  <a:graphicData uri="http://schemas.microsoft.com/office/word/2010/wordprocessingGroup">
                    <wpg:wgp>
                      <wpg:cNvGrpSpPr/>
                      <wpg:grpSpPr>
                        <a:xfrm>
                          <a:off x="0" y="0"/>
                          <a:ext cx="3609340" cy="1240790"/>
                          <a:chOff x="0" y="0"/>
                          <a:chExt cx="3609340" cy="1240790"/>
                        </a:xfrm>
                      </wpg:grpSpPr>
                      <pic:pic xmlns:pic="http://schemas.openxmlformats.org/drawingml/2006/picture">
                        <pic:nvPicPr>
                          <pic:cNvPr id="199" name="Imagen 199"/>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609340" cy="1240790"/>
                          </a:xfrm>
                          <a:prstGeom prst="rect">
                            <a:avLst/>
                          </a:prstGeom>
                        </pic:spPr>
                      </pic:pic>
                      <wps:wsp>
                        <wps:cNvPr id="201" name="Conector recto 201"/>
                        <wps:cNvCnPr/>
                        <wps:spPr>
                          <a:xfrm>
                            <a:off x="23854" y="1232452"/>
                            <a:ext cx="3482671" cy="0"/>
                          </a:xfrm>
                          <a:prstGeom prst="line">
                            <a:avLst/>
                          </a:prstGeom>
                          <a:ln>
                            <a:solidFill>
                              <a:schemeClr val="bg2"/>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392383F" id="Grupo 202" o:spid="_x0000_s1026" style="position:absolute;margin-left:85.35pt;margin-top:74.25pt;width:284.2pt;height:97.7pt;z-index:251691008;mso-position-horizontal-relative:margin;mso-position-vertical-relative:margin" coordsize="36093,12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99" o:spid="_x0000_s1027" type="#_x0000_t75" style="position:absolute;width:36093;height:12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">
                  <v:imagedata r:id="rId21" o:title=""/>
                  <v:path arrowok="t"/>
                </v:shape>
                <v:line id="Conector recto 201" o:spid="_x0000_s1028" style="position:absolute;visibility:visible;mso-wrap-style:square" from="238,12324" to="35065,12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" strokecolor="#e7e6e6 [3214]" strokeweight=".5pt">
                  <v:stroke joinstyle="miter"/>
                </v:line>
                <w10:wrap type="square" anchorx="margin" anchory="margin"/>
              </v:group>
            </w:pict>
          </mc:Fallback>
        </mc:AlternateContent>
      </w:r>
      <w:r w:rsidR="00663005">
        <w:t xml:space="preserve">Este modelo, a su vez, cambia </w:t>
      </w:r>
      <w:r w:rsidR="00663005" w:rsidRPr="00663005">
        <w:t>el enfoque tradicional de trabajar solo con las instituciones, para trabajar con todos los actores del SNCCP de manera integral.</w:t>
      </w:r>
      <w:r w:rsidR="00663005">
        <w:t xml:space="preserve"> </w:t>
      </w:r>
      <w:r w:rsidR="00663005" w:rsidRPr="00663005">
        <w:t xml:space="preserve">En el marco de </w:t>
      </w:r>
      <w:r w:rsidR="00663005">
        <w:t>su</w:t>
      </w:r>
      <w:r w:rsidR="00663005" w:rsidRPr="00663005">
        <w:t xml:space="preserve"> implementación bajo la metodología de trabajo en el territorio, se </w:t>
      </w:r>
      <w:r w:rsidR="000B70D3">
        <w:t xml:space="preserve">han </w:t>
      </w:r>
      <w:r w:rsidR="00663005" w:rsidRPr="00663005">
        <w:t>celebra</w:t>
      </w:r>
      <w:r w:rsidR="000B70D3">
        <w:t>do, durante el 2019,</w:t>
      </w:r>
      <w:r w:rsidR="00663005" w:rsidRPr="00663005">
        <w:t xml:space="preserve"> 6 </w:t>
      </w:r>
      <w:r w:rsidR="0006754F">
        <w:t>R</w:t>
      </w:r>
      <w:r w:rsidR="00663005" w:rsidRPr="00663005">
        <w:t>uedas de Negocio, las cuales contaron con la participación de 108 u</w:t>
      </w:r>
      <w:r w:rsidR="000B70D3">
        <w:t>nidades de compras y 399 MIPYME;</w:t>
      </w:r>
      <w:r w:rsidR="00663005" w:rsidRPr="00663005">
        <w:t xml:space="preserve"> </w:t>
      </w:r>
      <w:r w:rsidR="000B70D3">
        <w:t>d</w:t>
      </w:r>
      <w:r w:rsidR="00663005" w:rsidRPr="00663005">
        <w:t xml:space="preserve">e </w:t>
      </w:r>
      <w:r w:rsidR="00D428CC">
        <w:t>las cuales</w:t>
      </w:r>
      <w:r w:rsidR="00663005" w:rsidRPr="00663005">
        <w:t xml:space="preserve"> 195 son lideradas por mujeres. Durante dichos encuentros, se concertaron un total de 2,232 entrevistas de negocios.  Igualmente, se celebró la 3era. Edición del Concurso de Artesanía para árboles de navidad, consolidándose como una herramienta de mercado para los artesanos.</w:t>
      </w:r>
      <w:r w:rsidR="000B70D3">
        <w:br w:type="page"/>
      </w:r>
    </w:p>
    <w:p w:rsidR="000B70D3" w:rsidRDefault="00C9209E" w:rsidP="000B70D3">
      <w:pPr>
        <w:pStyle w:val="Ttulo3"/>
      </w:pPr>
      <w:r w:rsidRPr="00C9209E">
        <w:t>Habilitación del Sistema Nacional de Compras Públicas de la República Dominicana.</w:t>
      </w:r>
    </w:p>
    <w:p w:rsidR="005D25A9" w:rsidRDefault="00C9209E" w:rsidP="00C9669C">
      <w:pPr>
        <w:pStyle w:val="Textoindependiente"/>
      </w:pPr>
      <w:r>
        <w:t xml:space="preserve">El proyecto </w:t>
      </w:r>
      <w:r w:rsidR="00162927">
        <w:t xml:space="preserve">para la </w:t>
      </w:r>
      <w:r w:rsidR="005D25A9">
        <w:t>expansión del uso de la plataforma tecnológica</w:t>
      </w:r>
      <w:r w:rsidR="00162927">
        <w:t xml:space="preserve"> del </w:t>
      </w:r>
      <w:r>
        <w:t>Portal Transaccional</w:t>
      </w:r>
      <w:r w:rsidR="00162927">
        <w:t xml:space="preserve"> de compras y contrataciones del Estado</w:t>
      </w:r>
      <w:r>
        <w:t xml:space="preserve">, </w:t>
      </w:r>
      <w:r w:rsidR="005D25A9">
        <w:t>está contenido</w:t>
      </w:r>
      <w:r w:rsidR="005D25A9" w:rsidRPr="005D25A9">
        <w:t xml:space="preserve"> en el proyecto de inversión (Código SNIP No. 13455) denominado </w:t>
      </w:r>
      <w:r w:rsidR="005D25A9">
        <w:t>“</w:t>
      </w:r>
      <w:r w:rsidR="005D25A9" w:rsidRPr="00C9669C">
        <w:rPr>
          <w:i/>
        </w:rPr>
        <w:t>Habilitación del Sistema Nacional de Compras y Contrataciones Públicas de la República Dominicana (SNCCP)</w:t>
      </w:r>
      <w:r w:rsidR="005D25A9">
        <w:t>”</w:t>
      </w:r>
      <w:r w:rsidR="005D25A9" w:rsidRPr="005D25A9">
        <w:t>, un compromiso enmarcado dentro de la i</w:t>
      </w:r>
      <w:r w:rsidR="00C574B5">
        <w:t xml:space="preserve">niciativa de Gobierno Abierto; y </w:t>
      </w:r>
      <w:r w:rsidR="00C574B5" w:rsidRPr="00C574B5">
        <w:t xml:space="preserve">se encuentra </w:t>
      </w:r>
      <w:r w:rsidR="00C574B5">
        <w:t>vinculado</w:t>
      </w:r>
      <w:r w:rsidR="00C574B5" w:rsidRPr="00C574B5">
        <w:t>, además, a la Estrategia Nacional de Desarrollo (2030), a los Objetivos de Desarrollo So</w:t>
      </w:r>
      <w:r w:rsidR="00C574B5">
        <w:t>stenible (ODS) 8, 10, 11 y 16, y forma parte del</w:t>
      </w:r>
      <w:r w:rsidR="00C574B5" w:rsidRPr="00C574B5">
        <w:t xml:space="preserve"> Plan Estratégico de la Dirección General de Contrataciones Públicas. </w:t>
      </w:r>
      <w:r w:rsidR="005D25A9">
        <w:t xml:space="preserve">Este proyecto ha </w:t>
      </w:r>
      <w:r w:rsidR="0061472F">
        <w:t>provisto</w:t>
      </w:r>
      <w:r>
        <w:t xml:space="preserve"> y puest</w:t>
      </w:r>
      <w:r w:rsidR="0061472F">
        <w:t>o</w:t>
      </w:r>
      <w:r>
        <w:t xml:space="preserve"> en funcionamiento un </w:t>
      </w:r>
      <w:r w:rsidR="00C574B5">
        <w:t>sistema de i</w:t>
      </w:r>
      <w:r>
        <w:t xml:space="preserve">nformación para la Gestión de las Compras y Contrataciones del Estado Dominicano, en un portal único de adquisiciones, así como los servicios de consultoría necesarios para garantizar su implementación, puesta en marcha, soporte funcional y técnico. </w:t>
      </w:r>
    </w:p>
    <w:p w:rsidR="005D25A9" w:rsidRDefault="00C9209E" w:rsidP="00C9669C">
      <w:pPr>
        <w:pStyle w:val="Textoindependiente"/>
      </w:pPr>
      <w:r>
        <w:t>Este sistema</w:t>
      </w:r>
      <w:r w:rsidR="0061472F">
        <w:t>, en funcionamiento</w:t>
      </w:r>
      <w:r w:rsidR="005D25A9">
        <w:t xml:space="preserve"> desde el año 2015</w:t>
      </w:r>
      <w:r w:rsidR="0061472F">
        <w:t>,</w:t>
      </w:r>
      <w:r>
        <w:t xml:space="preserve"> </w:t>
      </w:r>
      <w:r w:rsidR="00C574B5">
        <w:t xml:space="preserve">ha </w:t>
      </w:r>
      <w:r>
        <w:t>garantiza</w:t>
      </w:r>
      <w:r w:rsidR="00C574B5">
        <w:t>do</w:t>
      </w:r>
      <w:r>
        <w:t xml:space="preserve"> la eficiencia y la transparencia de los procesos y </w:t>
      </w:r>
      <w:r w:rsidR="00C574B5">
        <w:t xml:space="preserve">ha </w:t>
      </w:r>
      <w:r>
        <w:t>mejora</w:t>
      </w:r>
      <w:r w:rsidR="00C574B5">
        <w:t>do</w:t>
      </w:r>
      <w:r>
        <w:t xml:space="preserve"> la </w:t>
      </w:r>
      <w:r w:rsidR="0061472F">
        <w:t xml:space="preserve">gestión de las compras públicas; </w:t>
      </w:r>
      <w:r>
        <w:t>beneficia al usuario, ya que fortalece la participación de los sectores productivos nacionales, las mujeres y las MIPYME, en igualdad de condiciones y de op</w:t>
      </w:r>
      <w:r w:rsidR="0061472F">
        <w:t xml:space="preserve">ortunidades; y </w:t>
      </w:r>
      <w:r>
        <w:t xml:space="preserve">permite a </w:t>
      </w:r>
      <w:r w:rsidR="00C574B5">
        <w:t xml:space="preserve">las </w:t>
      </w:r>
      <w:r>
        <w:t>instituciones, proveedores y ciudadanos</w:t>
      </w:r>
      <w:r w:rsidR="00C574B5">
        <w:t>,</w:t>
      </w:r>
      <w:r>
        <w:t xml:space="preserve"> verificar en un solo sitio: cuándo, dónde, cómo, y por cuánto el Estado va a adquirir los bienes, obras, servicios y concesiones que requiere. </w:t>
      </w:r>
    </w:p>
    <w:p w:rsidR="00C9209E" w:rsidRDefault="00C9209E" w:rsidP="00C9669C">
      <w:pPr>
        <w:pStyle w:val="Textoindependiente"/>
      </w:pPr>
      <w:r>
        <w:t>Estas medidas citadas se alinean directamente con el resultado esperado indicado por el Ministerio de Hacienda en su Plan Estratégico 2011-2015, en el segundo eje Gestión Fiscal Eficiente, la cual tiene como Objetivo Estratégico: “</w:t>
      </w:r>
      <w:r w:rsidRPr="00C9669C">
        <w:rPr>
          <w:i/>
        </w:rPr>
        <w:t>Mantener la disciplina fiscal mediante el fortalecimiento de una gestión financiera gubernamental integrada con mecanismos explícitos de monitoreo, evaluación y rendición de cuentas que eleve la efectividad de los sistemas administrativos vinculados con la gestión de las finanzas públicas</w:t>
      </w:r>
      <w:r>
        <w:t xml:space="preserve">’’; esto se logra mediante una estrategia para fortalecer, integrar y ampliar la cobertura de los sistemas de información y operación de la Administración Financiera Gubernamental, teniendo como resultado esperado, un sistema de adquisiciones único, estandarizado e integrado implementado en todo el Sector Público. </w:t>
      </w:r>
    </w:p>
    <w:p w:rsidR="00C9209E" w:rsidRDefault="00A35C5A" w:rsidP="00C9669C">
      <w:pPr>
        <w:pStyle w:val="Textoindependiente"/>
      </w:pPr>
      <w:r>
        <w:t>Desde su implementación</w:t>
      </w:r>
      <w:r w:rsidR="00A72D43">
        <w:t>,</w:t>
      </w:r>
      <w:r>
        <w:t xml:space="preserve"> y al </w:t>
      </w:r>
      <w:r w:rsidR="004374EF">
        <w:t xml:space="preserve">2019, el Portal Transaccional </w:t>
      </w:r>
      <w:r w:rsidR="002118B2">
        <w:t>cuenta con una cobertura de</w:t>
      </w:r>
      <w:r>
        <w:t xml:space="preserve"> más de</w:t>
      </w:r>
      <w:r w:rsidR="004374EF">
        <w:t xml:space="preserve"> 83,376 p</w:t>
      </w:r>
      <w:r w:rsidR="002118B2" w:rsidRPr="004374EF">
        <w:t xml:space="preserve">roveedores </w:t>
      </w:r>
      <w:r w:rsidR="004374EF">
        <w:t>inscritos</w:t>
      </w:r>
      <w:r w:rsidR="002118B2">
        <w:t xml:space="preserve">, </w:t>
      </w:r>
      <w:r w:rsidRPr="00A35C5A">
        <w:t>305 instituciones y gobiernos locales integrado</w:t>
      </w:r>
      <w:r w:rsidR="002118B2" w:rsidRPr="00A35C5A">
        <w:t>s</w:t>
      </w:r>
      <w:r w:rsidR="002118B2">
        <w:t xml:space="preserve">, y más de </w:t>
      </w:r>
      <w:r w:rsidR="004374EF" w:rsidRPr="004374EF">
        <w:t xml:space="preserve">188,507 </w:t>
      </w:r>
      <w:r w:rsidR="002118B2" w:rsidRPr="004374EF">
        <w:t>procesos de compras publicados y gestionados</w:t>
      </w:r>
      <w:r w:rsidR="002118B2">
        <w:t xml:space="preserve"> a través del mismo.</w:t>
      </w:r>
      <w:r w:rsidR="009C77AF">
        <w:t xml:space="preserve"> </w:t>
      </w:r>
      <w:r>
        <w:t>Además, se han realizado integraciones</w:t>
      </w:r>
      <w:r w:rsidR="00A72D43">
        <w:t xml:space="preserve"> de</w:t>
      </w:r>
      <w:r>
        <w:t xml:space="preserve"> </w:t>
      </w:r>
      <w:r w:rsidR="00A72D43" w:rsidRPr="00A72D43">
        <w:t>interoperabilidad</w:t>
      </w:r>
      <w:r w:rsidR="00A72D43">
        <w:t xml:space="preserve"> </w:t>
      </w:r>
      <w:r>
        <w:t xml:space="preserve">con </w:t>
      </w:r>
      <w:r w:rsidR="00A72D43">
        <w:t xml:space="preserve">los sistemas de otras instituciones del estado, tales como </w:t>
      </w:r>
      <w:r w:rsidR="00C22B17">
        <w:t xml:space="preserve">DGII, TSS, </w:t>
      </w:r>
      <w:r w:rsidR="00A72D43">
        <w:t>DAFI, DIGECOG, MEPyD, DIGEPRES</w:t>
      </w:r>
      <w:r>
        <w:t xml:space="preserve">, </w:t>
      </w:r>
      <w:r w:rsidR="00126DFF">
        <w:t xml:space="preserve">lo cual ha traído grandes avances respecto a optimización de trámites y procesos, servicios en línea y monitoreo avanzado, </w:t>
      </w:r>
      <w:r w:rsidR="00A72D43">
        <w:t xml:space="preserve">y </w:t>
      </w:r>
      <w:r w:rsidR="00126DFF">
        <w:t>durante</w:t>
      </w:r>
      <w:r w:rsidR="004374EF">
        <w:t xml:space="preserve"> este año </w:t>
      </w:r>
      <w:r w:rsidR="00A72D43">
        <w:t>2019 con</w:t>
      </w:r>
      <w:r>
        <w:t xml:space="preserve"> la Cont</w:t>
      </w:r>
      <w:r w:rsidR="00A72D43">
        <w:t xml:space="preserve">raloría General de la República </w:t>
      </w:r>
      <w:r w:rsidR="00A72D43" w:rsidRPr="00A72D43">
        <w:t xml:space="preserve">(CGR) </w:t>
      </w:r>
      <w:r w:rsidR="00A72D43">
        <w:t>para</w:t>
      </w:r>
      <w:r w:rsidR="00A72D43" w:rsidRPr="00A72D43">
        <w:t xml:space="preserve"> el proceso de certificación de contratos</w:t>
      </w:r>
      <w:r w:rsidR="00B34C97">
        <w:t>,</w:t>
      </w:r>
      <w:r w:rsidR="00A72D43" w:rsidRPr="00A72D43">
        <w:t xml:space="preserve"> el Sistema TRE</w:t>
      </w:r>
      <w:r w:rsidR="00A72D43">
        <w:t>,</w:t>
      </w:r>
      <w:r w:rsidR="00A72D43" w:rsidRPr="00A72D43">
        <w:t xml:space="preserve"> así como también con l</w:t>
      </w:r>
      <w:r w:rsidR="00126DFF">
        <w:t>a Junta de Aviación Civil (JAC)</w:t>
      </w:r>
      <w:r w:rsidR="00B34C97">
        <w:t xml:space="preserve">, </w:t>
      </w:r>
      <w:r w:rsidR="00B34C97" w:rsidRPr="00B34C97">
        <w:t>para las consultas en línea de la disponibilidad de apropiación presupuestaria y la asignación de cuota para comprometer</w:t>
      </w:r>
      <w:r w:rsidR="00126DFF">
        <w:t>;</w:t>
      </w:r>
      <w:r w:rsidR="00A72D43">
        <w:t xml:space="preserve"> </w:t>
      </w:r>
      <w:r w:rsidR="00126DFF">
        <w:t>d</w:t>
      </w:r>
      <w:r w:rsidR="00A72D43">
        <w:t xml:space="preserve">e la misma manera, entre las mejoras funcionales más relevantes de este año se </w:t>
      </w:r>
      <w:r w:rsidR="00B34C97">
        <w:t xml:space="preserve">encuentran </w:t>
      </w:r>
      <w:r w:rsidR="00342296">
        <w:t>los controles</w:t>
      </w:r>
      <w:r w:rsidR="00B34C97">
        <w:t xml:space="preserve"> de tiempo de pagos y la integración de</w:t>
      </w:r>
      <w:r w:rsidR="00A72D43">
        <w:t xml:space="preserve"> </w:t>
      </w:r>
      <w:r w:rsidR="00CB3C2C">
        <w:t>Plurianualidad.</w:t>
      </w:r>
    </w:p>
    <w:p w:rsidR="000B70D3" w:rsidRDefault="0012478D" w:rsidP="00C9669C">
      <w:pPr>
        <w:pStyle w:val="Textoindependiente"/>
      </w:pPr>
      <w:r w:rsidRPr="0012478D">
        <w:t>Al cierre del 2019, se cumplieron los compromisos</w:t>
      </w:r>
      <w:r>
        <w:t xml:space="preserve"> sobre el</w:t>
      </w:r>
      <w:r w:rsidRPr="0012478D">
        <w:t xml:space="preserve"> </w:t>
      </w:r>
      <w:r w:rsidR="00975B15">
        <w:t>“</w:t>
      </w:r>
      <w:r w:rsidRPr="00C9669C">
        <w:rPr>
          <w:i/>
        </w:rPr>
        <w:t>Uso Universal del Portal Transaccional</w:t>
      </w:r>
      <w:r w:rsidR="00975B15">
        <w:t>”</w:t>
      </w:r>
      <w:r w:rsidRPr="0012478D">
        <w:t xml:space="preserve">, que se encuentra </w:t>
      </w:r>
      <w:r>
        <w:t>contenido en</w:t>
      </w:r>
      <w:r w:rsidRPr="0012478D">
        <w:t xml:space="preserve"> el Decreto 350-17</w:t>
      </w:r>
      <w:r w:rsidR="00C574B5">
        <w:t>,</w:t>
      </w:r>
      <w:r w:rsidRPr="0012478D">
        <w:t xml:space="preserve"> </w:t>
      </w:r>
      <w:r w:rsidR="00C574B5">
        <w:t>el cual</w:t>
      </w:r>
      <w:r w:rsidRPr="0012478D">
        <w:t xml:space="preserve"> establece su uso obligatorio y permanente por parte de las unidades de compra a partir del 1ro de noviembre del 2017</w:t>
      </w:r>
      <w:r w:rsidR="00C574B5">
        <w:t>,</w:t>
      </w:r>
      <w:r w:rsidRPr="0012478D">
        <w:t xml:space="preserve"> y con una implementación gradual al resto del Estado, para impulsar su uso por parte de todas las unidades de compra, un aumento del uso por parte de los ayuntamientos, y una mayor participación de proveedores de todo el territorio nacional en el mercado de compras públicas.</w:t>
      </w:r>
    </w:p>
    <w:p w:rsidR="003D4E37" w:rsidRDefault="003D4E37" w:rsidP="00C9669C">
      <w:pPr>
        <w:pStyle w:val="Textoindependiente"/>
      </w:pPr>
      <w:r>
        <w:t xml:space="preserve">El principal reto que esta Dirección General llevó a cabo durante el año 2019, correspondió a la etapa final de desarrollo de las funcionalidades de la Fase II del proyecto. Dentro de los 72 requerimientos desarrollados, probados en calidad y pasados a producción, se encuentran la integración con la Dirección General de Presupuesto (DIGEPRES) para las funcionalidades </w:t>
      </w:r>
      <w:r w:rsidR="00975B15">
        <w:t xml:space="preserve">de Plurianualidad, mediante el </w:t>
      </w:r>
      <w:r>
        <w:t xml:space="preserve">Sistema de Información de </w:t>
      </w:r>
      <w:r w:rsidR="00975B15">
        <w:t>la Gestión Financiera (SIGEF)</w:t>
      </w:r>
      <w:r>
        <w:t>, la implementación del piloto con las unidades de Compras del Ministerio de Hacienda y la propia de la Dirección General de Contrataciones Públicas. A lo largo del último trimestre se expandió esta implementación en la totalidad de las instituciones, objetivo alineado a la iniciativa del Ministerio de Hacienda de Simplificación del Trámite.</w:t>
      </w:r>
    </w:p>
    <w:p w:rsidR="003D4E37" w:rsidRDefault="003D4E37" w:rsidP="00C9669C">
      <w:pPr>
        <w:pStyle w:val="Textoindependiente"/>
      </w:pPr>
      <w:r>
        <w:t>En marzo 2019 se inició el soporte técnico mediante un acuerdo de nivel de servicio sobre las incidencias que son escaladas al proveedor de la plataforma tecnológica del Portal Transaccional; contrato que tendrá una duración de 24 meses y al que se incorporaron penalidades asociadas por incumplimient</w:t>
      </w:r>
      <w:r w:rsidR="000B6841">
        <w:t>o en los tiempos establecidos en la</w:t>
      </w:r>
      <w:r>
        <w:t xml:space="preserve"> resolución.</w:t>
      </w:r>
    </w:p>
    <w:p w:rsidR="003D4E37" w:rsidRDefault="003D4E37" w:rsidP="00C9669C">
      <w:pPr>
        <w:pStyle w:val="Textoindependiente"/>
      </w:pPr>
      <w:r>
        <w:t>Otros de los grandes retos tecnológicos corresponden a la Migración de la Plataforma Tecnológica del Portal Transaccional, cuyo objetivo es la actualización y migración de los servidores con sistema operativo Windows Server 2008r2 y los motores de base de datos, también en versión 2008 del mismo fabricante Microsoft, debido a que los soportes técnicos al software base se encontraban vencidos o por vencer,  siendo un riesgo muy alto que presentaba la Plataforma Tecnológica del Portal Transaccional. Al proyecto de Migración Tecnológica de la Plataforma, se sumó la actualización del protocolo TLS v1.1 y ajustes en seguridad informática, estos ú</w:t>
      </w:r>
      <w:r w:rsidR="000B6841">
        <w:t>ltimos detectados en la auditorí</w:t>
      </w:r>
      <w:r>
        <w:t xml:space="preserve">a del sistema del año 2018. La migración se llevó a cabo durante los meses de septiembre y diciembre del año en curso, en sus ambientes de producción, pre-producción, y pasando como objetivo del año 2020 la migración de los ambientes de QA (Calidad), Soporte y de Entrenamiento. </w:t>
      </w:r>
    </w:p>
    <w:p w:rsidR="001C327C" w:rsidRDefault="003D4E37" w:rsidP="001C327C">
      <w:pPr>
        <w:pStyle w:val="Textoindependiente"/>
      </w:pPr>
      <w:r>
        <w:t xml:space="preserve">En junio 2019, se recibió la visita del consultor del Banco Interamericano de Desarrollo (BID), con el objetivo de identificar mejoras del Sistema Electrónico de Compras y Contrataciones del Estado Dominicano, en especial el Portal Transaccional y su incorporación de los proyectos del BID en dicho sistema. El resultado de su informe se centró principalmente en fortalecer el concepto y </w:t>
      </w:r>
      <w:r w:rsidR="000B6841">
        <w:t xml:space="preserve">el </w:t>
      </w:r>
      <w:r>
        <w:t xml:space="preserve">gran desafío que tiene por delante la </w:t>
      </w:r>
      <w:r w:rsidR="000B6841">
        <w:t>i</w:t>
      </w:r>
      <w:r>
        <w:t>nstitución</w:t>
      </w:r>
      <w:r w:rsidR="000B6841">
        <w:t>,</w:t>
      </w:r>
      <w:r>
        <w:t xml:space="preserve"> de moverse desde una lógica de proyecto hacia una lógica de operación. El borrador de esta propuesta de mejoras, fue remitido al Ministerio de Hacienda, a la Consultoría Jurídica del Poder Ejecutivo y al Ministerio de la Presidencia, a los fines de su revisión.</w:t>
      </w:r>
    </w:p>
    <w:p w:rsidR="001C327C" w:rsidRDefault="001C327C">
      <w:pPr>
        <w:keepNext w:val="0"/>
        <w:keepLines w:val="0"/>
        <w:spacing w:before="0" w:after="160" w:line="259" w:lineRule="auto"/>
        <w:ind w:firstLine="0"/>
        <w:jc w:val="left"/>
        <w:outlineLvl w:val="9"/>
      </w:pPr>
      <w:r>
        <w:br w:type="page"/>
      </w:r>
    </w:p>
    <w:p w:rsidR="003128EB" w:rsidRDefault="003128EB" w:rsidP="004614CF">
      <w:pPr>
        <w:pStyle w:val="Ttulo3"/>
      </w:pPr>
      <w:r w:rsidRPr="003128EB">
        <w:t>Inscripciones en el Registro de Proveedores</w:t>
      </w:r>
      <w:r w:rsidR="004614CF">
        <w:t xml:space="preserve"> del Estado</w:t>
      </w:r>
    </w:p>
    <w:p w:rsidR="003128EB" w:rsidRDefault="003128EB" w:rsidP="001C327C">
      <w:pPr>
        <w:pStyle w:val="Textoindependiente"/>
      </w:pPr>
      <w:r>
        <w:t xml:space="preserve">Como parte de la Implementación del Portal Transaccional, se incluyó el diseño del módulo en línea del Registro de Proveedores del Estado, incluyendo múltiples funcionalidades y registros de información, como apoyo a las políticas públicas a favor de las MIPYME, al desarrollo económico de las mujeres, y a la Regionalización de las compras. Desde agosto del 2016, el registro de proveedores a través del Portal Transaccional permite a los interesados inscribirse y actualizar su registro en línea, reduciendo de manera considerable el tiempo de respuesta y eliminando la presentación de los documentos en papel, por la recepción de los mismos en formato digital. Este servicio se encuentra disponible las 24 horas del día con cobertura nacional e internacional. </w:t>
      </w:r>
    </w:p>
    <w:p w:rsidR="003128EB" w:rsidRDefault="003128EB" w:rsidP="001C327C">
      <w:pPr>
        <w:pStyle w:val="Textoindependiente"/>
      </w:pPr>
      <w:r>
        <w:t>Al cierre del tercer trimestre del 2019 se han recibido 4,335 de las cuales 832 son solicitudes de actualización, 722 son de creación y 1,464 son solicitudes de membresía para acceder al Portal Transaccional.</w:t>
      </w:r>
    </w:p>
    <w:p w:rsidR="003128EB" w:rsidRDefault="003128EB" w:rsidP="003128EB">
      <w:pPr>
        <w:jc w:val="center"/>
      </w:pPr>
      <w:r>
        <w:rPr>
          <w:noProof/>
          <w:lang w:val="es-DO" w:eastAsia="es-DO"/>
        </w:rPr>
        <w:drawing>
          <wp:inline distT="0" distB="0" distL="0" distR="0" wp14:anchorId="39EFEA5A" wp14:editId="43FE41E8">
            <wp:extent cx="4288357" cy="2223234"/>
            <wp:effectExtent l="0" t="0" r="17145" b="5715"/>
            <wp:docPr id="21" name="Gráfico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3128EB" w:rsidRDefault="0053704A" w:rsidP="001C327C">
      <w:pPr>
        <w:pStyle w:val="Textoindependiente"/>
      </w:pPr>
      <w:r>
        <w:t>La implementación del Portal Transaccional constituye un nuevo paradigma pues ha cambiado la forma tradicional de realizar el Registro de Proveedores (as) de una gestión análoga a una gestión digital, dinámica e interactiva, que permite al proveedor mantenerse informado de todo el proceso que atraviesa su solicitud. Es debido a esto que las solicitudes en línea han tenido un incremento de un 68% con relación al cierre del tercer trimes</w:t>
      </w:r>
      <w:r w:rsidR="00D428CC">
        <w:t>tre del año 2017, un 6% al 2018</w:t>
      </w:r>
      <w:r>
        <w:t>.</w:t>
      </w:r>
    </w:p>
    <w:p w:rsidR="0053704A" w:rsidRDefault="0053704A" w:rsidP="0053704A">
      <w:pPr>
        <w:jc w:val="center"/>
      </w:pPr>
      <w:r>
        <w:rPr>
          <w:noProof/>
          <w:lang w:val="es-DO" w:eastAsia="es-DO"/>
        </w:rPr>
        <w:drawing>
          <wp:inline distT="0" distB="0" distL="0" distR="0" wp14:anchorId="0F1A1798" wp14:editId="7707E62D">
            <wp:extent cx="3774312" cy="2267585"/>
            <wp:effectExtent l="0" t="0" r="17145" b="18415"/>
            <wp:docPr id="22" name="Gráfico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53704A" w:rsidRDefault="0053704A" w:rsidP="001C327C">
      <w:pPr>
        <w:pStyle w:val="Textoindependiente"/>
      </w:pPr>
      <w:r>
        <w:t>De la misma manera, han mejorado los tiempos de Registro de Proveedores</w:t>
      </w:r>
      <w:r w:rsidRPr="0053704A">
        <w:t xml:space="preserve"> </w:t>
      </w:r>
      <w:r>
        <w:t>del Estado, pasando de un compromiso de tiempo de respuesta, para la inscripción, de menor o igual a 10 días en la Carta compromiso Ciudadano 2016-2018, a un tiempo promedio</w:t>
      </w:r>
      <w:r w:rsidR="00317FC7">
        <w:t xml:space="preserve">, en el </w:t>
      </w:r>
      <w:r w:rsidR="0063145E">
        <w:t>perí</w:t>
      </w:r>
      <w:r w:rsidR="00317FC7">
        <w:t>odo enero a noviembre de 2019,</w:t>
      </w:r>
      <w:r>
        <w:t xml:space="preserve"> de hasta 4 días en las inscripciones en línea, en más del 90% de las solicitudes recibidas. En el caso de las presenciales, también se evidencia una m</w:t>
      </w:r>
      <w:r w:rsidR="004614CF">
        <w:t>ejora en el tiempo de respuesta, menor a 5 días en más del 90% de los casos.</w:t>
      </w:r>
    </w:p>
    <w:p w:rsidR="0053704A" w:rsidRDefault="004614CF" w:rsidP="00DD4A2E">
      <w:pPr>
        <w:ind w:left="-426"/>
      </w:pPr>
      <w:r>
        <w:rPr>
          <w:noProof/>
          <w:lang w:val="es-DO" w:eastAsia="es-DO"/>
        </w:rPr>
        <w:drawing>
          <wp:inline distT="0" distB="0" distL="0" distR="0" wp14:anchorId="1B35025D" wp14:editId="4A975F37">
            <wp:extent cx="4226968" cy="2124075"/>
            <wp:effectExtent l="0" t="0" r="2540" b="0"/>
            <wp:docPr id="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pic:cNvPicPr>
                  </pic:nvPicPr>
                  <pic:blipFill>
                    <a:blip r:embed="rId24"/>
                    <a:stretch>
                      <a:fillRect/>
                    </a:stretch>
                  </pic:blipFill>
                  <pic:spPr>
                    <a:xfrm>
                      <a:off x="0" y="0"/>
                      <a:ext cx="4258791" cy="2140066"/>
                    </a:xfrm>
                    <a:prstGeom prst="rect">
                      <a:avLst/>
                    </a:prstGeom>
                  </pic:spPr>
                </pic:pic>
              </a:graphicData>
            </a:graphic>
          </wp:inline>
        </w:drawing>
      </w:r>
    </w:p>
    <w:p w:rsidR="0053704A" w:rsidRDefault="0053704A" w:rsidP="0053704A"/>
    <w:p w:rsidR="000B70D3" w:rsidRDefault="00A72D43" w:rsidP="000B70D3">
      <w:pPr>
        <w:pStyle w:val="Ttulo3"/>
      </w:pPr>
      <w:r w:rsidRPr="00A72D43">
        <w:t>Expan</w:t>
      </w:r>
      <w:r>
        <w:t xml:space="preserve">sión </w:t>
      </w:r>
      <w:r w:rsidRPr="00A72D43">
        <w:t>e Implementa</w:t>
      </w:r>
      <w:r>
        <w:t>ción</w:t>
      </w:r>
      <w:r w:rsidRPr="00A72D43">
        <w:t xml:space="preserve"> </w:t>
      </w:r>
      <w:r>
        <w:t>d</w:t>
      </w:r>
      <w:r w:rsidRPr="00A72D43">
        <w:t xml:space="preserve">el Sistema Nacional de Compras y Contrataciones Públicas (SNCCP) a los </w:t>
      </w:r>
      <w:r w:rsidR="00624F28">
        <w:t xml:space="preserve">ayuntamientos y distritos </w:t>
      </w:r>
      <w:r w:rsidRPr="00A72D43">
        <w:t>municip</w:t>
      </w:r>
      <w:r w:rsidR="00624F28">
        <w:t>ales</w:t>
      </w:r>
      <w:r w:rsidRPr="00A72D43">
        <w:t>.</w:t>
      </w:r>
    </w:p>
    <w:p w:rsidR="00126DFF" w:rsidRDefault="00126DFF" w:rsidP="001C327C">
      <w:pPr>
        <w:pStyle w:val="Textoindependiente"/>
      </w:pPr>
      <w:r w:rsidRPr="00126DFF">
        <w:t>La iniciativa de incorporar los Gobiernos Locales al SNCCP, va vinculada a los temas de transparencia, la reducción de las desigualdades y el uso eficiente de los recursos basado en consumo sostenible</w:t>
      </w:r>
      <w:r w:rsidR="00CE587C">
        <w:t>; lo cual responde a los Objetivos de Desarrollo Sostenible (ODS) 10, 11, 12 y 16</w:t>
      </w:r>
      <w:r w:rsidRPr="00126DFF">
        <w:t>.</w:t>
      </w:r>
      <w:r>
        <w:t xml:space="preserve"> </w:t>
      </w:r>
      <w:r w:rsidRPr="00126DFF">
        <w:t>La expansión e implementación del Sistema Nacional de Compras y C</w:t>
      </w:r>
      <w:r>
        <w:t>ontrataciones Públicas (SNCCP) en</w:t>
      </w:r>
      <w:r w:rsidRPr="00126DFF">
        <w:t xml:space="preserve"> </w:t>
      </w:r>
      <w:r>
        <w:t>este sector</w:t>
      </w:r>
      <w:r w:rsidRPr="00126DFF">
        <w:t>, busca</w:t>
      </w:r>
      <w:r>
        <w:t>,</w:t>
      </w:r>
      <w:r w:rsidRPr="00126DFF">
        <w:t xml:space="preserve"> a largo plazo</w:t>
      </w:r>
      <w:r>
        <w:t>,</w:t>
      </w:r>
      <w:r w:rsidRPr="00126DFF">
        <w:t xml:space="preserve"> lograr la regionalización de las compras públicas, y así contribuir a eliminar las barreras de acceso al mercado de compras públicas con el fin de dinamizar la ec</w:t>
      </w:r>
      <w:r>
        <w:t>onomía local de los territorios;</w:t>
      </w:r>
      <w:r w:rsidRPr="00126DFF">
        <w:t xml:space="preserve"> </w:t>
      </w:r>
      <w:r>
        <w:t>y</w:t>
      </w:r>
      <w:r w:rsidRPr="00126DFF">
        <w:t xml:space="preserve"> al mismo tiempo, contribuir con la evolución en la eficiencia administrativa de la gestión municipal.</w:t>
      </w:r>
    </w:p>
    <w:p w:rsidR="00CA590C" w:rsidRDefault="00CA590C" w:rsidP="001C327C">
      <w:pPr>
        <w:pStyle w:val="Textoindependiente"/>
      </w:pPr>
      <w:r>
        <w:t>Incorporar a los gobiernos locales al Sistema Nacional de Compras y Contrataciones Públicas (SNCCP) ha logrado impulsar la descentralización de las compras públicas a nivel del territorio nacional, utilizando el SNCCP como motor de desarrollo sostenible a través de la capacitación, el aprovechamiento de las herramientas disponibles y el desarrollo de recursos especializados con el fin de elevar el nivel de cumplimiento normativo vigente en la materia. A su vez, se busca mitigar el bajo nivel de cumplimiento de la Ley No. 340-06 en los gobiernos locales y fomentar las compras en el territorio para mejorar la calidad del gasto público municipal y generar confianza en las administraciones locales. En el entendido de que actualmente esta es una problemática que afecta la imagen y el cumplimiento efectivo de sus competencias.</w:t>
      </w:r>
    </w:p>
    <w:p w:rsidR="00126DFF" w:rsidRDefault="00126DFF" w:rsidP="001C327C">
      <w:pPr>
        <w:pStyle w:val="Textoindependiente"/>
      </w:pPr>
      <w:r w:rsidRPr="00126DFF">
        <w:t>De los 158 ayuntamientos municipales que existen en la actualidad en el territorio nac</w:t>
      </w:r>
      <w:r>
        <w:t xml:space="preserve">ional, el objetivo </w:t>
      </w:r>
      <w:r w:rsidR="00CA590C">
        <w:t xml:space="preserve">inicial </w:t>
      </w:r>
      <w:r w:rsidR="00CE587C">
        <w:t>fue</w:t>
      </w:r>
      <w:r w:rsidRPr="00126DFF">
        <w:t xml:space="preserve"> incorporar 50 entidades municipales al Portal Transaccional, tomando como prioridad los municipios cabecera de cada provincia y los demá</w:t>
      </w:r>
      <w:r w:rsidR="00CA590C">
        <w:t>s municipios de mayor población;</w:t>
      </w:r>
      <w:r>
        <w:t xml:space="preserve"> </w:t>
      </w:r>
      <w:r w:rsidR="00CA590C">
        <w:t>e</w:t>
      </w:r>
      <w:r>
        <w:t xml:space="preserve">n la actualidad, hemos superado la meta y </w:t>
      </w:r>
      <w:r w:rsidR="00624F28">
        <w:t>ya contamos con 42</w:t>
      </w:r>
      <w:r w:rsidR="00CA590C">
        <w:t xml:space="preserve"> entidades</w:t>
      </w:r>
      <w:r w:rsidR="00624F28">
        <w:t>, 15</w:t>
      </w:r>
      <w:r>
        <w:t xml:space="preserve"> de e</w:t>
      </w:r>
      <w:r w:rsidR="00CA590C">
        <w:t>llas incorporada</w:t>
      </w:r>
      <w:r>
        <w:t xml:space="preserve">s durante este 2019. </w:t>
      </w:r>
      <w:r w:rsidR="00CA590C">
        <w:t>El impacto de la inclusión de los Gobiernos Locales al SNCCP es medido en el Sistema de Monitoreo de la Administración Pública Municipal (SISMAP Municipal), y para dicha medición se toma en cuenta: la existencia de un responsable de compras, la capacitación del mismo, la publicación de los planes de compras y los procesos de compras; y por último las compras destinadas a MIPYMES.</w:t>
      </w:r>
    </w:p>
    <w:p w:rsidR="001C327C" w:rsidRDefault="001C327C">
      <w:pPr>
        <w:keepNext w:val="0"/>
        <w:keepLines w:val="0"/>
        <w:spacing w:before="0" w:after="160" w:line="259" w:lineRule="auto"/>
        <w:ind w:firstLine="0"/>
        <w:jc w:val="left"/>
        <w:outlineLvl w:val="9"/>
        <w:rPr>
          <w:rFonts w:asciiTheme="majorHAnsi" w:hAnsiTheme="majorHAnsi" w:cstheme="majorBidi"/>
          <w:color w:val="1F4D78" w:themeColor="accent1" w:themeShade="7F"/>
        </w:rPr>
      </w:pPr>
      <w:r>
        <w:br w:type="page"/>
      </w:r>
    </w:p>
    <w:p w:rsidR="006A2449" w:rsidRDefault="006A2449" w:rsidP="00864860">
      <w:pPr>
        <w:pStyle w:val="Ttulo3"/>
      </w:pPr>
      <w:r>
        <w:t>Capacitaciones en el Sistema Nacional de Contrataciones Públicas (SNCCP)</w:t>
      </w:r>
    </w:p>
    <w:p w:rsidR="00251897" w:rsidRPr="00D428CC" w:rsidRDefault="00433D91" w:rsidP="00D428CC">
      <w:pPr>
        <w:pStyle w:val="Textoindependiente"/>
        <w:rPr>
          <w:color w:val="auto"/>
        </w:rPr>
      </w:pPr>
      <w:r w:rsidRPr="00D428CC">
        <w:rPr>
          <w:color w:val="auto"/>
        </w:rPr>
        <w:t>Durante el 2019</w:t>
      </w:r>
      <w:r w:rsidR="00B01F41" w:rsidRPr="00D428CC">
        <w:rPr>
          <w:color w:val="auto"/>
        </w:rPr>
        <w:t xml:space="preserve">, unos 71,467 ciudadanos han recibido </w:t>
      </w:r>
      <w:r w:rsidR="00251897" w:rsidRPr="00D428CC">
        <w:rPr>
          <w:color w:val="auto"/>
        </w:rPr>
        <w:t>capacitaciones</w:t>
      </w:r>
      <w:r w:rsidR="00B01F41" w:rsidRPr="00D428CC">
        <w:rPr>
          <w:color w:val="auto"/>
        </w:rPr>
        <w:t xml:space="preserve"> e</w:t>
      </w:r>
      <w:r w:rsidRPr="00D428CC">
        <w:rPr>
          <w:color w:val="auto"/>
        </w:rPr>
        <w:t>n diferentes temas del marco teórico del Sistema de Compras y Contrataciones Públicas</w:t>
      </w:r>
      <w:r w:rsidR="00B01F41" w:rsidRPr="00D428CC">
        <w:rPr>
          <w:color w:val="auto"/>
        </w:rPr>
        <w:t xml:space="preserve">, </w:t>
      </w:r>
      <w:r w:rsidRPr="00D428CC">
        <w:rPr>
          <w:color w:val="auto"/>
        </w:rPr>
        <w:t>lo cual</w:t>
      </w:r>
      <w:r w:rsidR="00B01F41" w:rsidRPr="00D428CC">
        <w:rPr>
          <w:color w:val="auto"/>
        </w:rPr>
        <w:t xml:space="preserve"> les ha permitido tener mayor conocimiento de</w:t>
      </w:r>
      <w:r w:rsidRPr="00D428CC">
        <w:rPr>
          <w:color w:val="auto"/>
        </w:rPr>
        <w:t>l ejercicio de sus derechos, mayor empoderamiento y mejorar sus oportunidades para presentar una propuesta exitosa</w:t>
      </w:r>
      <w:r w:rsidR="00D428CC" w:rsidRPr="00D428CC">
        <w:rPr>
          <w:color w:val="auto"/>
        </w:rPr>
        <w:t>.</w:t>
      </w:r>
    </w:p>
    <w:p w:rsidR="00B01F41" w:rsidRPr="00D428CC" w:rsidRDefault="00B01F41" w:rsidP="001C327C">
      <w:pPr>
        <w:pStyle w:val="Textoindependiente"/>
        <w:rPr>
          <w:color w:val="auto"/>
        </w:rPr>
      </w:pPr>
      <w:r w:rsidRPr="00D428CC">
        <w:rPr>
          <w:color w:val="auto"/>
        </w:rPr>
        <w:t xml:space="preserve">Las capacitaciones se han implementado con la realización de </w:t>
      </w:r>
      <w:r w:rsidR="00251897" w:rsidRPr="00D428CC">
        <w:rPr>
          <w:color w:val="auto"/>
        </w:rPr>
        <w:t>94</w:t>
      </w:r>
      <w:r w:rsidRPr="00D428CC">
        <w:rPr>
          <w:color w:val="auto"/>
        </w:rPr>
        <w:t xml:space="preserve"> </w:t>
      </w:r>
      <w:r w:rsidR="00251897" w:rsidRPr="00D428CC">
        <w:rPr>
          <w:color w:val="auto"/>
        </w:rPr>
        <w:t>talleres</w:t>
      </w:r>
      <w:r w:rsidRPr="00D428CC">
        <w:rPr>
          <w:color w:val="auto"/>
        </w:rPr>
        <w:t xml:space="preserve"> de formación que han permitido alcanzar a</w:t>
      </w:r>
      <w:r w:rsidR="00251897" w:rsidRPr="00D428CC">
        <w:rPr>
          <w:color w:val="auto"/>
        </w:rPr>
        <w:t xml:space="preserve"> un total de</w:t>
      </w:r>
      <w:r w:rsidRPr="00D428CC">
        <w:rPr>
          <w:color w:val="auto"/>
        </w:rPr>
        <w:t xml:space="preserve"> </w:t>
      </w:r>
      <w:r w:rsidR="00251897" w:rsidRPr="00D428CC">
        <w:rPr>
          <w:color w:val="auto"/>
        </w:rPr>
        <w:t xml:space="preserve">1,627 proveedores y ciudadanos, de los cuales el </w:t>
      </w:r>
      <w:r w:rsidR="00E059B9" w:rsidRPr="00D428CC">
        <w:rPr>
          <w:color w:val="auto"/>
        </w:rPr>
        <w:t>56</w:t>
      </w:r>
      <w:r w:rsidR="00251897" w:rsidRPr="00D428CC">
        <w:rPr>
          <w:color w:val="auto"/>
        </w:rPr>
        <w:t xml:space="preserve">% son mujeres y </w:t>
      </w:r>
      <w:r w:rsidR="00E059B9" w:rsidRPr="00D428CC">
        <w:rPr>
          <w:color w:val="auto"/>
        </w:rPr>
        <w:t>44</w:t>
      </w:r>
      <w:r w:rsidR="00251897" w:rsidRPr="00D428CC">
        <w:rPr>
          <w:color w:val="auto"/>
        </w:rPr>
        <w:t>% hombres.</w:t>
      </w:r>
    </w:p>
    <w:p w:rsidR="00B01F41" w:rsidRDefault="00E059B9" w:rsidP="007F31F6">
      <w:pPr>
        <w:ind w:firstLine="0"/>
        <w:jc w:val="center"/>
      </w:pPr>
      <w:r>
        <w:rPr>
          <w:noProof/>
          <w:lang w:val="es-DO" w:eastAsia="es-DO"/>
        </w:rPr>
        <w:drawing>
          <wp:inline distT="0" distB="0" distL="0" distR="0">
            <wp:extent cx="4532118" cy="2724150"/>
            <wp:effectExtent l="0" t="0" r="1905"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41741" cy="2729934"/>
                    </a:xfrm>
                    <a:prstGeom prst="rect">
                      <a:avLst/>
                    </a:prstGeom>
                    <a:noFill/>
                  </pic:spPr>
                </pic:pic>
              </a:graphicData>
            </a:graphic>
          </wp:inline>
        </w:drawing>
      </w:r>
    </w:p>
    <w:p w:rsidR="00E059B9" w:rsidRDefault="00E059B9" w:rsidP="001C327C">
      <w:pPr>
        <w:pStyle w:val="Textoindependiente"/>
      </w:pPr>
      <w:r>
        <w:t>De acuerdo a los</w:t>
      </w:r>
      <w:r w:rsidR="00B01F41">
        <w:t xml:space="preserve"> informe</w:t>
      </w:r>
      <w:r>
        <w:t>s</w:t>
      </w:r>
      <w:r w:rsidR="00B01F41">
        <w:t xml:space="preserve"> estadístico</w:t>
      </w:r>
      <w:r w:rsidR="00A41484">
        <w:t>s, de ese total, el 85% son MIPYMES.</w:t>
      </w:r>
    </w:p>
    <w:p w:rsidR="00B01F41" w:rsidRDefault="00E059B9" w:rsidP="007F31F6">
      <w:pPr>
        <w:ind w:firstLine="0"/>
        <w:jc w:val="center"/>
      </w:pPr>
      <w:r w:rsidRPr="00304086">
        <w:rPr>
          <w:noProof/>
          <w:lang w:val="es-DO" w:eastAsia="es-DO"/>
        </w:rPr>
        <w:drawing>
          <wp:inline distT="0" distB="0" distL="0" distR="0">
            <wp:extent cx="4505325" cy="1544513"/>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6">
                      <a:extLst>
                        <a:ext uri="{28A0092B-C50C-407E-A947-70E740481C1C}">
                          <a14:useLocalDpi xmlns:a14="http://schemas.microsoft.com/office/drawing/2010/main" val="0"/>
                        </a:ext>
                      </a:extLst>
                    </a:blip>
                    <a:srcRect l="-259" r="34670"/>
                    <a:stretch/>
                  </pic:blipFill>
                  <pic:spPr bwMode="auto">
                    <a:xfrm>
                      <a:off x="0" y="0"/>
                      <a:ext cx="4573241" cy="1567796"/>
                    </a:xfrm>
                    <a:prstGeom prst="rect">
                      <a:avLst/>
                    </a:prstGeom>
                    <a:noFill/>
                    <a:ln>
                      <a:noFill/>
                    </a:ln>
                    <a:extLst>
                      <a:ext uri="{53640926-AAD7-44D8-BBD7-CCE9431645EC}">
                        <a14:shadowObscured xmlns:a14="http://schemas.microsoft.com/office/drawing/2010/main"/>
                      </a:ext>
                    </a:extLst>
                  </pic:spPr>
                </pic:pic>
              </a:graphicData>
            </a:graphic>
          </wp:inline>
        </w:drawing>
      </w:r>
    </w:p>
    <w:p w:rsidR="00202BD6" w:rsidRDefault="00A41484" w:rsidP="001C327C">
      <w:pPr>
        <w:pStyle w:val="Textoindependiente"/>
      </w:pPr>
      <w:r>
        <w:t>La Dirección General de Contrataciones Públicas</w:t>
      </w:r>
      <w:r w:rsidR="00B01F41">
        <w:t xml:space="preserve"> desarrolla exitosamente, cada año, jornadas</w:t>
      </w:r>
      <w:r>
        <w:t xml:space="preserve"> de capacitación </w:t>
      </w:r>
      <w:r w:rsidR="00B01F41">
        <w:t xml:space="preserve">para beneficiar diversos sectores de la sociedad, </w:t>
      </w:r>
      <w:r>
        <w:t xml:space="preserve">las mismas se </w:t>
      </w:r>
      <w:r w:rsidR="00B01F41">
        <w:t>realizan de manera gratuita.</w:t>
      </w:r>
    </w:p>
    <w:p w:rsidR="006A2449" w:rsidRDefault="006A2449" w:rsidP="00202BD6">
      <w:pPr>
        <w:pStyle w:val="Ttulo3"/>
      </w:pPr>
      <w:r>
        <w:t>Asistencias Técnicas en el Sistema Nacional de Contrataciones Públicas (SNCCP)</w:t>
      </w:r>
    </w:p>
    <w:p w:rsidR="006A2449" w:rsidRDefault="00913EF6" w:rsidP="001C327C">
      <w:pPr>
        <w:pStyle w:val="Textoindependiente"/>
      </w:pPr>
      <w:r>
        <w:t>Uno de los objetivos de esta Dirección en su función de organismo r</w:t>
      </w:r>
      <w:r w:rsidRPr="00913EF6">
        <w:t>egula</w:t>
      </w:r>
      <w:r>
        <w:t xml:space="preserve">dor </w:t>
      </w:r>
      <w:r w:rsidRPr="00913EF6">
        <w:t>del Mercado Público y el Sistema Nac</w:t>
      </w:r>
      <w:r>
        <w:t>ional de Contrataciones Públicas, es g</w:t>
      </w:r>
      <w:r w:rsidRPr="00913EF6">
        <w:t xml:space="preserve">arantizar la transparencia e igualdad de oportunidades en las adquisiciones realizadas por el Estado Dominicano, </w:t>
      </w:r>
      <w:r>
        <w:t>y una de las herramientas por la</w:t>
      </w:r>
      <w:r w:rsidR="00B7773F">
        <w:t>s</w:t>
      </w:r>
      <w:r>
        <w:t xml:space="preserve"> cuales cumplimos este objetivo a la ciudadanía es la asistencia técnica, presencial y telefónica, </w:t>
      </w:r>
      <w:r w:rsidR="00B01F41">
        <w:t>a través de la cual se da apoyo a los ciudadanos clientes r</w:t>
      </w:r>
      <w:r>
        <w:t xml:space="preserve">especto a aspectos, principalmente, del </w:t>
      </w:r>
      <w:r w:rsidRPr="00913EF6">
        <w:t>marco normativo</w:t>
      </w:r>
      <w:r>
        <w:t xml:space="preserve"> y </w:t>
      </w:r>
      <w:r w:rsidRPr="00913EF6">
        <w:t>el Régimen de Impugnaciones</w:t>
      </w:r>
      <w:r>
        <w:t xml:space="preserve"> d</w:t>
      </w:r>
      <w:r w:rsidRPr="00913EF6">
        <w:t>el SNCCP</w:t>
      </w:r>
      <w:r>
        <w:t xml:space="preserve">, </w:t>
      </w:r>
      <w:r w:rsidRPr="00913EF6">
        <w:t>el Registro de Proveedores del Estado</w:t>
      </w:r>
      <w:r>
        <w:t>,</w:t>
      </w:r>
      <w:r w:rsidRPr="00913EF6">
        <w:t xml:space="preserve"> la herramienta de gestión del sistema SNCCP</w:t>
      </w:r>
      <w:r>
        <w:t>,</w:t>
      </w:r>
      <w:r w:rsidRPr="00913EF6">
        <w:t xml:space="preserve"> y</w:t>
      </w:r>
      <w:r>
        <w:t xml:space="preserve"> el SISCOMPRAS.</w:t>
      </w:r>
    </w:p>
    <w:p w:rsidR="00913EF6" w:rsidRDefault="00913EF6" w:rsidP="001C327C">
      <w:pPr>
        <w:pStyle w:val="Textoindependiente"/>
      </w:pPr>
      <w:r>
        <w:t>Dentro</w:t>
      </w:r>
      <w:r w:rsidR="00B01F41">
        <w:t xml:space="preserve"> de los compromisos de mejora para</w:t>
      </w:r>
      <w:r>
        <w:t xml:space="preserve"> este servicio, durante este 2019, se ha trabajado en la actualización de los procesos y procedimientos para las asistencias técnicas que se brindan a los usuarios del SNCCP en sus tres modalidades: asistencias telefónicas, asistencias por correo electrónico y asistencias presenciales; los mismos se homologaron con las funcionalidades tecnológicas implementadas en el sistema</w:t>
      </w:r>
      <w:r w:rsidR="00B7773F">
        <w:t>,</w:t>
      </w:r>
      <w:r>
        <w:t xml:space="preserve"> con la finalidad de fortalecer las asistencias brindadas y entregar soluciones a los usuarios a un nivel superior. </w:t>
      </w:r>
    </w:p>
    <w:p w:rsidR="00913EF6" w:rsidRDefault="00913EF6" w:rsidP="001C327C">
      <w:pPr>
        <w:pStyle w:val="Textoindependiente"/>
      </w:pPr>
      <w:r>
        <w:t xml:space="preserve">Así, se ha logrado </w:t>
      </w:r>
      <w:r w:rsidR="00B01F41">
        <w:t>mejorar</w:t>
      </w:r>
      <w:r>
        <w:t xml:space="preserve"> la respuesta en un menor tiempo de las validaciones requeridas a los usuarios del SNCCP</w:t>
      </w:r>
      <w:r w:rsidR="00202BD6">
        <w:t>, mejorar la comunicación oportuna de incidencias y su corrección, y medir la efectividad</w:t>
      </w:r>
      <w:r>
        <w:t xml:space="preserve"> de las acciones correctivas que se aplican a las </w:t>
      </w:r>
      <w:r w:rsidR="00202BD6">
        <w:t>mismas</w:t>
      </w:r>
      <w:r>
        <w:t xml:space="preserve"> y casos que se presentan a los usuarios del SNCCP en el uso del portal transaccional. </w:t>
      </w:r>
    </w:p>
    <w:p w:rsidR="00D428CC" w:rsidRDefault="00D428CC">
      <w:pPr>
        <w:keepNext w:val="0"/>
        <w:keepLines w:val="0"/>
        <w:spacing w:before="0" w:after="160" w:line="259" w:lineRule="auto"/>
        <w:ind w:firstLine="0"/>
        <w:jc w:val="left"/>
        <w:outlineLvl w:val="9"/>
        <w:rPr>
          <w:rFonts w:asciiTheme="majorHAnsi" w:hAnsiTheme="majorHAnsi" w:cstheme="majorBidi"/>
          <w:color w:val="1F4D78" w:themeColor="accent1" w:themeShade="7F"/>
        </w:rPr>
      </w:pPr>
      <w:r>
        <w:br w:type="page"/>
      </w:r>
    </w:p>
    <w:p w:rsidR="00544E40" w:rsidRDefault="00544E40" w:rsidP="001B3D83">
      <w:pPr>
        <w:pStyle w:val="Ttulo3"/>
      </w:pPr>
      <w:r>
        <w:t>Estandarización de Datos Abiertos</w:t>
      </w:r>
    </w:p>
    <w:p w:rsidR="00544E40" w:rsidRDefault="00260CDB" w:rsidP="001C327C">
      <w:pPr>
        <w:pStyle w:val="Textoindependiente"/>
      </w:pPr>
      <w:r>
        <w:t xml:space="preserve">La </w:t>
      </w:r>
      <w:r w:rsidR="001B3D83">
        <w:t>Dirección</w:t>
      </w:r>
      <w:r>
        <w:t xml:space="preserve"> General de Contrataciones Públicas ha trabajado arduamente durante este año en la explotación y disposición, a través de</w:t>
      </w:r>
      <w:r w:rsidR="001B3D83">
        <w:t xml:space="preserve">l desarrollo </w:t>
      </w:r>
      <w:r w:rsidR="001B3D83" w:rsidRPr="001B3D83">
        <w:t xml:space="preserve">y mantenimiento </w:t>
      </w:r>
      <w:r w:rsidR="001B3D83">
        <w:t>de</w:t>
      </w:r>
      <w:r>
        <w:t xml:space="preserve"> </w:t>
      </w:r>
      <w:r w:rsidR="001B3D83">
        <w:t>aplicativos web</w:t>
      </w:r>
      <w:r w:rsidR="00D428CC">
        <w:t>s</w:t>
      </w:r>
      <w:r>
        <w:t>, de información para ser utilizada por la ciudadanía</w:t>
      </w:r>
      <w:r w:rsidR="001B3D83">
        <w:t xml:space="preserve">. La estandarización de tablas provenientes de las bases de datos de los sistemas donde se gestionan las compras públicas, tales como el </w:t>
      </w:r>
      <w:r w:rsidR="001B3D83" w:rsidRPr="001B3D83">
        <w:t>Portal Transaccional y el Sistema de Información de la Gestión Financiera (SIGEF)</w:t>
      </w:r>
      <w:r w:rsidR="001B3D83">
        <w:t xml:space="preserve">, permite que los usuarios puedan </w:t>
      </w:r>
      <w:r w:rsidR="001B3D83" w:rsidRPr="001B3D83">
        <w:t xml:space="preserve">auto servirse de los datos que genera el Sistema Nacional de Contrataciones Públicas (SNCCP), </w:t>
      </w:r>
      <w:r w:rsidR="001B3D83">
        <w:t>accediendo a</w:t>
      </w:r>
      <w:r w:rsidR="001B3D83" w:rsidRPr="001B3D83">
        <w:t xml:space="preserve"> estos nuevos aplicativos</w:t>
      </w:r>
      <w:r w:rsidR="001B3D83">
        <w:t>, entre los que</w:t>
      </w:r>
      <w:r w:rsidR="001B3D83" w:rsidRPr="001B3D83">
        <w:t xml:space="preserve"> se puede</w:t>
      </w:r>
      <w:r w:rsidR="001B3D83">
        <w:t>n</w:t>
      </w:r>
      <w:r w:rsidR="001B3D83" w:rsidRPr="001B3D83">
        <w:t xml:space="preserve"> mencionar</w:t>
      </w:r>
      <w:r w:rsidR="001B3D83">
        <w:t>:</w:t>
      </w:r>
      <w:r w:rsidR="001B3D83" w:rsidRPr="001B3D83">
        <w:t xml:space="preserve"> el SISCOMPRAS</w:t>
      </w:r>
      <w:r w:rsidR="001B3D83">
        <w:t>,</w:t>
      </w:r>
      <w:r w:rsidR="001B3D83" w:rsidRPr="001B3D83">
        <w:t xml:space="preserve"> que se encuentra dispon</w:t>
      </w:r>
      <w:r w:rsidR="001B3D83">
        <w:t>ible en la página institucional;</w:t>
      </w:r>
      <w:r w:rsidR="001B3D83" w:rsidRPr="001B3D83">
        <w:t xml:space="preserve"> el </w:t>
      </w:r>
      <w:r w:rsidR="00B7773F">
        <w:t>de</w:t>
      </w:r>
      <w:r w:rsidR="001B3D83" w:rsidRPr="001B3D83">
        <w:t xml:space="preserve"> MIPYMES, que fue diseñado en conjunto con el Ministerio de Industria y Comerc</w:t>
      </w:r>
      <w:r w:rsidR="001B3D83">
        <w:t>io para el observatorio MIPYMES;</w:t>
      </w:r>
      <w:r w:rsidR="001B3D83" w:rsidRPr="001B3D83">
        <w:t xml:space="preserve"> y el que desagrega las compras públicas a nivel regional</w:t>
      </w:r>
      <w:r w:rsidR="00B7773F">
        <w:t>,</w:t>
      </w:r>
      <w:r w:rsidR="001B3D83" w:rsidRPr="001B3D83">
        <w:t xml:space="preserve"> que se encuentra a disposición del ciudadano a través del enlace de datos abiertos.</w:t>
      </w:r>
    </w:p>
    <w:p w:rsidR="00D62B85" w:rsidRDefault="00D62B85" w:rsidP="001C327C">
      <w:pPr>
        <w:pStyle w:val="Textoindependiente"/>
      </w:pPr>
      <w:r>
        <w:t xml:space="preserve">Esta iniciativa ha permitido diseñar nuevos indicadores estratégicos, presentando una nueva versión del indicador del Sistema de Compras (SISCOMPRAS) y creando una clasificación de sectores productivos, utilizando modelos matemáticos que permitan analizar los patrones de comportamiento de compra, tanto en las unidades que se transan por el Sistema Nacional de Contrataciones Públicas, como de los proveedores del estado. Así mismo, le hemos dado soporte a la cooperación científica en materia de investigación en el acceso y manejo de datos entre la Dirección General de Contrataciones Públicas y algunas universidades internacionales, dando paso a que la institución haya entrado en el proceso de estandarización de sus datos al modelo de referencia </w:t>
      </w:r>
      <w:r w:rsidR="00B97047">
        <w:t>l</w:t>
      </w:r>
      <w:r>
        <w:t>atinoamericano.</w:t>
      </w:r>
    </w:p>
    <w:p w:rsidR="00900932" w:rsidRDefault="00900932" w:rsidP="001C327C">
      <w:pPr>
        <w:pStyle w:val="Textoindependiente"/>
      </w:pPr>
      <w:r>
        <w:t xml:space="preserve">Se ha trabajado también en la clasificación por sectores productivos conforme al nivel cuatro del catálogo UNSPSC y se han adecuado las informaciones con esta clasificación. De igual forma, se han desarrollado modelos econométricos que permitan determinar la probabilidad de que un proveedor sea adjudicado dadas las características de este y patrones que se observan en los datos, asimismo en la agrupación o ramificación de proveedores de acuerdo a los procesos que participan. </w:t>
      </w:r>
    </w:p>
    <w:p w:rsidR="00900932" w:rsidRDefault="00900932" w:rsidP="001C327C">
      <w:pPr>
        <w:pStyle w:val="Textoindependiente"/>
      </w:pPr>
      <w:r>
        <w:t xml:space="preserve">Otros análisis relacionados a algoritmos de inteligencia artificial incluyen: </w:t>
      </w:r>
    </w:p>
    <w:p w:rsidR="00900932" w:rsidRDefault="00900932" w:rsidP="001C327C">
      <w:pPr>
        <w:pStyle w:val="Prrafodelista"/>
        <w:numPr>
          <w:ilvl w:val="0"/>
          <w:numId w:val="19"/>
        </w:numPr>
        <w:ind w:left="567" w:hanging="548"/>
      </w:pPr>
      <w:r>
        <w:t xml:space="preserve">“Market Basket Analysis” para determinar los comportamientos de las transacciones de compras a nivel de artículos.  </w:t>
      </w:r>
    </w:p>
    <w:p w:rsidR="00900932" w:rsidRDefault="00900932" w:rsidP="001C327C">
      <w:pPr>
        <w:pStyle w:val="Prrafodelista"/>
        <w:numPr>
          <w:ilvl w:val="0"/>
          <w:numId w:val="19"/>
        </w:numPr>
        <w:ind w:left="567" w:hanging="548"/>
      </w:pPr>
      <w:r>
        <w:t>Análisis de asociación de los rubros inscritos por parte de los proveedores del estado.</w:t>
      </w:r>
    </w:p>
    <w:p w:rsidR="001C327C" w:rsidRDefault="00900932" w:rsidP="001C327C">
      <w:pPr>
        <w:pStyle w:val="Prrafodelista"/>
        <w:numPr>
          <w:ilvl w:val="0"/>
          <w:numId w:val="19"/>
        </w:numPr>
        <w:ind w:left="567" w:hanging="548"/>
      </w:pPr>
      <w:r>
        <w:t>Creación de clústeres de unidades de compras y de proveedores del estado a partir de su comportamiento en el SNCCP.</w:t>
      </w:r>
    </w:p>
    <w:p w:rsidR="001C327C" w:rsidRDefault="001C327C">
      <w:pPr>
        <w:keepNext w:val="0"/>
        <w:keepLines w:val="0"/>
        <w:spacing w:before="0" w:after="160" w:line="259" w:lineRule="auto"/>
        <w:ind w:firstLine="0"/>
        <w:jc w:val="left"/>
        <w:outlineLvl w:val="9"/>
      </w:pPr>
      <w:r>
        <w:br w:type="page"/>
      </w:r>
    </w:p>
    <w:p w:rsidR="00C627EB" w:rsidRPr="001C327C" w:rsidRDefault="00C627EB" w:rsidP="0062044A">
      <w:pPr>
        <w:ind w:left="19" w:firstLine="548"/>
        <w:rPr>
          <w:rFonts w:asciiTheme="majorHAnsi" w:hAnsiTheme="majorHAnsi" w:cstheme="majorBidi"/>
          <w:color w:val="1F4D78" w:themeColor="accent1" w:themeShade="7F"/>
        </w:rPr>
      </w:pPr>
      <w:r w:rsidRPr="001C327C">
        <w:rPr>
          <w:rFonts w:asciiTheme="majorHAnsi" w:hAnsiTheme="majorHAnsi" w:cstheme="majorBidi"/>
          <w:color w:val="1F4D78" w:themeColor="accent1" w:themeShade="7F"/>
        </w:rPr>
        <w:t>Monitoreo y Medición del Sistema Nacional de Compras y Contrataciones Públicas (SNCCP)</w:t>
      </w:r>
    </w:p>
    <w:p w:rsidR="00975B15" w:rsidRDefault="00C627EB" w:rsidP="001C327C">
      <w:pPr>
        <w:pStyle w:val="Textoindependiente"/>
      </w:pPr>
      <w:r>
        <w:t>Con el objetivo de medir el grado de desarrollo de la gestión de las compras y contrataciones públicas, en términos de transparencia, eficiencia, eficacia y calidad en correspondencia con el marco normativo y procedimental vigente, la Dirección General de Contrataciones Públicas, a través de una serie de indicadores básicos</w:t>
      </w:r>
      <w:r w:rsidR="00975B15">
        <w:t>,</w:t>
      </w:r>
      <w:r>
        <w:t xml:space="preserve"> y sub indicadores que se derivan de éstos</w:t>
      </w:r>
      <w:r w:rsidR="00975B15">
        <w:t>,</w:t>
      </w:r>
      <w:r w:rsidR="00975B15" w:rsidRPr="00975B15">
        <w:t xml:space="preserve"> </w:t>
      </w:r>
      <w:r w:rsidR="00975B15">
        <w:t>que inciden en el fortalecimiento de las compras</w:t>
      </w:r>
      <w:r>
        <w:t xml:space="preserve">. </w:t>
      </w:r>
    </w:p>
    <w:p w:rsidR="004D7B53" w:rsidRDefault="00C627EB" w:rsidP="001C327C">
      <w:pPr>
        <w:pStyle w:val="Textoindependiente"/>
      </w:pPr>
      <w:r>
        <w:t xml:space="preserve">El Indicador de monitoreo del Sistema Nacional de Contrataciones Públicas </w:t>
      </w:r>
      <w:r w:rsidR="00B97047">
        <w:t>(</w:t>
      </w:r>
      <w:r>
        <w:t>SISCOMPRAS</w:t>
      </w:r>
      <w:r w:rsidR="00B97047">
        <w:t>)</w:t>
      </w:r>
      <w:r>
        <w:t xml:space="preserve"> ha sido desarrollado para monitorear el cumplimiento de la Ley 340-06, su modificación y normativas vinculadas. Este indicador y sus sub</w:t>
      </w:r>
      <w:r w:rsidR="0062044A">
        <w:t>-</w:t>
      </w:r>
      <w:r>
        <w:t>indicadores están orientados a medir el grado de desarrollo de la gestión de las contrataciones, en términos de transparencia, eficiencia, eficacia y calidad en correspondencia con el marco normativo y procedimental vigente. No miden especificaciones técnicas, criterios de evaluación ni tiempos razonables. El indicador está compuesto por 5 sub indicadores que a la vez contienen en total 8 factores de medición vinculados a los ejes que conllevan una mejora de la gestión de la contratación pública.</w:t>
      </w:r>
      <w:r w:rsidR="004D7B53">
        <w:t xml:space="preserve"> La Dirección General de Contrataciones, presenta en su portal institucional, los datos de todas las instituciones con su puntuación correspondiente.</w:t>
      </w:r>
    </w:p>
    <w:p w:rsidR="004D7B53" w:rsidRDefault="00C627EB" w:rsidP="001C327C">
      <w:pPr>
        <w:pStyle w:val="Textoindependiente"/>
      </w:pPr>
      <w:r>
        <w:t xml:space="preserve">La Dirección General, como Órgano Rector del SNCCP, es responsable de validar la información generada de cada uno de los indicadores de esta </w:t>
      </w:r>
      <w:r w:rsidR="004D7B53">
        <w:t>medición, por</w:t>
      </w:r>
      <w:r>
        <w:t xml:space="preserve"> parte de las áreas de Tecnología de la Información y Comunicación, e interactuar con los usuarios la puntuación obtenida de manera trimestral. </w:t>
      </w:r>
      <w:r w:rsidR="004D7B53">
        <w:t>Para su verificación, cada indicador debe contar con una evidencia aportada por el uso del Portal Transaccional, que permita comprobar su estado.</w:t>
      </w:r>
    </w:p>
    <w:p w:rsidR="00C627EB" w:rsidRDefault="00C627EB" w:rsidP="001C327C">
      <w:pPr>
        <w:pStyle w:val="Textoindependiente"/>
      </w:pPr>
      <w:r>
        <w:t xml:space="preserve">En la fase II de los indicadores y ranking del uso del Sistema Nacional de Compras (SISCOMPRAS) consistió en la habilitación de la plataforma; con la tecnología conocida POWER BI de la empresa Microsoft, requerida para la habilitación de tableros de mando o </w:t>
      </w:r>
      <w:r w:rsidRPr="00D428CC">
        <w:rPr>
          <w:i/>
        </w:rPr>
        <w:t>dashboards</w:t>
      </w:r>
      <w:r>
        <w:t xml:space="preserve"> para que las instituciones puedan conocer la situación y/o estatus de sus operaciones y </w:t>
      </w:r>
      <w:r w:rsidR="00B97047">
        <w:t>cuales</w:t>
      </w:r>
      <w:r>
        <w:t xml:space="preserve"> elementos tienen oportunidad de mejora. Esta permite a cada institución autoevaluarse en lo que se espera en el uso del sistema y crear un ambiente sano de competencia en miras de establecer planes de mejora en las operaciones por cada organización. Este tablero fue habilitado en la página institucional www.dgcp.gob.do (</w:t>
      </w:r>
      <w:hyperlink r:id="rId27" w:history="1">
        <w:r w:rsidR="005D0AA3" w:rsidRPr="001C327C">
          <w:t>https://www.dgcp.gob.do/index.php/siscompras</w:t>
        </w:r>
      </w:hyperlink>
      <w:r>
        <w:t>).</w:t>
      </w:r>
    </w:p>
    <w:p w:rsidR="000B6841" w:rsidRDefault="000B6841">
      <w:pPr>
        <w:keepNext w:val="0"/>
        <w:keepLines w:val="0"/>
        <w:spacing w:before="0" w:after="160" w:line="259" w:lineRule="auto"/>
        <w:ind w:firstLine="0"/>
        <w:jc w:val="left"/>
        <w:outlineLvl w:val="9"/>
        <w:rPr>
          <w:rFonts w:asciiTheme="majorHAnsi" w:hAnsiTheme="majorHAnsi" w:cstheme="majorBidi"/>
          <w:color w:val="1F4D78" w:themeColor="accent1" w:themeShade="7F"/>
        </w:rPr>
      </w:pPr>
      <w:r>
        <w:br w:type="page"/>
      </w:r>
    </w:p>
    <w:p w:rsidR="00CA590C" w:rsidRDefault="00CA590C" w:rsidP="00C11AF3">
      <w:pPr>
        <w:pStyle w:val="Ttulo3"/>
      </w:pPr>
      <w:r>
        <w:t xml:space="preserve">Elaboración de la </w:t>
      </w:r>
      <w:r w:rsidRPr="00CA590C">
        <w:t>Propuesta de Anteproyecto de Ley de Compras y Contrataciones Públicas.</w:t>
      </w:r>
    </w:p>
    <w:p w:rsidR="00D428CC" w:rsidRDefault="00E12E9E" w:rsidP="00D428CC">
      <w:pPr>
        <w:pStyle w:val="Textoindependiente"/>
      </w:pPr>
      <w:r>
        <w:t xml:space="preserve">Esta propuesta presenta la intención de disponer de </w:t>
      </w:r>
      <w:r w:rsidRPr="00E12E9E">
        <w:t>un marco jurídico que facilite la renovación del Sistema Nacional de Compras y Contrataciones Públicas para adecuarlo a las necesidades actuales y futuras. Se propone otorgar rango de ley a los procedimientos destinados a promover y fortalecer los sectores productivos nacionales, MIPYME, m</w:t>
      </w:r>
      <w:r>
        <w:t>ujeres, las compras sostenibles;</w:t>
      </w:r>
      <w:r w:rsidRPr="00E12E9E">
        <w:t xml:space="preserve"> </w:t>
      </w:r>
      <w:r>
        <w:t>i</w:t>
      </w:r>
      <w:r w:rsidRPr="00E12E9E">
        <w:t>gualmente categorizar el uso de las herramientas tecnológicas (i.e. Portal Transaccional) como plataforma obligatoria que fortalecerá la transparencia y rendición de cuentas de las instituciones sobre</w:t>
      </w:r>
      <w:r>
        <w:t xml:space="preserve"> sus compras y contrataciones. S</w:t>
      </w:r>
      <w:r w:rsidRPr="00E12E9E">
        <w:t xml:space="preserve">e </w:t>
      </w:r>
      <w:r>
        <w:t>ha realizado</w:t>
      </w:r>
      <w:r w:rsidRPr="00E12E9E">
        <w:t xml:space="preserve"> la propuesta de anteproyecto</w:t>
      </w:r>
      <w:r>
        <w:t xml:space="preserve"> </w:t>
      </w:r>
      <w:r w:rsidRPr="00E12E9E">
        <w:t>para asegurar que sea un instrumento que contribuya a la mejora de la calidad del gasto y a la gestión del presupuesto nacional de manera transparente y en igualdad de oportunidades.</w:t>
      </w:r>
      <w:r>
        <w:t xml:space="preserve"> Los Objetivos de Desarrollo sostenible que </w:t>
      </w:r>
      <w:r w:rsidR="00C11AF3">
        <w:t>se vinculan a este proyecto son 1, 5, 8, 10, 11, 12, 16.</w:t>
      </w:r>
      <w:r>
        <w:t xml:space="preserve"> </w:t>
      </w:r>
    </w:p>
    <w:p w:rsidR="00CA590C" w:rsidRDefault="00C11AF3" w:rsidP="001C327C">
      <w:pPr>
        <w:pStyle w:val="Textoindependiente"/>
      </w:pPr>
      <w:r>
        <w:t>E</w:t>
      </w:r>
      <w:r w:rsidR="00E12E9E">
        <w:t>l anteproyecto de ley</w:t>
      </w:r>
      <w:r>
        <w:t xml:space="preserve">, </w:t>
      </w:r>
      <w:r w:rsidR="00E12E9E" w:rsidRPr="001C327C">
        <w:t>t</w:t>
      </w:r>
      <w:r w:rsidRPr="001C327C">
        <w:t>i</w:t>
      </w:r>
      <w:r w:rsidR="00E12E9E" w:rsidRPr="001C327C">
        <w:t>en</w:t>
      </w:r>
      <w:r w:rsidRPr="001C327C">
        <w:t xml:space="preserve">e </w:t>
      </w:r>
      <w:r>
        <w:t>como</w:t>
      </w:r>
      <w:r w:rsidR="00E12E9E">
        <w:t xml:space="preserve"> objetivo principal modificar los procedimientos de selección </w:t>
      </w:r>
      <w:r w:rsidR="0093771D">
        <w:t>para</w:t>
      </w:r>
      <w:r w:rsidR="00E12E9E">
        <w:t xml:space="preserve"> dar respuesta a la necesidad detectada de que éstos y sus plazos de ejecución no estén determinados exclusivamente por los umbrales o montos de la contratación, sino en atención a las características y/o complejidades del bien, servicio u obra a contratar, lo que permitirá mayor dinamización de las compras y apoyará la gestión operativa de las instituciones. Asimismo, actualizará la normativa y los trámites de la contratación, promoviendo una redacción más clara, indicando de forma detallada y precisa el contenido esencial que deben tener los pliegos de condiciones, fichas técnicas y términos de referencia, tomando como base la experiencia y práctica que ha sido acumulada desde la Dirección General a partir de septiembre de 2012, en el ejercicio de su facultad de verificar los procedimientos de contratación y dar respuesta a las impugnaciones e investigaciones.</w:t>
      </w:r>
      <w:r>
        <w:t xml:space="preserve"> </w:t>
      </w:r>
      <w:r w:rsidR="00E12E9E">
        <w:t>Finalmente, también establece un sistema de consecuencias, multas y sanciones tanto administrativas como penales con el propósito de crear un efecto disuasorio de cometer delitos a través de la contratación pública y facilitar la persecución penal de los funcionarios o empleados que los cometieren.</w:t>
      </w:r>
    </w:p>
    <w:p w:rsidR="00E35F03" w:rsidRDefault="00E35F03" w:rsidP="001C327C">
      <w:pPr>
        <w:pStyle w:val="Textoindependiente"/>
      </w:pPr>
      <w:r>
        <w:t>El pasado 29 de julio se le presentó al excelentísimo señor Presidente de la República, Lic. Danilo Medina Sánchez, las nuevas mejoras al anteproyecto de ley, incorporadas tras la última reunión sostenida en abril de 2018. En esta segunda presentación, estuvieron también presentes los señores Ministros de Hacienda, Minis</w:t>
      </w:r>
      <w:r w:rsidR="000B6841">
        <w:t>tro de la Presidencia, Ministro</w:t>
      </w:r>
      <w:r>
        <w:t xml:space="preserve"> Administrativo de la Presidencia, el señor Consultor Jurídico del Poder Ejecutivo y la Viceministra de la Presidencia para Políticas de Transparencia Institucional. </w:t>
      </w:r>
    </w:p>
    <w:p w:rsidR="000B70D3" w:rsidRPr="00E35F03" w:rsidRDefault="00E35F03" w:rsidP="001C327C">
      <w:pPr>
        <w:pStyle w:val="Textoindependiente"/>
      </w:pPr>
      <w:r>
        <w:t xml:space="preserve">Actualmente, el anteproyecto de ley está siendo revisado </w:t>
      </w:r>
      <w:r w:rsidR="000B6841">
        <w:t>para ser remitido,</w:t>
      </w:r>
      <w:r>
        <w:t xml:space="preserve"> por el señor Presidente de la República</w:t>
      </w:r>
      <w:r w:rsidR="000B6841">
        <w:t xml:space="preserve">, </w:t>
      </w:r>
      <w:r>
        <w:t>al Congreso Nacional, a través de la Consultoría Jurídica del Poder Ejecutivo.</w:t>
      </w:r>
    </w:p>
    <w:p w:rsidR="000B70D3" w:rsidRDefault="00DA21F7" w:rsidP="000B70D3">
      <w:pPr>
        <w:pStyle w:val="Ttulo3"/>
      </w:pPr>
      <w:r w:rsidRPr="00DA21F7">
        <w:t>Cumplimiento de la Cuota de Adjudicación a MIPYMES</w:t>
      </w:r>
      <w:r>
        <w:t xml:space="preserve"> y Mujeres</w:t>
      </w:r>
      <w:r w:rsidR="000B70D3">
        <w:t>.</w:t>
      </w:r>
    </w:p>
    <w:p w:rsidR="00DA21F7" w:rsidRDefault="00754A6D" w:rsidP="001C327C">
      <w:pPr>
        <w:pStyle w:val="Textoindependiente"/>
      </w:pPr>
      <w:r w:rsidRPr="00754A6D">
        <w:t>Durante el período enero - septiembre 2019, el monto total contratado en el Sistema Nacional de Compras y Contrataciones Públicas (SNCCP) asciende a RD$74,637 millones, del cual el total adjudicado a MIPYME y personas físicas asciende a RD$17,391millones</w:t>
      </w:r>
      <w:r w:rsidR="00DD4A2E">
        <w:t>,</w:t>
      </w:r>
      <w:r w:rsidRPr="00754A6D">
        <w:t xml:space="preserve"> representando un 23% del monto total contratado. La cuota establecida en la Ley No. 488-08 dispone que el 20% de los presupuestos destinados a </w:t>
      </w:r>
      <w:r>
        <w:t>compras sean dirigidos a MIPYME, e</w:t>
      </w:r>
      <w:r w:rsidRPr="00754A6D">
        <w:t xml:space="preserve">n este período el monto que correspondía por ley era de RD$14,927 millones, </w:t>
      </w:r>
      <w:r w:rsidR="001374D5">
        <w:t>evidenciando que, a</w:t>
      </w:r>
      <w:r w:rsidR="001374D5" w:rsidRPr="00754A6D">
        <w:t xml:space="preserve">l igual que años </w:t>
      </w:r>
      <w:r w:rsidR="001374D5">
        <w:t xml:space="preserve">anteriores, </w:t>
      </w:r>
      <w:r w:rsidR="001374D5" w:rsidRPr="00754A6D">
        <w:t xml:space="preserve">en el 2019 se cumplió y excedió la cuota reservada a las MIPYME </w:t>
      </w:r>
      <w:r w:rsidR="001374D5">
        <w:t xml:space="preserve">con </w:t>
      </w:r>
      <w:r w:rsidRPr="00754A6D">
        <w:t xml:space="preserve">un excedente de RD$2,463 millones. Durante el mismo período, del monto total contratado en el SNCCP, lo adjudicado a mujeres asciende a RD$13,670 millones, evidenciándose </w:t>
      </w:r>
      <w:r>
        <w:t xml:space="preserve">también </w:t>
      </w:r>
      <w:r w:rsidRPr="00754A6D">
        <w:t>un excedente en el cumplimiento del compromiso de adjudicación para un total de RD$12,924.</w:t>
      </w:r>
    </w:p>
    <w:p w:rsidR="00D428CC" w:rsidRDefault="00D428CC">
      <w:pPr>
        <w:keepNext w:val="0"/>
        <w:keepLines w:val="0"/>
        <w:spacing w:before="0" w:after="160" w:line="259" w:lineRule="auto"/>
        <w:ind w:firstLine="0"/>
        <w:jc w:val="left"/>
        <w:outlineLvl w:val="9"/>
        <w:rPr>
          <w:rFonts w:asciiTheme="majorHAnsi" w:hAnsiTheme="majorHAnsi" w:cstheme="majorBidi"/>
          <w:color w:val="1F4D78" w:themeColor="accent1" w:themeShade="7F"/>
        </w:rPr>
      </w:pPr>
      <w:r>
        <w:br w:type="page"/>
      </w:r>
    </w:p>
    <w:p w:rsidR="00754A6D" w:rsidRDefault="00754A6D" w:rsidP="000B70D3">
      <w:pPr>
        <w:pStyle w:val="Ttulo3"/>
      </w:pPr>
      <w:r w:rsidRPr="00754A6D">
        <w:t>I</w:t>
      </w:r>
      <w:r>
        <w:t xml:space="preserve">mplementación Decreto No.168-19 </w:t>
      </w:r>
      <w:r w:rsidR="008C196E">
        <w:t xml:space="preserve">sobre la exclusividad de </w:t>
      </w:r>
      <w:r w:rsidR="00713DE6" w:rsidRPr="00713DE6">
        <w:t>las compras del Estado</w:t>
      </w:r>
      <w:r w:rsidR="008C196E">
        <w:t>,</w:t>
      </w:r>
      <w:r w:rsidR="00713DE6" w:rsidRPr="00713DE6">
        <w:t xml:space="preserve"> para programas de alivio de la pobreza, alimentación escolar y otros</w:t>
      </w:r>
      <w:r w:rsidR="008C196E">
        <w:t xml:space="preserve">, a </w:t>
      </w:r>
      <w:r w:rsidR="008C196E" w:rsidRPr="00713DE6">
        <w:t xml:space="preserve">productores </w:t>
      </w:r>
      <w:r w:rsidR="00713DE6" w:rsidRPr="00713DE6">
        <w:t xml:space="preserve">agropecuarios </w:t>
      </w:r>
      <w:r w:rsidR="008C196E">
        <w:t>nacionales.</w:t>
      </w:r>
    </w:p>
    <w:p w:rsidR="008C196E" w:rsidRDefault="008C196E" w:rsidP="001C327C">
      <w:pPr>
        <w:pStyle w:val="Textoindependiente"/>
      </w:pPr>
      <w:r>
        <w:t>Durante este año se trabajó en la implementación de las políticas para el cumplimiento del Decreto No. 168-19, sobre las Compras Públicas para el Desarrollo de la Producción Nacional,</w:t>
      </w:r>
      <w:r w:rsidRPr="008C196E">
        <w:t xml:space="preserve"> </w:t>
      </w:r>
      <w:r>
        <w:t>el cual</w:t>
      </w:r>
      <w:r w:rsidRPr="008C196E">
        <w:t xml:space="preserve"> establece una nueva reglamentación en la compra de productos agropecuarios para contribuir al desarrollo económico nacional sostenible</w:t>
      </w:r>
      <w:r>
        <w:t xml:space="preserve">. En el mismo se indica que </w:t>
      </w:r>
      <w:r w:rsidRPr="008C196E">
        <w:t xml:space="preserve">la Dirección General de Contrataciones Públicas </w:t>
      </w:r>
      <w:r>
        <w:t>debe establecer</w:t>
      </w:r>
      <w:r w:rsidRPr="008C196E">
        <w:t xml:space="preserve"> las políticas necesarias para hacer operativas las disposiciones contenidas en </w:t>
      </w:r>
      <w:r>
        <w:t>dicho</w:t>
      </w:r>
      <w:r w:rsidRPr="008C196E">
        <w:t xml:space="preserve"> decreto.</w:t>
      </w:r>
    </w:p>
    <w:p w:rsidR="008C196E" w:rsidRDefault="008C196E" w:rsidP="001C327C">
      <w:pPr>
        <w:pStyle w:val="Textoindependiente"/>
      </w:pPr>
      <w:r>
        <w:t>De esta manera, y con la finalidad de continuar dotando de probidad a los procesos de compra y ofrecer más oportunidades de acceso inclusivo en el mercado de compras públicas, en particular a los productores agropecuarios nacionales, junto al Ministerio de Agricultura, se han realizado acciones de formación en 8 Regionales del Ministerio: La Vega, Santiago, Baní, San Juan de la Maguana, Higüey, Barahona, San Francisco de Macorís, Mao y Azua, contando con la participación de 426 pequeños productores, representantes de 46 asociaciones y cooperativas del sector. Se estima que un total de 530 agricultores fueron capacitados al cierre del año. También, se realizaron encuentros y sensibilizaciones dirigidas exclusivamente a mujeres.</w:t>
      </w:r>
    </w:p>
    <w:p w:rsidR="008C196E" w:rsidRDefault="00961F66" w:rsidP="001C327C">
      <w:pPr>
        <w:pStyle w:val="Textoindependiente"/>
      </w:pPr>
      <w:r>
        <w:t xml:space="preserve">En este Decreto también se establece que los procesos de compra destinados a adquirir productos agropecuarios de origen nacional deberán realizarse de manera directa a los productores, sin intermediarios; y que las instituciones con presencia en el territorio convocarán procesos dirigidos preferentemente a productores, fabricantes y proveedores de servicios ubicados en el lugar donde se identifique la necesidad. </w:t>
      </w:r>
      <w:r w:rsidRPr="00961F66">
        <w:t>El sector agrícola es uno de l</w:t>
      </w:r>
      <w:r>
        <w:t xml:space="preserve">os más inclusivos del SNCCP, y en </w:t>
      </w:r>
      <w:r w:rsidRPr="00961F66">
        <w:t>este sector, desde el 2017 hasta el septiembre del 2019 se han adjudicado más de RD$3,685 millones de pesos</w:t>
      </w:r>
      <w:r w:rsidR="00DD4A2E">
        <w:t>,</w:t>
      </w:r>
      <w:r w:rsidRPr="00961F66">
        <w:t xml:space="preserve"> de los cuales el 45%, que representa RD$839 han sido MIPYMES y más del 30% que equivale a RD$559 millones se han adjudicado a mujeres. Dentro de los artículos más contratados de este sector se destacan granos de cereal, semillas de apio, granos diversos y verduras.</w:t>
      </w:r>
    </w:p>
    <w:p w:rsidR="001C327C" w:rsidRDefault="001C327C">
      <w:pPr>
        <w:keepNext w:val="0"/>
        <w:keepLines w:val="0"/>
        <w:spacing w:before="0" w:after="160" w:line="259" w:lineRule="auto"/>
        <w:ind w:firstLine="0"/>
        <w:jc w:val="left"/>
        <w:outlineLvl w:val="9"/>
        <w:rPr>
          <w:rFonts w:asciiTheme="majorHAnsi" w:hAnsiTheme="majorHAnsi" w:cstheme="majorBidi"/>
          <w:color w:val="1F4D78" w:themeColor="accent1" w:themeShade="7F"/>
        </w:rPr>
      </w:pPr>
      <w:r>
        <w:br w:type="page"/>
      </w:r>
    </w:p>
    <w:p w:rsidR="008F52EE" w:rsidRDefault="008F52EE" w:rsidP="005069BC">
      <w:pPr>
        <w:pStyle w:val="Ttulo3"/>
      </w:pPr>
      <w:r>
        <w:t>Implementación de la Resolución No. 03-2019 sobre la incorporación de Criterios de Accesibilidad Universal en el Sistema Nacional de Compras y Contrataciones de la República Dominicana.</w:t>
      </w:r>
    </w:p>
    <w:p w:rsidR="008F52EE" w:rsidRDefault="008F52EE" w:rsidP="001C327C">
      <w:pPr>
        <w:pStyle w:val="Textoindependiente"/>
      </w:pPr>
      <w:r w:rsidRPr="008F52EE">
        <w:t>La Dirección General de Contrataciones Públicas y el Consejo Nacional de Discapacidad</w:t>
      </w:r>
      <w:r>
        <w:t xml:space="preserve"> (CONADIS)</w:t>
      </w:r>
      <w:r w:rsidRPr="008F52EE">
        <w:t xml:space="preserve">, en el marco de los Objetivos de Desarrollo Sostenible, han venido implementando diversas acciones destinadas a asegurar la inclusión de las personas con discapacidad </w:t>
      </w:r>
      <w:r>
        <w:t>e</w:t>
      </w:r>
      <w:r w:rsidR="0070333A">
        <w:t xml:space="preserve">n todos los ámbitos de la vida. Dentro de estas acciones se encuentra la implementación de la resolución </w:t>
      </w:r>
      <w:r w:rsidR="0070333A" w:rsidRPr="0070333A">
        <w:t>No. 03-2019 sobre la incorporación de Criterios de Accesibilidad Universal en el Sistema Nacional de Compras y Contrataciones</w:t>
      </w:r>
      <w:r w:rsidR="0070333A">
        <w:t xml:space="preserve">, la cual se elabora acompañada de una </w:t>
      </w:r>
      <w:r w:rsidR="0070333A" w:rsidRPr="0070333A">
        <w:t>“</w:t>
      </w:r>
      <w:r w:rsidR="0070333A" w:rsidRPr="001C327C">
        <w:rPr>
          <w:i/>
        </w:rPr>
        <w:t>Guía Práctica para Compras Públicas Accesible</w:t>
      </w:r>
      <w:r w:rsidR="00DD4A2E">
        <w:rPr>
          <w:i/>
        </w:rPr>
        <w:t>s</w:t>
      </w:r>
      <w:r w:rsidR="0070333A" w:rsidRPr="0070333A">
        <w:t>”</w:t>
      </w:r>
      <w:r w:rsidR="0070333A">
        <w:t>.</w:t>
      </w:r>
    </w:p>
    <w:p w:rsidR="0070333A" w:rsidRPr="008F52EE" w:rsidRDefault="0070333A" w:rsidP="001C327C">
      <w:pPr>
        <w:pStyle w:val="Textoindependiente"/>
      </w:pPr>
      <w:r>
        <w:t xml:space="preserve">Dicha guía y las disposiciones de la Resolución que la aprueba, están orientadas a instituciones públicas, sus departamentos de compras y áreas requirentes de obras, bienes y servicios; y contiene criterios y recomendaciones </w:t>
      </w:r>
      <w:r w:rsidRPr="0070333A">
        <w:t xml:space="preserve">para </w:t>
      </w:r>
      <w:r>
        <w:t xml:space="preserve">que, </w:t>
      </w:r>
      <w:r w:rsidRPr="0070333A">
        <w:t>el personal interviniente en los procesos de compras y contrataciones de las instituciones del Estado</w:t>
      </w:r>
      <w:r>
        <w:t>, a través de la incorporación de estas pautas</w:t>
      </w:r>
      <w:r w:rsidR="001374D5">
        <w:t>,</w:t>
      </w:r>
      <w:r w:rsidRPr="0070333A">
        <w:t xml:space="preserve"> </w:t>
      </w:r>
      <w:r>
        <w:t xml:space="preserve">incluyan el principio de </w:t>
      </w:r>
      <w:r w:rsidRPr="0070333A">
        <w:t xml:space="preserve">diseño y accesibilidad universal </w:t>
      </w:r>
      <w:r>
        <w:t xml:space="preserve">en los procesos de compras y contrataciones públicas; </w:t>
      </w:r>
      <w:r w:rsidRPr="0070333A">
        <w:t xml:space="preserve">es decir, que incluyan criterios </w:t>
      </w:r>
      <w:r>
        <w:t xml:space="preserve">que </w:t>
      </w:r>
      <w:r w:rsidRPr="0070333A">
        <w:t>facilit</w:t>
      </w:r>
      <w:r>
        <w:t>en el</w:t>
      </w:r>
      <w:r w:rsidRPr="0070333A">
        <w:t xml:space="preserve"> </w:t>
      </w:r>
      <w:r>
        <w:t>acceso</w:t>
      </w:r>
      <w:r w:rsidRPr="0070333A">
        <w:t xml:space="preserve"> a </w:t>
      </w:r>
      <w:r>
        <w:t xml:space="preserve">los </w:t>
      </w:r>
      <w:r w:rsidR="003E1DD1">
        <w:t>procesos de compras</w:t>
      </w:r>
      <w:r>
        <w:t xml:space="preserve"> a </w:t>
      </w:r>
      <w:r w:rsidRPr="0070333A">
        <w:t>personas</w:t>
      </w:r>
      <w:r w:rsidR="003E1DD1">
        <w:t xml:space="preserve"> con algún tipo de discapacidad, desde el diseño de l</w:t>
      </w:r>
      <w:r w:rsidR="003E1DD1" w:rsidRPr="003E1DD1">
        <w:t>as especificaciones técnicas</w:t>
      </w:r>
      <w:r w:rsidR="003E1DD1">
        <w:t>, r</w:t>
      </w:r>
      <w:r w:rsidR="003E1DD1" w:rsidRPr="003E1DD1">
        <w:t>edacción del pliego de condiciones</w:t>
      </w:r>
      <w:r w:rsidR="003E1DD1">
        <w:t>, hasta la misma e</w:t>
      </w:r>
      <w:r w:rsidR="003E1DD1" w:rsidRPr="003E1DD1">
        <w:t>laboración de contratos</w:t>
      </w:r>
      <w:r w:rsidR="003E1DD1">
        <w:t>.</w:t>
      </w:r>
      <w:r w:rsidR="00C61438">
        <w:t xml:space="preserve"> </w:t>
      </w:r>
      <w:r>
        <w:t xml:space="preserve">Los </w:t>
      </w:r>
      <w:r w:rsidR="006B17B1">
        <w:t>O</w:t>
      </w:r>
      <w:r>
        <w:t xml:space="preserve">bjetivos de </w:t>
      </w:r>
      <w:r w:rsidR="006B17B1">
        <w:t>D</w:t>
      </w:r>
      <w:r>
        <w:t>esarrollo Sostenibles a impactar con la imp</w:t>
      </w:r>
      <w:r w:rsidR="003E1DD1">
        <w:t>lementación de estas pautas son: el ODS 10 sobre la Reducción de las Desigualdades, así como los ODS 1, 2, 3, 8, 11, 12, 16, y 17.</w:t>
      </w:r>
    </w:p>
    <w:p w:rsidR="008346B0" w:rsidRDefault="003E1DD1" w:rsidP="001C327C">
      <w:pPr>
        <w:pStyle w:val="Textoindependiente"/>
      </w:pPr>
      <w:r w:rsidRPr="003E1DD1">
        <w:t>Las políticas de accesibilidad universal</w:t>
      </w:r>
      <w:r>
        <w:t xml:space="preserve"> contenidas en esta Resolución, respecto a e</w:t>
      </w:r>
      <w:r w:rsidRPr="003E1DD1">
        <w:t>ntorno fís</w:t>
      </w:r>
      <w:r w:rsidR="00DD4A2E">
        <w:t>ico, transporte, comunicación, i</w:t>
      </w:r>
      <w:r w:rsidRPr="003E1DD1">
        <w:t>nformación, conocimiento,</w:t>
      </w:r>
      <w:r>
        <w:t xml:space="preserve"> </w:t>
      </w:r>
      <w:r w:rsidRPr="003E1DD1">
        <w:t>nuevas tecnologías de la información y las comunicaciones</w:t>
      </w:r>
      <w:r>
        <w:t>,</w:t>
      </w:r>
      <w:r w:rsidRPr="003E1DD1">
        <w:t xml:space="preserve"> y a otros servicios e instalaciones abiertas al público, tanto en las zon</w:t>
      </w:r>
      <w:r>
        <w:t xml:space="preserve">as urbano marginal como rurales; están establecidas como mandato </w:t>
      </w:r>
      <w:r w:rsidRPr="003E1DD1">
        <w:t xml:space="preserve">en </w:t>
      </w:r>
      <w:r>
        <w:t>el Artículo 15 de la Ley núm. 5-</w:t>
      </w:r>
      <w:r w:rsidRPr="003E1DD1">
        <w:t xml:space="preserve">13 </w:t>
      </w:r>
      <w:r w:rsidR="000B6841">
        <w:t>s</w:t>
      </w:r>
      <w:r w:rsidRPr="003E1DD1">
        <w:t>obre Igualdad de Derechos de las Personas con Discapacidad, y llama tanto al estado como a las instituciones privadas, a asegurar que las personas con discapacidad</w:t>
      </w:r>
      <w:r>
        <w:t xml:space="preserve"> </w:t>
      </w:r>
      <w:r w:rsidRPr="003E1DD1">
        <w:t>puedan participar en todos los aspectos de la vida en condición de igualdad.</w:t>
      </w:r>
    </w:p>
    <w:p w:rsidR="008346B0" w:rsidRDefault="008346B0" w:rsidP="008346B0">
      <w:r>
        <w:br w:type="page"/>
      </w:r>
    </w:p>
    <w:p w:rsidR="008F52EE" w:rsidRPr="009E356F" w:rsidRDefault="009E356F" w:rsidP="000D5958">
      <w:pPr>
        <w:pStyle w:val="Ttulo2"/>
        <w:numPr>
          <w:ilvl w:val="0"/>
          <w:numId w:val="14"/>
        </w:numPr>
        <w:rPr>
          <w:b/>
        </w:rPr>
      </w:pPr>
      <w:r w:rsidRPr="009E356F">
        <w:rPr>
          <w:b/>
        </w:rPr>
        <w:t>Indicadores de Gestión</w:t>
      </w:r>
    </w:p>
    <w:p w:rsidR="009E356F" w:rsidRDefault="009E356F" w:rsidP="000D5958">
      <w:pPr>
        <w:pStyle w:val="Ttulo2"/>
        <w:numPr>
          <w:ilvl w:val="0"/>
          <w:numId w:val="15"/>
        </w:numPr>
      </w:pPr>
      <w:r>
        <w:t>Perspectiva Estratégica</w:t>
      </w:r>
    </w:p>
    <w:p w:rsidR="00034B30" w:rsidRDefault="00034B30" w:rsidP="001C327C">
      <w:pPr>
        <w:pStyle w:val="Textoindependiente"/>
      </w:pPr>
      <w:r>
        <w:t>La Estrategia Nacional de Desarrollo (END) 2030, el Plan Nacional</w:t>
      </w:r>
      <w:r w:rsidR="0037264B">
        <w:t xml:space="preserve"> </w:t>
      </w:r>
      <w:r>
        <w:t>Plurianual del Sector Público (PNPSP) 2019-2022, las Metas Presidenciales establecidas en el</w:t>
      </w:r>
      <w:r w:rsidR="0037264B">
        <w:t xml:space="preserve"> </w:t>
      </w:r>
      <w:r>
        <w:t>Programa de Gobierno 2016-2020, el Plan Estratégico Institucional del Ministerio de Hacienda</w:t>
      </w:r>
      <w:r w:rsidR="0037264B">
        <w:t xml:space="preserve"> </w:t>
      </w:r>
      <w:r>
        <w:t>2017-2020, y las recomendaciones de la Iniciativa Participativa Anticorrupción (IPAC) trazan las</w:t>
      </w:r>
      <w:r w:rsidR="0037264B">
        <w:t xml:space="preserve"> </w:t>
      </w:r>
      <w:r>
        <w:t>pautas de la planificación estratégica y operativa de la Dirección General de Contrataciones</w:t>
      </w:r>
      <w:r w:rsidR="0037264B">
        <w:t xml:space="preserve"> </w:t>
      </w:r>
      <w:r>
        <w:t xml:space="preserve">Públicas. Igualmente, </w:t>
      </w:r>
      <w:r w:rsidR="0037264B">
        <w:t>para diseñar la perspectiva e</w:t>
      </w:r>
      <w:r w:rsidR="009C26A1">
        <w:t>stratégica de esta Dirección hemos</w:t>
      </w:r>
      <w:r w:rsidR="00B97047">
        <w:t xml:space="preserve"> tomado</w:t>
      </w:r>
      <w:r>
        <w:t xml:space="preserve"> en cuenta los compromisos a nivel internacional que</w:t>
      </w:r>
      <w:r w:rsidR="0037264B">
        <w:t xml:space="preserve"> </w:t>
      </w:r>
      <w:r>
        <w:t>ha asumido el país frente a la Agenda 2030 y los Objetivos de Desarrollo Sostenibles y el Programa de Gasto Público y Rendición de Cuentas (PEFA) desarrollado por</w:t>
      </w:r>
      <w:r w:rsidR="0037264B">
        <w:t xml:space="preserve"> </w:t>
      </w:r>
      <w:r>
        <w:t>la Unión Europea, el Fondo Monetario Internacional, el Banco Mundial y los gobiernos de</w:t>
      </w:r>
      <w:r w:rsidR="0037264B">
        <w:t xml:space="preserve"> </w:t>
      </w:r>
      <w:r>
        <w:t>Francia, Noruega, Suiza y Reino Unido.</w:t>
      </w:r>
    </w:p>
    <w:p w:rsidR="00900932" w:rsidRPr="00900932" w:rsidRDefault="00900932" w:rsidP="001C327C">
      <w:pPr>
        <w:pStyle w:val="Textoindependiente"/>
      </w:pPr>
      <w:r>
        <w:t>Por otro lado, l</w:t>
      </w:r>
      <w:r w:rsidRPr="00900932">
        <w:t xml:space="preserve">a Dirección General de Contrataciones Públicas, comprometida con la expansión provincial de las compras, da seguimiento a indicadores </w:t>
      </w:r>
      <w:r>
        <w:t xml:space="preserve">estratégicos </w:t>
      </w:r>
      <w:r w:rsidRPr="00900932">
        <w:t>re</w:t>
      </w:r>
      <w:r>
        <w:t xml:space="preserve">lacionados a la regionalización de las compras públicas, </w:t>
      </w:r>
      <w:r w:rsidRPr="00900932">
        <w:t xml:space="preserve">con la visión de proveer herramientas </w:t>
      </w:r>
      <w:r>
        <w:t>de</w:t>
      </w:r>
      <w:r w:rsidRPr="00900932">
        <w:t xml:space="preserve"> toma de decisiones basadas en evidencia</w:t>
      </w:r>
      <w:r>
        <w:t>s.</w:t>
      </w:r>
    </w:p>
    <w:p w:rsidR="009E356F" w:rsidRDefault="009E356F" w:rsidP="009E356F">
      <w:pPr>
        <w:pStyle w:val="Ttulo3"/>
      </w:pPr>
      <w:r>
        <w:t>Metas Presidenciales</w:t>
      </w:r>
    </w:p>
    <w:p w:rsidR="007E33DC" w:rsidRDefault="00F50680" w:rsidP="001C327C">
      <w:pPr>
        <w:pStyle w:val="Textoindependiente"/>
      </w:pPr>
      <w:r w:rsidRPr="00F50680">
        <w:t>La Dirección General de Contrataciones Públicas, tiene tres</w:t>
      </w:r>
      <w:r w:rsidR="007527E2">
        <w:t xml:space="preserve"> (3)</w:t>
      </w:r>
      <w:r w:rsidRPr="00F50680">
        <w:t xml:space="preserve"> proyectos priorizados como metas presidenciales en el Plan de Gobierno 2016-2020: </w:t>
      </w:r>
    </w:p>
    <w:p w:rsidR="007E33DC" w:rsidRDefault="00C8160D" w:rsidP="00731AA9">
      <w:pPr>
        <w:pStyle w:val="Prrafodelista"/>
        <w:numPr>
          <w:ilvl w:val="0"/>
          <w:numId w:val="19"/>
        </w:numPr>
        <w:ind w:left="567" w:hanging="548"/>
      </w:pPr>
      <w:r>
        <w:t>A</w:t>
      </w:r>
      <w:r w:rsidR="00F50680" w:rsidRPr="00F50680">
        <w:t>mpliación del uso de la plataforma tecno</w:t>
      </w:r>
      <w:r w:rsidR="007E33DC">
        <w:t xml:space="preserve">lógica del Portal Transaccional, cuyos resultados están contenidos en el proyecto </w:t>
      </w:r>
      <w:r w:rsidR="007E33DC" w:rsidRPr="007E33DC">
        <w:t>“</w:t>
      </w:r>
      <w:r w:rsidR="007E33DC" w:rsidRPr="00731AA9">
        <w:t>Habilitación del Sistema Nacional de Compras y Contrataciones Públicas de la República Dominicana (SNCCP)</w:t>
      </w:r>
      <w:r w:rsidR="007E33DC" w:rsidRPr="007E33DC">
        <w:t>”</w:t>
      </w:r>
      <w:r w:rsidR="007E33DC">
        <w:t xml:space="preserve"> mencionado anteriormente.</w:t>
      </w:r>
    </w:p>
    <w:p w:rsidR="007E33DC" w:rsidRDefault="00C8160D" w:rsidP="00731AA9">
      <w:pPr>
        <w:pStyle w:val="Prrafodelista"/>
        <w:numPr>
          <w:ilvl w:val="0"/>
          <w:numId w:val="19"/>
        </w:numPr>
        <w:ind w:left="567" w:hanging="548"/>
      </w:pPr>
      <w:r>
        <w:t>E</w:t>
      </w:r>
      <w:r w:rsidR="00F50680" w:rsidRPr="00F50680">
        <w:t>xpansión del Sistema Nacional de Compras y Contrataciones Públicas (SNCCP) a 100 ayunta</w:t>
      </w:r>
      <w:r w:rsidR="007E33DC">
        <w:t>mientos y distritos municipales, cuyos resultados fueron expuestos bajo la perspectiva de la i</w:t>
      </w:r>
      <w:r w:rsidR="007E33DC" w:rsidRPr="007E33DC">
        <w:t>mplementación del Sistema Nacional de Compras y Contrataciones Públicas (SNCCP) a los ayuntamientos y distritos municipales</w:t>
      </w:r>
      <w:r w:rsidR="000B6841">
        <w:t>.</w:t>
      </w:r>
    </w:p>
    <w:p w:rsidR="00C8160D" w:rsidRDefault="00C8160D" w:rsidP="00731AA9">
      <w:pPr>
        <w:pStyle w:val="Prrafodelista"/>
        <w:numPr>
          <w:ilvl w:val="0"/>
          <w:numId w:val="19"/>
        </w:numPr>
        <w:ind w:left="567" w:hanging="548"/>
      </w:pPr>
      <w:r>
        <w:t>P</w:t>
      </w:r>
      <w:r w:rsidR="00F50680" w:rsidRPr="00F50680">
        <w:t>ropuesta de modificación de la Ley de Compras y Contrataciones</w:t>
      </w:r>
      <w:r w:rsidR="00CA3157">
        <w:t>, cuyos avances fueron abordados en la sección anterior</w:t>
      </w:r>
      <w:r w:rsidR="00F50680" w:rsidRPr="00F50680">
        <w:t>.</w:t>
      </w:r>
      <w:r w:rsidR="009A57A0">
        <w:t xml:space="preserve"> </w:t>
      </w:r>
    </w:p>
    <w:p w:rsidR="00731AA9" w:rsidRDefault="009A57A0" w:rsidP="00731AA9">
      <w:pPr>
        <w:pStyle w:val="Textoindependiente"/>
      </w:pPr>
      <w:r>
        <w:t xml:space="preserve">A </w:t>
      </w:r>
      <w:r w:rsidR="00DB6BDA">
        <w:t>continuación,</w:t>
      </w:r>
      <w:r>
        <w:t xml:space="preserve"> los resultados reportados durante el </w:t>
      </w:r>
      <w:r w:rsidR="00C8160D">
        <w:t xml:space="preserve">año </w:t>
      </w:r>
      <w:r>
        <w:t>2019 para los indicadores correspondientes:</w:t>
      </w:r>
    </w:p>
    <w:tbl>
      <w:tblPr>
        <w:tblpPr w:leftFromText="141" w:rightFromText="141" w:vertAnchor="text" w:horzAnchor="margin" w:tblpXSpec="center" w:tblpY="70"/>
        <w:tblW w:w="10648" w:type="dxa"/>
        <w:tblCellMar>
          <w:left w:w="70" w:type="dxa"/>
          <w:right w:w="70" w:type="dxa"/>
        </w:tblCellMar>
        <w:tblLook w:val="04A0" w:firstRow="1" w:lastRow="0" w:firstColumn="1" w:lastColumn="0" w:noHBand="0" w:noVBand="1"/>
      </w:tblPr>
      <w:tblGrid>
        <w:gridCol w:w="720"/>
        <w:gridCol w:w="4516"/>
        <w:gridCol w:w="3436"/>
        <w:gridCol w:w="1976"/>
      </w:tblGrid>
      <w:tr w:rsidR="008346B0" w:rsidRPr="007E33DC" w:rsidTr="008346B0">
        <w:trPr>
          <w:trHeight w:val="300"/>
        </w:trPr>
        <w:tc>
          <w:tcPr>
            <w:tcW w:w="720" w:type="dxa"/>
            <w:tcBorders>
              <w:top w:val="nil"/>
              <w:left w:val="nil"/>
              <w:bottom w:val="nil"/>
              <w:right w:val="nil"/>
            </w:tcBorders>
            <w:shd w:val="clear" w:color="auto" w:fill="auto"/>
            <w:noWrap/>
            <w:vAlign w:val="bottom"/>
            <w:hideMark/>
          </w:tcPr>
          <w:p w:rsidR="008346B0" w:rsidRPr="007E33DC" w:rsidRDefault="008346B0" w:rsidP="008346B0">
            <w:pPr>
              <w:rPr>
                <w:rFonts w:eastAsia="Times New Roman"/>
                <w:color w:val="auto"/>
                <w:lang w:val="es-DO" w:eastAsia="es-DO"/>
              </w:rPr>
            </w:pPr>
          </w:p>
        </w:tc>
        <w:tc>
          <w:tcPr>
            <w:tcW w:w="4516" w:type="dxa"/>
            <w:tcBorders>
              <w:top w:val="nil"/>
              <w:left w:val="nil"/>
              <w:bottom w:val="nil"/>
              <w:right w:val="nil"/>
            </w:tcBorders>
            <w:shd w:val="clear" w:color="auto" w:fill="auto"/>
            <w:noWrap/>
            <w:vAlign w:val="bottom"/>
            <w:hideMark/>
          </w:tcPr>
          <w:p w:rsidR="008346B0" w:rsidRPr="007E33DC" w:rsidRDefault="008346B0" w:rsidP="008346B0">
            <w:pPr>
              <w:keepNext w:val="0"/>
              <w:keepLines w:val="0"/>
              <w:spacing w:before="0" w:line="240" w:lineRule="auto"/>
              <w:ind w:firstLine="0"/>
              <w:jc w:val="left"/>
              <w:outlineLvl w:val="9"/>
              <w:rPr>
                <w:rFonts w:eastAsia="Times New Roman"/>
                <w:color w:val="auto"/>
                <w:sz w:val="20"/>
                <w:szCs w:val="20"/>
                <w:lang w:val="es-DO" w:eastAsia="es-DO"/>
              </w:rPr>
            </w:pPr>
          </w:p>
        </w:tc>
        <w:tc>
          <w:tcPr>
            <w:tcW w:w="3436" w:type="dxa"/>
            <w:tcBorders>
              <w:top w:val="nil"/>
              <w:left w:val="nil"/>
              <w:bottom w:val="nil"/>
              <w:right w:val="nil"/>
            </w:tcBorders>
            <w:shd w:val="clear" w:color="auto" w:fill="auto"/>
            <w:noWrap/>
            <w:vAlign w:val="bottom"/>
            <w:hideMark/>
          </w:tcPr>
          <w:p w:rsidR="008346B0" w:rsidRPr="007E33DC" w:rsidRDefault="008346B0" w:rsidP="008346B0">
            <w:pPr>
              <w:keepNext w:val="0"/>
              <w:keepLines w:val="0"/>
              <w:spacing w:before="0" w:line="240" w:lineRule="auto"/>
              <w:ind w:firstLine="0"/>
              <w:jc w:val="left"/>
              <w:outlineLvl w:val="9"/>
              <w:rPr>
                <w:rFonts w:eastAsia="Times New Roman"/>
                <w:color w:val="auto"/>
                <w:sz w:val="20"/>
                <w:szCs w:val="20"/>
                <w:lang w:val="es-DO" w:eastAsia="es-DO"/>
              </w:rPr>
            </w:pPr>
          </w:p>
        </w:tc>
        <w:tc>
          <w:tcPr>
            <w:tcW w:w="1976" w:type="dxa"/>
            <w:tcBorders>
              <w:top w:val="nil"/>
              <w:left w:val="nil"/>
              <w:bottom w:val="nil"/>
              <w:right w:val="nil"/>
            </w:tcBorders>
            <w:shd w:val="clear" w:color="auto" w:fill="auto"/>
            <w:noWrap/>
            <w:vAlign w:val="bottom"/>
            <w:hideMark/>
          </w:tcPr>
          <w:p w:rsidR="008346B0" w:rsidRPr="007E33DC" w:rsidRDefault="008346B0" w:rsidP="008346B0">
            <w:pPr>
              <w:keepNext w:val="0"/>
              <w:keepLines w:val="0"/>
              <w:spacing w:before="0" w:line="240" w:lineRule="auto"/>
              <w:ind w:firstLine="0"/>
              <w:jc w:val="left"/>
              <w:outlineLvl w:val="9"/>
              <w:rPr>
                <w:rFonts w:eastAsia="Times New Roman"/>
                <w:color w:val="auto"/>
                <w:sz w:val="20"/>
                <w:szCs w:val="20"/>
                <w:lang w:val="es-DO" w:eastAsia="es-DO"/>
              </w:rPr>
            </w:pPr>
          </w:p>
        </w:tc>
      </w:tr>
      <w:tr w:rsidR="008346B0" w:rsidRPr="007E33DC" w:rsidTr="008346B0">
        <w:trPr>
          <w:trHeight w:val="510"/>
        </w:trPr>
        <w:tc>
          <w:tcPr>
            <w:tcW w:w="720" w:type="dxa"/>
            <w:tcBorders>
              <w:top w:val="nil"/>
              <w:left w:val="nil"/>
              <w:bottom w:val="nil"/>
              <w:right w:val="nil"/>
            </w:tcBorders>
            <w:shd w:val="clear" w:color="auto" w:fill="auto"/>
            <w:noWrap/>
            <w:vAlign w:val="bottom"/>
            <w:hideMark/>
          </w:tcPr>
          <w:p w:rsidR="008346B0" w:rsidRPr="007E33DC" w:rsidRDefault="008346B0" w:rsidP="008346B0">
            <w:pPr>
              <w:keepNext w:val="0"/>
              <w:keepLines w:val="0"/>
              <w:spacing w:before="0" w:line="240" w:lineRule="auto"/>
              <w:ind w:firstLine="0"/>
              <w:jc w:val="left"/>
              <w:outlineLvl w:val="9"/>
              <w:rPr>
                <w:rFonts w:eastAsia="Times New Roman"/>
                <w:color w:val="auto"/>
                <w:sz w:val="20"/>
                <w:szCs w:val="20"/>
                <w:lang w:val="es-DO" w:eastAsia="es-DO"/>
              </w:rPr>
            </w:pPr>
          </w:p>
        </w:tc>
        <w:tc>
          <w:tcPr>
            <w:tcW w:w="4516" w:type="dxa"/>
            <w:tcBorders>
              <w:top w:val="nil"/>
              <w:left w:val="nil"/>
              <w:bottom w:val="nil"/>
              <w:right w:val="nil"/>
            </w:tcBorders>
            <w:shd w:val="clear" w:color="000000" w:fill="D6DCE4"/>
            <w:noWrap/>
            <w:vAlign w:val="center"/>
            <w:hideMark/>
          </w:tcPr>
          <w:p w:rsidR="008346B0" w:rsidRPr="007E33DC" w:rsidRDefault="008346B0" w:rsidP="008346B0">
            <w:pPr>
              <w:keepNext w:val="0"/>
              <w:keepLines w:val="0"/>
              <w:spacing w:before="0" w:line="240" w:lineRule="auto"/>
              <w:ind w:firstLine="0"/>
              <w:jc w:val="center"/>
              <w:outlineLvl w:val="9"/>
              <w:rPr>
                <w:rFonts w:ascii="Calibri Light" w:eastAsia="Times New Roman" w:hAnsi="Calibri Light" w:cs="Calibri Light"/>
                <w:b/>
                <w:bCs/>
                <w:color w:val="auto"/>
                <w:sz w:val="16"/>
                <w:szCs w:val="16"/>
                <w:lang w:val="es-DO" w:eastAsia="es-DO"/>
              </w:rPr>
            </w:pPr>
            <w:r w:rsidRPr="007E33DC">
              <w:rPr>
                <w:rFonts w:ascii="Calibri Light" w:eastAsia="Times New Roman" w:hAnsi="Calibri Light" w:cs="Calibri Light"/>
                <w:b/>
                <w:bCs/>
                <w:color w:val="auto"/>
                <w:sz w:val="16"/>
                <w:szCs w:val="16"/>
                <w:lang w:val="es-DO" w:eastAsia="es-DO"/>
              </w:rPr>
              <w:t>Institución:</w:t>
            </w:r>
          </w:p>
        </w:tc>
        <w:tc>
          <w:tcPr>
            <w:tcW w:w="5412" w:type="dxa"/>
            <w:gridSpan w:val="2"/>
            <w:tcBorders>
              <w:top w:val="nil"/>
              <w:left w:val="nil"/>
              <w:bottom w:val="nil"/>
              <w:right w:val="nil"/>
            </w:tcBorders>
            <w:shd w:val="clear" w:color="auto" w:fill="auto"/>
            <w:vAlign w:val="center"/>
            <w:hideMark/>
          </w:tcPr>
          <w:p w:rsidR="008346B0" w:rsidRPr="007E33DC" w:rsidRDefault="008346B0" w:rsidP="008346B0">
            <w:pPr>
              <w:keepNext w:val="0"/>
              <w:keepLines w:val="0"/>
              <w:spacing w:before="0" w:line="240" w:lineRule="auto"/>
              <w:ind w:firstLine="0"/>
              <w:jc w:val="center"/>
              <w:outlineLvl w:val="9"/>
              <w:rPr>
                <w:rFonts w:ascii="Calibri Light" w:eastAsia="Times New Roman" w:hAnsi="Calibri Light" w:cs="Calibri Light"/>
                <w:b/>
                <w:bCs/>
                <w:color w:val="auto"/>
                <w:sz w:val="16"/>
                <w:szCs w:val="16"/>
                <w:lang w:val="es-DO" w:eastAsia="es-DO"/>
              </w:rPr>
            </w:pPr>
            <w:r w:rsidRPr="007E33DC">
              <w:rPr>
                <w:rFonts w:ascii="Calibri Light" w:eastAsia="Times New Roman" w:hAnsi="Calibri Light" w:cs="Calibri Light"/>
                <w:b/>
                <w:bCs/>
                <w:color w:val="auto"/>
                <w:sz w:val="16"/>
                <w:szCs w:val="16"/>
                <w:lang w:val="es-DO" w:eastAsia="es-DO"/>
              </w:rPr>
              <w:t>DIRECCIÓN GENERAL DE CONTRATACIONES PÚBLICAS</w:t>
            </w:r>
            <w:r w:rsidRPr="007E33DC">
              <w:rPr>
                <w:rFonts w:ascii="Calibri Light" w:eastAsia="Times New Roman" w:hAnsi="Calibri Light" w:cs="Calibri Light"/>
                <w:b/>
                <w:bCs/>
                <w:color w:val="auto"/>
                <w:sz w:val="16"/>
                <w:szCs w:val="16"/>
                <w:lang w:val="es-DO" w:eastAsia="es-DO"/>
              </w:rPr>
              <w:br/>
              <w:t>MINISTERIO DE HACIENDA</w:t>
            </w:r>
          </w:p>
        </w:tc>
      </w:tr>
      <w:tr w:rsidR="008346B0" w:rsidRPr="007E33DC" w:rsidTr="008346B0">
        <w:trPr>
          <w:trHeight w:val="300"/>
        </w:trPr>
        <w:tc>
          <w:tcPr>
            <w:tcW w:w="720" w:type="dxa"/>
            <w:tcBorders>
              <w:top w:val="nil"/>
              <w:left w:val="nil"/>
              <w:bottom w:val="nil"/>
              <w:right w:val="nil"/>
            </w:tcBorders>
            <w:shd w:val="clear" w:color="auto" w:fill="auto"/>
            <w:noWrap/>
            <w:vAlign w:val="bottom"/>
            <w:hideMark/>
          </w:tcPr>
          <w:p w:rsidR="008346B0" w:rsidRPr="007E33DC" w:rsidRDefault="008346B0" w:rsidP="008346B0">
            <w:pPr>
              <w:keepNext w:val="0"/>
              <w:keepLines w:val="0"/>
              <w:spacing w:before="0" w:line="240" w:lineRule="auto"/>
              <w:ind w:firstLine="0"/>
              <w:jc w:val="center"/>
              <w:outlineLvl w:val="9"/>
              <w:rPr>
                <w:rFonts w:ascii="Calibri Light" w:eastAsia="Times New Roman" w:hAnsi="Calibri Light" w:cs="Calibri Light"/>
                <w:b/>
                <w:bCs/>
                <w:color w:val="auto"/>
                <w:sz w:val="16"/>
                <w:szCs w:val="16"/>
                <w:lang w:val="es-DO" w:eastAsia="es-DO"/>
              </w:rPr>
            </w:pPr>
          </w:p>
        </w:tc>
        <w:tc>
          <w:tcPr>
            <w:tcW w:w="4516" w:type="dxa"/>
            <w:tcBorders>
              <w:top w:val="nil"/>
              <w:left w:val="nil"/>
              <w:bottom w:val="nil"/>
              <w:right w:val="nil"/>
            </w:tcBorders>
            <w:shd w:val="clear" w:color="auto" w:fill="auto"/>
            <w:noWrap/>
            <w:vAlign w:val="bottom"/>
            <w:hideMark/>
          </w:tcPr>
          <w:p w:rsidR="008346B0" w:rsidRPr="007E33DC" w:rsidRDefault="008346B0" w:rsidP="008346B0">
            <w:pPr>
              <w:keepNext w:val="0"/>
              <w:keepLines w:val="0"/>
              <w:spacing w:before="0" w:line="240" w:lineRule="auto"/>
              <w:ind w:firstLine="0"/>
              <w:jc w:val="left"/>
              <w:outlineLvl w:val="9"/>
              <w:rPr>
                <w:rFonts w:eastAsia="Times New Roman"/>
                <w:color w:val="auto"/>
                <w:sz w:val="20"/>
                <w:szCs w:val="20"/>
                <w:lang w:val="es-DO" w:eastAsia="es-DO"/>
              </w:rPr>
            </w:pPr>
          </w:p>
        </w:tc>
        <w:tc>
          <w:tcPr>
            <w:tcW w:w="3436" w:type="dxa"/>
            <w:tcBorders>
              <w:top w:val="nil"/>
              <w:left w:val="nil"/>
              <w:bottom w:val="nil"/>
              <w:right w:val="nil"/>
            </w:tcBorders>
            <w:shd w:val="clear" w:color="auto" w:fill="auto"/>
            <w:noWrap/>
            <w:vAlign w:val="center"/>
            <w:hideMark/>
          </w:tcPr>
          <w:p w:rsidR="008346B0" w:rsidRPr="007E33DC" w:rsidRDefault="008346B0" w:rsidP="008346B0">
            <w:pPr>
              <w:keepNext w:val="0"/>
              <w:keepLines w:val="0"/>
              <w:spacing w:before="0" w:line="240" w:lineRule="auto"/>
              <w:ind w:firstLine="0"/>
              <w:jc w:val="left"/>
              <w:outlineLvl w:val="9"/>
              <w:rPr>
                <w:rFonts w:eastAsia="Times New Roman"/>
                <w:color w:val="auto"/>
                <w:sz w:val="20"/>
                <w:szCs w:val="20"/>
                <w:lang w:val="es-DO" w:eastAsia="es-DO"/>
              </w:rPr>
            </w:pPr>
          </w:p>
        </w:tc>
        <w:tc>
          <w:tcPr>
            <w:tcW w:w="1976" w:type="dxa"/>
            <w:tcBorders>
              <w:top w:val="nil"/>
              <w:left w:val="nil"/>
              <w:bottom w:val="nil"/>
              <w:right w:val="nil"/>
            </w:tcBorders>
            <w:shd w:val="clear" w:color="auto" w:fill="auto"/>
            <w:noWrap/>
            <w:vAlign w:val="bottom"/>
            <w:hideMark/>
          </w:tcPr>
          <w:p w:rsidR="008346B0" w:rsidRPr="007E33DC" w:rsidRDefault="008346B0" w:rsidP="008346B0">
            <w:pPr>
              <w:keepNext w:val="0"/>
              <w:keepLines w:val="0"/>
              <w:spacing w:before="0" w:line="240" w:lineRule="auto"/>
              <w:ind w:firstLine="0"/>
              <w:outlineLvl w:val="9"/>
              <w:rPr>
                <w:rFonts w:eastAsia="Times New Roman"/>
                <w:color w:val="auto"/>
                <w:sz w:val="20"/>
                <w:szCs w:val="20"/>
                <w:lang w:val="es-DO" w:eastAsia="es-DO"/>
              </w:rPr>
            </w:pPr>
          </w:p>
        </w:tc>
      </w:tr>
      <w:tr w:rsidR="008346B0" w:rsidRPr="007E33DC" w:rsidTr="008346B0">
        <w:trPr>
          <w:trHeight w:val="945"/>
        </w:trPr>
        <w:tc>
          <w:tcPr>
            <w:tcW w:w="720" w:type="dxa"/>
            <w:tcBorders>
              <w:top w:val="single" w:sz="4" w:space="0" w:color="002060"/>
              <w:left w:val="single" w:sz="4" w:space="0" w:color="002060"/>
              <w:bottom w:val="single" w:sz="4" w:space="0" w:color="002060"/>
              <w:right w:val="single" w:sz="4" w:space="0" w:color="002060"/>
            </w:tcBorders>
            <w:shd w:val="clear" w:color="000000" w:fill="ACB9CA"/>
            <w:noWrap/>
            <w:vAlign w:val="center"/>
            <w:hideMark/>
          </w:tcPr>
          <w:p w:rsidR="008346B0" w:rsidRPr="007E33DC" w:rsidRDefault="008346B0" w:rsidP="008346B0">
            <w:pPr>
              <w:keepNext w:val="0"/>
              <w:keepLines w:val="0"/>
              <w:spacing w:before="0" w:line="240" w:lineRule="auto"/>
              <w:ind w:firstLine="0"/>
              <w:jc w:val="center"/>
              <w:outlineLvl w:val="9"/>
              <w:rPr>
                <w:rFonts w:ascii="Calibri Light" w:eastAsia="Times New Roman" w:hAnsi="Calibri Light" w:cs="Calibri Light"/>
                <w:b/>
                <w:bCs/>
                <w:color w:val="auto"/>
                <w:lang w:val="es-DO" w:eastAsia="es-DO"/>
              </w:rPr>
            </w:pPr>
            <w:r w:rsidRPr="007E33DC">
              <w:rPr>
                <w:rFonts w:ascii="Calibri Light" w:eastAsia="Times New Roman" w:hAnsi="Calibri Light" w:cs="Calibri Light"/>
                <w:b/>
                <w:bCs/>
                <w:color w:val="auto"/>
                <w:lang w:val="es-DO" w:eastAsia="es-DO"/>
              </w:rPr>
              <w:t>No.</w:t>
            </w:r>
          </w:p>
        </w:tc>
        <w:tc>
          <w:tcPr>
            <w:tcW w:w="4516" w:type="dxa"/>
            <w:tcBorders>
              <w:top w:val="single" w:sz="4" w:space="0" w:color="002060"/>
              <w:left w:val="nil"/>
              <w:bottom w:val="single" w:sz="4" w:space="0" w:color="002060"/>
              <w:right w:val="single" w:sz="4" w:space="0" w:color="002060"/>
            </w:tcBorders>
            <w:shd w:val="clear" w:color="000000" w:fill="ACB9CA"/>
            <w:noWrap/>
            <w:vAlign w:val="center"/>
            <w:hideMark/>
          </w:tcPr>
          <w:p w:rsidR="008346B0" w:rsidRPr="007E33DC" w:rsidRDefault="008346B0" w:rsidP="008346B0">
            <w:pPr>
              <w:keepNext w:val="0"/>
              <w:keepLines w:val="0"/>
              <w:spacing w:before="0" w:line="240" w:lineRule="auto"/>
              <w:ind w:firstLine="0"/>
              <w:jc w:val="center"/>
              <w:outlineLvl w:val="9"/>
              <w:rPr>
                <w:rFonts w:ascii="Calibri Light" w:eastAsia="Times New Roman" w:hAnsi="Calibri Light" w:cs="Calibri Light"/>
                <w:b/>
                <w:bCs/>
                <w:color w:val="auto"/>
                <w:lang w:val="es-DO" w:eastAsia="es-DO"/>
              </w:rPr>
            </w:pPr>
            <w:r w:rsidRPr="007E33DC">
              <w:rPr>
                <w:rFonts w:ascii="Calibri Light" w:eastAsia="Times New Roman" w:hAnsi="Calibri Light" w:cs="Calibri Light"/>
                <w:b/>
                <w:bCs/>
                <w:color w:val="auto"/>
                <w:lang w:val="es-DO" w:eastAsia="es-DO"/>
              </w:rPr>
              <w:t>Meta</w:t>
            </w:r>
          </w:p>
        </w:tc>
        <w:tc>
          <w:tcPr>
            <w:tcW w:w="3436" w:type="dxa"/>
            <w:tcBorders>
              <w:top w:val="single" w:sz="4" w:space="0" w:color="002060"/>
              <w:left w:val="nil"/>
              <w:bottom w:val="single" w:sz="4" w:space="0" w:color="002060"/>
              <w:right w:val="single" w:sz="4" w:space="0" w:color="002060"/>
            </w:tcBorders>
            <w:shd w:val="clear" w:color="000000" w:fill="ACB9CA"/>
            <w:vAlign w:val="center"/>
            <w:hideMark/>
          </w:tcPr>
          <w:p w:rsidR="008346B0" w:rsidRPr="007E33DC" w:rsidRDefault="008346B0" w:rsidP="008346B0">
            <w:pPr>
              <w:keepNext w:val="0"/>
              <w:keepLines w:val="0"/>
              <w:spacing w:before="0" w:line="240" w:lineRule="auto"/>
              <w:ind w:firstLine="0"/>
              <w:jc w:val="center"/>
              <w:outlineLvl w:val="9"/>
              <w:rPr>
                <w:rFonts w:ascii="Calibri Light" w:eastAsia="Times New Roman" w:hAnsi="Calibri Light" w:cs="Calibri Light"/>
                <w:b/>
                <w:bCs/>
                <w:color w:val="auto"/>
                <w:lang w:val="es-DO" w:eastAsia="es-DO"/>
              </w:rPr>
            </w:pPr>
            <w:r w:rsidRPr="007E33DC">
              <w:rPr>
                <w:rFonts w:ascii="Calibri Light" w:eastAsia="Times New Roman" w:hAnsi="Calibri Light" w:cs="Calibri Light"/>
                <w:b/>
                <w:bCs/>
                <w:color w:val="auto"/>
                <w:lang w:val="es-DO" w:eastAsia="es-DO"/>
              </w:rPr>
              <w:t>Indicador</w:t>
            </w:r>
          </w:p>
        </w:tc>
        <w:tc>
          <w:tcPr>
            <w:tcW w:w="1976" w:type="dxa"/>
            <w:tcBorders>
              <w:top w:val="single" w:sz="4" w:space="0" w:color="002060"/>
              <w:left w:val="nil"/>
              <w:bottom w:val="single" w:sz="4" w:space="0" w:color="002060"/>
              <w:right w:val="single" w:sz="4" w:space="0" w:color="002060"/>
            </w:tcBorders>
            <w:shd w:val="clear" w:color="000000" w:fill="ACB9CA"/>
            <w:vAlign w:val="center"/>
            <w:hideMark/>
          </w:tcPr>
          <w:p w:rsidR="008346B0" w:rsidRPr="007E33DC" w:rsidRDefault="008346B0" w:rsidP="008346B0">
            <w:pPr>
              <w:keepNext w:val="0"/>
              <w:keepLines w:val="0"/>
              <w:spacing w:before="0" w:line="240" w:lineRule="auto"/>
              <w:ind w:firstLine="0"/>
              <w:jc w:val="center"/>
              <w:outlineLvl w:val="9"/>
              <w:rPr>
                <w:rFonts w:ascii="Calibri Light" w:eastAsia="Times New Roman" w:hAnsi="Calibri Light" w:cs="Calibri Light"/>
                <w:b/>
                <w:bCs/>
                <w:color w:val="auto"/>
                <w:lang w:val="es-DO" w:eastAsia="es-DO"/>
              </w:rPr>
            </w:pPr>
            <w:r w:rsidRPr="007E33DC">
              <w:rPr>
                <w:rFonts w:ascii="Calibri Light" w:eastAsia="Times New Roman" w:hAnsi="Calibri Light" w:cs="Calibri Light"/>
                <w:b/>
                <w:bCs/>
                <w:color w:val="auto"/>
                <w:lang w:val="es-DO" w:eastAsia="es-DO"/>
              </w:rPr>
              <w:t>Logros Alcanzados 2019</w:t>
            </w:r>
          </w:p>
        </w:tc>
      </w:tr>
      <w:tr w:rsidR="008346B0" w:rsidRPr="007E33DC" w:rsidTr="008346B0">
        <w:trPr>
          <w:trHeight w:val="499"/>
        </w:trPr>
        <w:tc>
          <w:tcPr>
            <w:tcW w:w="720" w:type="dxa"/>
            <w:vMerge w:val="restart"/>
            <w:tcBorders>
              <w:top w:val="nil"/>
              <w:left w:val="single" w:sz="4" w:space="0" w:color="002060"/>
              <w:bottom w:val="single" w:sz="4" w:space="0" w:color="002060"/>
              <w:right w:val="single" w:sz="4" w:space="0" w:color="002060"/>
            </w:tcBorders>
            <w:shd w:val="clear" w:color="auto" w:fill="auto"/>
            <w:noWrap/>
            <w:vAlign w:val="center"/>
            <w:hideMark/>
          </w:tcPr>
          <w:p w:rsidR="008346B0" w:rsidRPr="007E33DC" w:rsidRDefault="008346B0" w:rsidP="008346B0">
            <w:pPr>
              <w:keepNext w:val="0"/>
              <w:keepLines w:val="0"/>
              <w:spacing w:before="0" w:line="240" w:lineRule="auto"/>
              <w:ind w:firstLine="0"/>
              <w:jc w:val="center"/>
              <w:outlineLvl w:val="9"/>
              <w:rPr>
                <w:rFonts w:ascii="Calibri Light" w:eastAsia="Times New Roman" w:hAnsi="Calibri Light" w:cs="Calibri Light"/>
                <w:color w:val="auto"/>
                <w:sz w:val="16"/>
                <w:szCs w:val="16"/>
                <w:lang w:val="es-DO" w:eastAsia="es-DO"/>
              </w:rPr>
            </w:pPr>
            <w:r w:rsidRPr="007E33DC">
              <w:rPr>
                <w:rFonts w:ascii="Calibri Light" w:eastAsia="Times New Roman" w:hAnsi="Calibri Light" w:cs="Calibri Light"/>
                <w:color w:val="auto"/>
                <w:sz w:val="16"/>
                <w:szCs w:val="16"/>
                <w:lang w:val="es-DO" w:eastAsia="es-DO"/>
              </w:rPr>
              <w:t>1</w:t>
            </w:r>
          </w:p>
        </w:tc>
        <w:tc>
          <w:tcPr>
            <w:tcW w:w="4516" w:type="dxa"/>
            <w:vMerge w:val="restart"/>
            <w:tcBorders>
              <w:top w:val="nil"/>
              <w:left w:val="single" w:sz="4" w:space="0" w:color="002060"/>
              <w:bottom w:val="single" w:sz="4" w:space="0" w:color="002060"/>
              <w:right w:val="single" w:sz="4" w:space="0" w:color="002060"/>
            </w:tcBorders>
            <w:shd w:val="clear" w:color="auto" w:fill="auto"/>
            <w:vAlign w:val="center"/>
            <w:hideMark/>
          </w:tcPr>
          <w:p w:rsidR="008346B0" w:rsidRPr="007E33DC" w:rsidRDefault="008346B0" w:rsidP="008346B0">
            <w:pPr>
              <w:keepNext w:val="0"/>
              <w:keepLines w:val="0"/>
              <w:spacing w:before="0" w:line="240" w:lineRule="auto"/>
              <w:ind w:firstLine="0"/>
              <w:jc w:val="left"/>
              <w:outlineLvl w:val="9"/>
              <w:rPr>
                <w:rFonts w:ascii="Calibri Light" w:eastAsia="Times New Roman" w:hAnsi="Calibri Light" w:cs="Calibri Light"/>
                <w:color w:val="auto"/>
                <w:sz w:val="16"/>
                <w:szCs w:val="16"/>
                <w:lang w:val="es-DO" w:eastAsia="es-DO"/>
              </w:rPr>
            </w:pPr>
            <w:r w:rsidRPr="007E33DC">
              <w:rPr>
                <w:rFonts w:ascii="Calibri Light" w:eastAsia="Times New Roman" w:hAnsi="Calibri Light" w:cs="Calibri Light"/>
                <w:color w:val="auto"/>
                <w:sz w:val="16"/>
                <w:szCs w:val="16"/>
                <w:lang w:val="es-DO" w:eastAsia="es-DO"/>
              </w:rPr>
              <w:t>Ampliación del uso de la plataforma tecnológica del Portal Transaccional</w:t>
            </w:r>
          </w:p>
        </w:tc>
        <w:tc>
          <w:tcPr>
            <w:tcW w:w="3436" w:type="dxa"/>
            <w:tcBorders>
              <w:top w:val="nil"/>
              <w:left w:val="nil"/>
              <w:bottom w:val="single" w:sz="4" w:space="0" w:color="002060"/>
              <w:right w:val="single" w:sz="4" w:space="0" w:color="002060"/>
            </w:tcBorders>
            <w:shd w:val="clear" w:color="auto" w:fill="auto"/>
            <w:vAlign w:val="center"/>
            <w:hideMark/>
          </w:tcPr>
          <w:p w:rsidR="008346B0" w:rsidRPr="007E33DC" w:rsidRDefault="008346B0" w:rsidP="008346B0">
            <w:pPr>
              <w:keepNext w:val="0"/>
              <w:keepLines w:val="0"/>
              <w:spacing w:before="0" w:line="240" w:lineRule="auto"/>
              <w:ind w:firstLine="0"/>
              <w:outlineLvl w:val="9"/>
              <w:rPr>
                <w:rFonts w:ascii="Calibri Light" w:eastAsia="Times New Roman" w:hAnsi="Calibri Light" w:cs="Calibri Light"/>
                <w:color w:val="auto"/>
                <w:sz w:val="16"/>
                <w:szCs w:val="16"/>
                <w:lang w:val="es-DO" w:eastAsia="es-DO"/>
              </w:rPr>
            </w:pPr>
            <w:r>
              <w:rPr>
                <w:rFonts w:ascii="Calibri Light" w:eastAsia="Times New Roman" w:hAnsi="Calibri Light" w:cs="Calibri Light"/>
                <w:color w:val="auto"/>
                <w:sz w:val="16"/>
                <w:szCs w:val="16"/>
                <w:lang w:val="es-DO" w:eastAsia="es-DO"/>
              </w:rPr>
              <w:t>I</w:t>
            </w:r>
            <w:r w:rsidRPr="007E33DC">
              <w:rPr>
                <w:rFonts w:ascii="Calibri Light" w:eastAsia="Times New Roman" w:hAnsi="Calibri Light" w:cs="Calibri Light"/>
                <w:color w:val="auto"/>
                <w:sz w:val="16"/>
                <w:szCs w:val="16"/>
                <w:lang w:val="es-DO" w:eastAsia="es-DO"/>
              </w:rPr>
              <w:t>nstituciones del Estado publican y gestionan sus procesos de compra en el Portal Transaccional</w:t>
            </w:r>
          </w:p>
        </w:tc>
        <w:tc>
          <w:tcPr>
            <w:tcW w:w="1976" w:type="dxa"/>
            <w:tcBorders>
              <w:top w:val="nil"/>
              <w:left w:val="nil"/>
              <w:bottom w:val="single" w:sz="4" w:space="0" w:color="002060"/>
              <w:right w:val="single" w:sz="4" w:space="0" w:color="002060"/>
            </w:tcBorders>
            <w:shd w:val="clear" w:color="auto" w:fill="auto"/>
            <w:noWrap/>
            <w:vAlign w:val="center"/>
            <w:hideMark/>
          </w:tcPr>
          <w:p w:rsidR="008346B0" w:rsidRPr="007E33DC" w:rsidRDefault="008346B0" w:rsidP="008346B0">
            <w:pPr>
              <w:keepNext w:val="0"/>
              <w:keepLines w:val="0"/>
              <w:spacing w:before="0" w:line="240" w:lineRule="auto"/>
              <w:ind w:firstLine="0"/>
              <w:jc w:val="center"/>
              <w:outlineLvl w:val="9"/>
              <w:rPr>
                <w:rFonts w:ascii="Calibri Light" w:eastAsia="Times New Roman" w:hAnsi="Calibri Light" w:cs="Calibri Light"/>
                <w:color w:val="auto"/>
                <w:sz w:val="16"/>
                <w:szCs w:val="16"/>
                <w:lang w:val="es-DO" w:eastAsia="es-DO"/>
              </w:rPr>
            </w:pPr>
            <w:r>
              <w:rPr>
                <w:rFonts w:ascii="Calibri Light" w:eastAsia="Times New Roman" w:hAnsi="Calibri Light" w:cs="Calibri Light"/>
                <w:color w:val="auto"/>
                <w:sz w:val="16"/>
                <w:szCs w:val="16"/>
                <w:lang w:val="es-DO" w:eastAsia="es-DO"/>
              </w:rPr>
              <w:t>305</w:t>
            </w:r>
          </w:p>
        </w:tc>
      </w:tr>
      <w:tr w:rsidR="008346B0" w:rsidRPr="007E33DC" w:rsidTr="008346B0">
        <w:trPr>
          <w:trHeight w:val="499"/>
        </w:trPr>
        <w:tc>
          <w:tcPr>
            <w:tcW w:w="720" w:type="dxa"/>
            <w:vMerge/>
            <w:tcBorders>
              <w:top w:val="nil"/>
              <w:left w:val="single" w:sz="4" w:space="0" w:color="002060"/>
              <w:bottom w:val="single" w:sz="4" w:space="0" w:color="002060"/>
              <w:right w:val="single" w:sz="4" w:space="0" w:color="002060"/>
            </w:tcBorders>
            <w:vAlign w:val="center"/>
            <w:hideMark/>
          </w:tcPr>
          <w:p w:rsidR="008346B0" w:rsidRPr="007E33DC" w:rsidRDefault="008346B0" w:rsidP="008346B0">
            <w:pPr>
              <w:keepNext w:val="0"/>
              <w:keepLines w:val="0"/>
              <w:spacing w:before="0" w:line="240" w:lineRule="auto"/>
              <w:ind w:firstLine="0"/>
              <w:jc w:val="left"/>
              <w:outlineLvl w:val="9"/>
              <w:rPr>
                <w:rFonts w:ascii="Calibri Light" w:eastAsia="Times New Roman" w:hAnsi="Calibri Light" w:cs="Calibri Light"/>
                <w:color w:val="auto"/>
                <w:sz w:val="16"/>
                <w:szCs w:val="16"/>
                <w:lang w:val="es-DO" w:eastAsia="es-DO"/>
              </w:rPr>
            </w:pPr>
          </w:p>
        </w:tc>
        <w:tc>
          <w:tcPr>
            <w:tcW w:w="4516" w:type="dxa"/>
            <w:vMerge/>
            <w:tcBorders>
              <w:top w:val="nil"/>
              <w:left w:val="single" w:sz="4" w:space="0" w:color="002060"/>
              <w:bottom w:val="single" w:sz="4" w:space="0" w:color="002060"/>
              <w:right w:val="single" w:sz="4" w:space="0" w:color="002060"/>
            </w:tcBorders>
            <w:vAlign w:val="center"/>
            <w:hideMark/>
          </w:tcPr>
          <w:p w:rsidR="008346B0" w:rsidRPr="007E33DC" w:rsidRDefault="008346B0" w:rsidP="008346B0">
            <w:pPr>
              <w:keepNext w:val="0"/>
              <w:keepLines w:val="0"/>
              <w:spacing w:before="0" w:line="240" w:lineRule="auto"/>
              <w:ind w:firstLine="0"/>
              <w:jc w:val="left"/>
              <w:outlineLvl w:val="9"/>
              <w:rPr>
                <w:rFonts w:ascii="Calibri Light" w:eastAsia="Times New Roman" w:hAnsi="Calibri Light" w:cs="Calibri Light"/>
                <w:color w:val="auto"/>
                <w:sz w:val="16"/>
                <w:szCs w:val="16"/>
                <w:lang w:val="es-DO" w:eastAsia="es-DO"/>
              </w:rPr>
            </w:pPr>
          </w:p>
        </w:tc>
        <w:tc>
          <w:tcPr>
            <w:tcW w:w="3436" w:type="dxa"/>
            <w:tcBorders>
              <w:top w:val="nil"/>
              <w:left w:val="nil"/>
              <w:bottom w:val="single" w:sz="4" w:space="0" w:color="002060"/>
              <w:right w:val="single" w:sz="4" w:space="0" w:color="002060"/>
            </w:tcBorders>
            <w:shd w:val="clear" w:color="auto" w:fill="auto"/>
            <w:vAlign w:val="center"/>
            <w:hideMark/>
          </w:tcPr>
          <w:p w:rsidR="008346B0" w:rsidRPr="007E33DC" w:rsidRDefault="008346B0" w:rsidP="008346B0">
            <w:pPr>
              <w:keepNext w:val="0"/>
              <w:keepLines w:val="0"/>
              <w:spacing w:before="0" w:line="240" w:lineRule="auto"/>
              <w:ind w:firstLine="0"/>
              <w:outlineLvl w:val="9"/>
              <w:rPr>
                <w:rFonts w:ascii="Calibri Light" w:eastAsia="Times New Roman" w:hAnsi="Calibri Light" w:cs="Calibri Light"/>
                <w:color w:val="auto"/>
                <w:sz w:val="16"/>
                <w:szCs w:val="16"/>
                <w:lang w:val="es-DO" w:eastAsia="es-DO"/>
              </w:rPr>
            </w:pPr>
            <w:r>
              <w:rPr>
                <w:rFonts w:ascii="Calibri Light" w:eastAsia="Times New Roman" w:hAnsi="Calibri Light" w:cs="Calibri Light"/>
                <w:color w:val="auto"/>
                <w:sz w:val="16"/>
                <w:szCs w:val="16"/>
                <w:lang w:val="es-DO" w:eastAsia="es-DO"/>
              </w:rPr>
              <w:t>C</w:t>
            </w:r>
            <w:r w:rsidRPr="007E33DC">
              <w:rPr>
                <w:rFonts w:ascii="Calibri Light" w:eastAsia="Times New Roman" w:hAnsi="Calibri Light" w:cs="Calibri Light"/>
                <w:color w:val="auto"/>
                <w:sz w:val="16"/>
                <w:szCs w:val="16"/>
                <w:lang w:val="es-DO" w:eastAsia="es-DO"/>
              </w:rPr>
              <w:t>apacitaciones a proveedores sobre el Portal Transaccional.</w:t>
            </w:r>
          </w:p>
        </w:tc>
        <w:tc>
          <w:tcPr>
            <w:tcW w:w="1976" w:type="dxa"/>
            <w:tcBorders>
              <w:top w:val="nil"/>
              <w:left w:val="nil"/>
              <w:bottom w:val="single" w:sz="4" w:space="0" w:color="002060"/>
              <w:right w:val="single" w:sz="4" w:space="0" w:color="002060"/>
            </w:tcBorders>
            <w:shd w:val="clear" w:color="auto" w:fill="auto"/>
            <w:noWrap/>
            <w:vAlign w:val="center"/>
            <w:hideMark/>
          </w:tcPr>
          <w:p w:rsidR="008346B0" w:rsidRPr="007E33DC" w:rsidRDefault="008346B0" w:rsidP="008346B0">
            <w:pPr>
              <w:keepNext w:val="0"/>
              <w:keepLines w:val="0"/>
              <w:spacing w:before="0" w:line="240" w:lineRule="auto"/>
              <w:ind w:firstLine="0"/>
              <w:jc w:val="center"/>
              <w:outlineLvl w:val="9"/>
              <w:rPr>
                <w:rFonts w:ascii="Calibri Light" w:eastAsia="Times New Roman" w:hAnsi="Calibri Light" w:cs="Calibri Light"/>
                <w:color w:val="auto"/>
                <w:sz w:val="16"/>
                <w:szCs w:val="16"/>
                <w:lang w:val="es-DO" w:eastAsia="es-DO"/>
              </w:rPr>
            </w:pPr>
            <w:r w:rsidRPr="007E33DC">
              <w:rPr>
                <w:rFonts w:ascii="Calibri Light" w:eastAsia="Times New Roman" w:hAnsi="Calibri Light" w:cs="Calibri Light"/>
                <w:color w:val="auto"/>
                <w:sz w:val="16"/>
                <w:szCs w:val="16"/>
                <w:lang w:val="es-DO" w:eastAsia="es-DO"/>
              </w:rPr>
              <w:t>1,113</w:t>
            </w:r>
          </w:p>
        </w:tc>
      </w:tr>
      <w:tr w:rsidR="008346B0" w:rsidRPr="007E33DC" w:rsidTr="008346B0">
        <w:trPr>
          <w:trHeight w:val="499"/>
        </w:trPr>
        <w:tc>
          <w:tcPr>
            <w:tcW w:w="720" w:type="dxa"/>
            <w:vMerge/>
            <w:tcBorders>
              <w:top w:val="nil"/>
              <w:left w:val="single" w:sz="4" w:space="0" w:color="002060"/>
              <w:bottom w:val="single" w:sz="4" w:space="0" w:color="002060"/>
              <w:right w:val="single" w:sz="4" w:space="0" w:color="002060"/>
            </w:tcBorders>
            <w:vAlign w:val="center"/>
            <w:hideMark/>
          </w:tcPr>
          <w:p w:rsidR="008346B0" w:rsidRPr="007E33DC" w:rsidRDefault="008346B0" w:rsidP="008346B0">
            <w:pPr>
              <w:keepNext w:val="0"/>
              <w:keepLines w:val="0"/>
              <w:spacing w:before="0" w:line="240" w:lineRule="auto"/>
              <w:ind w:firstLine="0"/>
              <w:jc w:val="left"/>
              <w:outlineLvl w:val="9"/>
              <w:rPr>
                <w:rFonts w:ascii="Calibri Light" w:eastAsia="Times New Roman" w:hAnsi="Calibri Light" w:cs="Calibri Light"/>
                <w:color w:val="auto"/>
                <w:sz w:val="16"/>
                <w:szCs w:val="16"/>
                <w:lang w:val="es-DO" w:eastAsia="es-DO"/>
              </w:rPr>
            </w:pPr>
          </w:p>
        </w:tc>
        <w:tc>
          <w:tcPr>
            <w:tcW w:w="4516" w:type="dxa"/>
            <w:vMerge/>
            <w:tcBorders>
              <w:top w:val="nil"/>
              <w:left w:val="single" w:sz="4" w:space="0" w:color="002060"/>
              <w:bottom w:val="single" w:sz="4" w:space="0" w:color="002060"/>
              <w:right w:val="single" w:sz="4" w:space="0" w:color="002060"/>
            </w:tcBorders>
            <w:vAlign w:val="center"/>
            <w:hideMark/>
          </w:tcPr>
          <w:p w:rsidR="008346B0" w:rsidRPr="007E33DC" w:rsidRDefault="008346B0" w:rsidP="008346B0">
            <w:pPr>
              <w:keepNext w:val="0"/>
              <w:keepLines w:val="0"/>
              <w:spacing w:before="0" w:line="240" w:lineRule="auto"/>
              <w:ind w:firstLine="0"/>
              <w:jc w:val="left"/>
              <w:outlineLvl w:val="9"/>
              <w:rPr>
                <w:rFonts w:ascii="Calibri Light" w:eastAsia="Times New Roman" w:hAnsi="Calibri Light" w:cs="Calibri Light"/>
                <w:color w:val="auto"/>
                <w:sz w:val="16"/>
                <w:szCs w:val="16"/>
                <w:lang w:val="es-DO" w:eastAsia="es-DO"/>
              </w:rPr>
            </w:pPr>
          </w:p>
        </w:tc>
        <w:tc>
          <w:tcPr>
            <w:tcW w:w="3436" w:type="dxa"/>
            <w:tcBorders>
              <w:top w:val="nil"/>
              <w:left w:val="nil"/>
              <w:bottom w:val="single" w:sz="4" w:space="0" w:color="002060"/>
              <w:right w:val="single" w:sz="4" w:space="0" w:color="002060"/>
            </w:tcBorders>
            <w:shd w:val="clear" w:color="auto" w:fill="auto"/>
            <w:vAlign w:val="center"/>
            <w:hideMark/>
          </w:tcPr>
          <w:p w:rsidR="008346B0" w:rsidRPr="007E33DC" w:rsidRDefault="008346B0" w:rsidP="008346B0">
            <w:pPr>
              <w:keepNext w:val="0"/>
              <w:keepLines w:val="0"/>
              <w:spacing w:before="0" w:line="240" w:lineRule="auto"/>
              <w:ind w:firstLine="0"/>
              <w:outlineLvl w:val="9"/>
              <w:rPr>
                <w:rFonts w:ascii="Calibri Light" w:eastAsia="Times New Roman" w:hAnsi="Calibri Light" w:cs="Calibri Light"/>
                <w:color w:val="auto"/>
                <w:sz w:val="16"/>
                <w:szCs w:val="16"/>
                <w:lang w:val="es-DO" w:eastAsia="es-DO"/>
              </w:rPr>
            </w:pPr>
            <w:r>
              <w:rPr>
                <w:rFonts w:ascii="Calibri Light" w:eastAsia="Times New Roman" w:hAnsi="Calibri Light" w:cs="Calibri Light"/>
                <w:color w:val="auto"/>
                <w:sz w:val="16"/>
                <w:szCs w:val="16"/>
                <w:lang w:val="es-DO" w:eastAsia="es-DO"/>
              </w:rPr>
              <w:t>C</w:t>
            </w:r>
            <w:r w:rsidRPr="007E33DC">
              <w:rPr>
                <w:rFonts w:ascii="Calibri Light" w:eastAsia="Times New Roman" w:hAnsi="Calibri Light" w:cs="Calibri Light"/>
                <w:color w:val="auto"/>
                <w:sz w:val="16"/>
                <w:szCs w:val="16"/>
                <w:lang w:val="es-DO" w:eastAsia="es-DO"/>
              </w:rPr>
              <w:t>apacitaciones a unidades de compra sobre el Portal Transaccional.</w:t>
            </w:r>
          </w:p>
        </w:tc>
        <w:tc>
          <w:tcPr>
            <w:tcW w:w="1976" w:type="dxa"/>
            <w:tcBorders>
              <w:top w:val="nil"/>
              <w:left w:val="nil"/>
              <w:bottom w:val="single" w:sz="4" w:space="0" w:color="002060"/>
              <w:right w:val="single" w:sz="4" w:space="0" w:color="002060"/>
            </w:tcBorders>
            <w:shd w:val="clear" w:color="auto" w:fill="auto"/>
            <w:noWrap/>
            <w:vAlign w:val="center"/>
            <w:hideMark/>
          </w:tcPr>
          <w:p w:rsidR="008346B0" w:rsidRPr="007E33DC" w:rsidRDefault="008346B0" w:rsidP="008346B0">
            <w:pPr>
              <w:keepNext w:val="0"/>
              <w:keepLines w:val="0"/>
              <w:spacing w:before="0" w:line="240" w:lineRule="auto"/>
              <w:ind w:firstLine="0"/>
              <w:jc w:val="center"/>
              <w:outlineLvl w:val="9"/>
              <w:rPr>
                <w:rFonts w:ascii="Calibri Light" w:eastAsia="Times New Roman" w:hAnsi="Calibri Light" w:cs="Calibri Light"/>
                <w:color w:val="auto"/>
                <w:sz w:val="16"/>
                <w:szCs w:val="16"/>
                <w:lang w:val="es-DO" w:eastAsia="es-DO"/>
              </w:rPr>
            </w:pPr>
            <w:r w:rsidRPr="007E33DC">
              <w:rPr>
                <w:rFonts w:ascii="Calibri Light" w:eastAsia="Times New Roman" w:hAnsi="Calibri Light" w:cs="Calibri Light"/>
                <w:color w:val="auto"/>
                <w:sz w:val="16"/>
                <w:szCs w:val="16"/>
                <w:lang w:val="es-DO" w:eastAsia="es-DO"/>
              </w:rPr>
              <w:t>813</w:t>
            </w:r>
          </w:p>
        </w:tc>
      </w:tr>
      <w:tr w:rsidR="008346B0" w:rsidRPr="007E33DC" w:rsidTr="008346B0">
        <w:trPr>
          <w:trHeight w:val="499"/>
        </w:trPr>
        <w:tc>
          <w:tcPr>
            <w:tcW w:w="720" w:type="dxa"/>
            <w:vMerge/>
            <w:tcBorders>
              <w:top w:val="nil"/>
              <w:left w:val="single" w:sz="4" w:space="0" w:color="002060"/>
              <w:bottom w:val="single" w:sz="4" w:space="0" w:color="002060"/>
              <w:right w:val="single" w:sz="4" w:space="0" w:color="002060"/>
            </w:tcBorders>
            <w:vAlign w:val="center"/>
            <w:hideMark/>
          </w:tcPr>
          <w:p w:rsidR="008346B0" w:rsidRPr="007E33DC" w:rsidRDefault="008346B0" w:rsidP="008346B0">
            <w:pPr>
              <w:keepNext w:val="0"/>
              <w:keepLines w:val="0"/>
              <w:spacing w:before="0" w:line="240" w:lineRule="auto"/>
              <w:ind w:firstLine="0"/>
              <w:jc w:val="left"/>
              <w:outlineLvl w:val="9"/>
              <w:rPr>
                <w:rFonts w:ascii="Calibri Light" w:eastAsia="Times New Roman" w:hAnsi="Calibri Light" w:cs="Calibri Light"/>
                <w:color w:val="auto"/>
                <w:sz w:val="16"/>
                <w:szCs w:val="16"/>
                <w:lang w:val="es-DO" w:eastAsia="es-DO"/>
              </w:rPr>
            </w:pPr>
          </w:p>
        </w:tc>
        <w:tc>
          <w:tcPr>
            <w:tcW w:w="4516" w:type="dxa"/>
            <w:vMerge/>
            <w:tcBorders>
              <w:top w:val="nil"/>
              <w:left w:val="single" w:sz="4" w:space="0" w:color="002060"/>
              <w:bottom w:val="single" w:sz="4" w:space="0" w:color="002060"/>
              <w:right w:val="single" w:sz="4" w:space="0" w:color="002060"/>
            </w:tcBorders>
            <w:vAlign w:val="center"/>
            <w:hideMark/>
          </w:tcPr>
          <w:p w:rsidR="008346B0" w:rsidRPr="007E33DC" w:rsidRDefault="008346B0" w:rsidP="008346B0">
            <w:pPr>
              <w:keepNext w:val="0"/>
              <w:keepLines w:val="0"/>
              <w:spacing w:before="0" w:line="240" w:lineRule="auto"/>
              <w:ind w:firstLine="0"/>
              <w:jc w:val="left"/>
              <w:outlineLvl w:val="9"/>
              <w:rPr>
                <w:rFonts w:ascii="Calibri Light" w:eastAsia="Times New Roman" w:hAnsi="Calibri Light" w:cs="Calibri Light"/>
                <w:color w:val="auto"/>
                <w:sz w:val="16"/>
                <w:szCs w:val="16"/>
                <w:lang w:val="es-DO" w:eastAsia="es-DO"/>
              </w:rPr>
            </w:pPr>
          </w:p>
        </w:tc>
        <w:tc>
          <w:tcPr>
            <w:tcW w:w="3436" w:type="dxa"/>
            <w:tcBorders>
              <w:top w:val="nil"/>
              <w:left w:val="nil"/>
              <w:bottom w:val="single" w:sz="4" w:space="0" w:color="002060"/>
              <w:right w:val="single" w:sz="4" w:space="0" w:color="002060"/>
            </w:tcBorders>
            <w:shd w:val="clear" w:color="auto" w:fill="auto"/>
            <w:vAlign w:val="center"/>
            <w:hideMark/>
          </w:tcPr>
          <w:p w:rsidR="008346B0" w:rsidRPr="007E33DC" w:rsidRDefault="008346B0" w:rsidP="008346B0">
            <w:pPr>
              <w:keepNext w:val="0"/>
              <w:keepLines w:val="0"/>
              <w:spacing w:before="0" w:line="240" w:lineRule="auto"/>
              <w:ind w:firstLine="0"/>
              <w:outlineLvl w:val="9"/>
              <w:rPr>
                <w:rFonts w:ascii="Calibri Light" w:eastAsia="Times New Roman" w:hAnsi="Calibri Light" w:cs="Calibri Light"/>
                <w:color w:val="auto"/>
                <w:sz w:val="16"/>
                <w:szCs w:val="16"/>
                <w:lang w:val="es-DO" w:eastAsia="es-DO"/>
              </w:rPr>
            </w:pPr>
            <w:r>
              <w:rPr>
                <w:rFonts w:ascii="Calibri Light" w:eastAsia="Times New Roman" w:hAnsi="Calibri Light" w:cs="Calibri Light"/>
                <w:color w:val="auto"/>
                <w:sz w:val="16"/>
                <w:szCs w:val="16"/>
                <w:lang w:val="es-DO" w:eastAsia="es-DO"/>
              </w:rPr>
              <w:t>C</w:t>
            </w:r>
            <w:r w:rsidRPr="007E33DC">
              <w:rPr>
                <w:rFonts w:ascii="Calibri Light" w:eastAsia="Times New Roman" w:hAnsi="Calibri Light" w:cs="Calibri Light"/>
                <w:color w:val="auto"/>
                <w:sz w:val="16"/>
                <w:szCs w:val="16"/>
                <w:lang w:val="es-DO" w:eastAsia="es-DO"/>
              </w:rPr>
              <w:t>apacitaciones a sociedad civil.</w:t>
            </w:r>
          </w:p>
        </w:tc>
        <w:tc>
          <w:tcPr>
            <w:tcW w:w="1976" w:type="dxa"/>
            <w:tcBorders>
              <w:top w:val="nil"/>
              <w:left w:val="nil"/>
              <w:bottom w:val="single" w:sz="4" w:space="0" w:color="002060"/>
              <w:right w:val="single" w:sz="4" w:space="0" w:color="002060"/>
            </w:tcBorders>
            <w:shd w:val="clear" w:color="auto" w:fill="auto"/>
            <w:noWrap/>
            <w:vAlign w:val="center"/>
            <w:hideMark/>
          </w:tcPr>
          <w:p w:rsidR="008346B0" w:rsidRPr="007E33DC" w:rsidRDefault="008346B0" w:rsidP="008346B0">
            <w:pPr>
              <w:keepNext w:val="0"/>
              <w:keepLines w:val="0"/>
              <w:spacing w:before="0" w:line="240" w:lineRule="auto"/>
              <w:ind w:firstLine="0"/>
              <w:jc w:val="center"/>
              <w:outlineLvl w:val="9"/>
              <w:rPr>
                <w:rFonts w:ascii="Calibri Light" w:eastAsia="Times New Roman" w:hAnsi="Calibri Light" w:cs="Calibri Light"/>
                <w:color w:val="auto"/>
                <w:sz w:val="16"/>
                <w:szCs w:val="16"/>
                <w:lang w:val="es-DO" w:eastAsia="es-DO"/>
              </w:rPr>
            </w:pPr>
            <w:r w:rsidRPr="007E33DC">
              <w:rPr>
                <w:rFonts w:ascii="Calibri Light" w:eastAsia="Times New Roman" w:hAnsi="Calibri Light" w:cs="Calibri Light"/>
                <w:color w:val="auto"/>
                <w:sz w:val="16"/>
                <w:szCs w:val="16"/>
                <w:lang w:val="es-DO" w:eastAsia="es-DO"/>
              </w:rPr>
              <w:t>101</w:t>
            </w:r>
          </w:p>
        </w:tc>
      </w:tr>
      <w:tr w:rsidR="008346B0" w:rsidRPr="007E33DC" w:rsidTr="008346B0">
        <w:trPr>
          <w:trHeight w:val="499"/>
        </w:trPr>
        <w:tc>
          <w:tcPr>
            <w:tcW w:w="720" w:type="dxa"/>
            <w:tcBorders>
              <w:top w:val="nil"/>
              <w:left w:val="single" w:sz="4" w:space="0" w:color="002060"/>
              <w:bottom w:val="single" w:sz="4" w:space="0" w:color="002060"/>
              <w:right w:val="single" w:sz="4" w:space="0" w:color="002060"/>
            </w:tcBorders>
            <w:shd w:val="clear" w:color="auto" w:fill="auto"/>
            <w:noWrap/>
            <w:vAlign w:val="center"/>
            <w:hideMark/>
          </w:tcPr>
          <w:p w:rsidR="008346B0" w:rsidRPr="007E33DC" w:rsidRDefault="008346B0" w:rsidP="008346B0">
            <w:pPr>
              <w:keepNext w:val="0"/>
              <w:keepLines w:val="0"/>
              <w:spacing w:before="0" w:line="240" w:lineRule="auto"/>
              <w:ind w:firstLine="0"/>
              <w:jc w:val="center"/>
              <w:outlineLvl w:val="9"/>
              <w:rPr>
                <w:rFonts w:ascii="Calibri Light" w:eastAsia="Times New Roman" w:hAnsi="Calibri Light" w:cs="Calibri Light"/>
                <w:color w:val="auto"/>
                <w:sz w:val="16"/>
                <w:szCs w:val="16"/>
                <w:lang w:val="es-DO" w:eastAsia="es-DO"/>
              </w:rPr>
            </w:pPr>
            <w:r w:rsidRPr="007E33DC">
              <w:rPr>
                <w:rFonts w:ascii="Calibri Light" w:eastAsia="Times New Roman" w:hAnsi="Calibri Light" w:cs="Calibri Light"/>
                <w:color w:val="auto"/>
                <w:sz w:val="16"/>
                <w:szCs w:val="16"/>
                <w:lang w:val="es-DO" w:eastAsia="es-DO"/>
              </w:rPr>
              <w:t>2</w:t>
            </w:r>
          </w:p>
        </w:tc>
        <w:tc>
          <w:tcPr>
            <w:tcW w:w="4516" w:type="dxa"/>
            <w:tcBorders>
              <w:top w:val="nil"/>
              <w:left w:val="nil"/>
              <w:bottom w:val="single" w:sz="4" w:space="0" w:color="002060"/>
              <w:right w:val="single" w:sz="4" w:space="0" w:color="002060"/>
            </w:tcBorders>
            <w:shd w:val="clear" w:color="auto" w:fill="auto"/>
            <w:vAlign w:val="center"/>
            <w:hideMark/>
          </w:tcPr>
          <w:p w:rsidR="008346B0" w:rsidRPr="007E33DC" w:rsidRDefault="008346B0" w:rsidP="008346B0">
            <w:pPr>
              <w:keepNext w:val="0"/>
              <w:keepLines w:val="0"/>
              <w:spacing w:before="0" w:line="240" w:lineRule="auto"/>
              <w:ind w:firstLine="0"/>
              <w:outlineLvl w:val="9"/>
              <w:rPr>
                <w:rFonts w:ascii="Calibri Light" w:eastAsia="Times New Roman" w:hAnsi="Calibri Light" w:cs="Calibri Light"/>
                <w:color w:val="auto"/>
                <w:sz w:val="16"/>
                <w:szCs w:val="16"/>
                <w:lang w:val="es-DO" w:eastAsia="es-DO"/>
              </w:rPr>
            </w:pPr>
            <w:r w:rsidRPr="007E33DC">
              <w:rPr>
                <w:rFonts w:ascii="Calibri Light" w:eastAsia="Times New Roman" w:hAnsi="Calibri Light" w:cs="Calibri Light"/>
                <w:color w:val="auto"/>
                <w:sz w:val="16"/>
                <w:szCs w:val="16"/>
                <w:lang w:val="es-DO" w:eastAsia="es-DO"/>
              </w:rPr>
              <w:t>Expansión del Sistema Nacional de Compras y Contrataciones Públicas (SNCCP) a 100 ayuntamientos y distritos municipales</w:t>
            </w:r>
          </w:p>
        </w:tc>
        <w:tc>
          <w:tcPr>
            <w:tcW w:w="3436" w:type="dxa"/>
            <w:tcBorders>
              <w:top w:val="nil"/>
              <w:left w:val="nil"/>
              <w:bottom w:val="single" w:sz="4" w:space="0" w:color="002060"/>
              <w:right w:val="single" w:sz="4" w:space="0" w:color="002060"/>
            </w:tcBorders>
            <w:shd w:val="clear" w:color="auto" w:fill="auto"/>
            <w:vAlign w:val="center"/>
            <w:hideMark/>
          </w:tcPr>
          <w:p w:rsidR="008346B0" w:rsidRPr="007E33DC" w:rsidRDefault="008346B0" w:rsidP="008346B0">
            <w:pPr>
              <w:keepNext w:val="0"/>
              <w:keepLines w:val="0"/>
              <w:spacing w:before="0" w:line="240" w:lineRule="auto"/>
              <w:ind w:firstLine="0"/>
              <w:outlineLvl w:val="9"/>
              <w:rPr>
                <w:rFonts w:ascii="Calibri Light" w:eastAsia="Times New Roman" w:hAnsi="Calibri Light" w:cs="Calibri Light"/>
                <w:color w:val="auto"/>
                <w:sz w:val="16"/>
                <w:szCs w:val="16"/>
                <w:lang w:val="es-DO" w:eastAsia="es-DO"/>
              </w:rPr>
            </w:pPr>
            <w:r>
              <w:rPr>
                <w:rFonts w:ascii="Calibri Light" w:eastAsia="Times New Roman" w:hAnsi="Calibri Light" w:cs="Calibri Light"/>
                <w:color w:val="auto"/>
                <w:sz w:val="16"/>
                <w:szCs w:val="16"/>
                <w:lang w:val="es-DO" w:eastAsia="es-DO"/>
              </w:rPr>
              <w:t>N</w:t>
            </w:r>
            <w:r w:rsidRPr="007E33DC">
              <w:rPr>
                <w:rFonts w:ascii="Calibri Light" w:eastAsia="Times New Roman" w:hAnsi="Calibri Light" w:cs="Calibri Light"/>
                <w:color w:val="auto"/>
                <w:sz w:val="16"/>
                <w:szCs w:val="16"/>
                <w:lang w:val="es-DO" w:eastAsia="es-DO"/>
              </w:rPr>
              <w:t>uevas instituciones y gobiernos locales ingresaron al Portal Transaccional durante el 2019.</w:t>
            </w:r>
          </w:p>
        </w:tc>
        <w:tc>
          <w:tcPr>
            <w:tcW w:w="1976" w:type="dxa"/>
            <w:tcBorders>
              <w:top w:val="nil"/>
              <w:left w:val="nil"/>
              <w:bottom w:val="single" w:sz="4" w:space="0" w:color="002060"/>
              <w:right w:val="single" w:sz="4" w:space="0" w:color="002060"/>
            </w:tcBorders>
            <w:shd w:val="clear" w:color="auto" w:fill="auto"/>
            <w:noWrap/>
            <w:vAlign w:val="center"/>
            <w:hideMark/>
          </w:tcPr>
          <w:p w:rsidR="008346B0" w:rsidRPr="007E33DC" w:rsidRDefault="008346B0" w:rsidP="008346B0">
            <w:pPr>
              <w:keepNext w:val="0"/>
              <w:keepLines w:val="0"/>
              <w:spacing w:before="0" w:line="240" w:lineRule="auto"/>
              <w:ind w:firstLine="0"/>
              <w:jc w:val="center"/>
              <w:outlineLvl w:val="9"/>
              <w:rPr>
                <w:rFonts w:ascii="Calibri Light" w:eastAsia="Times New Roman" w:hAnsi="Calibri Light" w:cs="Calibri Light"/>
                <w:color w:val="auto"/>
                <w:sz w:val="16"/>
                <w:szCs w:val="16"/>
                <w:lang w:val="es-DO" w:eastAsia="es-DO"/>
              </w:rPr>
            </w:pPr>
            <w:r w:rsidRPr="007E33DC">
              <w:rPr>
                <w:rFonts w:ascii="Calibri Light" w:eastAsia="Times New Roman" w:hAnsi="Calibri Light" w:cs="Calibri Light"/>
                <w:color w:val="auto"/>
                <w:sz w:val="16"/>
                <w:szCs w:val="16"/>
                <w:lang w:val="es-DO" w:eastAsia="es-DO"/>
              </w:rPr>
              <w:t>16</w:t>
            </w:r>
          </w:p>
        </w:tc>
      </w:tr>
      <w:tr w:rsidR="008346B0" w:rsidRPr="007E33DC" w:rsidTr="008346B0">
        <w:trPr>
          <w:trHeight w:val="900"/>
        </w:trPr>
        <w:tc>
          <w:tcPr>
            <w:tcW w:w="720" w:type="dxa"/>
            <w:tcBorders>
              <w:top w:val="nil"/>
              <w:left w:val="single" w:sz="4" w:space="0" w:color="002060"/>
              <w:bottom w:val="single" w:sz="4" w:space="0" w:color="002060"/>
              <w:right w:val="single" w:sz="4" w:space="0" w:color="002060"/>
            </w:tcBorders>
            <w:shd w:val="clear" w:color="auto" w:fill="auto"/>
            <w:noWrap/>
            <w:vAlign w:val="center"/>
            <w:hideMark/>
          </w:tcPr>
          <w:p w:rsidR="008346B0" w:rsidRPr="007E33DC" w:rsidRDefault="008346B0" w:rsidP="008346B0">
            <w:pPr>
              <w:keepNext w:val="0"/>
              <w:keepLines w:val="0"/>
              <w:spacing w:before="0" w:line="240" w:lineRule="auto"/>
              <w:ind w:firstLine="0"/>
              <w:jc w:val="center"/>
              <w:outlineLvl w:val="9"/>
              <w:rPr>
                <w:rFonts w:ascii="Calibri Light" w:eastAsia="Times New Roman" w:hAnsi="Calibri Light" w:cs="Calibri Light"/>
                <w:color w:val="auto"/>
                <w:sz w:val="16"/>
                <w:szCs w:val="16"/>
                <w:lang w:val="es-DO" w:eastAsia="es-DO"/>
              </w:rPr>
            </w:pPr>
            <w:r w:rsidRPr="007E33DC">
              <w:rPr>
                <w:rFonts w:ascii="Calibri Light" w:eastAsia="Times New Roman" w:hAnsi="Calibri Light" w:cs="Calibri Light"/>
                <w:color w:val="auto"/>
                <w:sz w:val="16"/>
                <w:szCs w:val="16"/>
                <w:lang w:val="es-DO" w:eastAsia="es-DO"/>
              </w:rPr>
              <w:t>3</w:t>
            </w:r>
          </w:p>
        </w:tc>
        <w:tc>
          <w:tcPr>
            <w:tcW w:w="4516" w:type="dxa"/>
            <w:tcBorders>
              <w:top w:val="nil"/>
              <w:left w:val="nil"/>
              <w:bottom w:val="single" w:sz="4" w:space="0" w:color="002060"/>
              <w:right w:val="single" w:sz="4" w:space="0" w:color="002060"/>
            </w:tcBorders>
            <w:shd w:val="clear" w:color="auto" w:fill="auto"/>
            <w:vAlign w:val="center"/>
            <w:hideMark/>
          </w:tcPr>
          <w:p w:rsidR="008346B0" w:rsidRPr="007E33DC" w:rsidRDefault="008346B0" w:rsidP="008346B0">
            <w:pPr>
              <w:keepNext w:val="0"/>
              <w:keepLines w:val="0"/>
              <w:spacing w:before="0" w:line="240" w:lineRule="auto"/>
              <w:ind w:firstLine="0"/>
              <w:outlineLvl w:val="9"/>
              <w:rPr>
                <w:rFonts w:ascii="Calibri Light" w:eastAsia="Times New Roman" w:hAnsi="Calibri Light" w:cs="Calibri Light"/>
                <w:color w:val="auto"/>
                <w:sz w:val="16"/>
                <w:szCs w:val="16"/>
                <w:lang w:val="es-DO" w:eastAsia="es-DO"/>
              </w:rPr>
            </w:pPr>
            <w:r w:rsidRPr="007E33DC">
              <w:rPr>
                <w:rFonts w:ascii="Calibri Light" w:eastAsia="Times New Roman" w:hAnsi="Calibri Light" w:cs="Calibri Light"/>
                <w:color w:val="auto"/>
                <w:sz w:val="16"/>
                <w:szCs w:val="16"/>
                <w:lang w:val="es-DO" w:eastAsia="es-DO"/>
              </w:rPr>
              <w:t>Propuesta de modificación de la Ley de Compras y Contrataciones</w:t>
            </w:r>
          </w:p>
        </w:tc>
        <w:tc>
          <w:tcPr>
            <w:tcW w:w="3436" w:type="dxa"/>
            <w:tcBorders>
              <w:top w:val="nil"/>
              <w:left w:val="nil"/>
              <w:bottom w:val="single" w:sz="4" w:space="0" w:color="002060"/>
              <w:right w:val="single" w:sz="4" w:space="0" w:color="002060"/>
            </w:tcBorders>
            <w:shd w:val="clear" w:color="auto" w:fill="auto"/>
            <w:vAlign w:val="center"/>
            <w:hideMark/>
          </w:tcPr>
          <w:p w:rsidR="008346B0" w:rsidRPr="007E33DC" w:rsidRDefault="008346B0" w:rsidP="008346B0">
            <w:pPr>
              <w:keepNext w:val="0"/>
              <w:keepLines w:val="0"/>
              <w:spacing w:before="0" w:line="240" w:lineRule="auto"/>
              <w:ind w:firstLine="0"/>
              <w:outlineLvl w:val="9"/>
              <w:rPr>
                <w:rFonts w:ascii="Calibri Light" w:eastAsia="Times New Roman" w:hAnsi="Calibri Light" w:cs="Calibri Light"/>
                <w:color w:val="auto"/>
                <w:sz w:val="16"/>
                <w:szCs w:val="16"/>
                <w:lang w:val="es-DO" w:eastAsia="es-DO"/>
              </w:rPr>
            </w:pPr>
            <w:r>
              <w:rPr>
                <w:rFonts w:ascii="Calibri Light" w:eastAsia="Times New Roman" w:hAnsi="Calibri Light" w:cs="Calibri Light"/>
                <w:color w:val="auto"/>
                <w:sz w:val="16"/>
                <w:szCs w:val="16"/>
                <w:lang w:val="es-DO" w:eastAsia="es-DO"/>
              </w:rPr>
              <w:t>A</w:t>
            </w:r>
            <w:r w:rsidRPr="007E33DC">
              <w:rPr>
                <w:rFonts w:ascii="Calibri Light" w:eastAsia="Times New Roman" w:hAnsi="Calibri Light" w:cs="Calibri Light"/>
                <w:color w:val="auto"/>
                <w:sz w:val="16"/>
                <w:szCs w:val="16"/>
                <w:lang w:val="es-DO" w:eastAsia="es-DO"/>
              </w:rPr>
              <w:t>vance en la elaboración, aprobación y promulgación del proyecto de Ley sobre las compras y contrataciones públicas y sus reglamentos.</w:t>
            </w:r>
          </w:p>
        </w:tc>
        <w:tc>
          <w:tcPr>
            <w:tcW w:w="1976" w:type="dxa"/>
            <w:tcBorders>
              <w:top w:val="nil"/>
              <w:left w:val="nil"/>
              <w:bottom w:val="single" w:sz="4" w:space="0" w:color="002060"/>
              <w:right w:val="single" w:sz="4" w:space="0" w:color="002060"/>
            </w:tcBorders>
            <w:shd w:val="clear" w:color="auto" w:fill="auto"/>
            <w:noWrap/>
            <w:vAlign w:val="center"/>
            <w:hideMark/>
          </w:tcPr>
          <w:p w:rsidR="008346B0" w:rsidRPr="007E33DC" w:rsidRDefault="008346B0" w:rsidP="008346B0">
            <w:pPr>
              <w:keepNext w:val="0"/>
              <w:keepLines w:val="0"/>
              <w:spacing w:before="0" w:line="240" w:lineRule="auto"/>
              <w:ind w:firstLine="0"/>
              <w:jc w:val="center"/>
              <w:outlineLvl w:val="9"/>
              <w:rPr>
                <w:rFonts w:ascii="Calibri Light" w:eastAsia="Times New Roman" w:hAnsi="Calibri Light" w:cs="Calibri Light"/>
                <w:color w:val="auto"/>
                <w:sz w:val="16"/>
                <w:szCs w:val="16"/>
                <w:lang w:val="es-DO" w:eastAsia="es-DO"/>
              </w:rPr>
            </w:pPr>
            <w:r w:rsidRPr="007E33DC">
              <w:rPr>
                <w:rFonts w:ascii="Calibri Light" w:eastAsia="Times New Roman" w:hAnsi="Calibri Light" w:cs="Calibri Light"/>
                <w:color w:val="auto"/>
                <w:sz w:val="16"/>
                <w:szCs w:val="16"/>
                <w:lang w:val="es-DO" w:eastAsia="es-DO"/>
              </w:rPr>
              <w:t>100%</w:t>
            </w:r>
          </w:p>
        </w:tc>
      </w:tr>
    </w:tbl>
    <w:p w:rsidR="009970BC" w:rsidRPr="0037264B" w:rsidRDefault="009970BC" w:rsidP="0097202A">
      <w:pPr>
        <w:rPr>
          <w:rFonts w:asciiTheme="majorHAnsi" w:hAnsiTheme="majorHAnsi" w:cstheme="majorHAnsi"/>
          <w:color w:val="1F4E79" w:themeColor="accent1" w:themeShade="80"/>
        </w:rPr>
      </w:pPr>
      <w:r w:rsidRPr="0037264B">
        <w:rPr>
          <w:rFonts w:asciiTheme="majorHAnsi" w:hAnsiTheme="majorHAnsi" w:cstheme="majorHAnsi"/>
          <w:color w:val="1F4E79" w:themeColor="accent1" w:themeShade="80"/>
        </w:rPr>
        <w:t>Plan Nacional Plurianual del Sector Público (PNPSP)</w:t>
      </w:r>
    </w:p>
    <w:p w:rsidR="000B6841" w:rsidRDefault="00E469CA" w:rsidP="00731AA9">
      <w:pPr>
        <w:pStyle w:val="Textoindependiente"/>
      </w:pPr>
      <w:r w:rsidRPr="00E469CA">
        <w:t xml:space="preserve">Los resultados esperados </w:t>
      </w:r>
      <w:r>
        <w:t xml:space="preserve">de estas metas </w:t>
      </w:r>
      <w:r w:rsidR="009C26A1">
        <w:t xml:space="preserve">Presidenciales </w:t>
      </w:r>
      <w:r w:rsidRPr="00E469CA">
        <w:t>generan productos intermedios y finales que son contemplados en el Plan Nacional Plurianua</w:t>
      </w:r>
      <w:r>
        <w:t>l del Sector Público (PNPSP). P</w:t>
      </w:r>
      <w:r w:rsidRPr="00E469CA">
        <w:t>resenta</w:t>
      </w:r>
      <w:r>
        <w:t>mos</w:t>
      </w:r>
      <w:r w:rsidRPr="00E469CA">
        <w:t>, a continuación, los productos e indicadores de cumplimiento correspondientes, los cuales están incluidos en el Plan Nacional Plurianual del Sector Público (PNPSP) para el período actual:</w:t>
      </w:r>
    </w:p>
    <w:p w:rsidR="00C8160D" w:rsidRDefault="00C8160D" w:rsidP="008346B0">
      <w:pPr>
        <w:tabs>
          <w:tab w:val="left" w:pos="2291"/>
        </w:tabs>
        <w:ind w:firstLine="0"/>
        <w:rPr>
          <w:rFonts w:asciiTheme="minorHAnsi" w:eastAsiaTheme="minorHAnsi" w:hAnsiTheme="minorHAnsi" w:cstheme="minorBidi"/>
          <w:color w:val="auto"/>
          <w:sz w:val="22"/>
          <w:szCs w:val="22"/>
          <w:lang w:val="es-DO"/>
        </w:rPr>
      </w:pPr>
      <w:r>
        <w:fldChar w:fldCharType="begin"/>
      </w:r>
      <w:r>
        <w:instrText xml:space="preserve"> LINK </w:instrText>
      </w:r>
      <w:r w:rsidR="00D940BE">
        <w:instrText xml:space="preserve">Excel.Sheet.8 "C:\\Users\\caquino\\Documents\\PyD DGCP\\Memoria2019\\Areas\\Actualizacion PNPSP 2018-2023 (V 2019) 19.06.19.xls" TablaMemoria2019!F2C1:F8C10 </w:instrText>
      </w:r>
      <w:r>
        <w:instrText xml:space="preserve">\a \f 4 \h  \* MERGEFORMAT </w:instrText>
      </w:r>
      <w:r>
        <w:fldChar w:fldCharType="separate"/>
      </w:r>
    </w:p>
    <w:tbl>
      <w:tblPr>
        <w:tblW w:w="11299" w:type="dxa"/>
        <w:tblInd w:w="-709" w:type="dxa"/>
        <w:tblCellMar>
          <w:left w:w="70" w:type="dxa"/>
          <w:right w:w="70" w:type="dxa"/>
        </w:tblCellMar>
        <w:tblLook w:val="04A0" w:firstRow="1" w:lastRow="0" w:firstColumn="1" w:lastColumn="0" w:noHBand="0" w:noVBand="1"/>
      </w:tblPr>
      <w:tblGrid>
        <w:gridCol w:w="480"/>
        <w:gridCol w:w="2072"/>
        <w:gridCol w:w="2126"/>
        <w:gridCol w:w="1022"/>
        <w:gridCol w:w="585"/>
        <w:gridCol w:w="585"/>
        <w:gridCol w:w="585"/>
        <w:gridCol w:w="585"/>
        <w:gridCol w:w="607"/>
        <w:gridCol w:w="585"/>
        <w:gridCol w:w="136"/>
        <w:gridCol w:w="160"/>
        <w:gridCol w:w="1096"/>
        <w:gridCol w:w="195"/>
        <w:gridCol w:w="160"/>
        <w:gridCol w:w="160"/>
        <w:gridCol w:w="160"/>
      </w:tblGrid>
      <w:tr w:rsidR="00C8160D" w:rsidRPr="00C8160D" w:rsidTr="008346B0">
        <w:trPr>
          <w:trHeight w:val="540"/>
        </w:trPr>
        <w:tc>
          <w:tcPr>
            <w:tcW w:w="480" w:type="dxa"/>
            <w:tcBorders>
              <w:top w:val="nil"/>
              <w:left w:val="nil"/>
              <w:bottom w:val="nil"/>
              <w:right w:val="nil"/>
            </w:tcBorders>
            <w:shd w:val="clear" w:color="auto" w:fill="auto"/>
            <w:noWrap/>
            <w:vAlign w:val="bottom"/>
            <w:hideMark/>
          </w:tcPr>
          <w:p w:rsidR="00C8160D" w:rsidRPr="00C8160D" w:rsidRDefault="00C8160D" w:rsidP="00C8160D">
            <w:pPr>
              <w:keepNext w:val="0"/>
              <w:keepLines w:val="0"/>
              <w:spacing w:before="0" w:line="240" w:lineRule="auto"/>
              <w:ind w:firstLine="0"/>
              <w:jc w:val="left"/>
              <w:outlineLvl w:val="9"/>
              <w:rPr>
                <w:rFonts w:eastAsia="Times New Roman"/>
                <w:color w:val="auto"/>
                <w:lang w:val="es-DO" w:eastAsia="es-DO"/>
              </w:rPr>
            </w:pPr>
          </w:p>
        </w:tc>
        <w:tc>
          <w:tcPr>
            <w:tcW w:w="2072" w:type="dxa"/>
            <w:tcBorders>
              <w:top w:val="nil"/>
              <w:left w:val="nil"/>
              <w:bottom w:val="nil"/>
              <w:right w:val="nil"/>
            </w:tcBorders>
            <w:shd w:val="clear" w:color="000000" w:fill="C5D9F1"/>
            <w:noWrap/>
            <w:vAlign w:val="center"/>
            <w:hideMark/>
          </w:tcPr>
          <w:p w:rsidR="00C8160D" w:rsidRPr="00C8160D" w:rsidRDefault="00C8160D" w:rsidP="00C8160D">
            <w:pPr>
              <w:keepNext w:val="0"/>
              <w:keepLines w:val="0"/>
              <w:spacing w:before="0" w:line="240" w:lineRule="auto"/>
              <w:ind w:firstLine="0"/>
              <w:jc w:val="center"/>
              <w:outlineLvl w:val="9"/>
              <w:rPr>
                <w:rFonts w:ascii="Calibri Light" w:eastAsia="Times New Roman" w:hAnsi="Calibri Light" w:cs="Calibri Light"/>
                <w:b/>
                <w:bCs/>
                <w:color w:val="auto"/>
                <w:sz w:val="16"/>
                <w:szCs w:val="16"/>
                <w:lang w:val="es-DO" w:eastAsia="es-DO"/>
              </w:rPr>
            </w:pPr>
            <w:r w:rsidRPr="00C8160D">
              <w:rPr>
                <w:rFonts w:ascii="Calibri Light" w:eastAsia="Times New Roman" w:hAnsi="Calibri Light" w:cs="Calibri Light"/>
                <w:b/>
                <w:bCs/>
                <w:color w:val="auto"/>
                <w:sz w:val="16"/>
                <w:szCs w:val="16"/>
                <w:lang w:val="es-DO" w:eastAsia="es-DO"/>
              </w:rPr>
              <w:t>Institución:</w:t>
            </w:r>
          </w:p>
        </w:tc>
        <w:tc>
          <w:tcPr>
            <w:tcW w:w="6816" w:type="dxa"/>
            <w:gridSpan w:val="9"/>
            <w:tcBorders>
              <w:top w:val="nil"/>
              <w:left w:val="nil"/>
              <w:bottom w:val="nil"/>
              <w:right w:val="nil"/>
            </w:tcBorders>
            <w:shd w:val="clear" w:color="auto" w:fill="auto"/>
            <w:vAlign w:val="center"/>
            <w:hideMark/>
          </w:tcPr>
          <w:p w:rsidR="00C8160D" w:rsidRPr="00C8160D" w:rsidRDefault="00C8160D" w:rsidP="00C8160D">
            <w:pPr>
              <w:keepNext w:val="0"/>
              <w:keepLines w:val="0"/>
              <w:spacing w:before="0" w:line="240" w:lineRule="auto"/>
              <w:ind w:firstLine="0"/>
              <w:jc w:val="center"/>
              <w:outlineLvl w:val="9"/>
              <w:rPr>
                <w:rFonts w:ascii="Calibri Light" w:eastAsia="Times New Roman" w:hAnsi="Calibri Light" w:cs="Calibri Light"/>
                <w:b/>
                <w:bCs/>
                <w:color w:val="auto"/>
                <w:sz w:val="16"/>
                <w:szCs w:val="16"/>
                <w:lang w:val="es-DO" w:eastAsia="es-DO"/>
              </w:rPr>
            </w:pPr>
            <w:r w:rsidRPr="00C8160D">
              <w:rPr>
                <w:rFonts w:ascii="Calibri Light" w:eastAsia="Times New Roman" w:hAnsi="Calibri Light" w:cs="Calibri Light"/>
                <w:b/>
                <w:bCs/>
                <w:color w:val="auto"/>
                <w:sz w:val="16"/>
                <w:szCs w:val="16"/>
                <w:lang w:val="es-DO" w:eastAsia="es-DO"/>
              </w:rPr>
              <w:t>DIRECCIÓN GENERAL DE CONTRATACIONES PÚBLICAS</w:t>
            </w:r>
            <w:r w:rsidRPr="00C8160D">
              <w:rPr>
                <w:rFonts w:ascii="Calibri Light" w:eastAsia="Times New Roman" w:hAnsi="Calibri Light" w:cs="Calibri Light"/>
                <w:b/>
                <w:bCs/>
                <w:color w:val="auto"/>
                <w:sz w:val="16"/>
                <w:szCs w:val="16"/>
                <w:lang w:val="es-DO" w:eastAsia="es-DO"/>
              </w:rPr>
              <w:br/>
              <w:t>MINISTERIO DE HACIENDA</w:t>
            </w:r>
          </w:p>
        </w:tc>
        <w:tc>
          <w:tcPr>
            <w:tcW w:w="160" w:type="dxa"/>
            <w:tcBorders>
              <w:top w:val="nil"/>
              <w:left w:val="nil"/>
              <w:bottom w:val="nil"/>
              <w:right w:val="nil"/>
            </w:tcBorders>
            <w:shd w:val="clear" w:color="auto" w:fill="auto"/>
            <w:noWrap/>
            <w:vAlign w:val="bottom"/>
            <w:hideMark/>
          </w:tcPr>
          <w:p w:rsidR="00C8160D" w:rsidRPr="00C8160D" w:rsidRDefault="00C8160D" w:rsidP="00C8160D">
            <w:pPr>
              <w:keepNext w:val="0"/>
              <w:keepLines w:val="0"/>
              <w:spacing w:before="0" w:line="240" w:lineRule="auto"/>
              <w:ind w:firstLine="0"/>
              <w:jc w:val="center"/>
              <w:outlineLvl w:val="9"/>
              <w:rPr>
                <w:rFonts w:ascii="Calibri Light" w:eastAsia="Times New Roman" w:hAnsi="Calibri Light" w:cs="Calibri Light"/>
                <w:b/>
                <w:bCs/>
                <w:color w:val="auto"/>
                <w:sz w:val="16"/>
                <w:szCs w:val="16"/>
                <w:lang w:val="es-DO" w:eastAsia="es-DO"/>
              </w:rPr>
            </w:pPr>
          </w:p>
        </w:tc>
        <w:tc>
          <w:tcPr>
            <w:tcW w:w="1096" w:type="dxa"/>
            <w:tcBorders>
              <w:top w:val="nil"/>
              <w:left w:val="nil"/>
              <w:bottom w:val="nil"/>
              <w:right w:val="nil"/>
            </w:tcBorders>
            <w:shd w:val="clear" w:color="auto" w:fill="auto"/>
            <w:noWrap/>
            <w:vAlign w:val="bottom"/>
            <w:hideMark/>
          </w:tcPr>
          <w:p w:rsidR="00C8160D" w:rsidRPr="00C8160D" w:rsidRDefault="00C8160D" w:rsidP="00C8160D">
            <w:pPr>
              <w:keepNext w:val="0"/>
              <w:keepLines w:val="0"/>
              <w:spacing w:before="0" w:line="240" w:lineRule="auto"/>
              <w:ind w:firstLine="0"/>
              <w:jc w:val="left"/>
              <w:outlineLvl w:val="9"/>
              <w:rPr>
                <w:rFonts w:eastAsia="Times New Roman"/>
                <w:color w:val="auto"/>
                <w:sz w:val="20"/>
                <w:szCs w:val="20"/>
                <w:lang w:val="es-DO" w:eastAsia="es-DO"/>
              </w:rPr>
            </w:pPr>
          </w:p>
        </w:tc>
        <w:tc>
          <w:tcPr>
            <w:tcW w:w="195" w:type="dxa"/>
            <w:tcBorders>
              <w:top w:val="nil"/>
              <w:left w:val="nil"/>
              <w:bottom w:val="nil"/>
              <w:right w:val="nil"/>
            </w:tcBorders>
            <w:shd w:val="clear" w:color="auto" w:fill="auto"/>
            <w:noWrap/>
            <w:vAlign w:val="bottom"/>
            <w:hideMark/>
          </w:tcPr>
          <w:p w:rsidR="00C8160D" w:rsidRPr="00C8160D" w:rsidRDefault="00C8160D" w:rsidP="00C8160D">
            <w:pPr>
              <w:keepNext w:val="0"/>
              <w:keepLines w:val="0"/>
              <w:spacing w:before="0" w:line="240" w:lineRule="auto"/>
              <w:ind w:firstLine="0"/>
              <w:jc w:val="left"/>
              <w:outlineLvl w:val="9"/>
              <w:rPr>
                <w:rFonts w:eastAsia="Times New Roman"/>
                <w:color w:val="auto"/>
                <w:sz w:val="20"/>
                <w:szCs w:val="20"/>
                <w:lang w:val="es-DO" w:eastAsia="es-DO"/>
              </w:rPr>
            </w:pPr>
          </w:p>
        </w:tc>
        <w:tc>
          <w:tcPr>
            <w:tcW w:w="160" w:type="dxa"/>
            <w:tcBorders>
              <w:top w:val="nil"/>
              <w:left w:val="nil"/>
              <w:bottom w:val="nil"/>
              <w:right w:val="nil"/>
            </w:tcBorders>
            <w:shd w:val="clear" w:color="auto" w:fill="auto"/>
            <w:noWrap/>
            <w:vAlign w:val="bottom"/>
            <w:hideMark/>
          </w:tcPr>
          <w:p w:rsidR="00C8160D" w:rsidRPr="00C8160D" w:rsidRDefault="00C8160D" w:rsidP="00C8160D">
            <w:pPr>
              <w:keepNext w:val="0"/>
              <w:keepLines w:val="0"/>
              <w:spacing w:before="0" w:line="240" w:lineRule="auto"/>
              <w:ind w:firstLine="0"/>
              <w:jc w:val="left"/>
              <w:outlineLvl w:val="9"/>
              <w:rPr>
                <w:rFonts w:eastAsia="Times New Roman"/>
                <w:color w:val="auto"/>
                <w:sz w:val="20"/>
                <w:szCs w:val="20"/>
                <w:lang w:val="es-DO" w:eastAsia="es-DO"/>
              </w:rPr>
            </w:pPr>
          </w:p>
        </w:tc>
        <w:tc>
          <w:tcPr>
            <w:tcW w:w="160" w:type="dxa"/>
            <w:tcBorders>
              <w:top w:val="nil"/>
              <w:left w:val="nil"/>
              <w:bottom w:val="nil"/>
              <w:right w:val="nil"/>
            </w:tcBorders>
            <w:shd w:val="clear" w:color="auto" w:fill="auto"/>
            <w:noWrap/>
            <w:vAlign w:val="bottom"/>
            <w:hideMark/>
          </w:tcPr>
          <w:p w:rsidR="00C8160D" w:rsidRPr="00C8160D" w:rsidRDefault="00C8160D" w:rsidP="00C8160D">
            <w:pPr>
              <w:keepNext w:val="0"/>
              <w:keepLines w:val="0"/>
              <w:spacing w:before="0" w:line="240" w:lineRule="auto"/>
              <w:ind w:firstLine="0"/>
              <w:jc w:val="left"/>
              <w:outlineLvl w:val="9"/>
              <w:rPr>
                <w:rFonts w:eastAsia="Times New Roman"/>
                <w:color w:val="auto"/>
                <w:sz w:val="20"/>
                <w:szCs w:val="20"/>
                <w:lang w:val="es-DO" w:eastAsia="es-DO"/>
              </w:rPr>
            </w:pPr>
          </w:p>
        </w:tc>
        <w:tc>
          <w:tcPr>
            <w:tcW w:w="160" w:type="dxa"/>
            <w:tcBorders>
              <w:top w:val="nil"/>
              <w:left w:val="nil"/>
              <w:bottom w:val="nil"/>
              <w:right w:val="nil"/>
            </w:tcBorders>
            <w:shd w:val="clear" w:color="auto" w:fill="auto"/>
            <w:noWrap/>
            <w:vAlign w:val="bottom"/>
            <w:hideMark/>
          </w:tcPr>
          <w:p w:rsidR="00C8160D" w:rsidRPr="00C8160D" w:rsidRDefault="00C8160D" w:rsidP="00C8160D">
            <w:pPr>
              <w:keepNext w:val="0"/>
              <w:keepLines w:val="0"/>
              <w:spacing w:before="0" w:line="240" w:lineRule="auto"/>
              <w:ind w:firstLine="0"/>
              <w:jc w:val="left"/>
              <w:outlineLvl w:val="9"/>
              <w:rPr>
                <w:rFonts w:eastAsia="Times New Roman"/>
                <w:color w:val="auto"/>
                <w:sz w:val="20"/>
                <w:szCs w:val="20"/>
                <w:lang w:val="es-DO" w:eastAsia="es-DO"/>
              </w:rPr>
            </w:pPr>
          </w:p>
        </w:tc>
      </w:tr>
      <w:tr w:rsidR="00C8160D" w:rsidRPr="00C8160D" w:rsidTr="008346B0">
        <w:trPr>
          <w:gridAfter w:val="5"/>
          <w:wAfter w:w="1771" w:type="dxa"/>
          <w:trHeight w:val="300"/>
        </w:trPr>
        <w:tc>
          <w:tcPr>
            <w:tcW w:w="480" w:type="dxa"/>
            <w:tcBorders>
              <w:top w:val="nil"/>
              <w:left w:val="nil"/>
              <w:bottom w:val="nil"/>
              <w:right w:val="nil"/>
            </w:tcBorders>
            <w:shd w:val="clear" w:color="auto" w:fill="auto"/>
            <w:noWrap/>
            <w:vAlign w:val="bottom"/>
            <w:hideMark/>
          </w:tcPr>
          <w:p w:rsidR="00C8160D" w:rsidRPr="00C8160D" w:rsidRDefault="00C8160D" w:rsidP="00C8160D">
            <w:pPr>
              <w:keepNext w:val="0"/>
              <w:keepLines w:val="0"/>
              <w:spacing w:before="0" w:line="240" w:lineRule="auto"/>
              <w:ind w:firstLine="0"/>
              <w:jc w:val="left"/>
              <w:outlineLvl w:val="9"/>
              <w:rPr>
                <w:rFonts w:eastAsia="Times New Roman"/>
                <w:color w:val="auto"/>
                <w:sz w:val="20"/>
                <w:szCs w:val="20"/>
                <w:lang w:val="es-DO" w:eastAsia="es-DO"/>
              </w:rPr>
            </w:pPr>
          </w:p>
        </w:tc>
        <w:tc>
          <w:tcPr>
            <w:tcW w:w="2072" w:type="dxa"/>
            <w:tcBorders>
              <w:top w:val="nil"/>
              <w:left w:val="nil"/>
              <w:bottom w:val="nil"/>
              <w:right w:val="nil"/>
            </w:tcBorders>
            <w:shd w:val="clear" w:color="auto" w:fill="auto"/>
            <w:noWrap/>
            <w:vAlign w:val="bottom"/>
            <w:hideMark/>
          </w:tcPr>
          <w:p w:rsidR="00C8160D" w:rsidRPr="00C8160D" w:rsidRDefault="00C8160D" w:rsidP="00C8160D">
            <w:pPr>
              <w:keepNext w:val="0"/>
              <w:keepLines w:val="0"/>
              <w:spacing w:before="0" w:line="240" w:lineRule="auto"/>
              <w:ind w:firstLine="0"/>
              <w:jc w:val="left"/>
              <w:outlineLvl w:val="9"/>
              <w:rPr>
                <w:rFonts w:eastAsia="Times New Roman"/>
                <w:color w:val="auto"/>
                <w:sz w:val="20"/>
                <w:szCs w:val="20"/>
                <w:lang w:val="es-DO" w:eastAsia="es-DO"/>
              </w:rPr>
            </w:pPr>
          </w:p>
        </w:tc>
        <w:tc>
          <w:tcPr>
            <w:tcW w:w="2126" w:type="dxa"/>
            <w:tcBorders>
              <w:top w:val="nil"/>
              <w:left w:val="nil"/>
              <w:bottom w:val="nil"/>
              <w:right w:val="nil"/>
            </w:tcBorders>
            <w:shd w:val="clear" w:color="auto" w:fill="auto"/>
            <w:noWrap/>
            <w:vAlign w:val="center"/>
            <w:hideMark/>
          </w:tcPr>
          <w:p w:rsidR="00C8160D" w:rsidRPr="00C8160D" w:rsidRDefault="00C8160D" w:rsidP="00C8160D">
            <w:pPr>
              <w:keepNext w:val="0"/>
              <w:keepLines w:val="0"/>
              <w:spacing w:before="0" w:line="240" w:lineRule="auto"/>
              <w:ind w:firstLine="0"/>
              <w:jc w:val="left"/>
              <w:outlineLvl w:val="9"/>
              <w:rPr>
                <w:rFonts w:eastAsia="Times New Roman"/>
                <w:color w:val="auto"/>
                <w:sz w:val="20"/>
                <w:szCs w:val="20"/>
                <w:lang w:val="es-DO" w:eastAsia="es-DO"/>
              </w:rPr>
            </w:pPr>
          </w:p>
        </w:tc>
        <w:tc>
          <w:tcPr>
            <w:tcW w:w="1022" w:type="dxa"/>
            <w:tcBorders>
              <w:top w:val="nil"/>
              <w:left w:val="nil"/>
              <w:bottom w:val="nil"/>
              <w:right w:val="nil"/>
            </w:tcBorders>
            <w:shd w:val="clear" w:color="auto" w:fill="auto"/>
            <w:noWrap/>
            <w:vAlign w:val="bottom"/>
            <w:hideMark/>
          </w:tcPr>
          <w:p w:rsidR="00C8160D" w:rsidRPr="00C8160D" w:rsidRDefault="00C8160D" w:rsidP="00C8160D">
            <w:pPr>
              <w:keepNext w:val="0"/>
              <w:keepLines w:val="0"/>
              <w:spacing w:before="0" w:line="240" w:lineRule="auto"/>
              <w:ind w:firstLine="0"/>
              <w:outlineLvl w:val="9"/>
              <w:rPr>
                <w:rFonts w:eastAsia="Times New Roman"/>
                <w:color w:val="auto"/>
                <w:sz w:val="20"/>
                <w:szCs w:val="20"/>
                <w:lang w:val="es-DO" w:eastAsia="es-DO"/>
              </w:rPr>
            </w:pPr>
          </w:p>
        </w:tc>
        <w:tc>
          <w:tcPr>
            <w:tcW w:w="585" w:type="dxa"/>
            <w:tcBorders>
              <w:top w:val="nil"/>
              <w:left w:val="nil"/>
              <w:bottom w:val="nil"/>
              <w:right w:val="nil"/>
            </w:tcBorders>
            <w:shd w:val="clear" w:color="auto" w:fill="auto"/>
            <w:noWrap/>
            <w:vAlign w:val="bottom"/>
            <w:hideMark/>
          </w:tcPr>
          <w:p w:rsidR="00C8160D" w:rsidRPr="00C8160D" w:rsidRDefault="00C8160D" w:rsidP="00C8160D">
            <w:pPr>
              <w:keepNext w:val="0"/>
              <w:keepLines w:val="0"/>
              <w:spacing w:before="0" w:line="240" w:lineRule="auto"/>
              <w:ind w:firstLine="0"/>
              <w:jc w:val="left"/>
              <w:outlineLvl w:val="9"/>
              <w:rPr>
                <w:rFonts w:eastAsia="Times New Roman"/>
                <w:color w:val="auto"/>
                <w:sz w:val="20"/>
                <w:szCs w:val="20"/>
                <w:lang w:val="es-DO" w:eastAsia="es-DO"/>
              </w:rPr>
            </w:pPr>
          </w:p>
        </w:tc>
        <w:tc>
          <w:tcPr>
            <w:tcW w:w="585" w:type="dxa"/>
            <w:tcBorders>
              <w:top w:val="nil"/>
              <w:left w:val="nil"/>
              <w:bottom w:val="nil"/>
              <w:right w:val="nil"/>
            </w:tcBorders>
            <w:shd w:val="clear" w:color="auto" w:fill="auto"/>
            <w:noWrap/>
            <w:vAlign w:val="bottom"/>
            <w:hideMark/>
          </w:tcPr>
          <w:p w:rsidR="00C8160D" w:rsidRPr="00C8160D" w:rsidRDefault="00C8160D" w:rsidP="00C8160D">
            <w:pPr>
              <w:keepNext w:val="0"/>
              <w:keepLines w:val="0"/>
              <w:spacing w:before="0" w:line="240" w:lineRule="auto"/>
              <w:ind w:firstLine="0"/>
              <w:jc w:val="left"/>
              <w:outlineLvl w:val="9"/>
              <w:rPr>
                <w:rFonts w:eastAsia="Times New Roman"/>
                <w:color w:val="auto"/>
                <w:sz w:val="20"/>
                <w:szCs w:val="20"/>
                <w:lang w:val="es-DO" w:eastAsia="es-DO"/>
              </w:rPr>
            </w:pPr>
          </w:p>
        </w:tc>
        <w:tc>
          <w:tcPr>
            <w:tcW w:w="585" w:type="dxa"/>
            <w:tcBorders>
              <w:top w:val="nil"/>
              <w:left w:val="nil"/>
              <w:bottom w:val="nil"/>
              <w:right w:val="nil"/>
            </w:tcBorders>
            <w:shd w:val="clear" w:color="auto" w:fill="auto"/>
            <w:noWrap/>
            <w:vAlign w:val="bottom"/>
            <w:hideMark/>
          </w:tcPr>
          <w:p w:rsidR="00C8160D" w:rsidRPr="00C8160D" w:rsidRDefault="00C8160D" w:rsidP="00C8160D">
            <w:pPr>
              <w:keepNext w:val="0"/>
              <w:keepLines w:val="0"/>
              <w:spacing w:before="0" w:line="240" w:lineRule="auto"/>
              <w:ind w:firstLine="0"/>
              <w:jc w:val="left"/>
              <w:outlineLvl w:val="9"/>
              <w:rPr>
                <w:rFonts w:eastAsia="Times New Roman"/>
                <w:color w:val="auto"/>
                <w:sz w:val="20"/>
                <w:szCs w:val="20"/>
                <w:lang w:val="es-DO" w:eastAsia="es-DO"/>
              </w:rPr>
            </w:pPr>
          </w:p>
        </w:tc>
        <w:tc>
          <w:tcPr>
            <w:tcW w:w="585" w:type="dxa"/>
            <w:tcBorders>
              <w:top w:val="nil"/>
              <w:left w:val="nil"/>
              <w:bottom w:val="nil"/>
              <w:right w:val="nil"/>
            </w:tcBorders>
            <w:shd w:val="clear" w:color="auto" w:fill="auto"/>
            <w:noWrap/>
            <w:vAlign w:val="bottom"/>
            <w:hideMark/>
          </w:tcPr>
          <w:p w:rsidR="00C8160D" w:rsidRPr="00C8160D" w:rsidRDefault="00C8160D" w:rsidP="00C8160D">
            <w:pPr>
              <w:keepNext w:val="0"/>
              <w:keepLines w:val="0"/>
              <w:spacing w:before="0" w:line="240" w:lineRule="auto"/>
              <w:ind w:firstLine="0"/>
              <w:jc w:val="left"/>
              <w:outlineLvl w:val="9"/>
              <w:rPr>
                <w:rFonts w:eastAsia="Times New Roman"/>
                <w:color w:val="auto"/>
                <w:sz w:val="20"/>
                <w:szCs w:val="20"/>
                <w:lang w:val="es-DO" w:eastAsia="es-DO"/>
              </w:rPr>
            </w:pPr>
          </w:p>
        </w:tc>
        <w:tc>
          <w:tcPr>
            <w:tcW w:w="1328" w:type="dxa"/>
            <w:gridSpan w:val="3"/>
            <w:tcBorders>
              <w:top w:val="nil"/>
              <w:left w:val="nil"/>
              <w:bottom w:val="nil"/>
              <w:right w:val="nil"/>
            </w:tcBorders>
            <w:shd w:val="clear" w:color="auto" w:fill="auto"/>
            <w:noWrap/>
            <w:vAlign w:val="bottom"/>
            <w:hideMark/>
          </w:tcPr>
          <w:p w:rsidR="00C8160D" w:rsidRPr="00C8160D" w:rsidRDefault="00C8160D" w:rsidP="00C8160D">
            <w:pPr>
              <w:keepNext w:val="0"/>
              <w:keepLines w:val="0"/>
              <w:spacing w:before="0" w:line="240" w:lineRule="auto"/>
              <w:ind w:firstLine="0"/>
              <w:jc w:val="left"/>
              <w:outlineLvl w:val="9"/>
              <w:rPr>
                <w:rFonts w:eastAsia="Times New Roman"/>
                <w:color w:val="auto"/>
                <w:sz w:val="20"/>
                <w:szCs w:val="20"/>
                <w:lang w:val="es-DO" w:eastAsia="es-DO"/>
              </w:rPr>
            </w:pPr>
          </w:p>
        </w:tc>
        <w:tc>
          <w:tcPr>
            <w:tcW w:w="160" w:type="dxa"/>
            <w:tcBorders>
              <w:top w:val="nil"/>
              <w:left w:val="nil"/>
              <w:bottom w:val="nil"/>
              <w:right w:val="nil"/>
            </w:tcBorders>
            <w:shd w:val="clear" w:color="auto" w:fill="auto"/>
            <w:noWrap/>
            <w:vAlign w:val="bottom"/>
            <w:hideMark/>
          </w:tcPr>
          <w:p w:rsidR="00C8160D" w:rsidRPr="00C8160D" w:rsidRDefault="00C8160D" w:rsidP="00C8160D">
            <w:pPr>
              <w:keepNext w:val="0"/>
              <w:keepLines w:val="0"/>
              <w:spacing w:before="0" w:line="240" w:lineRule="auto"/>
              <w:ind w:firstLine="0"/>
              <w:jc w:val="left"/>
              <w:outlineLvl w:val="9"/>
              <w:rPr>
                <w:rFonts w:eastAsia="Times New Roman"/>
                <w:color w:val="auto"/>
                <w:sz w:val="20"/>
                <w:szCs w:val="20"/>
                <w:lang w:val="es-DO" w:eastAsia="es-DO"/>
              </w:rPr>
            </w:pPr>
          </w:p>
        </w:tc>
      </w:tr>
      <w:tr w:rsidR="00C8160D" w:rsidRPr="00C8160D" w:rsidTr="008346B0">
        <w:trPr>
          <w:gridAfter w:val="7"/>
          <w:wAfter w:w="2067" w:type="dxa"/>
          <w:trHeight w:val="300"/>
        </w:trPr>
        <w:tc>
          <w:tcPr>
            <w:tcW w:w="480" w:type="dxa"/>
            <w:tcBorders>
              <w:top w:val="nil"/>
              <w:left w:val="nil"/>
              <w:bottom w:val="nil"/>
              <w:right w:val="nil"/>
            </w:tcBorders>
            <w:shd w:val="clear" w:color="auto" w:fill="auto"/>
            <w:noWrap/>
            <w:vAlign w:val="bottom"/>
            <w:hideMark/>
          </w:tcPr>
          <w:p w:rsidR="00C8160D" w:rsidRPr="00C8160D" w:rsidRDefault="00C8160D" w:rsidP="00C8160D">
            <w:pPr>
              <w:keepNext w:val="0"/>
              <w:keepLines w:val="0"/>
              <w:spacing w:before="0" w:line="240" w:lineRule="auto"/>
              <w:ind w:firstLine="0"/>
              <w:jc w:val="left"/>
              <w:outlineLvl w:val="9"/>
              <w:rPr>
                <w:rFonts w:eastAsia="Times New Roman"/>
                <w:color w:val="auto"/>
                <w:sz w:val="20"/>
                <w:szCs w:val="20"/>
                <w:lang w:val="es-DO" w:eastAsia="es-DO"/>
              </w:rPr>
            </w:pPr>
          </w:p>
        </w:tc>
        <w:tc>
          <w:tcPr>
            <w:tcW w:w="2072" w:type="dxa"/>
            <w:tcBorders>
              <w:top w:val="nil"/>
              <w:left w:val="nil"/>
              <w:bottom w:val="nil"/>
              <w:right w:val="nil"/>
            </w:tcBorders>
            <w:shd w:val="clear" w:color="auto" w:fill="auto"/>
            <w:noWrap/>
            <w:vAlign w:val="bottom"/>
            <w:hideMark/>
          </w:tcPr>
          <w:p w:rsidR="00C8160D" w:rsidRPr="00C8160D" w:rsidRDefault="00C8160D" w:rsidP="00C8160D">
            <w:pPr>
              <w:keepNext w:val="0"/>
              <w:keepLines w:val="0"/>
              <w:spacing w:before="0" w:line="240" w:lineRule="auto"/>
              <w:ind w:firstLine="0"/>
              <w:jc w:val="left"/>
              <w:outlineLvl w:val="9"/>
              <w:rPr>
                <w:rFonts w:eastAsia="Times New Roman"/>
                <w:color w:val="auto"/>
                <w:sz w:val="20"/>
                <w:szCs w:val="20"/>
                <w:lang w:val="es-DO" w:eastAsia="es-DO"/>
              </w:rPr>
            </w:pPr>
          </w:p>
        </w:tc>
        <w:tc>
          <w:tcPr>
            <w:tcW w:w="2126" w:type="dxa"/>
            <w:tcBorders>
              <w:top w:val="nil"/>
              <w:left w:val="nil"/>
              <w:bottom w:val="nil"/>
              <w:right w:val="nil"/>
            </w:tcBorders>
            <w:shd w:val="clear" w:color="auto" w:fill="auto"/>
            <w:noWrap/>
            <w:vAlign w:val="center"/>
            <w:hideMark/>
          </w:tcPr>
          <w:p w:rsidR="00C8160D" w:rsidRPr="00C8160D" w:rsidRDefault="00C8160D" w:rsidP="00C8160D">
            <w:pPr>
              <w:keepNext w:val="0"/>
              <w:keepLines w:val="0"/>
              <w:spacing w:before="0" w:line="240" w:lineRule="auto"/>
              <w:ind w:firstLine="0"/>
              <w:jc w:val="left"/>
              <w:outlineLvl w:val="9"/>
              <w:rPr>
                <w:rFonts w:eastAsia="Times New Roman"/>
                <w:color w:val="auto"/>
                <w:sz w:val="20"/>
                <w:szCs w:val="20"/>
                <w:lang w:val="es-DO" w:eastAsia="es-DO"/>
              </w:rPr>
            </w:pPr>
          </w:p>
        </w:tc>
        <w:tc>
          <w:tcPr>
            <w:tcW w:w="1022" w:type="dxa"/>
            <w:tcBorders>
              <w:top w:val="nil"/>
              <w:left w:val="nil"/>
              <w:bottom w:val="nil"/>
              <w:right w:val="nil"/>
            </w:tcBorders>
            <w:shd w:val="clear" w:color="auto" w:fill="auto"/>
            <w:noWrap/>
            <w:vAlign w:val="bottom"/>
            <w:hideMark/>
          </w:tcPr>
          <w:p w:rsidR="00C8160D" w:rsidRPr="00C8160D" w:rsidRDefault="00C8160D" w:rsidP="00C8160D">
            <w:pPr>
              <w:keepNext w:val="0"/>
              <w:keepLines w:val="0"/>
              <w:spacing w:before="0" w:line="240" w:lineRule="auto"/>
              <w:ind w:firstLine="0"/>
              <w:outlineLvl w:val="9"/>
              <w:rPr>
                <w:rFonts w:eastAsia="Times New Roman"/>
                <w:color w:val="auto"/>
                <w:sz w:val="20"/>
                <w:szCs w:val="20"/>
                <w:lang w:val="es-DO" w:eastAsia="es-DO"/>
              </w:rPr>
            </w:pPr>
          </w:p>
        </w:tc>
        <w:tc>
          <w:tcPr>
            <w:tcW w:w="1170" w:type="dxa"/>
            <w:gridSpan w:val="2"/>
            <w:tcBorders>
              <w:top w:val="single" w:sz="4" w:space="0" w:color="002060"/>
              <w:left w:val="single" w:sz="4" w:space="0" w:color="002060"/>
              <w:bottom w:val="single" w:sz="4" w:space="0" w:color="002060"/>
              <w:right w:val="single" w:sz="4" w:space="0" w:color="002060"/>
            </w:tcBorders>
            <w:shd w:val="clear" w:color="000000" w:fill="8DB4E2"/>
            <w:noWrap/>
            <w:vAlign w:val="center"/>
            <w:hideMark/>
          </w:tcPr>
          <w:p w:rsidR="00C8160D" w:rsidRPr="00C8160D" w:rsidRDefault="00C8160D" w:rsidP="00C8160D">
            <w:pPr>
              <w:keepNext w:val="0"/>
              <w:keepLines w:val="0"/>
              <w:spacing w:before="0" w:line="240" w:lineRule="auto"/>
              <w:ind w:firstLine="0"/>
              <w:jc w:val="center"/>
              <w:outlineLvl w:val="9"/>
              <w:rPr>
                <w:rFonts w:ascii="Calibri Light" w:eastAsia="Times New Roman" w:hAnsi="Calibri Light" w:cs="Calibri Light"/>
                <w:b/>
                <w:bCs/>
                <w:color w:val="auto"/>
                <w:sz w:val="20"/>
                <w:szCs w:val="20"/>
                <w:lang w:val="es-DO" w:eastAsia="es-DO"/>
              </w:rPr>
            </w:pPr>
            <w:r w:rsidRPr="00C8160D">
              <w:rPr>
                <w:rFonts w:ascii="Calibri Light" w:eastAsia="Times New Roman" w:hAnsi="Calibri Light" w:cs="Calibri Light"/>
                <w:b/>
                <w:bCs/>
                <w:color w:val="auto"/>
                <w:sz w:val="20"/>
                <w:szCs w:val="20"/>
                <w:lang w:val="es-DO" w:eastAsia="es-DO"/>
              </w:rPr>
              <w:t>Producción</w:t>
            </w:r>
          </w:p>
        </w:tc>
        <w:tc>
          <w:tcPr>
            <w:tcW w:w="2362" w:type="dxa"/>
            <w:gridSpan w:val="4"/>
            <w:tcBorders>
              <w:top w:val="single" w:sz="4" w:space="0" w:color="002060"/>
              <w:left w:val="nil"/>
              <w:bottom w:val="single" w:sz="4" w:space="0" w:color="002060"/>
              <w:right w:val="single" w:sz="4" w:space="0" w:color="002060"/>
            </w:tcBorders>
            <w:shd w:val="clear" w:color="000000" w:fill="8DB4E2"/>
            <w:noWrap/>
            <w:vAlign w:val="center"/>
            <w:hideMark/>
          </w:tcPr>
          <w:p w:rsidR="00C8160D" w:rsidRPr="00C8160D" w:rsidRDefault="00C8160D" w:rsidP="00C81A89">
            <w:pPr>
              <w:keepNext w:val="0"/>
              <w:keepLines w:val="0"/>
              <w:spacing w:before="0" w:line="240" w:lineRule="auto"/>
              <w:ind w:right="105" w:firstLine="0"/>
              <w:jc w:val="center"/>
              <w:outlineLvl w:val="9"/>
              <w:rPr>
                <w:rFonts w:ascii="Calibri Light" w:eastAsia="Times New Roman" w:hAnsi="Calibri Light" w:cs="Calibri Light"/>
                <w:b/>
                <w:bCs/>
                <w:color w:val="auto"/>
                <w:sz w:val="20"/>
                <w:szCs w:val="20"/>
                <w:lang w:val="es-DO" w:eastAsia="es-DO"/>
              </w:rPr>
            </w:pPr>
            <w:r w:rsidRPr="00C8160D">
              <w:rPr>
                <w:rFonts w:ascii="Calibri Light" w:eastAsia="Times New Roman" w:hAnsi="Calibri Light" w:cs="Calibri Light"/>
                <w:b/>
                <w:bCs/>
                <w:color w:val="auto"/>
                <w:sz w:val="20"/>
                <w:szCs w:val="20"/>
                <w:lang w:val="es-DO" w:eastAsia="es-DO"/>
              </w:rPr>
              <w:t>Metas</w:t>
            </w:r>
          </w:p>
        </w:tc>
      </w:tr>
      <w:tr w:rsidR="00C8160D" w:rsidRPr="00C8160D" w:rsidTr="008346B0">
        <w:trPr>
          <w:gridAfter w:val="7"/>
          <w:wAfter w:w="2067" w:type="dxa"/>
          <w:trHeight w:val="630"/>
        </w:trPr>
        <w:tc>
          <w:tcPr>
            <w:tcW w:w="480" w:type="dxa"/>
            <w:tcBorders>
              <w:top w:val="single" w:sz="4" w:space="0" w:color="002060"/>
              <w:left w:val="single" w:sz="4" w:space="0" w:color="002060"/>
              <w:bottom w:val="single" w:sz="4" w:space="0" w:color="002060"/>
              <w:right w:val="single" w:sz="4" w:space="0" w:color="002060"/>
            </w:tcBorders>
            <w:shd w:val="clear" w:color="000000" w:fill="8DB4E2"/>
            <w:noWrap/>
            <w:vAlign w:val="center"/>
            <w:hideMark/>
          </w:tcPr>
          <w:p w:rsidR="00C8160D" w:rsidRPr="00C8160D" w:rsidRDefault="00C8160D" w:rsidP="00C8160D">
            <w:pPr>
              <w:keepNext w:val="0"/>
              <w:keepLines w:val="0"/>
              <w:spacing w:before="0" w:line="240" w:lineRule="auto"/>
              <w:ind w:firstLine="0"/>
              <w:jc w:val="center"/>
              <w:outlineLvl w:val="9"/>
              <w:rPr>
                <w:rFonts w:ascii="Calibri Light" w:eastAsia="Times New Roman" w:hAnsi="Calibri Light" w:cs="Calibri Light"/>
                <w:b/>
                <w:bCs/>
                <w:color w:val="auto"/>
                <w:lang w:val="es-DO" w:eastAsia="es-DO"/>
              </w:rPr>
            </w:pPr>
            <w:r w:rsidRPr="00C8160D">
              <w:rPr>
                <w:rFonts w:ascii="Calibri Light" w:eastAsia="Times New Roman" w:hAnsi="Calibri Light" w:cs="Calibri Light"/>
                <w:b/>
                <w:bCs/>
                <w:color w:val="auto"/>
                <w:lang w:val="es-DO" w:eastAsia="es-DO"/>
              </w:rPr>
              <w:t>No.</w:t>
            </w:r>
          </w:p>
        </w:tc>
        <w:tc>
          <w:tcPr>
            <w:tcW w:w="2072" w:type="dxa"/>
            <w:tcBorders>
              <w:top w:val="single" w:sz="4" w:space="0" w:color="002060"/>
              <w:left w:val="nil"/>
              <w:bottom w:val="single" w:sz="4" w:space="0" w:color="002060"/>
              <w:right w:val="single" w:sz="4" w:space="0" w:color="002060"/>
            </w:tcBorders>
            <w:shd w:val="clear" w:color="000000" w:fill="8DB4E2"/>
            <w:noWrap/>
            <w:vAlign w:val="center"/>
            <w:hideMark/>
          </w:tcPr>
          <w:p w:rsidR="00C8160D" w:rsidRPr="00C8160D" w:rsidRDefault="00C8160D" w:rsidP="00C8160D">
            <w:pPr>
              <w:keepNext w:val="0"/>
              <w:keepLines w:val="0"/>
              <w:spacing w:before="0" w:line="240" w:lineRule="auto"/>
              <w:ind w:firstLine="0"/>
              <w:jc w:val="center"/>
              <w:outlineLvl w:val="9"/>
              <w:rPr>
                <w:rFonts w:ascii="Calibri Light" w:eastAsia="Times New Roman" w:hAnsi="Calibri Light" w:cs="Calibri Light"/>
                <w:b/>
                <w:bCs/>
                <w:color w:val="auto"/>
                <w:lang w:val="es-DO" w:eastAsia="es-DO"/>
              </w:rPr>
            </w:pPr>
            <w:r w:rsidRPr="00C8160D">
              <w:rPr>
                <w:rFonts w:ascii="Calibri Light" w:eastAsia="Times New Roman" w:hAnsi="Calibri Light" w:cs="Calibri Light"/>
                <w:b/>
                <w:bCs/>
                <w:color w:val="auto"/>
                <w:lang w:val="es-DO" w:eastAsia="es-DO"/>
              </w:rPr>
              <w:t>Producto</w:t>
            </w:r>
          </w:p>
        </w:tc>
        <w:tc>
          <w:tcPr>
            <w:tcW w:w="2126" w:type="dxa"/>
            <w:tcBorders>
              <w:top w:val="single" w:sz="4" w:space="0" w:color="002060"/>
              <w:left w:val="nil"/>
              <w:bottom w:val="single" w:sz="4" w:space="0" w:color="002060"/>
              <w:right w:val="single" w:sz="4" w:space="0" w:color="002060"/>
            </w:tcBorders>
            <w:shd w:val="clear" w:color="000000" w:fill="8DB4E2"/>
            <w:vAlign w:val="center"/>
            <w:hideMark/>
          </w:tcPr>
          <w:p w:rsidR="00C8160D" w:rsidRPr="00C8160D" w:rsidRDefault="00C8160D" w:rsidP="00C8160D">
            <w:pPr>
              <w:keepNext w:val="0"/>
              <w:keepLines w:val="0"/>
              <w:spacing w:before="0" w:line="240" w:lineRule="auto"/>
              <w:ind w:firstLine="0"/>
              <w:jc w:val="center"/>
              <w:outlineLvl w:val="9"/>
              <w:rPr>
                <w:rFonts w:ascii="Calibri Light" w:eastAsia="Times New Roman" w:hAnsi="Calibri Light" w:cs="Calibri Light"/>
                <w:b/>
                <w:bCs/>
                <w:color w:val="auto"/>
                <w:lang w:val="es-DO" w:eastAsia="es-DO"/>
              </w:rPr>
            </w:pPr>
            <w:r w:rsidRPr="00C8160D">
              <w:rPr>
                <w:rFonts w:ascii="Calibri Light" w:eastAsia="Times New Roman" w:hAnsi="Calibri Light" w:cs="Calibri Light"/>
                <w:b/>
                <w:bCs/>
                <w:color w:val="auto"/>
                <w:lang w:val="es-DO" w:eastAsia="es-DO"/>
              </w:rPr>
              <w:t xml:space="preserve"> Indicador</w:t>
            </w:r>
            <w:r w:rsidRPr="00C8160D">
              <w:rPr>
                <w:rFonts w:ascii="Calibri Light" w:eastAsia="Times New Roman" w:hAnsi="Calibri Light" w:cs="Calibri Light"/>
                <w:b/>
                <w:bCs/>
                <w:color w:val="auto"/>
                <w:lang w:val="es-DO" w:eastAsia="es-DO"/>
              </w:rPr>
              <w:br/>
              <w:t>Unidad de Medida</w:t>
            </w:r>
          </w:p>
        </w:tc>
        <w:tc>
          <w:tcPr>
            <w:tcW w:w="1022" w:type="dxa"/>
            <w:tcBorders>
              <w:top w:val="single" w:sz="4" w:space="0" w:color="002060"/>
              <w:left w:val="nil"/>
              <w:bottom w:val="single" w:sz="4" w:space="0" w:color="002060"/>
              <w:right w:val="single" w:sz="4" w:space="0" w:color="002060"/>
            </w:tcBorders>
            <w:shd w:val="clear" w:color="000000" w:fill="8DB4E2"/>
            <w:noWrap/>
            <w:vAlign w:val="center"/>
            <w:hideMark/>
          </w:tcPr>
          <w:p w:rsidR="00C8160D" w:rsidRPr="00C8160D" w:rsidRDefault="00C8160D" w:rsidP="00C8160D">
            <w:pPr>
              <w:keepNext w:val="0"/>
              <w:keepLines w:val="0"/>
              <w:spacing w:before="0" w:line="240" w:lineRule="auto"/>
              <w:ind w:firstLine="0"/>
              <w:jc w:val="center"/>
              <w:outlineLvl w:val="9"/>
              <w:rPr>
                <w:rFonts w:ascii="Calibri Light" w:eastAsia="Times New Roman" w:hAnsi="Calibri Light" w:cs="Calibri Light"/>
                <w:b/>
                <w:bCs/>
                <w:color w:val="auto"/>
                <w:lang w:val="es-DO" w:eastAsia="es-DO"/>
              </w:rPr>
            </w:pPr>
            <w:r w:rsidRPr="00C8160D">
              <w:rPr>
                <w:rFonts w:ascii="Calibri Light" w:eastAsia="Times New Roman" w:hAnsi="Calibri Light" w:cs="Calibri Light"/>
                <w:b/>
                <w:bCs/>
                <w:color w:val="auto"/>
                <w:lang w:val="es-DO" w:eastAsia="es-DO"/>
              </w:rPr>
              <w:t>Prioridad</w:t>
            </w:r>
          </w:p>
        </w:tc>
        <w:tc>
          <w:tcPr>
            <w:tcW w:w="585" w:type="dxa"/>
            <w:tcBorders>
              <w:top w:val="nil"/>
              <w:left w:val="nil"/>
              <w:bottom w:val="single" w:sz="4" w:space="0" w:color="002060"/>
              <w:right w:val="single" w:sz="4" w:space="0" w:color="002060"/>
            </w:tcBorders>
            <w:shd w:val="clear" w:color="000000" w:fill="C5D9F1"/>
            <w:noWrap/>
            <w:vAlign w:val="center"/>
            <w:hideMark/>
          </w:tcPr>
          <w:p w:rsidR="00C8160D" w:rsidRPr="00C8160D" w:rsidRDefault="00C8160D" w:rsidP="00C8160D">
            <w:pPr>
              <w:keepNext w:val="0"/>
              <w:keepLines w:val="0"/>
              <w:spacing w:before="0" w:line="240" w:lineRule="auto"/>
              <w:ind w:firstLine="0"/>
              <w:jc w:val="center"/>
              <w:outlineLvl w:val="9"/>
              <w:rPr>
                <w:rFonts w:ascii="Calibri Light" w:eastAsia="Times New Roman" w:hAnsi="Calibri Light" w:cs="Calibri Light"/>
                <w:b/>
                <w:bCs/>
                <w:color w:val="auto"/>
                <w:sz w:val="16"/>
                <w:szCs w:val="16"/>
                <w:lang w:val="es-DO" w:eastAsia="es-DO"/>
              </w:rPr>
            </w:pPr>
            <w:r w:rsidRPr="00C8160D">
              <w:rPr>
                <w:rFonts w:ascii="Calibri Light" w:eastAsia="Times New Roman" w:hAnsi="Calibri Light" w:cs="Calibri Light"/>
                <w:b/>
                <w:bCs/>
                <w:color w:val="auto"/>
                <w:sz w:val="16"/>
                <w:szCs w:val="16"/>
                <w:lang w:val="es-DO" w:eastAsia="es-DO"/>
              </w:rPr>
              <w:t>2018</w:t>
            </w:r>
          </w:p>
        </w:tc>
        <w:tc>
          <w:tcPr>
            <w:tcW w:w="585" w:type="dxa"/>
            <w:tcBorders>
              <w:top w:val="nil"/>
              <w:left w:val="nil"/>
              <w:bottom w:val="single" w:sz="4" w:space="0" w:color="002060"/>
              <w:right w:val="single" w:sz="4" w:space="0" w:color="002060"/>
            </w:tcBorders>
            <w:shd w:val="clear" w:color="000000" w:fill="C5D9F1"/>
            <w:noWrap/>
            <w:vAlign w:val="center"/>
            <w:hideMark/>
          </w:tcPr>
          <w:p w:rsidR="00C8160D" w:rsidRPr="00C8160D" w:rsidRDefault="00C8160D" w:rsidP="00C8160D">
            <w:pPr>
              <w:keepNext w:val="0"/>
              <w:keepLines w:val="0"/>
              <w:spacing w:before="0" w:line="240" w:lineRule="auto"/>
              <w:ind w:firstLine="0"/>
              <w:jc w:val="center"/>
              <w:outlineLvl w:val="9"/>
              <w:rPr>
                <w:rFonts w:ascii="Calibri Light" w:eastAsia="Times New Roman" w:hAnsi="Calibri Light" w:cs="Calibri Light"/>
                <w:b/>
                <w:bCs/>
                <w:color w:val="auto"/>
                <w:sz w:val="16"/>
                <w:szCs w:val="16"/>
                <w:lang w:val="es-DO" w:eastAsia="es-DO"/>
              </w:rPr>
            </w:pPr>
            <w:r w:rsidRPr="00C8160D">
              <w:rPr>
                <w:rFonts w:ascii="Calibri Light" w:eastAsia="Times New Roman" w:hAnsi="Calibri Light" w:cs="Calibri Light"/>
                <w:b/>
                <w:bCs/>
                <w:color w:val="auto"/>
                <w:sz w:val="16"/>
                <w:szCs w:val="16"/>
                <w:lang w:val="es-DO" w:eastAsia="es-DO"/>
              </w:rPr>
              <w:t>2019</w:t>
            </w:r>
          </w:p>
        </w:tc>
        <w:tc>
          <w:tcPr>
            <w:tcW w:w="585" w:type="dxa"/>
            <w:tcBorders>
              <w:top w:val="nil"/>
              <w:left w:val="nil"/>
              <w:bottom w:val="single" w:sz="4" w:space="0" w:color="002060"/>
              <w:right w:val="single" w:sz="4" w:space="0" w:color="002060"/>
            </w:tcBorders>
            <w:shd w:val="clear" w:color="000000" w:fill="C5D9F1"/>
            <w:noWrap/>
            <w:vAlign w:val="center"/>
            <w:hideMark/>
          </w:tcPr>
          <w:p w:rsidR="00C8160D" w:rsidRPr="00C8160D" w:rsidRDefault="00C8160D" w:rsidP="00C8160D">
            <w:pPr>
              <w:keepNext w:val="0"/>
              <w:keepLines w:val="0"/>
              <w:spacing w:before="0" w:line="240" w:lineRule="auto"/>
              <w:ind w:firstLine="0"/>
              <w:jc w:val="center"/>
              <w:outlineLvl w:val="9"/>
              <w:rPr>
                <w:rFonts w:ascii="Calibri Light" w:eastAsia="Times New Roman" w:hAnsi="Calibri Light" w:cs="Calibri Light"/>
                <w:b/>
                <w:bCs/>
                <w:color w:val="auto"/>
                <w:sz w:val="16"/>
                <w:szCs w:val="16"/>
                <w:lang w:val="es-DO" w:eastAsia="es-DO"/>
              </w:rPr>
            </w:pPr>
            <w:r w:rsidRPr="00C8160D">
              <w:rPr>
                <w:rFonts w:ascii="Calibri Light" w:eastAsia="Times New Roman" w:hAnsi="Calibri Light" w:cs="Calibri Light"/>
                <w:b/>
                <w:bCs/>
                <w:color w:val="auto"/>
                <w:sz w:val="16"/>
                <w:szCs w:val="16"/>
                <w:lang w:val="es-DO" w:eastAsia="es-DO"/>
              </w:rPr>
              <w:t>2020</w:t>
            </w:r>
          </w:p>
        </w:tc>
        <w:tc>
          <w:tcPr>
            <w:tcW w:w="585" w:type="dxa"/>
            <w:tcBorders>
              <w:top w:val="nil"/>
              <w:left w:val="nil"/>
              <w:bottom w:val="single" w:sz="4" w:space="0" w:color="002060"/>
              <w:right w:val="single" w:sz="4" w:space="0" w:color="002060"/>
            </w:tcBorders>
            <w:shd w:val="clear" w:color="000000" w:fill="C5D9F1"/>
            <w:noWrap/>
            <w:vAlign w:val="center"/>
            <w:hideMark/>
          </w:tcPr>
          <w:p w:rsidR="00C8160D" w:rsidRPr="00C8160D" w:rsidRDefault="00C8160D" w:rsidP="00C8160D">
            <w:pPr>
              <w:keepNext w:val="0"/>
              <w:keepLines w:val="0"/>
              <w:spacing w:before="0" w:line="240" w:lineRule="auto"/>
              <w:ind w:firstLine="0"/>
              <w:jc w:val="center"/>
              <w:outlineLvl w:val="9"/>
              <w:rPr>
                <w:rFonts w:ascii="Calibri Light" w:eastAsia="Times New Roman" w:hAnsi="Calibri Light" w:cs="Calibri Light"/>
                <w:b/>
                <w:bCs/>
                <w:color w:val="auto"/>
                <w:sz w:val="16"/>
                <w:szCs w:val="16"/>
                <w:lang w:val="es-DO" w:eastAsia="es-DO"/>
              </w:rPr>
            </w:pPr>
            <w:r w:rsidRPr="00C8160D">
              <w:rPr>
                <w:rFonts w:ascii="Calibri Light" w:eastAsia="Times New Roman" w:hAnsi="Calibri Light" w:cs="Calibri Light"/>
                <w:b/>
                <w:bCs/>
                <w:color w:val="auto"/>
                <w:sz w:val="16"/>
                <w:szCs w:val="16"/>
                <w:lang w:val="es-DO" w:eastAsia="es-DO"/>
              </w:rPr>
              <w:t>2021</w:t>
            </w:r>
          </w:p>
        </w:tc>
        <w:tc>
          <w:tcPr>
            <w:tcW w:w="607" w:type="dxa"/>
            <w:tcBorders>
              <w:top w:val="nil"/>
              <w:left w:val="nil"/>
              <w:bottom w:val="single" w:sz="4" w:space="0" w:color="002060"/>
              <w:right w:val="single" w:sz="4" w:space="0" w:color="002060"/>
            </w:tcBorders>
            <w:shd w:val="clear" w:color="000000" w:fill="C5D9F1"/>
            <w:noWrap/>
            <w:vAlign w:val="center"/>
            <w:hideMark/>
          </w:tcPr>
          <w:p w:rsidR="00C8160D" w:rsidRPr="00C8160D" w:rsidRDefault="00C8160D" w:rsidP="00C8160D">
            <w:pPr>
              <w:keepNext w:val="0"/>
              <w:keepLines w:val="0"/>
              <w:spacing w:before="0" w:line="240" w:lineRule="auto"/>
              <w:ind w:firstLine="0"/>
              <w:jc w:val="center"/>
              <w:outlineLvl w:val="9"/>
              <w:rPr>
                <w:rFonts w:ascii="Calibri Light" w:eastAsia="Times New Roman" w:hAnsi="Calibri Light" w:cs="Calibri Light"/>
                <w:b/>
                <w:bCs/>
                <w:color w:val="auto"/>
                <w:sz w:val="16"/>
                <w:szCs w:val="16"/>
                <w:lang w:val="es-DO" w:eastAsia="es-DO"/>
              </w:rPr>
            </w:pPr>
            <w:r w:rsidRPr="00C8160D">
              <w:rPr>
                <w:rFonts w:ascii="Calibri Light" w:eastAsia="Times New Roman" w:hAnsi="Calibri Light" w:cs="Calibri Light"/>
                <w:b/>
                <w:bCs/>
                <w:color w:val="auto"/>
                <w:sz w:val="16"/>
                <w:szCs w:val="16"/>
                <w:lang w:val="es-DO" w:eastAsia="es-DO"/>
              </w:rPr>
              <w:t>2022</w:t>
            </w:r>
          </w:p>
        </w:tc>
        <w:tc>
          <w:tcPr>
            <w:tcW w:w="585" w:type="dxa"/>
            <w:tcBorders>
              <w:top w:val="nil"/>
              <w:left w:val="nil"/>
              <w:bottom w:val="single" w:sz="4" w:space="0" w:color="002060"/>
              <w:right w:val="single" w:sz="4" w:space="0" w:color="002060"/>
            </w:tcBorders>
            <w:shd w:val="clear" w:color="000000" w:fill="C5D9F1"/>
            <w:noWrap/>
            <w:vAlign w:val="center"/>
            <w:hideMark/>
          </w:tcPr>
          <w:p w:rsidR="00C8160D" w:rsidRPr="00C8160D" w:rsidRDefault="00C8160D" w:rsidP="00C8160D">
            <w:pPr>
              <w:keepNext w:val="0"/>
              <w:keepLines w:val="0"/>
              <w:spacing w:before="0" w:line="240" w:lineRule="auto"/>
              <w:ind w:firstLine="0"/>
              <w:jc w:val="center"/>
              <w:outlineLvl w:val="9"/>
              <w:rPr>
                <w:rFonts w:ascii="Calibri Light" w:eastAsia="Times New Roman" w:hAnsi="Calibri Light" w:cs="Calibri Light"/>
                <w:b/>
                <w:bCs/>
                <w:color w:val="auto"/>
                <w:sz w:val="16"/>
                <w:szCs w:val="16"/>
                <w:lang w:val="es-DO" w:eastAsia="es-DO"/>
              </w:rPr>
            </w:pPr>
            <w:r w:rsidRPr="00C8160D">
              <w:rPr>
                <w:rFonts w:ascii="Calibri Light" w:eastAsia="Times New Roman" w:hAnsi="Calibri Light" w:cs="Calibri Light"/>
                <w:b/>
                <w:bCs/>
                <w:color w:val="auto"/>
                <w:sz w:val="16"/>
                <w:szCs w:val="16"/>
                <w:lang w:val="es-DO" w:eastAsia="es-DO"/>
              </w:rPr>
              <w:t>2023</w:t>
            </w:r>
          </w:p>
        </w:tc>
      </w:tr>
      <w:tr w:rsidR="00C8160D" w:rsidRPr="00C8160D" w:rsidTr="008346B0">
        <w:trPr>
          <w:gridAfter w:val="7"/>
          <w:wAfter w:w="2067" w:type="dxa"/>
          <w:trHeight w:val="900"/>
        </w:trPr>
        <w:tc>
          <w:tcPr>
            <w:tcW w:w="480" w:type="dxa"/>
            <w:tcBorders>
              <w:top w:val="nil"/>
              <w:left w:val="single" w:sz="4" w:space="0" w:color="002060"/>
              <w:bottom w:val="single" w:sz="4" w:space="0" w:color="002060"/>
              <w:right w:val="single" w:sz="4" w:space="0" w:color="002060"/>
            </w:tcBorders>
            <w:shd w:val="clear" w:color="auto" w:fill="auto"/>
            <w:noWrap/>
            <w:vAlign w:val="center"/>
            <w:hideMark/>
          </w:tcPr>
          <w:p w:rsidR="00C8160D" w:rsidRPr="00C8160D" w:rsidRDefault="00C8160D" w:rsidP="00C8160D">
            <w:pPr>
              <w:keepNext w:val="0"/>
              <w:keepLines w:val="0"/>
              <w:spacing w:before="0" w:line="240" w:lineRule="auto"/>
              <w:ind w:firstLine="0"/>
              <w:jc w:val="center"/>
              <w:outlineLvl w:val="9"/>
              <w:rPr>
                <w:rFonts w:ascii="Calibri Light" w:eastAsia="Times New Roman" w:hAnsi="Calibri Light" w:cs="Calibri Light"/>
                <w:color w:val="auto"/>
                <w:sz w:val="16"/>
                <w:szCs w:val="16"/>
                <w:lang w:val="es-DO" w:eastAsia="es-DO"/>
              </w:rPr>
            </w:pPr>
            <w:r w:rsidRPr="00C8160D">
              <w:rPr>
                <w:rFonts w:ascii="Calibri Light" w:eastAsia="Times New Roman" w:hAnsi="Calibri Light" w:cs="Calibri Light"/>
                <w:color w:val="auto"/>
                <w:sz w:val="16"/>
                <w:szCs w:val="16"/>
                <w:lang w:val="es-DO" w:eastAsia="es-DO"/>
              </w:rPr>
              <w:t>1</w:t>
            </w:r>
          </w:p>
        </w:tc>
        <w:tc>
          <w:tcPr>
            <w:tcW w:w="2072" w:type="dxa"/>
            <w:tcBorders>
              <w:top w:val="nil"/>
              <w:left w:val="nil"/>
              <w:bottom w:val="single" w:sz="4" w:space="0" w:color="002060"/>
              <w:right w:val="single" w:sz="4" w:space="0" w:color="002060"/>
            </w:tcBorders>
            <w:shd w:val="clear" w:color="auto" w:fill="auto"/>
            <w:vAlign w:val="center"/>
            <w:hideMark/>
          </w:tcPr>
          <w:p w:rsidR="00C8160D" w:rsidRPr="00C8160D" w:rsidRDefault="00C8160D" w:rsidP="00C8160D">
            <w:pPr>
              <w:keepNext w:val="0"/>
              <w:keepLines w:val="0"/>
              <w:spacing w:before="0" w:line="240" w:lineRule="auto"/>
              <w:ind w:firstLine="0"/>
              <w:outlineLvl w:val="9"/>
              <w:rPr>
                <w:rFonts w:ascii="Calibri Light" w:eastAsia="Times New Roman" w:hAnsi="Calibri Light" w:cs="Calibri Light"/>
                <w:color w:val="auto"/>
                <w:sz w:val="16"/>
                <w:szCs w:val="16"/>
                <w:lang w:val="es-DO" w:eastAsia="es-DO"/>
              </w:rPr>
            </w:pPr>
            <w:r w:rsidRPr="00C8160D">
              <w:rPr>
                <w:rFonts w:ascii="Calibri Light" w:eastAsia="Times New Roman" w:hAnsi="Calibri Light" w:cs="Calibri Light"/>
                <w:color w:val="auto"/>
                <w:sz w:val="16"/>
                <w:szCs w:val="16"/>
                <w:lang w:val="es-DO" w:eastAsia="es-DO"/>
              </w:rPr>
              <w:t>Registro de proveedores del Estado.</w:t>
            </w:r>
          </w:p>
        </w:tc>
        <w:tc>
          <w:tcPr>
            <w:tcW w:w="2126" w:type="dxa"/>
            <w:tcBorders>
              <w:top w:val="nil"/>
              <w:left w:val="nil"/>
              <w:bottom w:val="single" w:sz="4" w:space="0" w:color="002060"/>
              <w:right w:val="single" w:sz="4" w:space="0" w:color="002060"/>
            </w:tcBorders>
            <w:shd w:val="clear" w:color="auto" w:fill="auto"/>
            <w:vAlign w:val="center"/>
            <w:hideMark/>
          </w:tcPr>
          <w:p w:rsidR="00C8160D" w:rsidRPr="00C8160D" w:rsidRDefault="00C8160D" w:rsidP="00C8160D">
            <w:pPr>
              <w:keepNext w:val="0"/>
              <w:keepLines w:val="0"/>
              <w:spacing w:before="0" w:line="240" w:lineRule="auto"/>
              <w:ind w:firstLine="0"/>
              <w:outlineLvl w:val="9"/>
              <w:rPr>
                <w:rFonts w:ascii="Calibri Light" w:eastAsia="Times New Roman" w:hAnsi="Calibri Light" w:cs="Calibri Light"/>
                <w:color w:val="auto"/>
                <w:sz w:val="16"/>
                <w:szCs w:val="16"/>
                <w:lang w:val="es-DO" w:eastAsia="es-DO"/>
              </w:rPr>
            </w:pPr>
            <w:r w:rsidRPr="00C8160D">
              <w:rPr>
                <w:rFonts w:ascii="Calibri Light" w:eastAsia="Times New Roman" w:hAnsi="Calibri Light" w:cs="Calibri Light"/>
                <w:color w:val="auto"/>
                <w:sz w:val="16"/>
                <w:szCs w:val="16"/>
                <w:lang w:val="es-DO" w:eastAsia="es-DO"/>
              </w:rPr>
              <w:t>Porcentaje de nuevos proveedores registrados en el Portal Transaccional.</w:t>
            </w:r>
          </w:p>
        </w:tc>
        <w:tc>
          <w:tcPr>
            <w:tcW w:w="1022" w:type="dxa"/>
            <w:tcBorders>
              <w:top w:val="nil"/>
              <w:left w:val="nil"/>
              <w:bottom w:val="single" w:sz="4" w:space="0" w:color="002060"/>
              <w:right w:val="single" w:sz="4" w:space="0" w:color="002060"/>
            </w:tcBorders>
            <w:shd w:val="clear" w:color="auto" w:fill="auto"/>
            <w:noWrap/>
            <w:vAlign w:val="center"/>
            <w:hideMark/>
          </w:tcPr>
          <w:p w:rsidR="00C8160D" w:rsidRPr="00C8160D" w:rsidRDefault="00C8160D" w:rsidP="00C8160D">
            <w:pPr>
              <w:keepNext w:val="0"/>
              <w:keepLines w:val="0"/>
              <w:spacing w:before="0" w:line="240" w:lineRule="auto"/>
              <w:ind w:firstLine="0"/>
              <w:jc w:val="center"/>
              <w:outlineLvl w:val="9"/>
              <w:rPr>
                <w:rFonts w:ascii="Calibri Light" w:eastAsia="Times New Roman" w:hAnsi="Calibri Light" w:cs="Calibri Light"/>
                <w:color w:val="auto"/>
                <w:sz w:val="22"/>
                <w:szCs w:val="22"/>
                <w:lang w:val="es-DO" w:eastAsia="es-DO"/>
              </w:rPr>
            </w:pPr>
            <w:r w:rsidRPr="00C8160D">
              <w:rPr>
                <w:rFonts w:ascii="Calibri Light" w:eastAsia="Times New Roman" w:hAnsi="Calibri Light" w:cs="Calibri Light"/>
                <w:color w:val="auto"/>
                <w:sz w:val="22"/>
                <w:szCs w:val="22"/>
                <w:lang w:val="es-DO" w:eastAsia="es-DO"/>
              </w:rPr>
              <w:t>A</w:t>
            </w:r>
          </w:p>
        </w:tc>
        <w:tc>
          <w:tcPr>
            <w:tcW w:w="585" w:type="dxa"/>
            <w:tcBorders>
              <w:top w:val="nil"/>
              <w:left w:val="nil"/>
              <w:bottom w:val="single" w:sz="4" w:space="0" w:color="002060"/>
              <w:right w:val="single" w:sz="4" w:space="0" w:color="002060"/>
            </w:tcBorders>
            <w:shd w:val="clear" w:color="auto" w:fill="auto"/>
            <w:noWrap/>
            <w:vAlign w:val="center"/>
            <w:hideMark/>
          </w:tcPr>
          <w:p w:rsidR="00C8160D" w:rsidRPr="00C8160D" w:rsidRDefault="00C8160D" w:rsidP="00C8160D">
            <w:pPr>
              <w:keepNext w:val="0"/>
              <w:keepLines w:val="0"/>
              <w:spacing w:before="0" w:line="240" w:lineRule="auto"/>
              <w:ind w:firstLine="0"/>
              <w:jc w:val="center"/>
              <w:outlineLvl w:val="9"/>
              <w:rPr>
                <w:rFonts w:ascii="Calibri Light" w:eastAsia="Times New Roman" w:hAnsi="Calibri Light" w:cs="Calibri Light"/>
                <w:color w:val="auto"/>
                <w:sz w:val="16"/>
                <w:szCs w:val="16"/>
                <w:lang w:val="es-DO" w:eastAsia="es-DO"/>
              </w:rPr>
            </w:pPr>
            <w:r w:rsidRPr="00C8160D">
              <w:rPr>
                <w:rFonts w:ascii="Calibri Light" w:eastAsia="Times New Roman" w:hAnsi="Calibri Light" w:cs="Calibri Light"/>
                <w:color w:val="auto"/>
                <w:sz w:val="16"/>
                <w:szCs w:val="16"/>
                <w:lang w:val="es-DO" w:eastAsia="es-DO"/>
              </w:rPr>
              <w:t>7,120</w:t>
            </w:r>
          </w:p>
        </w:tc>
        <w:tc>
          <w:tcPr>
            <w:tcW w:w="585" w:type="dxa"/>
            <w:tcBorders>
              <w:top w:val="nil"/>
              <w:left w:val="nil"/>
              <w:bottom w:val="single" w:sz="4" w:space="0" w:color="002060"/>
              <w:right w:val="single" w:sz="4" w:space="0" w:color="002060"/>
            </w:tcBorders>
            <w:shd w:val="clear" w:color="auto" w:fill="auto"/>
            <w:noWrap/>
            <w:vAlign w:val="center"/>
            <w:hideMark/>
          </w:tcPr>
          <w:p w:rsidR="00C8160D" w:rsidRPr="00C8160D" w:rsidRDefault="00C8160D" w:rsidP="00C8160D">
            <w:pPr>
              <w:keepNext w:val="0"/>
              <w:keepLines w:val="0"/>
              <w:spacing w:before="0" w:line="240" w:lineRule="auto"/>
              <w:ind w:firstLine="0"/>
              <w:jc w:val="center"/>
              <w:outlineLvl w:val="9"/>
              <w:rPr>
                <w:rFonts w:ascii="Calibri Light" w:eastAsia="Times New Roman" w:hAnsi="Calibri Light" w:cs="Calibri Light"/>
                <w:color w:val="auto"/>
                <w:sz w:val="16"/>
                <w:szCs w:val="16"/>
                <w:lang w:val="es-DO" w:eastAsia="es-DO"/>
              </w:rPr>
            </w:pPr>
            <w:r w:rsidRPr="00C8160D">
              <w:rPr>
                <w:rFonts w:ascii="Calibri Light" w:eastAsia="Times New Roman" w:hAnsi="Calibri Light" w:cs="Calibri Light"/>
                <w:color w:val="auto"/>
                <w:sz w:val="16"/>
                <w:szCs w:val="16"/>
                <w:lang w:val="es-DO" w:eastAsia="es-DO"/>
              </w:rPr>
              <w:t>7,750</w:t>
            </w:r>
          </w:p>
        </w:tc>
        <w:tc>
          <w:tcPr>
            <w:tcW w:w="585" w:type="dxa"/>
            <w:tcBorders>
              <w:top w:val="nil"/>
              <w:left w:val="nil"/>
              <w:bottom w:val="single" w:sz="4" w:space="0" w:color="002060"/>
              <w:right w:val="single" w:sz="4" w:space="0" w:color="002060"/>
            </w:tcBorders>
            <w:shd w:val="clear" w:color="auto" w:fill="auto"/>
            <w:noWrap/>
            <w:vAlign w:val="center"/>
            <w:hideMark/>
          </w:tcPr>
          <w:p w:rsidR="00C8160D" w:rsidRPr="00C8160D" w:rsidRDefault="00C8160D" w:rsidP="00C8160D">
            <w:pPr>
              <w:keepNext w:val="0"/>
              <w:keepLines w:val="0"/>
              <w:spacing w:before="0" w:line="240" w:lineRule="auto"/>
              <w:ind w:firstLine="0"/>
              <w:jc w:val="center"/>
              <w:outlineLvl w:val="9"/>
              <w:rPr>
                <w:rFonts w:ascii="Calibri Light" w:eastAsia="Times New Roman" w:hAnsi="Calibri Light" w:cs="Calibri Light"/>
                <w:color w:val="auto"/>
                <w:sz w:val="16"/>
                <w:szCs w:val="16"/>
                <w:lang w:val="es-DO" w:eastAsia="es-DO"/>
              </w:rPr>
            </w:pPr>
            <w:r w:rsidRPr="00C8160D">
              <w:rPr>
                <w:rFonts w:ascii="Calibri Light" w:eastAsia="Times New Roman" w:hAnsi="Calibri Light" w:cs="Calibri Light"/>
                <w:color w:val="auto"/>
                <w:sz w:val="16"/>
                <w:szCs w:val="16"/>
                <w:lang w:val="es-DO" w:eastAsia="es-DO"/>
              </w:rPr>
              <w:t>8,138</w:t>
            </w:r>
          </w:p>
        </w:tc>
        <w:tc>
          <w:tcPr>
            <w:tcW w:w="585" w:type="dxa"/>
            <w:tcBorders>
              <w:top w:val="nil"/>
              <w:left w:val="nil"/>
              <w:bottom w:val="single" w:sz="4" w:space="0" w:color="002060"/>
              <w:right w:val="single" w:sz="4" w:space="0" w:color="002060"/>
            </w:tcBorders>
            <w:shd w:val="clear" w:color="auto" w:fill="auto"/>
            <w:noWrap/>
            <w:vAlign w:val="center"/>
            <w:hideMark/>
          </w:tcPr>
          <w:p w:rsidR="00C8160D" w:rsidRPr="00C8160D" w:rsidRDefault="00C8160D" w:rsidP="00C8160D">
            <w:pPr>
              <w:keepNext w:val="0"/>
              <w:keepLines w:val="0"/>
              <w:spacing w:before="0" w:line="240" w:lineRule="auto"/>
              <w:ind w:firstLine="0"/>
              <w:jc w:val="center"/>
              <w:outlineLvl w:val="9"/>
              <w:rPr>
                <w:rFonts w:ascii="Calibri Light" w:eastAsia="Times New Roman" w:hAnsi="Calibri Light" w:cs="Calibri Light"/>
                <w:color w:val="auto"/>
                <w:sz w:val="16"/>
                <w:szCs w:val="16"/>
                <w:lang w:val="es-DO" w:eastAsia="es-DO"/>
              </w:rPr>
            </w:pPr>
            <w:r w:rsidRPr="00C8160D">
              <w:rPr>
                <w:rFonts w:ascii="Calibri Light" w:eastAsia="Times New Roman" w:hAnsi="Calibri Light" w:cs="Calibri Light"/>
                <w:color w:val="auto"/>
                <w:sz w:val="16"/>
                <w:szCs w:val="16"/>
                <w:lang w:val="es-DO" w:eastAsia="es-DO"/>
              </w:rPr>
              <w:t>8,544</w:t>
            </w:r>
          </w:p>
        </w:tc>
        <w:tc>
          <w:tcPr>
            <w:tcW w:w="607" w:type="dxa"/>
            <w:tcBorders>
              <w:top w:val="nil"/>
              <w:left w:val="nil"/>
              <w:bottom w:val="single" w:sz="4" w:space="0" w:color="002060"/>
              <w:right w:val="single" w:sz="4" w:space="0" w:color="002060"/>
            </w:tcBorders>
            <w:shd w:val="clear" w:color="auto" w:fill="auto"/>
            <w:noWrap/>
            <w:vAlign w:val="center"/>
            <w:hideMark/>
          </w:tcPr>
          <w:p w:rsidR="00C8160D" w:rsidRPr="00C8160D" w:rsidRDefault="00C8160D" w:rsidP="00C8160D">
            <w:pPr>
              <w:keepNext w:val="0"/>
              <w:keepLines w:val="0"/>
              <w:spacing w:before="0" w:line="240" w:lineRule="auto"/>
              <w:ind w:firstLine="0"/>
              <w:jc w:val="center"/>
              <w:outlineLvl w:val="9"/>
              <w:rPr>
                <w:rFonts w:ascii="Calibri Light" w:eastAsia="Times New Roman" w:hAnsi="Calibri Light" w:cs="Calibri Light"/>
                <w:color w:val="auto"/>
                <w:sz w:val="16"/>
                <w:szCs w:val="16"/>
                <w:lang w:val="es-DO" w:eastAsia="es-DO"/>
              </w:rPr>
            </w:pPr>
            <w:r w:rsidRPr="00C8160D">
              <w:rPr>
                <w:rFonts w:ascii="Calibri Light" w:eastAsia="Times New Roman" w:hAnsi="Calibri Light" w:cs="Calibri Light"/>
                <w:color w:val="auto"/>
                <w:sz w:val="16"/>
                <w:szCs w:val="16"/>
                <w:lang w:val="es-DO" w:eastAsia="es-DO"/>
              </w:rPr>
              <w:t>8,972</w:t>
            </w:r>
          </w:p>
        </w:tc>
        <w:tc>
          <w:tcPr>
            <w:tcW w:w="585" w:type="dxa"/>
            <w:tcBorders>
              <w:top w:val="nil"/>
              <w:left w:val="nil"/>
              <w:bottom w:val="single" w:sz="4" w:space="0" w:color="002060"/>
              <w:right w:val="single" w:sz="4" w:space="0" w:color="002060"/>
            </w:tcBorders>
            <w:shd w:val="clear" w:color="auto" w:fill="auto"/>
            <w:noWrap/>
            <w:vAlign w:val="center"/>
            <w:hideMark/>
          </w:tcPr>
          <w:p w:rsidR="00C8160D" w:rsidRPr="00C8160D" w:rsidRDefault="00C8160D" w:rsidP="00C8160D">
            <w:pPr>
              <w:keepNext w:val="0"/>
              <w:keepLines w:val="0"/>
              <w:spacing w:before="0" w:line="240" w:lineRule="auto"/>
              <w:ind w:firstLine="0"/>
              <w:jc w:val="center"/>
              <w:outlineLvl w:val="9"/>
              <w:rPr>
                <w:rFonts w:ascii="Calibri Light" w:eastAsia="Times New Roman" w:hAnsi="Calibri Light" w:cs="Calibri Light"/>
                <w:color w:val="auto"/>
                <w:sz w:val="16"/>
                <w:szCs w:val="16"/>
                <w:lang w:val="es-DO" w:eastAsia="es-DO"/>
              </w:rPr>
            </w:pPr>
            <w:r w:rsidRPr="00C8160D">
              <w:rPr>
                <w:rFonts w:ascii="Calibri Light" w:eastAsia="Times New Roman" w:hAnsi="Calibri Light" w:cs="Calibri Light"/>
                <w:color w:val="auto"/>
                <w:sz w:val="16"/>
                <w:szCs w:val="16"/>
                <w:lang w:val="es-DO" w:eastAsia="es-DO"/>
              </w:rPr>
              <w:t>9,420</w:t>
            </w:r>
          </w:p>
        </w:tc>
      </w:tr>
      <w:tr w:rsidR="00C8160D" w:rsidRPr="00C8160D" w:rsidTr="008346B0">
        <w:trPr>
          <w:gridAfter w:val="7"/>
          <w:wAfter w:w="2067" w:type="dxa"/>
          <w:trHeight w:val="900"/>
        </w:trPr>
        <w:tc>
          <w:tcPr>
            <w:tcW w:w="480" w:type="dxa"/>
            <w:tcBorders>
              <w:top w:val="nil"/>
              <w:left w:val="single" w:sz="4" w:space="0" w:color="002060"/>
              <w:bottom w:val="single" w:sz="4" w:space="0" w:color="002060"/>
              <w:right w:val="single" w:sz="4" w:space="0" w:color="002060"/>
            </w:tcBorders>
            <w:shd w:val="clear" w:color="auto" w:fill="auto"/>
            <w:noWrap/>
            <w:vAlign w:val="center"/>
            <w:hideMark/>
          </w:tcPr>
          <w:p w:rsidR="00C8160D" w:rsidRPr="00C8160D" w:rsidRDefault="00C8160D" w:rsidP="00C8160D">
            <w:pPr>
              <w:keepNext w:val="0"/>
              <w:keepLines w:val="0"/>
              <w:spacing w:before="0" w:line="240" w:lineRule="auto"/>
              <w:ind w:firstLine="0"/>
              <w:jc w:val="center"/>
              <w:outlineLvl w:val="9"/>
              <w:rPr>
                <w:rFonts w:ascii="Calibri Light" w:eastAsia="Times New Roman" w:hAnsi="Calibri Light" w:cs="Calibri Light"/>
                <w:color w:val="auto"/>
                <w:sz w:val="16"/>
                <w:szCs w:val="16"/>
                <w:lang w:val="es-DO" w:eastAsia="es-DO"/>
              </w:rPr>
            </w:pPr>
            <w:r w:rsidRPr="00C8160D">
              <w:rPr>
                <w:rFonts w:ascii="Calibri Light" w:eastAsia="Times New Roman" w:hAnsi="Calibri Light" w:cs="Calibri Light"/>
                <w:color w:val="auto"/>
                <w:sz w:val="16"/>
                <w:szCs w:val="16"/>
                <w:lang w:val="es-DO" w:eastAsia="es-DO"/>
              </w:rPr>
              <w:t>2</w:t>
            </w:r>
          </w:p>
        </w:tc>
        <w:tc>
          <w:tcPr>
            <w:tcW w:w="2072" w:type="dxa"/>
            <w:tcBorders>
              <w:top w:val="nil"/>
              <w:left w:val="nil"/>
              <w:bottom w:val="single" w:sz="4" w:space="0" w:color="002060"/>
              <w:right w:val="single" w:sz="4" w:space="0" w:color="002060"/>
            </w:tcBorders>
            <w:shd w:val="clear" w:color="auto" w:fill="auto"/>
            <w:vAlign w:val="center"/>
            <w:hideMark/>
          </w:tcPr>
          <w:p w:rsidR="00C8160D" w:rsidRPr="00C8160D" w:rsidRDefault="00C8160D" w:rsidP="00C8160D">
            <w:pPr>
              <w:keepNext w:val="0"/>
              <w:keepLines w:val="0"/>
              <w:spacing w:before="0" w:line="240" w:lineRule="auto"/>
              <w:ind w:firstLine="0"/>
              <w:outlineLvl w:val="9"/>
              <w:rPr>
                <w:rFonts w:ascii="Calibri Light" w:eastAsia="Times New Roman" w:hAnsi="Calibri Light" w:cs="Calibri Light"/>
                <w:color w:val="auto"/>
                <w:sz w:val="16"/>
                <w:szCs w:val="16"/>
                <w:lang w:val="es-DO" w:eastAsia="es-DO"/>
              </w:rPr>
            </w:pPr>
            <w:r w:rsidRPr="00C8160D">
              <w:rPr>
                <w:rFonts w:ascii="Calibri Light" w:eastAsia="Times New Roman" w:hAnsi="Calibri Light" w:cs="Calibri Light"/>
                <w:color w:val="auto"/>
                <w:sz w:val="16"/>
                <w:szCs w:val="16"/>
                <w:lang w:val="es-DO" w:eastAsia="es-DO"/>
              </w:rPr>
              <w:t>Asistencia técnica en SNCCP.</w:t>
            </w:r>
          </w:p>
        </w:tc>
        <w:tc>
          <w:tcPr>
            <w:tcW w:w="2126" w:type="dxa"/>
            <w:tcBorders>
              <w:top w:val="nil"/>
              <w:left w:val="nil"/>
              <w:bottom w:val="single" w:sz="4" w:space="0" w:color="002060"/>
              <w:right w:val="single" w:sz="4" w:space="0" w:color="002060"/>
            </w:tcBorders>
            <w:shd w:val="clear" w:color="auto" w:fill="auto"/>
            <w:vAlign w:val="center"/>
            <w:hideMark/>
          </w:tcPr>
          <w:p w:rsidR="00C8160D" w:rsidRPr="00C8160D" w:rsidRDefault="00C8160D" w:rsidP="00C8160D">
            <w:pPr>
              <w:keepNext w:val="0"/>
              <w:keepLines w:val="0"/>
              <w:spacing w:before="0" w:line="240" w:lineRule="auto"/>
              <w:ind w:firstLine="0"/>
              <w:outlineLvl w:val="9"/>
              <w:rPr>
                <w:rFonts w:ascii="Calibri Light" w:eastAsia="Times New Roman" w:hAnsi="Calibri Light" w:cs="Calibri Light"/>
                <w:color w:val="auto"/>
                <w:sz w:val="16"/>
                <w:szCs w:val="16"/>
                <w:lang w:val="es-DO" w:eastAsia="es-DO"/>
              </w:rPr>
            </w:pPr>
            <w:r w:rsidRPr="00C8160D">
              <w:rPr>
                <w:rFonts w:ascii="Calibri Light" w:eastAsia="Times New Roman" w:hAnsi="Calibri Light" w:cs="Calibri Light"/>
                <w:color w:val="auto"/>
                <w:sz w:val="16"/>
                <w:szCs w:val="16"/>
                <w:lang w:val="es-DO" w:eastAsia="es-DO"/>
              </w:rPr>
              <w:t>Número de Asistencias Técnicas realizadas.</w:t>
            </w:r>
          </w:p>
        </w:tc>
        <w:tc>
          <w:tcPr>
            <w:tcW w:w="1022" w:type="dxa"/>
            <w:tcBorders>
              <w:top w:val="nil"/>
              <w:left w:val="nil"/>
              <w:bottom w:val="single" w:sz="4" w:space="0" w:color="002060"/>
              <w:right w:val="single" w:sz="4" w:space="0" w:color="002060"/>
            </w:tcBorders>
            <w:shd w:val="clear" w:color="auto" w:fill="auto"/>
            <w:noWrap/>
            <w:vAlign w:val="center"/>
            <w:hideMark/>
          </w:tcPr>
          <w:p w:rsidR="00C8160D" w:rsidRPr="00C8160D" w:rsidRDefault="00C8160D" w:rsidP="00C8160D">
            <w:pPr>
              <w:keepNext w:val="0"/>
              <w:keepLines w:val="0"/>
              <w:spacing w:before="0" w:line="240" w:lineRule="auto"/>
              <w:ind w:firstLine="0"/>
              <w:jc w:val="center"/>
              <w:outlineLvl w:val="9"/>
              <w:rPr>
                <w:rFonts w:ascii="Calibri Light" w:eastAsia="Times New Roman" w:hAnsi="Calibri Light" w:cs="Calibri Light"/>
                <w:color w:val="auto"/>
                <w:sz w:val="22"/>
                <w:szCs w:val="22"/>
                <w:lang w:val="es-DO" w:eastAsia="es-DO"/>
              </w:rPr>
            </w:pPr>
            <w:r w:rsidRPr="00C8160D">
              <w:rPr>
                <w:rFonts w:ascii="Calibri Light" w:eastAsia="Times New Roman" w:hAnsi="Calibri Light" w:cs="Calibri Light"/>
                <w:color w:val="auto"/>
                <w:sz w:val="22"/>
                <w:szCs w:val="22"/>
                <w:lang w:val="es-DO" w:eastAsia="es-DO"/>
              </w:rPr>
              <w:t>B</w:t>
            </w:r>
          </w:p>
        </w:tc>
        <w:tc>
          <w:tcPr>
            <w:tcW w:w="585" w:type="dxa"/>
            <w:tcBorders>
              <w:top w:val="nil"/>
              <w:left w:val="nil"/>
              <w:bottom w:val="single" w:sz="4" w:space="0" w:color="002060"/>
              <w:right w:val="single" w:sz="4" w:space="0" w:color="002060"/>
            </w:tcBorders>
            <w:shd w:val="clear" w:color="auto" w:fill="auto"/>
            <w:noWrap/>
            <w:vAlign w:val="center"/>
            <w:hideMark/>
          </w:tcPr>
          <w:p w:rsidR="00C8160D" w:rsidRPr="00C8160D" w:rsidRDefault="00C8160D" w:rsidP="00C8160D">
            <w:pPr>
              <w:keepNext w:val="0"/>
              <w:keepLines w:val="0"/>
              <w:spacing w:before="0" w:line="240" w:lineRule="auto"/>
              <w:ind w:firstLine="0"/>
              <w:jc w:val="center"/>
              <w:outlineLvl w:val="9"/>
              <w:rPr>
                <w:rFonts w:ascii="Calibri Light" w:eastAsia="Times New Roman" w:hAnsi="Calibri Light" w:cs="Calibri Light"/>
                <w:color w:val="auto"/>
                <w:sz w:val="16"/>
                <w:szCs w:val="16"/>
                <w:lang w:val="es-DO" w:eastAsia="es-DO"/>
              </w:rPr>
            </w:pPr>
            <w:r w:rsidRPr="00C8160D">
              <w:rPr>
                <w:rFonts w:ascii="Calibri Light" w:eastAsia="Times New Roman" w:hAnsi="Calibri Light" w:cs="Calibri Light"/>
                <w:color w:val="auto"/>
                <w:sz w:val="16"/>
                <w:szCs w:val="16"/>
                <w:lang w:val="es-DO" w:eastAsia="es-DO"/>
              </w:rPr>
              <w:t>50,079</w:t>
            </w:r>
          </w:p>
        </w:tc>
        <w:tc>
          <w:tcPr>
            <w:tcW w:w="585" w:type="dxa"/>
            <w:tcBorders>
              <w:top w:val="nil"/>
              <w:left w:val="nil"/>
              <w:bottom w:val="single" w:sz="4" w:space="0" w:color="002060"/>
              <w:right w:val="single" w:sz="4" w:space="0" w:color="002060"/>
            </w:tcBorders>
            <w:shd w:val="clear" w:color="auto" w:fill="auto"/>
            <w:noWrap/>
            <w:vAlign w:val="center"/>
            <w:hideMark/>
          </w:tcPr>
          <w:p w:rsidR="00C8160D" w:rsidRPr="00C8160D" w:rsidRDefault="00C8160D" w:rsidP="00C8160D">
            <w:pPr>
              <w:keepNext w:val="0"/>
              <w:keepLines w:val="0"/>
              <w:spacing w:before="0" w:line="240" w:lineRule="auto"/>
              <w:ind w:firstLine="0"/>
              <w:jc w:val="center"/>
              <w:outlineLvl w:val="9"/>
              <w:rPr>
                <w:rFonts w:ascii="Calibri Light" w:eastAsia="Times New Roman" w:hAnsi="Calibri Light" w:cs="Calibri Light"/>
                <w:color w:val="auto"/>
                <w:sz w:val="16"/>
                <w:szCs w:val="16"/>
                <w:lang w:val="es-DO" w:eastAsia="es-DO"/>
              </w:rPr>
            </w:pPr>
            <w:r w:rsidRPr="00C8160D">
              <w:rPr>
                <w:rFonts w:ascii="Calibri Light" w:eastAsia="Times New Roman" w:hAnsi="Calibri Light" w:cs="Calibri Light"/>
                <w:color w:val="auto"/>
                <w:sz w:val="16"/>
                <w:szCs w:val="16"/>
                <w:lang w:val="es-DO" w:eastAsia="es-DO"/>
              </w:rPr>
              <w:t>44,849</w:t>
            </w:r>
          </w:p>
        </w:tc>
        <w:tc>
          <w:tcPr>
            <w:tcW w:w="585" w:type="dxa"/>
            <w:tcBorders>
              <w:top w:val="nil"/>
              <w:left w:val="nil"/>
              <w:bottom w:val="single" w:sz="4" w:space="0" w:color="002060"/>
              <w:right w:val="single" w:sz="4" w:space="0" w:color="002060"/>
            </w:tcBorders>
            <w:shd w:val="clear" w:color="auto" w:fill="auto"/>
            <w:noWrap/>
            <w:vAlign w:val="center"/>
            <w:hideMark/>
          </w:tcPr>
          <w:p w:rsidR="00C8160D" w:rsidRPr="00C8160D" w:rsidRDefault="00C8160D" w:rsidP="00C8160D">
            <w:pPr>
              <w:keepNext w:val="0"/>
              <w:keepLines w:val="0"/>
              <w:spacing w:before="0" w:line="240" w:lineRule="auto"/>
              <w:ind w:firstLine="0"/>
              <w:jc w:val="center"/>
              <w:outlineLvl w:val="9"/>
              <w:rPr>
                <w:rFonts w:ascii="Calibri Light" w:eastAsia="Times New Roman" w:hAnsi="Calibri Light" w:cs="Calibri Light"/>
                <w:color w:val="auto"/>
                <w:sz w:val="16"/>
                <w:szCs w:val="16"/>
                <w:lang w:val="es-DO" w:eastAsia="es-DO"/>
              </w:rPr>
            </w:pPr>
            <w:r w:rsidRPr="00C8160D">
              <w:rPr>
                <w:rFonts w:ascii="Calibri Light" w:eastAsia="Times New Roman" w:hAnsi="Calibri Light" w:cs="Calibri Light"/>
                <w:color w:val="auto"/>
                <w:sz w:val="16"/>
                <w:szCs w:val="16"/>
                <w:lang w:val="es-DO" w:eastAsia="es-DO"/>
              </w:rPr>
              <w:t>45,000</w:t>
            </w:r>
          </w:p>
        </w:tc>
        <w:tc>
          <w:tcPr>
            <w:tcW w:w="585" w:type="dxa"/>
            <w:tcBorders>
              <w:top w:val="nil"/>
              <w:left w:val="nil"/>
              <w:bottom w:val="single" w:sz="4" w:space="0" w:color="002060"/>
              <w:right w:val="single" w:sz="4" w:space="0" w:color="002060"/>
            </w:tcBorders>
            <w:shd w:val="clear" w:color="auto" w:fill="auto"/>
            <w:noWrap/>
            <w:vAlign w:val="center"/>
            <w:hideMark/>
          </w:tcPr>
          <w:p w:rsidR="00C8160D" w:rsidRPr="00C8160D" w:rsidRDefault="00C8160D" w:rsidP="00C8160D">
            <w:pPr>
              <w:keepNext w:val="0"/>
              <w:keepLines w:val="0"/>
              <w:spacing w:before="0" w:line="240" w:lineRule="auto"/>
              <w:ind w:firstLine="0"/>
              <w:jc w:val="center"/>
              <w:outlineLvl w:val="9"/>
              <w:rPr>
                <w:rFonts w:ascii="Calibri Light" w:eastAsia="Times New Roman" w:hAnsi="Calibri Light" w:cs="Calibri Light"/>
                <w:color w:val="auto"/>
                <w:sz w:val="16"/>
                <w:szCs w:val="16"/>
                <w:lang w:val="es-DO" w:eastAsia="es-DO"/>
              </w:rPr>
            </w:pPr>
            <w:r w:rsidRPr="00C8160D">
              <w:rPr>
                <w:rFonts w:ascii="Calibri Light" w:eastAsia="Times New Roman" w:hAnsi="Calibri Light" w:cs="Calibri Light"/>
                <w:color w:val="auto"/>
                <w:sz w:val="16"/>
                <w:szCs w:val="16"/>
                <w:lang w:val="es-DO" w:eastAsia="es-DO"/>
              </w:rPr>
              <w:t>49,500</w:t>
            </w:r>
          </w:p>
        </w:tc>
        <w:tc>
          <w:tcPr>
            <w:tcW w:w="607" w:type="dxa"/>
            <w:tcBorders>
              <w:top w:val="nil"/>
              <w:left w:val="nil"/>
              <w:bottom w:val="single" w:sz="4" w:space="0" w:color="002060"/>
              <w:right w:val="single" w:sz="4" w:space="0" w:color="002060"/>
            </w:tcBorders>
            <w:shd w:val="clear" w:color="auto" w:fill="auto"/>
            <w:noWrap/>
            <w:vAlign w:val="center"/>
            <w:hideMark/>
          </w:tcPr>
          <w:p w:rsidR="00C8160D" w:rsidRPr="00C8160D" w:rsidRDefault="00C8160D" w:rsidP="00C8160D">
            <w:pPr>
              <w:keepNext w:val="0"/>
              <w:keepLines w:val="0"/>
              <w:spacing w:before="0" w:line="240" w:lineRule="auto"/>
              <w:ind w:firstLine="0"/>
              <w:jc w:val="center"/>
              <w:outlineLvl w:val="9"/>
              <w:rPr>
                <w:rFonts w:ascii="Calibri Light" w:eastAsia="Times New Roman" w:hAnsi="Calibri Light" w:cs="Calibri Light"/>
                <w:color w:val="auto"/>
                <w:sz w:val="16"/>
                <w:szCs w:val="16"/>
                <w:lang w:val="es-DO" w:eastAsia="es-DO"/>
              </w:rPr>
            </w:pPr>
            <w:r w:rsidRPr="00C8160D">
              <w:rPr>
                <w:rFonts w:ascii="Calibri Light" w:eastAsia="Times New Roman" w:hAnsi="Calibri Light" w:cs="Calibri Light"/>
                <w:color w:val="auto"/>
                <w:sz w:val="16"/>
                <w:szCs w:val="16"/>
                <w:lang w:val="es-DO" w:eastAsia="es-DO"/>
              </w:rPr>
              <w:t>54,450</w:t>
            </w:r>
          </w:p>
        </w:tc>
        <w:tc>
          <w:tcPr>
            <w:tcW w:w="585" w:type="dxa"/>
            <w:tcBorders>
              <w:top w:val="nil"/>
              <w:left w:val="nil"/>
              <w:bottom w:val="single" w:sz="4" w:space="0" w:color="002060"/>
              <w:right w:val="single" w:sz="4" w:space="0" w:color="002060"/>
            </w:tcBorders>
            <w:shd w:val="clear" w:color="auto" w:fill="auto"/>
            <w:noWrap/>
            <w:vAlign w:val="center"/>
            <w:hideMark/>
          </w:tcPr>
          <w:p w:rsidR="00C8160D" w:rsidRPr="00C8160D" w:rsidRDefault="00C8160D" w:rsidP="00C8160D">
            <w:pPr>
              <w:keepNext w:val="0"/>
              <w:keepLines w:val="0"/>
              <w:spacing w:before="0" w:line="240" w:lineRule="auto"/>
              <w:ind w:firstLine="0"/>
              <w:jc w:val="center"/>
              <w:outlineLvl w:val="9"/>
              <w:rPr>
                <w:rFonts w:ascii="Calibri Light" w:eastAsia="Times New Roman" w:hAnsi="Calibri Light" w:cs="Calibri Light"/>
                <w:color w:val="auto"/>
                <w:sz w:val="16"/>
                <w:szCs w:val="16"/>
                <w:lang w:val="es-DO" w:eastAsia="es-DO"/>
              </w:rPr>
            </w:pPr>
            <w:r w:rsidRPr="00C8160D">
              <w:rPr>
                <w:rFonts w:ascii="Calibri Light" w:eastAsia="Times New Roman" w:hAnsi="Calibri Light" w:cs="Calibri Light"/>
                <w:color w:val="auto"/>
                <w:sz w:val="16"/>
                <w:szCs w:val="16"/>
                <w:lang w:val="es-DO" w:eastAsia="es-DO"/>
              </w:rPr>
              <w:t>59,895</w:t>
            </w:r>
          </w:p>
        </w:tc>
      </w:tr>
      <w:tr w:rsidR="00C8160D" w:rsidRPr="00C8160D" w:rsidTr="008346B0">
        <w:trPr>
          <w:gridAfter w:val="7"/>
          <w:wAfter w:w="2067" w:type="dxa"/>
          <w:trHeight w:val="900"/>
        </w:trPr>
        <w:tc>
          <w:tcPr>
            <w:tcW w:w="480" w:type="dxa"/>
            <w:tcBorders>
              <w:top w:val="nil"/>
              <w:left w:val="single" w:sz="4" w:space="0" w:color="002060"/>
              <w:bottom w:val="single" w:sz="4" w:space="0" w:color="002060"/>
              <w:right w:val="single" w:sz="4" w:space="0" w:color="002060"/>
            </w:tcBorders>
            <w:shd w:val="clear" w:color="auto" w:fill="auto"/>
            <w:noWrap/>
            <w:vAlign w:val="center"/>
            <w:hideMark/>
          </w:tcPr>
          <w:p w:rsidR="00C8160D" w:rsidRPr="00C8160D" w:rsidRDefault="00C8160D" w:rsidP="00C8160D">
            <w:pPr>
              <w:keepNext w:val="0"/>
              <w:keepLines w:val="0"/>
              <w:spacing w:before="0" w:line="240" w:lineRule="auto"/>
              <w:ind w:firstLine="0"/>
              <w:jc w:val="center"/>
              <w:outlineLvl w:val="9"/>
              <w:rPr>
                <w:rFonts w:ascii="Calibri Light" w:eastAsia="Times New Roman" w:hAnsi="Calibri Light" w:cs="Calibri Light"/>
                <w:color w:val="auto"/>
                <w:sz w:val="16"/>
                <w:szCs w:val="16"/>
                <w:lang w:val="es-DO" w:eastAsia="es-DO"/>
              </w:rPr>
            </w:pPr>
            <w:r w:rsidRPr="00C8160D">
              <w:rPr>
                <w:rFonts w:ascii="Calibri Light" w:eastAsia="Times New Roman" w:hAnsi="Calibri Light" w:cs="Calibri Light"/>
                <w:color w:val="auto"/>
                <w:sz w:val="16"/>
                <w:szCs w:val="16"/>
                <w:lang w:val="es-DO" w:eastAsia="es-DO"/>
              </w:rPr>
              <w:t>3</w:t>
            </w:r>
          </w:p>
        </w:tc>
        <w:tc>
          <w:tcPr>
            <w:tcW w:w="2072" w:type="dxa"/>
            <w:tcBorders>
              <w:top w:val="nil"/>
              <w:left w:val="nil"/>
              <w:bottom w:val="single" w:sz="4" w:space="0" w:color="002060"/>
              <w:right w:val="single" w:sz="4" w:space="0" w:color="002060"/>
            </w:tcBorders>
            <w:shd w:val="clear" w:color="auto" w:fill="auto"/>
            <w:vAlign w:val="center"/>
            <w:hideMark/>
          </w:tcPr>
          <w:p w:rsidR="00C8160D" w:rsidRPr="00C8160D" w:rsidRDefault="00C8160D" w:rsidP="00C8160D">
            <w:pPr>
              <w:keepNext w:val="0"/>
              <w:keepLines w:val="0"/>
              <w:spacing w:before="0" w:line="240" w:lineRule="auto"/>
              <w:ind w:firstLine="0"/>
              <w:outlineLvl w:val="9"/>
              <w:rPr>
                <w:rFonts w:ascii="Calibri Light" w:eastAsia="Times New Roman" w:hAnsi="Calibri Light" w:cs="Calibri Light"/>
                <w:color w:val="auto"/>
                <w:sz w:val="16"/>
                <w:szCs w:val="16"/>
                <w:lang w:val="es-DO" w:eastAsia="es-DO"/>
              </w:rPr>
            </w:pPr>
            <w:r w:rsidRPr="00C8160D">
              <w:rPr>
                <w:rFonts w:ascii="Calibri Light" w:eastAsia="Times New Roman" w:hAnsi="Calibri Light" w:cs="Calibri Light"/>
                <w:color w:val="auto"/>
                <w:sz w:val="16"/>
                <w:szCs w:val="16"/>
                <w:lang w:val="es-DO" w:eastAsia="es-DO"/>
              </w:rPr>
              <w:t>Procesos de compras realizados a través del SNCC, en relación al Presupuesto asignado a las entidades públicas.</w:t>
            </w:r>
          </w:p>
        </w:tc>
        <w:tc>
          <w:tcPr>
            <w:tcW w:w="2126" w:type="dxa"/>
            <w:tcBorders>
              <w:top w:val="nil"/>
              <w:left w:val="nil"/>
              <w:bottom w:val="single" w:sz="4" w:space="0" w:color="002060"/>
              <w:right w:val="single" w:sz="4" w:space="0" w:color="002060"/>
            </w:tcBorders>
            <w:shd w:val="clear" w:color="auto" w:fill="auto"/>
            <w:vAlign w:val="center"/>
            <w:hideMark/>
          </w:tcPr>
          <w:p w:rsidR="00C8160D" w:rsidRPr="00C8160D" w:rsidRDefault="00C8160D" w:rsidP="00C8160D">
            <w:pPr>
              <w:keepNext w:val="0"/>
              <w:keepLines w:val="0"/>
              <w:spacing w:before="0" w:line="240" w:lineRule="auto"/>
              <w:ind w:firstLine="0"/>
              <w:outlineLvl w:val="9"/>
              <w:rPr>
                <w:rFonts w:ascii="Calibri Light" w:eastAsia="Times New Roman" w:hAnsi="Calibri Light" w:cs="Calibri Light"/>
                <w:color w:val="auto"/>
                <w:sz w:val="16"/>
                <w:szCs w:val="16"/>
                <w:lang w:val="es-DO" w:eastAsia="es-DO"/>
              </w:rPr>
            </w:pPr>
            <w:r w:rsidRPr="00C8160D">
              <w:rPr>
                <w:rFonts w:ascii="Calibri Light" w:eastAsia="Times New Roman" w:hAnsi="Calibri Light" w:cs="Calibri Light"/>
                <w:color w:val="auto"/>
                <w:sz w:val="16"/>
                <w:szCs w:val="16"/>
                <w:lang w:val="es-DO" w:eastAsia="es-DO"/>
              </w:rPr>
              <w:t>Porcentaje del monto del presupuesto de compras ejecutado a través del portal transaccional</w:t>
            </w:r>
          </w:p>
        </w:tc>
        <w:tc>
          <w:tcPr>
            <w:tcW w:w="1022" w:type="dxa"/>
            <w:tcBorders>
              <w:top w:val="nil"/>
              <w:left w:val="nil"/>
              <w:bottom w:val="single" w:sz="4" w:space="0" w:color="002060"/>
              <w:right w:val="single" w:sz="4" w:space="0" w:color="002060"/>
            </w:tcBorders>
            <w:shd w:val="clear" w:color="auto" w:fill="auto"/>
            <w:noWrap/>
            <w:vAlign w:val="center"/>
            <w:hideMark/>
          </w:tcPr>
          <w:p w:rsidR="00C8160D" w:rsidRPr="00C8160D" w:rsidRDefault="00C8160D" w:rsidP="00C8160D">
            <w:pPr>
              <w:keepNext w:val="0"/>
              <w:keepLines w:val="0"/>
              <w:spacing w:before="0" w:line="240" w:lineRule="auto"/>
              <w:ind w:firstLine="0"/>
              <w:jc w:val="center"/>
              <w:outlineLvl w:val="9"/>
              <w:rPr>
                <w:rFonts w:ascii="Calibri Light" w:eastAsia="Times New Roman" w:hAnsi="Calibri Light" w:cs="Calibri Light"/>
                <w:color w:val="auto"/>
                <w:sz w:val="22"/>
                <w:szCs w:val="22"/>
                <w:lang w:val="es-DO" w:eastAsia="es-DO"/>
              </w:rPr>
            </w:pPr>
            <w:r w:rsidRPr="00C8160D">
              <w:rPr>
                <w:rFonts w:ascii="Calibri Light" w:eastAsia="Times New Roman" w:hAnsi="Calibri Light" w:cs="Calibri Light"/>
                <w:color w:val="auto"/>
                <w:sz w:val="22"/>
                <w:szCs w:val="22"/>
                <w:lang w:val="es-DO" w:eastAsia="es-DO"/>
              </w:rPr>
              <w:t>A</w:t>
            </w:r>
          </w:p>
        </w:tc>
        <w:tc>
          <w:tcPr>
            <w:tcW w:w="585" w:type="dxa"/>
            <w:tcBorders>
              <w:top w:val="nil"/>
              <w:left w:val="nil"/>
              <w:bottom w:val="single" w:sz="4" w:space="0" w:color="002060"/>
              <w:right w:val="single" w:sz="4" w:space="0" w:color="002060"/>
            </w:tcBorders>
            <w:shd w:val="clear" w:color="000000" w:fill="FDE9D9"/>
            <w:noWrap/>
            <w:vAlign w:val="center"/>
            <w:hideMark/>
          </w:tcPr>
          <w:p w:rsidR="00C8160D" w:rsidRPr="00C8160D" w:rsidRDefault="00C8160D" w:rsidP="00C8160D">
            <w:pPr>
              <w:keepNext w:val="0"/>
              <w:keepLines w:val="0"/>
              <w:spacing w:before="0" w:line="240" w:lineRule="auto"/>
              <w:ind w:firstLine="0"/>
              <w:jc w:val="center"/>
              <w:outlineLvl w:val="9"/>
              <w:rPr>
                <w:rFonts w:ascii="Calibri Light" w:eastAsia="Times New Roman" w:hAnsi="Calibri Light" w:cs="Calibri Light"/>
                <w:color w:val="auto"/>
                <w:sz w:val="16"/>
                <w:szCs w:val="16"/>
                <w:lang w:val="es-DO" w:eastAsia="es-DO"/>
              </w:rPr>
            </w:pPr>
            <w:r w:rsidRPr="00C8160D">
              <w:rPr>
                <w:rFonts w:ascii="Calibri Light" w:eastAsia="Times New Roman" w:hAnsi="Calibri Light" w:cs="Calibri Light"/>
                <w:color w:val="auto"/>
                <w:sz w:val="16"/>
                <w:szCs w:val="16"/>
                <w:lang w:val="es-DO" w:eastAsia="es-DO"/>
              </w:rPr>
              <w:t> </w:t>
            </w:r>
          </w:p>
        </w:tc>
        <w:tc>
          <w:tcPr>
            <w:tcW w:w="585" w:type="dxa"/>
            <w:tcBorders>
              <w:top w:val="nil"/>
              <w:left w:val="nil"/>
              <w:bottom w:val="single" w:sz="4" w:space="0" w:color="002060"/>
              <w:right w:val="single" w:sz="4" w:space="0" w:color="002060"/>
            </w:tcBorders>
            <w:shd w:val="clear" w:color="auto" w:fill="auto"/>
            <w:noWrap/>
            <w:vAlign w:val="center"/>
            <w:hideMark/>
          </w:tcPr>
          <w:p w:rsidR="00C8160D" w:rsidRPr="00C8160D" w:rsidRDefault="00C8160D" w:rsidP="00C8160D">
            <w:pPr>
              <w:keepNext w:val="0"/>
              <w:keepLines w:val="0"/>
              <w:spacing w:before="0" w:line="240" w:lineRule="auto"/>
              <w:ind w:firstLine="0"/>
              <w:jc w:val="center"/>
              <w:outlineLvl w:val="9"/>
              <w:rPr>
                <w:rFonts w:ascii="Calibri Light" w:eastAsia="Times New Roman" w:hAnsi="Calibri Light" w:cs="Calibri Light"/>
                <w:color w:val="auto"/>
                <w:sz w:val="16"/>
                <w:szCs w:val="16"/>
                <w:lang w:val="es-DO" w:eastAsia="es-DO"/>
              </w:rPr>
            </w:pPr>
            <w:r w:rsidRPr="00C8160D">
              <w:rPr>
                <w:rFonts w:ascii="Calibri Light" w:eastAsia="Times New Roman" w:hAnsi="Calibri Light" w:cs="Calibri Light"/>
                <w:color w:val="auto"/>
                <w:sz w:val="16"/>
                <w:szCs w:val="16"/>
                <w:lang w:val="es-DO" w:eastAsia="es-DO"/>
              </w:rPr>
              <w:t>18%</w:t>
            </w:r>
          </w:p>
        </w:tc>
        <w:tc>
          <w:tcPr>
            <w:tcW w:w="585" w:type="dxa"/>
            <w:tcBorders>
              <w:top w:val="nil"/>
              <w:left w:val="nil"/>
              <w:bottom w:val="single" w:sz="4" w:space="0" w:color="002060"/>
              <w:right w:val="single" w:sz="4" w:space="0" w:color="002060"/>
            </w:tcBorders>
            <w:shd w:val="clear" w:color="000000" w:fill="FDE9D9"/>
            <w:noWrap/>
            <w:vAlign w:val="center"/>
            <w:hideMark/>
          </w:tcPr>
          <w:p w:rsidR="00C8160D" w:rsidRPr="00C8160D" w:rsidRDefault="00C8160D" w:rsidP="00C8160D">
            <w:pPr>
              <w:keepNext w:val="0"/>
              <w:keepLines w:val="0"/>
              <w:spacing w:before="0" w:line="240" w:lineRule="auto"/>
              <w:ind w:firstLine="0"/>
              <w:jc w:val="center"/>
              <w:outlineLvl w:val="9"/>
              <w:rPr>
                <w:rFonts w:ascii="Calibri Light" w:eastAsia="Times New Roman" w:hAnsi="Calibri Light" w:cs="Calibri Light"/>
                <w:color w:val="auto"/>
                <w:sz w:val="16"/>
                <w:szCs w:val="16"/>
                <w:lang w:val="es-DO" w:eastAsia="es-DO"/>
              </w:rPr>
            </w:pPr>
            <w:r w:rsidRPr="00C8160D">
              <w:rPr>
                <w:rFonts w:ascii="Calibri Light" w:eastAsia="Times New Roman" w:hAnsi="Calibri Light" w:cs="Calibri Light"/>
                <w:color w:val="auto"/>
                <w:sz w:val="16"/>
                <w:szCs w:val="16"/>
                <w:lang w:val="es-DO" w:eastAsia="es-DO"/>
              </w:rPr>
              <w:t> </w:t>
            </w:r>
          </w:p>
        </w:tc>
        <w:tc>
          <w:tcPr>
            <w:tcW w:w="585" w:type="dxa"/>
            <w:tcBorders>
              <w:top w:val="nil"/>
              <w:left w:val="nil"/>
              <w:bottom w:val="single" w:sz="4" w:space="0" w:color="002060"/>
              <w:right w:val="single" w:sz="4" w:space="0" w:color="002060"/>
            </w:tcBorders>
            <w:shd w:val="clear" w:color="000000" w:fill="FDE9D9"/>
            <w:noWrap/>
            <w:vAlign w:val="center"/>
            <w:hideMark/>
          </w:tcPr>
          <w:p w:rsidR="00C8160D" w:rsidRPr="00C8160D" w:rsidRDefault="00C8160D" w:rsidP="00C8160D">
            <w:pPr>
              <w:keepNext w:val="0"/>
              <w:keepLines w:val="0"/>
              <w:spacing w:before="0" w:line="240" w:lineRule="auto"/>
              <w:ind w:firstLine="0"/>
              <w:jc w:val="center"/>
              <w:outlineLvl w:val="9"/>
              <w:rPr>
                <w:rFonts w:ascii="Calibri Light" w:eastAsia="Times New Roman" w:hAnsi="Calibri Light" w:cs="Calibri Light"/>
                <w:color w:val="auto"/>
                <w:sz w:val="16"/>
                <w:szCs w:val="16"/>
                <w:lang w:val="es-DO" w:eastAsia="es-DO"/>
              </w:rPr>
            </w:pPr>
            <w:r w:rsidRPr="00C8160D">
              <w:rPr>
                <w:rFonts w:ascii="Calibri Light" w:eastAsia="Times New Roman" w:hAnsi="Calibri Light" w:cs="Calibri Light"/>
                <w:color w:val="auto"/>
                <w:sz w:val="16"/>
                <w:szCs w:val="16"/>
                <w:lang w:val="es-DO" w:eastAsia="es-DO"/>
              </w:rPr>
              <w:t> </w:t>
            </w:r>
          </w:p>
        </w:tc>
        <w:tc>
          <w:tcPr>
            <w:tcW w:w="607" w:type="dxa"/>
            <w:tcBorders>
              <w:top w:val="nil"/>
              <w:left w:val="nil"/>
              <w:bottom w:val="single" w:sz="4" w:space="0" w:color="002060"/>
              <w:right w:val="single" w:sz="4" w:space="0" w:color="002060"/>
            </w:tcBorders>
            <w:shd w:val="clear" w:color="000000" w:fill="FDE9D9"/>
            <w:noWrap/>
            <w:vAlign w:val="center"/>
            <w:hideMark/>
          </w:tcPr>
          <w:p w:rsidR="00C8160D" w:rsidRPr="00C8160D" w:rsidRDefault="00C8160D" w:rsidP="00C8160D">
            <w:pPr>
              <w:keepNext w:val="0"/>
              <w:keepLines w:val="0"/>
              <w:spacing w:before="0" w:line="240" w:lineRule="auto"/>
              <w:ind w:firstLine="0"/>
              <w:jc w:val="center"/>
              <w:outlineLvl w:val="9"/>
              <w:rPr>
                <w:rFonts w:ascii="Calibri Light" w:eastAsia="Times New Roman" w:hAnsi="Calibri Light" w:cs="Calibri Light"/>
                <w:color w:val="auto"/>
                <w:sz w:val="16"/>
                <w:szCs w:val="16"/>
                <w:lang w:val="es-DO" w:eastAsia="es-DO"/>
              </w:rPr>
            </w:pPr>
            <w:r w:rsidRPr="00C8160D">
              <w:rPr>
                <w:rFonts w:ascii="Calibri Light" w:eastAsia="Times New Roman" w:hAnsi="Calibri Light" w:cs="Calibri Light"/>
                <w:color w:val="auto"/>
                <w:sz w:val="16"/>
                <w:szCs w:val="16"/>
                <w:lang w:val="es-DO" w:eastAsia="es-DO"/>
              </w:rPr>
              <w:t> </w:t>
            </w:r>
          </w:p>
        </w:tc>
        <w:tc>
          <w:tcPr>
            <w:tcW w:w="585" w:type="dxa"/>
            <w:tcBorders>
              <w:top w:val="nil"/>
              <w:left w:val="nil"/>
              <w:bottom w:val="single" w:sz="4" w:space="0" w:color="002060"/>
              <w:right w:val="single" w:sz="4" w:space="0" w:color="002060"/>
            </w:tcBorders>
            <w:shd w:val="clear" w:color="000000" w:fill="FDE9D9"/>
            <w:noWrap/>
            <w:vAlign w:val="center"/>
            <w:hideMark/>
          </w:tcPr>
          <w:p w:rsidR="00C8160D" w:rsidRPr="00C8160D" w:rsidRDefault="00C8160D" w:rsidP="00C8160D">
            <w:pPr>
              <w:keepNext w:val="0"/>
              <w:keepLines w:val="0"/>
              <w:spacing w:before="0" w:line="240" w:lineRule="auto"/>
              <w:ind w:firstLine="0"/>
              <w:jc w:val="center"/>
              <w:outlineLvl w:val="9"/>
              <w:rPr>
                <w:rFonts w:ascii="Calibri Light" w:eastAsia="Times New Roman" w:hAnsi="Calibri Light" w:cs="Calibri Light"/>
                <w:color w:val="auto"/>
                <w:sz w:val="16"/>
                <w:szCs w:val="16"/>
                <w:lang w:val="es-DO" w:eastAsia="es-DO"/>
              </w:rPr>
            </w:pPr>
            <w:r w:rsidRPr="00C8160D">
              <w:rPr>
                <w:rFonts w:ascii="Calibri Light" w:eastAsia="Times New Roman" w:hAnsi="Calibri Light" w:cs="Calibri Light"/>
                <w:color w:val="auto"/>
                <w:sz w:val="16"/>
                <w:szCs w:val="16"/>
                <w:lang w:val="es-DO" w:eastAsia="es-DO"/>
              </w:rPr>
              <w:t> </w:t>
            </w:r>
          </w:p>
        </w:tc>
      </w:tr>
    </w:tbl>
    <w:p w:rsidR="009970BC" w:rsidRPr="0037264B" w:rsidRDefault="00C8160D" w:rsidP="00353396">
      <w:pPr>
        <w:tabs>
          <w:tab w:val="left" w:pos="2291"/>
        </w:tabs>
        <w:rPr>
          <w:rFonts w:asciiTheme="majorHAnsi" w:hAnsiTheme="majorHAnsi" w:cstheme="majorHAnsi"/>
          <w:color w:val="1F4E79" w:themeColor="accent1" w:themeShade="80"/>
        </w:rPr>
      </w:pPr>
      <w:r>
        <w:fldChar w:fldCharType="end"/>
      </w:r>
      <w:r w:rsidR="0037264B" w:rsidRPr="0037264B">
        <w:rPr>
          <w:rFonts w:asciiTheme="majorHAnsi" w:hAnsiTheme="majorHAnsi" w:cstheme="majorHAnsi"/>
          <w:color w:val="1F4E79" w:themeColor="accent1" w:themeShade="80"/>
        </w:rPr>
        <w:t>P</w:t>
      </w:r>
      <w:r w:rsidR="009970BC" w:rsidRPr="0037264B">
        <w:rPr>
          <w:rFonts w:asciiTheme="majorHAnsi" w:hAnsiTheme="majorHAnsi" w:cstheme="majorHAnsi"/>
          <w:color w:val="1F4E79" w:themeColor="accent1" w:themeShade="80"/>
        </w:rPr>
        <w:t>lan Estratégico</w:t>
      </w:r>
      <w:r w:rsidR="00353396" w:rsidRPr="0037264B">
        <w:rPr>
          <w:rFonts w:asciiTheme="majorHAnsi" w:hAnsiTheme="majorHAnsi" w:cstheme="majorHAnsi"/>
          <w:color w:val="1F4E79" w:themeColor="accent1" w:themeShade="80"/>
        </w:rPr>
        <w:t xml:space="preserve"> Institucional 2018 - 2021</w:t>
      </w:r>
      <w:r w:rsidR="009970BC">
        <w:rPr>
          <w:rFonts w:asciiTheme="majorHAnsi" w:hAnsiTheme="majorHAnsi" w:cstheme="majorHAnsi"/>
          <w:color w:val="1F4E79" w:themeColor="accent1" w:themeShade="80"/>
        </w:rPr>
        <w:fldChar w:fldCharType="begin"/>
      </w:r>
      <w:r w:rsidR="009970BC" w:rsidRPr="0037264B">
        <w:rPr>
          <w:rFonts w:asciiTheme="majorHAnsi" w:hAnsiTheme="majorHAnsi" w:cstheme="majorHAnsi"/>
          <w:color w:val="1F4E79" w:themeColor="accent1" w:themeShade="80"/>
        </w:rPr>
        <w:instrText xml:space="preserve"> LINK </w:instrText>
      </w:r>
      <w:r w:rsidR="00615A2F">
        <w:rPr>
          <w:rFonts w:asciiTheme="majorHAnsi" w:hAnsiTheme="majorHAnsi" w:cstheme="majorHAnsi"/>
          <w:color w:val="1F4E79" w:themeColor="accent1" w:themeShade="80"/>
        </w:rPr>
        <w:instrText xml:space="preserve">Excel.Sheet.8 "C:\\Users\\caquino\\Documents\\PyD DGCP\\Actualizacion PNPSP 2018-2023 (V 2019) 19.06.19.xls" TablaMemoria2019!F1C1:F8C10 </w:instrText>
      </w:r>
      <w:r w:rsidR="009970BC" w:rsidRPr="0037264B">
        <w:rPr>
          <w:rFonts w:asciiTheme="majorHAnsi" w:hAnsiTheme="majorHAnsi" w:cstheme="majorHAnsi"/>
          <w:color w:val="1F4E79" w:themeColor="accent1" w:themeShade="80"/>
        </w:rPr>
        <w:instrText xml:space="preserve">\a \f 4 \h  \* MERGEFORMAT </w:instrText>
      </w:r>
      <w:r w:rsidR="009970BC">
        <w:rPr>
          <w:rFonts w:asciiTheme="majorHAnsi" w:hAnsiTheme="majorHAnsi" w:cstheme="majorHAnsi"/>
          <w:color w:val="1F4E79" w:themeColor="accent1" w:themeShade="80"/>
        </w:rPr>
        <w:fldChar w:fldCharType="separate"/>
      </w:r>
    </w:p>
    <w:p w:rsidR="00A15E83" w:rsidRDefault="009970BC" w:rsidP="00731AA9">
      <w:pPr>
        <w:pStyle w:val="Textoindependiente"/>
      </w:pPr>
      <w:r>
        <w:fldChar w:fldCharType="end"/>
      </w:r>
      <w:r w:rsidR="005A19D3">
        <w:t>T</w:t>
      </w:r>
      <w:r w:rsidR="005A19D3" w:rsidRPr="005A19D3">
        <w:t>omando en consideración la visión país</w:t>
      </w:r>
      <w:r w:rsidR="005A19D3">
        <w:t>,</w:t>
      </w:r>
      <w:r w:rsidR="005A19D3" w:rsidRPr="005A19D3">
        <w:t xml:space="preserve"> los </w:t>
      </w:r>
      <w:r w:rsidR="009C26A1">
        <w:t>objetivos vinculados a</w:t>
      </w:r>
      <w:r w:rsidR="005A19D3" w:rsidRPr="005A19D3">
        <w:t xml:space="preserve"> la Estrategia Nacional de Desarrollo</w:t>
      </w:r>
      <w:r w:rsidR="005A19D3">
        <w:t xml:space="preserve"> (END)</w:t>
      </w:r>
      <w:r w:rsidR="005A19D3" w:rsidRPr="005A19D3">
        <w:t xml:space="preserve">, </w:t>
      </w:r>
      <w:r w:rsidR="005A19D3">
        <w:t xml:space="preserve">los Objetivos de Desarrollo Sostenible (ODS), y el Plan Nacional Plurianual del Sector Público (PNPSP), </w:t>
      </w:r>
      <w:r w:rsidR="005A19D3" w:rsidRPr="005A19D3">
        <w:t>fue diseñado el Marco Estratég</w:t>
      </w:r>
      <w:r w:rsidR="00353396">
        <w:t>ico Institucional para el periodo 2018 a 2021</w:t>
      </w:r>
      <w:r w:rsidR="005A19D3" w:rsidRPr="005A19D3">
        <w:t>, articulando el vínculo entre la visión, la misión y los objetivos institucionales del Ministerio de Hacienda, con los planes del Gobierno a mediano y largo plazo, para el logro del cumplimient</w:t>
      </w:r>
      <w:r w:rsidR="009C6D4C">
        <w:t>o de las grandes metas del país, en tres Ejes Estratégicos:</w:t>
      </w:r>
    </w:p>
    <w:p w:rsidR="005A19D3" w:rsidRPr="00961F66" w:rsidRDefault="005C618F" w:rsidP="00E469CA">
      <w:pPr>
        <w:tabs>
          <w:tab w:val="left" w:pos="2291"/>
        </w:tabs>
      </w:pPr>
      <w:r w:rsidRPr="0037264B">
        <w:rPr>
          <w:rFonts w:asciiTheme="majorHAnsi" w:hAnsiTheme="majorHAnsi" w:cstheme="majorHAnsi"/>
          <w:noProof/>
          <w:color w:val="1F4E79" w:themeColor="accent1" w:themeShade="80"/>
          <w:lang w:val="es-DO" w:eastAsia="es-DO"/>
        </w:rPr>
        <w:drawing>
          <wp:anchor distT="0" distB="0" distL="114300" distR="114300" simplePos="0" relativeHeight="251692032" behindDoc="0" locked="0" layoutInCell="1" allowOverlap="1" wp14:anchorId="2898B2D9" wp14:editId="051207ED">
            <wp:simplePos x="0" y="0"/>
            <wp:positionH relativeFrom="margin">
              <wp:posOffset>645160</wp:posOffset>
            </wp:positionH>
            <wp:positionV relativeFrom="margin">
              <wp:posOffset>3345815</wp:posOffset>
            </wp:positionV>
            <wp:extent cx="4214495" cy="1772285"/>
            <wp:effectExtent l="0" t="0" r="0" b="0"/>
            <wp:wrapSquare wrapText="bothSides"/>
            <wp:docPr id="204" name="Imagen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214495" cy="1772285"/>
                    </a:xfrm>
                    <a:prstGeom prst="rect">
                      <a:avLst/>
                    </a:prstGeom>
                    <a:noFill/>
                  </pic:spPr>
                </pic:pic>
              </a:graphicData>
            </a:graphic>
          </wp:anchor>
        </w:drawing>
      </w:r>
    </w:p>
    <w:p w:rsidR="0037264B" w:rsidRDefault="0037264B" w:rsidP="0061472F">
      <w:pPr>
        <w:rPr>
          <w:color w:val="FF0000"/>
        </w:rPr>
      </w:pPr>
    </w:p>
    <w:p w:rsidR="0037264B" w:rsidRDefault="0037264B" w:rsidP="0061472F">
      <w:pPr>
        <w:rPr>
          <w:color w:val="FF0000"/>
        </w:rPr>
      </w:pPr>
    </w:p>
    <w:p w:rsidR="0037264B" w:rsidRDefault="0037264B" w:rsidP="0061472F">
      <w:pPr>
        <w:rPr>
          <w:color w:val="FF0000"/>
        </w:rPr>
      </w:pPr>
    </w:p>
    <w:p w:rsidR="0037264B" w:rsidRPr="00731AA9" w:rsidRDefault="0037264B" w:rsidP="00731AA9">
      <w:pPr>
        <w:pStyle w:val="Textoindependiente"/>
      </w:pPr>
      <w:r w:rsidRPr="00731AA9">
        <w:t xml:space="preserve">El Ministerio de Hacienda en el 2018, dispone, para todas sus dependencias, un sistema informático concebido para el monitoreo de su plan estratégico y el de sus </w:t>
      </w:r>
      <w:r w:rsidR="00D8250A" w:rsidRPr="00731AA9">
        <w:t>dependencias, lo cual representa una ventaja en cuanto a seguimiento oportuno, evaluación de metas, y constante seguimiento a la producción estratégica institucional. A continuación, los resultados reportados para el 2019 de las metas estratégicas de esta Dirección General:</w:t>
      </w:r>
    </w:p>
    <w:p w:rsidR="00E35F03" w:rsidRDefault="00E35F03" w:rsidP="0037264B">
      <w:pPr>
        <w:tabs>
          <w:tab w:val="left" w:pos="2291"/>
        </w:tabs>
        <w:ind w:firstLine="708"/>
        <w:rPr>
          <w:color w:val="auto"/>
        </w:rPr>
      </w:pPr>
    </w:p>
    <w:p w:rsidR="0097202A" w:rsidRDefault="0097202A">
      <w:pPr>
        <w:keepNext w:val="0"/>
        <w:keepLines w:val="0"/>
        <w:spacing w:before="0" w:after="160" w:line="259" w:lineRule="auto"/>
        <w:ind w:firstLine="0"/>
        <w:jc w:val="left"/>
        <w:outlineLvl w:val="9"/>
      </w:pPr>
      <w:r>
        <w:br w:type="page"/>
      </w:r>
    </w:p>
    <w:p w:rsidR="00C8160D" w:rsidRDefault="00C8160D" w:rsidP="0061472F">
      <w:pPr>
        <w:rPr>
          <w:rFonts w:asciiTheme="minorHAnsi" w:eastAsiaTheme="minorHAnsi" w:hAnsiTheme="minorHAnsi" w:cstheme="minorBidi"/>
          <w:color w:val="auto"/>
          <w:sz w:val="22"/>
          <w:szCs w:val="22"/>
          <w:lang w:val="es-DO"/>
        </w:rPr>
      </w:pPr>
      <w:r>
        <w:fldChar w:fldCharType="begin"/>
      </w:r>
      <w:r>
        <w:instrText xml:space="preserve"> LINK </w:instrText>
      </w:r>
      <w:r w:rsidR="00D940BE">
        <w:instrText xml:space="preserve">Excel.Sheet.12 "C:\\Users\\caquino\\Documents\\PyD DGCP\\Memoria2019\\Areas\\PEI 2018-2021 Metas 2019 T3 vf.xlsx" "2019 Monitoreo!F3C1:F13C22" </w:instrText>
      </w:r>
      <w:r>
        <w:instrText xml:space="preserve">\a \f 4 \h  \* MERGEFORMAT </w:instrText>
      </w:r>
      <w:r>
        <w:fldChar w:fldCharType="separate"/>
      </w:r>
    </w:p>
    <w:tbl>
      <w:tblPr>
        <w:tblW w:w="9490" w:type="dxa"/>
        <w:jc w:val="center"/>
        <w:tblCellMar>
          <w:left w:w="70" w:type="dxa"/>
          <w:right w:w="70" w:type="dxa"/>
        </w:tblCellMar>
        <w:tblLook w:val="04A0" w:firstRow="1" w:lastRow="0" w:firstColumn="1" w:lastColumn="0" w:noHBand="0" w:noVBand="1"/>
      </w:tblPr>
      <w:tblGrid>
        <w:gridCol w:w="580"/>
        <w:gridCol w:w="5191"/>
        <w:gridCol w:w="1456"/>
        <w:gridCol w:w="1129"/>
        <w:gridCol w:w="1134"/>
      </w:tblGrid>
      <w:tr w:rsidR="00C8160D" w:rsidRPr="00C8160D" w:rsidTr="005C618F">
        <w:trPr>
          <w:trHeight w:val="499"/>
          <w:jc w:val="center"/>
        </w:trPr>
        <w:tc>
          <w:tcPr>
            <w:tcW w:w="5773" w:type="dxa"/>
            <w:gridSpan w:val="2"/>
            <w:vMerge w:val="restart"/>
            <w:tcBorders>
              <w:top w:val="single" w:sz="8" w:space="0" w:color="305496"/>
              <w:left w:val="single" w:sz="8" w:space="0" w:color="305496"/>
              <w:bottom w:val="single" w:sz="4" w:space="0" w:color="305496"/>
              <w:right w:val="single" w:sz="8" w:space="0" w:color="FFFFFF"/>
            </w:tcBorders>
            <w:shd w:val="clear" w:color="000000" w:fill="305496"/>
            <w:vAlign w:val="center"/>
            <w:hideMark/>
          </w:tcPr>
          <w:p w:rsidR="00C8160D" w:rsidRPr="00C8160D" w:rsidRDefault="00C8160D" w:rsidP="00C8160D">
            <w:pPr>
              <w:keepNext w:val="0"/>
              <w:keepLines w:val="0"/>
              <w:spacing w:before="0" w:line="240" w:lineRule="auto"/>
              <w:ind w:firstLine="0"/>
              <w:jc w:val="center"/>
              <w:outlineLvl w:val="9"/>
              <w:rPr>
                <w:rFonts w:ascii="Calibri" w:eastAsia="Times New Roman" w:hAnsi="Calibri" w:cs="Calibri"/>
                <w:b/>
                <w:bCs/>
                <w:color w:val="FFFFFF"/>
                <w:lang w:val="es-DO" w:eastAsia="es-DO"/>
              </w:rPr>
            </w:pPr>
            <w:r w:rsidRPr="00C8160D">
              <w:rPr>
                <w:rFonts w:ascii="Calibri" w:eastAsia="Times New Roman" w:hAnsi="Calibri" w:cs="Calibri"/>
                <w:b/>
                <w:bCs/>
                <w:color w:val="FFFFFF"/>
                <w:lang w:val="es-DO" w:eastAsia="es-DO"/>
              </w:rPr>
              <w:t>EJE 1: REGULACIÓN Y SUPERVISIÓN DEL SNCCP</w:t>
            </w:r>
          </w:p>
        </w:tc>
        <w:tc>
          <w:tcPr>
            <w:tcW w:w="1454" w:type="dxa"/>
            <w:tcBorders>
              <w:top w:val="single" w:sz="8" w:space="0" w:color="305496"/>
              <w:left w:val="nil"/>
              <w:bottom w:val="single" w:sz="4" w:space="0" w:color="auto"/>
              <w:right w:val="single" w:sz="8" w:space="0" w:color="FFFFFF"/>
            </w:tcBorders>
            <w:shd w:val="clear" w:color="000000" w:fill="305496"/>
            <w:vAlign w:val="center"/>
            <w:hideMark/>
          </w:tcPr>
          <w:p w:rsidR="00C8160D" w:rsidRPr="00C8160D" w:rsidRDefault="00C8160D" w:rsidP="00C8160D">
            <w:pPr>
              <w:keepNext w:val="0"/>
              <w:keepLines w:val="0"/>
              <w:spacing w:before="0" w:line="240" w:lineRule="auto"/>
              <w:ind w:firstLine="0"/>
              <w:jc w:val="center"/>
              <w:outlineLvl w:val="9"/>
              <w:rPr>
                <w:rFonts w:ascii="Calibri" w:eastAsia="Times New Roman" w:hAnsi="Calibri" w:cs="Calibri"/>
                <w:b/>
                <w:bCs/>
                <w:color w:val="FFFFFF"/>
                <w:lang w:val="es-DO" w:eastAsia="es-DO"/>
              </w:rPr>
            </w:pPr>
            <w:r w:rsidRPr="00C8160D">
              <w:rPr>
                <w:rFonts w:ascii="Calibri" w:eastAsia="Times New Roman" w:hAnsi="Calibri" w:cs="Calibri"/>
                <w:b/>
                <w:bCs/>
                <w:color w:val="FFFFFF"/>
                <w:lang w:val="es-DO" w:eastAsia="es-DO"/>
              </w:rPr>
              <w:t>2019</w:t>
            </w:r>
          </w:p>
        </w:tc>
        <w:tc>
          <w:tcPr>
            <w:tcW w:w="1129" w:type="dxa"/>
            <w:tcBorders>
              <w:top w:val="single" w:sz="8" w:space="0" w:color="305496"/>
              <w:left w:val="nil"/>
              <w:bottom w:val="nil"/>
              <w:right w:val="single" w:sz="8" w:space="0" w:color="FFFFFF"/>
            </w:tcBorders>
            <w:shd w:val="clear" w:color="000000" w:fill="305496"/>
            <w:vAlign w:val="center"/>
            <w:hideMark/>
          </w:tcPr>
          <w:p w:rsidR="00C8160D" w:rsidRPr="00C8160D" w:rsidRDefault="00C8160D" w:rsidP="00C8160D">
            <w:pPr>
              <w:keepNext w:val="0"/>
              <w:keepLines w:val="0"/>
              <w:spacing w:before="0" w:line="240" w:lineRule="auto"/>
              <w:ind w:firstLine="0"/>
              <w:jc w:val="center"/>
              <w:outlineLvl w:val="9"/>
              <w:rPr>
                <w:rFonts w:ascii="Calibri" w:eastAsia="Times New Roman" w:hAnsi="Calibri" w:cs="Calibri"/>
                <w:b/>
                <w:bCs/>
                <w:color w:val="FFFFFF"/>
                <w:lang w:val="es-DO" w:eastAsia="es-DO"/>
              </w:rPr>
            </w:pPr>
            <w:r w:rsidRPr="00C8160D">
              <w:rPr>
                <w:rFonts w:ascii="Calibri" w:eastAsia="Times New Roman" w:hAnsi="Calibri" w:cs="Calibri"/>
                <w:b/>
                <w:bCs/>
                <w:color w:val="FFFFFF"/>
                <w:lang w:val="es-DO" w:eastAsia="es-DO"/>
              </w:rPr>
              <w:t>2020</w:t>
            </w:r>
          </w:p>
        </w:tc>
        <w:tc>
          <w:tcPr>
            <w:tcW w:w="1134" w:type="dxa"/>
            <w:tcBorders>
              <w:top w:val="single" w:sz="8" w:space="0" w:color="305496"/>
              <w:left w:val="nil"/>
              <w:bottom w:val="nil"/>
              <w:right w:val="single" w:sz="8" w:space="0" w:color="305496"/>
            </w:tcBorders>
            <w:shd w:val="clear" w:color="000000" w:fill="305496"/>
            <w:vAlign w:val="center"/>
            <w:hideMark/>
          </w:tcPr>
          <w:p w:rsidR="00C8160D" w:rsidRPr="00C8160D" w:rsidRDefault="00C8160D" w:rsidP="00C8160D">
            <w:pPr>
              <w:keepNext w:val="0"/>
              <w:keepLines w:val="0"/>
              <w:spacing w:before="0" w:line="240" w:lineRule="auto"/>
              <w:ind w:firstLine="0"/>
              <w:jc w:val="center"/>
              <w:outlineLvl w:val="9"/>
              <w:rPr>
                <w:rFonts w:ascii="Calibri" w:eastAsia="Times New Roman" w:hAnsi="Calibri" w:cs="Calibri"/>
                <w:b/>
                <w:bCs/>
                <w:color w:val="FFFFFF"/>
                <w:lang w:val="es-DO" w:eastAsia="es-DO"/>
              </w:rPr>
            </w:pPr>
            <w:r w:rsidRPr="00C8160D">
              <w:rPr>
                <w:rFonts w:ascii="Calibri" w:eastAsia="Times New Roman" w:hAnsi="Calibri" w:cs="Calibri"/>
                <w:b/>
                <w:bCs/>
                <w:color w:val="FFFFFF"/>
                <w:lang w:val="es-DO" w:eastAsia="es-DO"/>
              </w:rPr>
              <w:t>2021</w:t>
            </w:r>
          </w:p>
        </w:tc>
      </w:tr>
      <w:tr w:rsidR="00C8160D" w:rsidRPr="00C8160D" w:rsidTr="005C618F">
        <w:trPr>
          <w:trHeight w:val="390"/>
          <w:jc w:val="center"/>
        </w:trPr>
        <w:tc>
          <w:tcPr>
            <w:tcW w:w="5773" w:type="dxa"/>
            <w:gridSpan w:val="2"/>
            <w:vMerge/>
            <w:tcBorders>
              <w:top w:val="single" w:sz="8" w:space="0" w:color="305496"/>
              <w:left w:val="single" w:sz="8" w:space="0" w:color="305496"/>
              <w:bottom w:val="single" w:sz="4" w:space="0" w:color="305496"/>
              <w:right w:val="single" w:sz="8" w:space="0" w:color="FFFFFF"/>
            </w:tcBorders>
            <w:vAlign w:val="center"/>
            <w:hideMark/>
          </w:tcPr>
          <w:p w:rsidR="00C8160D" w:rsidRPr="00C8160D" w:rsidRDefault="00C8160D" w:rsidP="00C8160D">
            <w:pPr>
              <w:keepNext w:val="0"/>
              <w:keepLines w:val="0"/>
              <w:spacing w:before="0" w:line="240" w:lineRule="auto"/>
              <w:ind w:firstLine="0"/>
              <w:jc w:val="left"/>
              <w:outlineLvl w:val="9"/>
              <w:rPr>
                <w:rFonts w:ascii="Calibri" w:eastAsia="Times New Roman" w:hAnsi="Calibri" w:cs="Calibri"/>
                <w:b/>
                <w:bCs/>
                <w:color w:val="FFFFFF"/>
                <w:lang w:val="es-DO" w:eastAsia="es-DO"/>
              </w:rPr>
            </w:pPr>
          </w:p>
        </w:tc>
        <w:tc>
          <w:tcPr>
            <w:tcW w:w="1454" w:type="dxa"/>
            <w:vMerge w:val="restart"/>
            <w:tcBorders>
              <w:top w:val="single" w:sz="8" w:space="0" w:color="FFFFFF"/>
              <w:left w:val="single" w:sz="8" w:space="0" w:color="FFFFFF"/>
              <w:bottom w:val="single" w:sz="8" w:space="0" w:color="305496"/>
              <w:right w:val="single" w:sz="8" w:space="0" w:color="FFFFFF"/>
            </w:tcBorders>
            <w:shd w:val="clear" w:color="000000" w:fill="305496"/>
            <w:vAlign w:val="center"/>
            <w:hideMark/>
          </w:tcPr>
          <w:p w:rsidR="00C8160D" w:rsidRPr="00C8160D" w:rsidRDefault="00C8160D" w:rsidP="00C8160D">
            <w:pPr>
              <w:keepNext w:val="0"/>
              <w:keepLines w:val="0"/>
              <w:spacing w:before="0" w:line="240" w:lineRule="auto"/>
              <w:ind w:firstLine="0"/>
              <w:jc w:val="center"/>
              <w:outlineLvl w:val="9"/>
              <w:rPr>
                <w:rFonts w:ascii="Calibri" w:eastAsia="Times New Roman" w:hAnsi="Calibri" w:cs="Calibri"/>
                <w:b/>
                <w:bCs/>
                <w:color w:val="FFFFFF"/>
                <w:lang w:val="es-DO" w:eastAsia="es-DO"/>
              </w:rPr>
            </w:pPr>
            <w:r w:rsidRPr="00C8160D">
              <w:rPr>
                <w:rFonts w:ascii="Calibri" w:eastAsia="Times New Roman" w:hAnsi="Calibri" w:cs="Calibri"/>
                <w:b/>
                <w:bCs/>
                <w:color w:val="FFFFFF"/>
                <w:lang w:val="es-DO" w:eastAsia="es-DO"/>
              </w:rPr>
              <w:t>RESULTADOS</w:t>
            </w:r>
          </w:p>
        </w:tc>
        <w:tc>
          <w:tcPr>
            <w:tcW w:w="1129" w:type="dxa"/>
            <w:vMerge w:val="restart"/>
            <w:tcBorders>
              <w:top w:val="single" w:sz="8" w:space="0" w:color="FFFFFF"/>
              <w:left w:val="single" w:sz="8" w:space="0" w:color="FFFFFF"/>
              <w:bottom w:val="single" w:sz="8" w:space="0" w:color="305496"/>
              <w:right w:val="single" w:sz="8" w:space="0" w:color="FFFFFF"/>
            </w:tcBorders>
            <w:shd w:val="clear" w:color="000000" w:fill="305496"/>
            <w:vAlign w:val="center"/>
            <w:hideMark/>
          </w:tcPr>
          <w:p w:rsidR="00C8160D" w:rsidRPr="00C8160D" w:rsidRDefault="00C8160D" w:rsidP="00C8160D">
            <w:pPr>
              <w:keepNext w:val="0"/>
              <w:keepLines w:val="0"/>
              <w:spacing w:before="0" w:line="240" w:lineRule="auto"/>
              <w:ind w:firstLine="0"/>
              <w:jc w:val="center"/>
              <w:outlineLvl w:val="9"/>
              <w:rPr>
                <w:rFonts w:ascii="Calibri" w:eastAsia="Times New Roman" w:hAnsi="Calibri" w:cs="Calibri"/>
                <w:b/>
                <w:bCs/>
                <w:color w:val="FFFFFF"/>
                <w:lang w:val="es-DO" w:eastAsia="es-DO"/>
              </w:rPr>
            </w:pPr>
            <w:r w:rsidRPr="00C8160D">
              <w:rPr>
                <w:rFonts w:ascii="Calibri" w:eastAsia="Times New Roman" w:hAnsi="Calibri" w:cs="Calibri"/>
                <w:b/>
                <w:bCs/>
                <w:color w:val="FFFFFF"/>
                <w:lang w:val="es-DO" w:eastAsia="es-DO"/>
              </w:rPr>
              <w:t>META</w:t>
            </w:r>
          </w:p>
        </w:tc>
        <w:tc>
          <w:tcPr>
            <w:tcW w:w="1134" w:type="dxa"/>
            <w:vMerge w:val="restart"/>
            <w:tcBorders>
              <w:top w:val="single" w:sz="8" w:space="0" w:color="FFFFFF"/>
              <w:left w:val="single" w:sz="8" w:space="0" w:color="FFFFFF"/>
              <w:bottom w:val="single" w:sz="8" w:space="0" w:color="305496"/>
              <w:right w:val="single" w:sz="8" w:space="0" w:color="305496"/>
            </w:tcBorders>
            <w:shd w:val="clear" w:color="000000" w:fill="305496"/>
            <w:vAlign w:val="center"/>
            <w:hideMark/>
          </w:tcPr>
          <w:p w:rsidR="00C8160D" w:rsidRPr="00C8160D" w:rsidRDefault="00C8160D" w:rsidP="00C8160D">
            <w:pPr>
              <w:keepNext w:val="0"/>
              <w:keepLines w:val="0"/>
              <w:spacing w:before="0" w:line="240" w:lineRule="auto"/>
              <w:ind w:firstLine="0"/>
              <w:jc w:val="center"/>
              <w:outlineLvl w:val="9"/>
              <w:rPr>
                <w:rFonts w:ascii="Calibri" w:eastAsia="Times New Roman" w:hAnsi="Calibri" w:cs="Calibri"/>
                <w:b/>
                <w:bCs/>
                <w:color w:val="FFFFFF"/>
                <w:lang w:val="es-DO" w:eastAsia="es-DO"/>
              </w:rPr>
            </w:pPr>
            <w:r w:rsidRPr="00C8160D">
              <w:rPr>
                <w:rFonts w:ascii="Calibri" w:eastAsia="Times New Roman" w:hAnsi="Calibri" w:cs="Calibri"/>
                <w:b/>
                <w:bCs/>
                <w:color w:val="FFFFFF"/>
                <w:lang w:val="es-DO" w:eastAsia="es-DO"/>
              </w:rPr>
              <w:t>META</w:t>
            </w:r>
          </w:p>
        </w:tc>
      </w:tr>
      <w:tr w:rsidR="00C8160D" w:rsidRPr="00C8160D" w:rsidTr="005C618F">
        <w:trPr>
          <w:trHeight w:val="390"/>
          <w:jc w:val="center"/>
        </w:trPr>
        <w:tc>
          <w:tcPr>
            <w:tcW w:w="5773" w:type="dxa"/>
            <w:gridSpan w:val="2"/>
            <w:vMerge/>
            <w:tcBorders>
              <w:top w:val="single" w:sz="8" w:space="0" w:color="305496"/>
              <w:left w:val="single" w:sz="8" w:space="0" w:color="305496"/>
              <w:bottom w:val="single" w:sz="4" w:space="0" w:color="305496"/>
              <w:right w:val="single" w:sz="8" w:space="0" w:color="FFFFFF"/>
            </w:tcBorders>
            <w:vAlign w:val="center"/>
            <w:hideMark/>
          </w:tcPr>
          <w:p w:rsidR="00C8160D" w:rsidRPr="00C8160D" w:rsidRDefault="00C8160D" w:rsidP="00C8160D">
            <w:pPr>
              <w:keepNext w:val="0"/>
              <w:keepLines w:val="0"/>
              <w:spacing w:before="0" w:line="240" w:lineRule="auto"/>
              <w:ind w:firstLine="0"/>
              <w:jc w:val="left"/>
              <w:outlineLvl w:val="9"/>
              <w:rPr>
                <w:rFonts w:ascii="Calibri" w:eastAsia="Times New Roman" w:hAnsi="Calibri" w:cs="Calibri"/>
                <w:b/>
                <w:bCs/>
                <w:color w:val="FFFFFF"/>
                <w:lang w:val="es-DO" w:eastAsia="es-DO"/>
              </w:rPr>
            </w:pPr>
          </w:p>
        </w:tc>
        <w:tc>
          <w:tcPr>
            <w:tcW w:w="1454" w:type="dxa"/>
            <w:vMerge/>
            <w:tcBorders>
              <w:top w:val="single" w:sz="8" w:space="0" w:color="FFFFFF"/>
              <w:left w:val="single" w:sz="8" w:space="0" w:color="FFFFFF"/>
              <w:bottom w:val="single" w:sz="8" w:space="0" w:color="305496"/>
              <w:right w:val="single" w:sz="8" w:space="0" w:color="FFFFFF"/>
            </w:tcBorders>
            <w:vAlign w:val="center"/>
            <w:hideMark/>
          </w:tcPr>
          <w:p w:rsidR="00C8160D" w:rsidRPr="00C8160D" w:rsidRDefault="00C8160D" w:rsidP="00C8160D">
            <w:pPr>
              <w:keepNext w:val="0"/>
              <w:keepLines w:val="0"/>
              <w:spacing w:before="0" w:line="240" w:lineRule="auto"/>
              <w:ind w:firstLine="0"/>
              <w:jc w:val="left"/>
              <w:outlineLvl w:val="9"/>
              <w:rPr>
                <w:rFonts w:ascii="Calibri" w:eastAsia="Times New Roman" w:hAnsi="Calibri" w:cs="Calibri"/>
                <w:b/>
                <w:bCs/>
                <w:color w:val="FFFFFF"/>
                <w:lang w:val="es-DO" w:eastAsia="es-DO"/>
              </w:rPr>
            </w:pPr>
          </w:p>
        </w:tc>
        <w:tc>
          <w:tcPr>
            <w:tcW w:w="1129" w:type="dxa"/>
            <w:vMerge/>
            <w:tcBorders>
              <w:top w:val="single" w:sz="8" w:space="0" w:color="FFFFFF"/>
              <w:left w:val="single" w:sz="8" w:space="0" w:color="FFFFFF"/>
              <w:bottom w:val="single" w:sz="8" w:space="0" w:color="305496"/>
              <w:right w:val="single" w:sz="8" w:space="0" w:color="FFFFFF"/>
            </w:tcBorders>
            <w:vAlign w:val="center"/>
            <w:hideMark/>
          </w:tcPr>
          <w:p w:rsidR="00C8160D" w:rsidRPr="00C8160D" w:rsidRDefault="00C8160D" w:rsidP="00C8160D">
            <w:pPr>
              <w:keepNext w:val="0"/>
              <w:keepLines w:val="0"/>
              <w:spacing w:before="0" w:line="240" w:lineRule="auto"/>
              <w:ind w:firstLine="0"/>
              <w:jc w:val="left"/>
              <w:outlineLvl w:val="9"/>
              <w:rPr>
                <w:rFonts w:ascii="Calibri" w:eastAsia="Times New Roman" w:hAnsi="Calibri" w:cs="Calibri"/>
                <w:b/>
                <w:bCs/>
                <w:color w:val="FFFFFF"/>
                <w:lang w:val="es-DO" w:eastAsia="es-DO"/>
              </w:rPr>
            </w:pPr>
          </w:p>
        </w:tc>
        <w:tc>
          <w:tcPr>
            <w:tcW w:w="1134" w:type="dxa"/>
            <w:vMerge/>
            <w:tcBorders>
              <w:top w:val="single" w:sz="8" w:space="0" w:color="FFFFFF"/>
              <w:left w:val="single" w:sz="8" w:space="0" w:color="FFFFFF"/>
              <w:bottom w:val="single" w:sz="8" w:space="0" w:color="305496"/>
              <w:right w:val="single" w:sz="8" w:space="0" w:color="305496"/>
            </w:tcBorders>
            <w:vAlign w:val="center"/>
            <w:hideMark/>
          </w:tcPr>
          <w:p w:rsidR="00C8160D" w:rsidRPr="00C8160D" w:rsidRDefault="00C8160D" w:rsidP="00C8160D">
            <w:pPr>
              <w:keepNext w:val="0"/>
              <w:keepLines w:val="0"/>
              <w:spacing w:before="0" w:line="240" w:lineRule="auto"/>
              <w:ind w:firstLine="0"/>
              <w:jc w:val="left"/>
              <w:outlineLvl w:val="9"/>
              <w:rPr>
                <w:rFonts w:ascii="Calibri" w:eastAsia="Times New Roman" w:hAnsi="Calibri" w:cs="Calibri"/>
                <w:b/>
                <w:bCs/>
                <w:color w:val="FFFFFF"/>
                <w:lang w:val="es-DO" w:eastAsia="es-DO"/>
              </w:rPr>
            </w:pPr>
          </w:p>
        </w:tc>
      </w:tr>
      <w:tr w:rsidR="00C8160D" w:rsidRPr="00C8160D" w:rsidTr="005C618F">
        <w:trPr>
          <w:trHeight w:val="1785"/>
          <w:jc w:val="center"/>
        </w:trPr>
        <w:tc>
          <w:tcPr>
            <w:tcW w:w="580" w:type="dxa"/>
            <w:tcBorders>
              <w:top w:val="nil"/>
              <w:left w:val="single" w:sz="8" w:space="0" w:color="305496"/>
              <w:bottom w:val="single" w:sz="4" w:space="0" w:color="305496"/>
              <w:right w:val="nil"/>
            </w:tcBorders>
            <w:shd w:val="clear" w:color="000000" w:fill="FFFFFF"/>
            <w:vAlign w:val="center"/>
            <w:hideMark/>
          </w:tcPr>
          <w:p w:rsidR="00C8160D" w:rsidRPr="00C8160D" w:rsidRDefault="00C8160D" w:rsidP="00C8160D">
            <w:pPr>
              <w:keepNext w:val="0"/>
              <w:keepLines w:val="0"/>
              <w:spacing w:before="0" w:line="240" w:lineRule="auto"/>
              <w:ind w:firstLine="0"/>
              <w:jc w:val="center"/>
              <w:outlineLvl w:val="9"/>
              <w:rPr>
                <w:rFonts w:ascii="Calibri" w:eastAsia="Times New Roman" w:hAnsi="Calibri" w:cs="Calibri"/>
                <w:color w:val="000000"/>
                <w:sz w:val="22"/>
                <w:szCs w:val="22"/>
                <w:lang w:val="es-DO" w:eastAsia="es-DO"/>
              </w:rPr>
            </w:pPr>
            <w:r w:rsidRPr="00C8160D">
              <w:rPr>
                <w:rFonts w:ascii="Calibri" w:eastAsia="Times New Roman" w:hAnsi="Calibri" w:cs="Calibri"/>
                <w:color w:val="000000"/>
                <w:sz w:val="22"/>
                <w:szCs w:val="22"/>
                <w:lang w:val="es-DO" w:eastAsia="es-DO"/>
              </w:rPr>
              <w:t>1.1</w:t>
            </w:r>
          </w:p>
        </w:tc>
        <w:tc>
          <w:tcPr>
            <w:tcW w:w="5193" w:type="dxa"/>
            <w:tcBorders>
              <w:top w:val="nil"/>
              <w:left w:val="nil"/>
              <w:bottom w:val="single" w:sz="4" w:space="0" w:color="305496"/>
              <w:right w:val="single" w:sz="4" w:space="0" w:color="4472C4"/>
            </w:tcBorders>
            <w:shd w:val="clear" w:color="000000" w:fill="FFFFFF"/>
            <w:vAlign w:val="center"/>
            <w:hideMark/>
          </w:tcPr>
          <w:p w:rsidR="00C8160D" w:rsidRPr="00C8160D" w:rsidRDefault="00C8160D" w:rsidP="00C8160D">
            <w:pPr>
              <w:keepNext w:val="0"/>
              <w:keepLines w:val="0"/>
              <w:spacing w:before="0" w:line="240" w:lineRule="auto"/>
              <w:ind w:firstLine="0"/>
              <w:jc w:val="left"/>
              <w:outlineLvl w:val="9"/>
              <w:rPr>
                <w:rFonts w:ascii="Calibri" w:eastAsia="Times New Roman" w:hAnsi="Calibri" w:cs="Calibri"/>
                <w:b/>
                <w:bCs/>
                <w:color w:val="000000"/>
                <w:sz w:val="22"/>
                <w:szCs w:val="22"/>
                <w:lang w:val="es-DO" w:eastAsia="es-DO"/>
              </w:rPr>
            </w:pPr>
            <w:r w:rsidRPr="00C8160D">
              <w:rPr>
                <w:rFonts w:ascii="Calibri" w:eastAsia="Times New Roman" w:hAnsi="Calibri" w:cs="Calibri"/>
                <w:b/>
                <w:bCs/>
                <w:color w:val="000000"/>
                <w:sz w:val="22"/>
                <w:szCs w:val="22"/>
                <w:lang w:val="es-DO" w:eastAsia="es-DO"/>
              </w:rPr>
              <w:t>Porcentaje de avance en la elaboración, aprobación y promulgación del proyecto de Ley sobre las compras y contrataciones públicas y sus reglamentos.</w:t>
            </w:r>
          </w:p>
        </w:tc>
        <w:tc>
          <w:tcPr>
            <w:tcW w:w="1454" w:type="dxa"/>
            <w:tcBorders>
              <w:top w:val="nil"/>
              <w:left w:val="single" w:sz="8" w:space="0" w:color="4472C4"/>
              <w:bottom w:val="single" w:sz="4" w:space="0" w:color="305496"/>
              <w:right w:val="single" w:sz="8" w:space="0" w:color="4472C4"/>
            </w:tcBorders>
            <w:shd w:val="clear" w:color="000000" w:fill="E8EBF0"/>
            <w:vAlign w:val="center"/>
            <w:hideMark/>
          </w:tcPr>
          <w:p w:rsidR="00C8160D" w:rsidRPr="00C8160D" w:rsidRDefault="00C8160D" w:rsidP="00C8160D">
            <w:pPr>
              <w:keepNext w:val="0"/>
              <w:keepLines w:val="0"/>
              <w:spacing w:before="0" w:line="240" w:lineRule="auto"/>
              <w:ind w:firstLine="0"/>
              <w:jc w:val="center"/>
              <w:outlineLvl w:val="9"/>
              <w:rPr>
                <w:rFonts w:ascii="Calibri" w:eastAsia="Times New Roman" w:hAnsi="Calibri" w:cs="Calibri"/>
                <w:color w:val="000000"/>
                <w:sz w:val="22"/>
                <w:szCs w:val="22"/>
                <w:lang w:val="es-DO" w:eastAsia="es-DO"/>
              </w:rPr>
            </w:pPr>
            <w:r w:rsidRPr="00C8160D">
              <w:rPr>
                <w:rFonts w:ascii="Calibri" w:eastAsia="Times New Roman" w:hAnsi="Calibri" w:cs="Calibri"/>
                <w:color w:val="000000"/>
                <w:sz w:val="22"/>
                <w:szCs w:val="22"/>
                <w:lang w:val="es-DO" w:eastAsia="es-DO"/>
              </w:rPr>
              <w:t>0%</w:t>
            </w:r>
          </w:p>
        </w:tc>
        <w:tc>
          <w:tcPr>
            <w:tcW w:w="1129" w:type="dxa"/>
            <w:tcBorders>
              <w:top w:val="nil"/>
              <w:left w:val="nil"/>
              <w:bottom w:val="single" w:sz="4" w:space="0" w:color="305496"/>
              <w:right w:val="single" w:sz="8" w:space="0" w:color="305496"/>
            </w:tcBorders>
            <w:shd w:val="clear" w:color="000000" w:fill="FFFFFF"/>
            <w:vAlign w:val="center"/>
            <w:hideMark/>
          </w:tcPr>
          <w:p w:rsidR="00C8160D" w:rsidRPr="00C8160D" w:rsidRDefault="00C8160D" w:rsidP="00C8160D">
            <w:pPr>
              <w:keepNext w:val="0"/>
              <w:keepLines w:val="0"/>
              <w:spacing w:before="0" w:line="240" w:lineRule="auto"/>
              <w:ind w:firstLine="0"/>
              <w:jc w:val="center"/>
              <w:outlineLvl w:val="9"/>
              <w:rPr>
                <w:rFonts w:ascii="Calibri" w:eastAsia="Times New Roman" w:hAnsi="Calibri" w:cs="Calibri"/>
                <w:color w:val="000000"/>
                <w:sz w:val="22"/>
                <w:szCs w:val="22"/>
                <w:lang w:val="es-DO" w:eastAsia="es-DO"/>
              </w:rPr>
            </w:pPr>
            <w:r w:rsidRPr="00C8160D">
              <w:rPr>
                <w:rFonts w:ascii="Calibri" w:eastAsia="Times New Roman" w:hAnsi="Calibri" w:cs="Calibri"/>
                <w:color w:val="000000"/>
                <w:sz w:val="22"/>
                <w:szCs w:val="22"/>
                <w:lang w:val="es-DO" w:eastAsia="es-DO"/>
              </w:rPr>
              <w:t>1</w:t>
            </w:r>
          </w:p>
        </w:tc>
        <w:tc>
          <w:tcPr>
            <w:tcW w:w="1134" w:type="dxa"/>
            <w:tcBorders>
              <w:top w:val="nil"/>
              <w:left w:val="nil"/>
              <w:bottom w:val="single" w:sz="4" w:space="0" w:color="305496"/>
              <w:right w:val="single" w:sz="8" w:space="0" w:color="305496"/>
            </w:tcBorders>
            <w:shd w:val="clear" w:color="000000" w:fill="FFFFFF"/>
            <w:vAlign w:val="center"/>
            <w:hideMark/>
          </w:tcPr>
          <w:p w:rsidR="00C8160D" w:rsidRPr="00C8160D" w:rsidRDefault="00C8160D" w:rsidP="00C8160D">
            <w:pPr>
              <w:keepNext w:val="0"/>
              <w:keepLines w:val="0"/>
              <w:spacing w:before="0" w:line="240" w:lineRule="auto"/>
              <w:ind w:firstLine="0"/>
              <w:jc w:val="center"/>
              <w:outlineLvl w:val="9"/>
              <w:rPr>
                <w:rFonts w:ascii="Calibri" w:eastAsia="Times New Roman" w:hAnsi="Calibri" w:cs="Calibri"/>
                <w:color w:val="000000"/>
                <w:sz w:val="22"/>
                <w:szCs w:val="22"/>
                <w:lang w:val="es-DO" w:eastAsia="es-DO"/>
              </w:rPr>
            </w:pPr>
            <w:r w:rsidRPr="00C8160D">
              <w:rPr>
                <w:rFonts w:ascii="Calibri" w:eastAsia="Times New Roman" w:hAnsi="Calibri" w:cs="Calibri"/>
                <w:color w:val="000000"/>
                <w:sz w:val="22"/>
                <w:szCs w:val="22"/>
                <w:lang w:val="es-DO" w:eastAsia="es-DO"/>
              </w:rPr>
              <w:t>1+</w:t>
            </w:r>
          </w:p>
        </w:tc>
      </w:tr>
      <w:tr w:rsidR="00C8160D" w:rsidRPr="00C8160D" w:rsidTr="005C618F">
        <w:trPr>
          <w:trHeight w:val="1035"/>
          <w:jc w:val="center"/>
        </w:trPr>
        <w:tc>
          <w:tcPr>
            <w:tcW w:w="580" w:type="dxa"/>
            <w:tcBorders>
              <w:top w:val="nil"/>
              <w:left w:val="single" w:sz="8" w:space="0" w:color="305496"/>
              <w:bottom w:val="single" w:sz="4" w:space="0" w:color="305496"/>
              <w:right w:val="nil"/>
            </w:tcBorders>
            <w:shd w:val="clear" w:color="000000" w:fill="FFFFFF"/>
            <w:vAlign w:val="center"/>
            <w:hideMark/>
          </w:tcPr>
          <w:p w:rsidR="00C8160D" w:rsidRPr="00C8160D" w:rsidRDefault="00C8160D" w:rsidP="00C8160D">
            <w:pPr>
              <w:keepNext w:val="0"/>
              <w:keepLines w:val="0"/>
              <w:spacing w:before="0" w:line="240" w:lineRule="auto"/>
              <w:ind w:firstLine="0"/>
              <w:jc w:val="center"/>
              <w:outlineLvl w:val="9"/>
              <w:rPr>
                <w:rFonts w:ascii="Calibri" w:eastAsia="Times New Roman" w:hAnsi="Calibri" w:cs="Calibri"/>
                <w:color w:val="000000"/>
                <w:sz w:val="22"/>
                <w:szCs w:val="22"/>
                <w:lang w:val="es-DO" w:eastAsia="es-DO"/>
              </w:rPr>
            </w:pPr>
            <w:r w:rsidRPr="00C8160D">
              <w:rPr>
                <w:rFonts w:ascii="Calibri" w:eastAsia="Times New Roman" w:hAnsi="Calibri" w:cs="Calibri"/>
                <w:color w:val="000000"/>
                <w:sz w:val="22"/>
                <w:szCs w:val="22"/>
                <w:lang w:val="es-DO" w:eastAsia="es-DO"/>
              </w:rPr>
              <w:t>1.2</w:t>
            </w:r>
          </w:p>
        </w:tc>
        <w:tc>
          <w:tcPr>
            <w:tcW w:w="5193" w:type="dxa"/>
            <w:tcBorders>
              <w:top w:val="nil"/>
              <w:left w:val="nil"/>
              <w:bottom w:val="single" w:sz="4" w:space="0" w:color="305496"/>
              <w:right w:val="single" w:sz="4" w:space="0" w:color="4472C4"/>
            </w:tcBorders>
            <w:shd w:val="clear" w:color="000000" w:fill="FFFFFF"/>
            <w:vAlign w:val="center"/>
            <w:hideMark/>
          </w:tcPr>
          <w:p w:rsidR="00C8160D" w:rsidRPr="00C8160D" w:rsidRDefault="00C8160D" w:rsidP="00C8160D">
            <w:pPr>
              <w:keepNext w:val="0"/>
              <w:keepLines w:val="0"/>
              <w:spacing w:before="0" w:line="240" w:lineRule="auto"/>
              <w:ind w:firstLine="0"/>
              <w:jc w:val="left"/>
              <w:outlineLvl w:val="9"/>
              <w:rPr>
                <w:rFonts w:ascii="Calibri" w:eastAsia="Times New Roman" w:hAnsi="Calibri" w:cs="Calibri"/>
                <w:b/>
                <w:bCs/>
                <w:color w:val="000000"/>
                <w:sz w:val="22"/>
                <w:szCs w:val="22"/>
                <w:lang w:val="es-DO" w:eastAsia="es-DO"/>
              </w:rPr>
            </w:pPr>
            <w:r w:rsidRPr="00C8160D">
              <w:rPr>
                <w:rFonts w:ascii="Calibri" w:eastAsia="Times New Roman" w:hAnsi="Calibri" w:cs="Calibri"/>
                <w:b/>
                <w:bCs/>
                <w:color w:val="000000"/>
                <w:sz w:val="22"/>
                <w:szCs w:val="22"/>
                <w:lang w:val="es-DO" w:eastAsia="es-DO"/>
              </w:rPr>
              <w:t>Número de procesos de compra publicados en el SNCCP.</w:t>
            </w:r>
          </w:p>
        </w:tc>
        <w:tc>
          <w:tcPr>
            <w:tcW w:w="1454" w:type="dxa"/>
            <w:tcBorders>
              <w:top w:val="nil"/>
              <w:left w:val="single" w:sz="8" w:space="0" w:color="4472C4"/>
              <w:bottom w:val="single" w:sz="4" w:space="0" w:color="305496"/>
              <w:right w:val="single" w:sz="8" w:space="0" w:color="4472C4"/>
            </w:tcBorders>
            <w:shd w:val="clear" w:color="000000" w:fill="E8EBF0"/>
            <w:vAlign w:val="center"/>
            <w:hideMark/>
          </w:tcPr>
          <w:p w:rsidR="00C8160D" w:rsidRPr="00C8160D" w:rsidRDefault="00C8160D" w:rsidP="00C8160D">
            <w:pPr>
              <w:keepNext w:val="0"/>
              <w:keepLines w:val="0"/>
              <w:spacing w:before="0" w:line="240" w:lineRule="auto"/>
              <w:ind w:firstLine="0"/>
              <w:jc w:val="center"/>
              <w:outlineLvl w:val="9"/>
              <w:rPr>
                <w:rFonts w:ascii="Calibri" w:eastAsia="Times New Roman" w:hAnsi="Calibri" w:cs="Calibri"/>
                <w:color w:val="000000"/>
                <w:sz w:val="22"/>
                <w:szCs w:val="22"/>
                <w:lang w:val="es-DO" w:eastAsia="es-DO"/>
              </w:rPr>
            </w:pPr>
            <w:r w:rsidRPr="00C8160D">
              <w:rPr>
                <w:rFonts w:ascii="Calibri" w:eastAsia="Times New Roman" w:hAnsi="Calibri" w:cs="Calibri"/>
                <w:color w:val="000000"/>
                <w:sz w:val="22"/>
                <w:szCs w:val="22"/>
                <w:lang w:val="es-DO" w:eastAsia="es-DO"/>
              </w:rPr>
              <w:t>77,661</w:t>
            </w:r>
          </w:p>
        </w:tc>
        <w:tc>
          <w:tcPr>
            <w:tcW w:w="1129" w:type="dxa"/>
            <w:tcBorders>
              <w:top w:val="nil"/>
              <w:left w:val="nil"/>
              <w:bottom w:val="single" w:sz="4" w:space="0" w:color="305496"/>
              <w:right w:val="single" w:sz="8" w:space="0" w:color="305496"/>
            </w:tcBorders>
            <w:shd w:val="clear" w:color="000000" w:fill="FFFFFF"/>
            <w:vAlign w:val="center"/>
            <w:hideMark/>
          </w:tcPr>
          <w:p w:rsidR="00C8160D" w:rsidRPr="00C8160D" w:rsidRDefault="00C8160D" w:rsidP="00C8160D">
            <w:pPr>
              <w:keepNext w:val="0"/>
              <w:keepLines w:val="0"/>
              <w:spacing w:before="0" w:line="240" w:lineRule="auto"/>
              <w:ind w:firstLine="0"/>
              <w:jc w:val="center"/>
              <w:outlineLvl w:val="9"/>
              <w:rPr>
                <w:rFonts w:ascii="Calibri" w:eastAsia="Times New Roman" w:hAnsi="Calibri" w:cs="Calibri"/>
                <w:color w:val="000000"/>
                <w:sz w:val="22"/>
                <w:szCs w:val="22"/>
                <w:lang w:val="es-DO" w:eastAsia="es-DO"/>
              </w:rPr>
            </w:pPr>
            <w:r w:rsidRPr="00C8160D">
              <w:rPr>
                <w:rFonts w:ascii="Calibri" w:eastAsia="Times New Roman" w:hAnsi="Calibri" w:cs="Calibri"/>
                <w:color w:val="000000"/>
                <w:sz w:val="22"/>
                <w:szCs w:val="22"/>
                <w:lang w:val="es-DO" w:eastAsia="es-DO"/>
              </w:rPr>
              <w:t>80,000</w:t>
            </w:r>
          </w:p>
        </w:tc>
        <w:tc>
          <w:tcPr>
            <w:tcW w:w="1134" w:type="dxa"/>
            <w:tcBorders>
              <w:top w:val="nil"/>
              <w:left w:val="nil"/>
              <w:bottom w:val="single" w:sz="4" w:space="0" w:color="305496"/>
              <w:right w:val="single" w:sz="8" w:space="0" w:color="305496"/>
            </w:tcBorders>
            <w:shd w:val="clear" w:color="000000" w:fill="FFFFFF"/>
            <w:vAlign w:val="center"/>
            <w:hideMark/>
          </w:tcPr>
          <w:p w:rsidR="00C8160D" w:rsidRPr="00C8160D" w:rsidRDefault="00C8160D" w:rsidP="00C8160D">
            <w:pPr>
              <w:keepNext w:val="0"/>
              <w:keepLines w:val="0"/>
              <w:spacing w:before="0" w:line="240" w:lineRule="auto"/>
              <w:ind w:firstLine="0"/>
              <w:jc w:val="center"/>
              <w:outlineLvl w:val="9"/>
              <w:rPr>
                <w:rFonts w:ascii="Calibri" w:eastAsia="Times New Roman" w:hAnsi="Calibri" w:cs="Calibri"/>
                <w:color w:val="000000"/>
                <w:sz w:val="22"/>
                <w:szCs w:val="22"/>
                <w:lang w:val="es-DO" w:eastAsia="es-DO"/>
              </w:rPr>
            </w:pPr>
            <w:r w:rsidRPr="00C8160D">
              <w:rPr>
                <w:rFonts w:ascii="Calibri" w:eastAsia="Times New Roman" w:hAnsi="Calibri" w:cs="Calibri"/>
                <w:color w:val="000000"/>
                <w:sz w:val="22"/>
                <w:szCs w:val="22"/>
                <w:lang w:val="es-DO" w:eastAsia="es-DO"/>
              </w:rPr>
              <w:t>85,000</w:t>
            </w:r>
          </w:p>
        </w:tc>
      </w:tr>
      <w:tr w:rsidR="00C8160D" w:rsidRPr="00C8160D" w:rsidTr="005C618F">
        <w:trPr>
          <w:trHeight w:val="1935"/>
          <w:jc w:val="center"/>
        </w:trPr>
        <w:tc>
          <w:tcPr>
            <w:tcW w:w="580" w:type="dxa"/>
            <w:tcBorders>
              <w:top w:val="nil"/>
              <w:left w:val="single" w:sz="8" w:space="0" w:color="305496"/>
              <w:bottom w:val="single" w:sz="4" w:space="0" w:color="305496"/>
              <w:right w:val="nil"/>
            </w:tcBorders>
            <w:shd w:val="clear" w:color="000000" w:fill="FFFFFF"/>
            <w:vAlign w:val="center"/>
            <w:hideMark/>
          </w:tcPr>
          <w:p w:rsidR="00C8160D" w:rsidRPr="00C8160D" w:rsidRDefault="00C8160D" w:rsidP="00C8160D">
            <w:pPr>
              <w:keepNext w:val="0"/>
              <w:keepLines w:val="0"/>
              <w:spacing w:before="0" w:line="240" w:lineRule="auto"/>
              <w:ind w:firstLine="0"/>
              <w:jc w:val="center"/>
              <w:outlineLvl w:val="9"/>
              <w:rPr>
                <w:rFonts w:ascii="Calibri" w:eastAsia="Times New Roman" w:hAnsi="Calibri" w:cs="Calibri"/>
                <w:color w:val="000000"/>
                <w:sz w:val="22"/>
                <w:szCs w:val="22"/>
                <w:lang w:val="es-DO" w:eastAsia="es-DO"/>
              </w:rPr>
            </w:pPr>
            <w:r w:rsidRPr="00C8160D">
              <w:rPr>
                <w:rFonts w:ascii="Calibri" w:eastAsia="Times New Roman" w:hAnsi="Calibri" w:cs="Calibri"/>
                <w:color w:val="000000"/>
                <w:sz w:val="22"/>
                <w:szCs w:val="22"/>
                <w:lang w:val="es-DO" w:eastAsia="es-DO"/>
              </w:rPr>
              <w:t>1.3</w:t>
            </w:r>
          </w:p>
        </w:tc>
        <w:tc>
          <w:tcPr>
            <w:tcW w:w="5193" w:type="dxa"/>
            <w:tcBorders>
              <w:top w:val="nil"/>
              <w:left w:val="nil"/>
              <w:bottom w:val="single" w:sz="4" w:space="0" w:color="305496"/>
              <w:right w:val="single" w:sz="4" w:space="0" w:color="4472C4"/>
            </w:tcBorders>
            <w:shd w:val="clear" w:color="000000" w:fill="FFFFFF"/>
            <w:vAlign w:val="center"/>
            <w:hideMark/>
          </w:tcPr>
          <w:p w:rsidR="00C8160D" w:rsidRPr="00C8160D" w:rsidRDefault="00C8160D" w:rsidP="00C8160D">
            <w:pPr>
              <w:keepNext w:val="0"/>
              <w:keepLines w:val="0"/>
              <w:spacing w:before="0" w:line="240" w:lineRule="auto"/>
              <w:ind w:firstLine="0"/>
              <w:jc w:val="left"/>
              <w:outlineLvl w:val="9"/>
              <w:rPr>
                <w:rFonts w:ascii="Calibri" w:eastAsia="Times New Roman" w:hAnsi="Calibri" w:cs="Calibri"/>
                <w:b/>
                <w:bCs/>
                <w:color w:val="000000"/>
                <w:sz w:val="22"/>
                <w:szCs w:val="22"/>
                <w:lang w:val="es-DO" w:eastAsia="es-DO"/>
              </w:rPr>
            </w:pPr>
            <w:r w:rsidRPr="00C8160D">
              <w:rPr>
                <w:rFonts w:ascii="Calibri" w:eastAsia="Times New Roman" w:hAnsi="Calibri" w:cs="Calibri"/>
                <w:b/>
                <w:bCs/>
                <w:color w:val="000000"/>
                <w:sz w:val="22"/>
                <w:szCs w:val="22"/>
                <w:lang w:val="es-DO" w:eastAsia="es-DO"/>
              </w:rPr>
              <w:t>Porcentaje de procesos publicados en el Portal Transaccional que se encuentran en estado adjudicado, desierto, cancelado, suspendido, según corresponda, al cumplirse la fecha estimada de adjudicación.</w:t>
            </w:r>
          </w:p>
        </w:tc>
        <w:tc>
          <w:tcPr>
            <w:tcW w:w="1454" w:type="dxa"/>
            <w:tcBorders>
              <w:top w:val="single" w:sz="8" w:space="0" w:color="305496"/>
              <w:left w:val="single" w:sz="8" w:space="0" w:color="4472C4"/>
              <w:bottom w:val="single" w:sz="4" w:space="0" w:color="305496"/>
              <w:right w:val="single" w:sz="8" w:space="0" w:color="4472C4"/>
            </w:tcBorders>
            <w:shd w:val="clear" w:color="000000" w:fill="E8EBF0"/>
            <w:vAlign w:val="center"/>
            <w:hideMark/>
          </w:tcPr>
          <w:p w:rsidR="00C8160D" w:rsidRPr="00C8160D" w:rsidRDefault="00C8160D" w:rsidP="00C8160D">
            <w:pPr>
              <w:keepNext w:val="0"/>
              <w:keepLines w:val="0"/>
              <w:spacing w:before="0" w:line="240" w:lineRule="auto"/>
              <w:ind w:firstLine="0"/>
              <w:jc w:val="center"/>
              <w:outlineLvl w:val="9"/>
              <w:rPr>
                <w:rFonts w:ascii="Calibri" w:eastAsia="Times New Roman" w:hAnsi="Calibri" w:cs="Calibri"/>
                <w:color w:val="000000"/>
                <w:sz w:val="22"/>
                <w:szCs w:val="22"/>
                <w:lang w:val="es-DO" w:eastAsia="es-DO"/>
              </w:rPr>
            </w:pPr>
            <w:r w:rsidRPr="00C8160D">
              <w:rPr>
                <w:rFonts w:ascii="Calibri" w:eastAsia="Times New Roman" w:hAnsi="Calibri" w:cs="Calibri"/>
                <w:color w:val="000000"/>
                <w:sz w:val="22"/>
                <w:szCs w:val="22"/>
                <w:lang w:val="es-DO" w:eastAsia="es-DO"/>
              </w:rPr>
              <w:t>92%</w:t>
            </w:r>
          </w:p>
        </w:tc>
        <w:tc>
          <w:tcPr>
            <w:tcW w:w="1129" w:type="dxa"/>
            <w:tcBorders>
              <w:top w:val="nil"/>
              <w:left w:val="nil"/>
              <w:bottom w:val="single" w:sz="4" w:space="0" w:color="305496"/>
              <w:right w:val="single" w:sz="8" w:space="0" w:color="305496"/>
            </w:tcBorders>
            <w:shd w:val="clear" w:color="000000" w:fill="FFFFFF"/>
            <w:vAlign w:val="center"/>
            <w:hideMark/>
          </w:tcPr>
          <w:p w:rsidR="00C8160D" w:rsidRPr="00C8160D" w:rsidRDefault="00C8160D" w:rsidP="00C8160D">
            <w:pPr>
              <w:keepNext w:val="0"/>
              <w:keepLines w:val="0"/>
              <w:spacing w:before="0" w:line="240" w:lineRule="auto"/>
              <w:ind w:firstLine="0"/>
              <w:jc w:val="center"/>
              <w:outlineLvl w:val="9"/>
              <w:rPr>
                <w:rFonts w:ascii="Calibri" w:eastAsia="Times New Roman" w:hAnsi="Calibri" w:cs="Calibri"/>
                <w:color w:val="000000"/>
                <w:sz w:val="22"/>
                <w:szCs w:val="22"/>
                <w:lang w:val="es-DO" w:eastAsia="es-DO"/>
              </w:rPr>
            </w:pPr>
            <w:r w:rsidRPr="00C8160D">
              <w:rPr>
                <w:rFonts w:ascii="Calibri" w:eastAsia="Times New Roman" w:hAnsi="Calibri" w:cs="Calibri"/>
                <w:color w:val="000000"/>
                <w:sz w:val="22"/>
                <w:szCs w:val="22"/>
                <w:lang w:val="es-DO" w:eastAsia="es-DO"/>
              </w:rPr>
              <w:t>95.0%</w:t>
            </w:r>
          </w:p>
        </w:tc>
        <w:tc>
          <w:tcPr>
            <w:tcW w:w="1134" w:type="dxa"/>
            <w:tcBorders>
              <w:top w:val="nil"/>
              <w:left w:val="nil"/>
              <w:bottom w:val="single" w:sz="4" w:space="0" w:color="305496"/>
              <w:right w:val="single" w:sz="8" w:space="0" w:color="305496"/>
            </w:tcBorders>
            <w:shd w:val="clear" w:color="000000" w:fill="FFFFFF"/>
            <w:vAlign w:val="center"/>
            <w:hideMark/>
          </w:tcPr>
          <w:p w:rsidR="00C8160D" w:rsidRPr="00C8160D" w:rsidRDefault="00C8160D" w:rsidP="00C8160D">
            <w:pPr>
              <w:keepNext w:val="0"/>
              <w:keepLines w:val="0"/>
              <w:spacing w:before="0" w:line="240" w:lineRule="auto"/>
              <w:ind w:firstLine="0"/>
              <w:jc w:val="center"/>
              <w:outlineLvl w:val="9"/>
              <w:rPr>
                <w:rFonts w:ascii="Calibri" w:eastAsia="Times New Roman" w:hAnsi="Calibri" w:cs="Calibri"/>
                <w:b/>
                <w:bCs/>
                <w:color w:val="000000"/>
                <w:sz w:val="22"/>
                <w:szCs w:val="22"/>
                <w:lang w:val="es-DO" w:eastAsia="es-DO"/>
              </w:rPr>
            </w:pPr>
            <w:r w:rsidRPr="00C8160D">
              <w:rPr>
                <w:rFonts w:ascii="Calibri" w:eastAsia="Times New Roman" w:hAnsi="Calibri" w:cs="Calibri"/>
                <w:b/>
                <w:bCs/>
                <w:color w:val="000000"/>
                <w:sz w:val="22"/>
                <w:szCs w:val="22"/>
                <w:lang w:val="es-DO" w:eastAsia="es-DO"/>
              </w:rPr>
              <w:t> </w:t>
            </w:r>
            <w:r w:rsidRPr="00C8160D">
              <w:rPr>
                <w:rFonts w:ascii="Calibri" w:eastAsia="Times New Roman" w:hAnsi="Calibri" w:cs="Calibri"/>
                <w:color w:val="000000"/>
                <w:sz w:val="22"/>
                <w:szCs w:val="22"/>
                <w:lang w:val="es-DO" w:eastAsia="es-DO"/>
              </w:rPr>
              <w:t>95.0%</w:t>
            </w:r>
          </w:p>
        </w:tc>
      </w:tr>
      <w:tr w:rsidR="00C8160D" w:rsidRPr="00C8160D" w:rsidTr="005C618F">
        <w:trPr>
          <w:trHeight w:val="1260"/>
          <w:jc w:val="center"/>
        </w:trPr>
        <w:tc>
          <w:tcPr>
            <w:tcW w:w="580" w:type="dxa"/>
            <w:tcBorders>
              <w:top w:val="nil"/>
              <w:left w:val="single" w:sz="8" w:space="0" w:color="305496"/>
              <w:bottom w:val="single" w:sz="4" w:space="0" w:color="305496"/>
              <w:right w:val="nil"/>
            </w:tcBorders>
            <w:shd w:val="clear" w:color="000000" w:fill="FFFFFF"/>
            <w:vAlign w:val="center"/>
            <w:hideMark/>
          </w:tcPr>
          <w:p w:rsidR="00C8160D" w:rsidRPr="00C8160D" w:rsidRDefault="00C8160D" w:rsidP="00C8160D">
            <w:pPr>
              <w:keepNext w:val="0"/>
              <w:keepLines w:val="0"/>
              <w:spacing w:before="0" w:line="240" w:lineRule="auto"/>
              <w:ind w:firstLine="0"/>
              <w:jc w:val="center"/>
              <w:outlineLvl w:val="9"/>
              <w:rPr>
                <w:rFonts w:ascii="Calibri" w:eastAsia="Times New Roman" w:hAnsi="Calibri" w:cs="Calibri"/>
                <w:color w:val="000000"/>
                <w:sz w:val="22"/>
                <w:szCs w:val="22"/>
                <w:lang w:val="es-DO" w:eastAsia="es-DO"/>
              </w:rPr>
            </w:pPr>
            <w:r w:rsidRPr="00C8160D">
              <w:rPr>
                <w:rFonts w:ascii="Calibri" w:eastAsia="Times New Roman" w:hAnsi="Calibri" w:cs="Calibri"/>
                <w:color w:val="000000"/>
                <w:sz w:val="22"/>
                <w:szCs w:val="22"/>
                <w:lang w:val="es-DO" w:eastAsia="es-DO"/>
              </w:rPr>
              <w:t>1.4</w:t>
            </w:r>
          </w:p>
        </w:tc>
        <w:tc>
          <w:tcPr>
            <w:tcW w:w="5193" w:type="dxa"/>
            <w:tcBorders>
              <w:top w:val="nil"/>
              <w:left w:val="nil"/>
              <w:bottom w:val="single" w:sz="4" w:space="0" w:color="305496"/>
              <w:right w:val="single" w:sz="4" w:space="0" w:color="4472C4"/>
            </w:tcBorders>
            <w:shd w:val="clear" w:color="000000" w:fill="FFFFFF"/>
            <w:vAlign w:val="center"/>
            <w:hideMark/>
          </w:tcPr>
          <w:p w:rsidR="00C8160D" w:rsidRPr="00C8160D" w:rsidRDefault="00C8160D" w:rsidP="00C8160D">
            <w:pPr>
              <w:keepNext w:val="0"/>
              <w:keepLines w:val="0"/>
              <w:spacing w:before="0" w:line="240" w:lineRule="auto"/>
              <w:ind w:firstLine="0"/>
              <w:jc w:val="left"/>
              <w:outlineLvl w:val="9"/>
              <w:rPr>
                <w:rFonts w:ascii="Calibri" w:eastAsia="Times New Roman" w:hAnsi="Calibri" w:cs="Calibri"/>
                <w:b/>
                <w:bCs/>
                <w:color w:val="000000"/>
                <w:sz w:val="22"/>
                <w:szCs w:val="22"/>
                <w:lang w:val="es-DO" w:eastAsia="es-DO"/>
              </w:rPr>
            </w:pPr>
            <w:r w:rsidRPr="00C8160D">
              <w:rPr>
                <w:rFonts w:ascii="Calibri" w:eastAsia="Times New Roman" w:hAnsi="Calibri" w:cs="Calibri"/>
                <w:b/>
                <w:bCs/>
                <w:color w:val="000000"/>
                <w:sz w:val="22"/>
                <w:szCs w:val="22"/>
                <w:lang w:val="es-DO" w:eastAsia="es-DO"/>
              </w:rPr>
              <w:t>Porcentaje de los contratos/órdenes de compras que se encuentran en estado activo a la fecha estimada de suscripción y con fechas de inicio y fin cargadas.</w:t>
            </w:r>
          </w:p>
        </w:tc>
        <w:tc>
          <w:tcPr>
            <w:tcW w:w="1454" w:type="dxa"/>
            <w:tcBorders>
              <w:top w:val="single" w:sz="8" w:space="0" w:color="305496"/>
              <w:left w:val="single" w:sz="8" w:space="0" w:color="4472C4"/>
              <w:bottom w:val="single" w:sz="4" w:space="0" w:color="305496"/>
              <w:right w:val="single" w:sz="8" w:space="0" w:color="4472C4"/>
            </w:tcBorders>
            <w:shd w:val="clear" w:color="000000" w:fill="E8EBF0"/>
            <w:vAlign w:val="center"/>
            <w:hideMark/>
          </w:tcPr>
          <w:p w:rsidR="00C8160D" w:rsidRPr="00C8160D" w:rsidRDefault="00C8160D" w:rsidP="00C8160D">
            <w:pPr>
              <w:keepNext w:val="0"/>
              <w:keepLines w:val="0"/>
              <w:spacing w:before="0" w:line="240" w:lineRule="auto"/>
              <w:ind w:firstLine="0"/>
              <w:jc w:val="center"/>
              <w:outlineLvl w:val="9"/>
              <w:rPr>
                <w:rFonts w:ascii="Calibri" w:eastAsia="Times New Roman" w:hAnsi="Calibri" w:cs="Calibri"/>
                <w:color w:val="000000"/>
                <w:sz w:val="22"/>
                <w:szCs w:val="22"/>
                <w:lang w:val="es-DO" w:eastAsia="es-DO"/>
              </w:rPr>
            </w:pPr>
            <w:r w:rsidRPr="00C8160D">
              <w:rPr>
                <w:rFonts w:ascii="Calibri" w:eastAsia="Times New Roman" w:hAnsi="Calibri" w:cs="Calibri"/>
                <w:color w:val="000000"/>
                <w:sz w:val="22"/>
                <w:szCs w:val="22"/>
                <w:lang w:val="es-DO" w:eastAsia="es-DO"/>
              </w:rPr>
              <w:t>88%</w:t>
            </w:r>
          </w:p>
        </w:tc>
        <w:tc>
          <w:tcPr>
            <w:tcW w:w="1129" w:type="dxa"/>
            <w:tcBorders>
              <w:top w:val="nil"/>
              <w:left w:val="nil"/>
              <w:bottom w:val="single" w:sz="4" w:space="0" w:color="305496"/>
              <w:right w:val="single" w:sz="8" w:space="0" w:color="305496"/>
            </w:tcBorders>
            <w:shd w:val="clear" w:color="000000" w:fill="FFFFFF"/>
            <w:vAlign w:val="center"/>
            <w:hideMark/>
          </w:tcPr>
          <w:p w:rsidR="00C8160D" w:rsidRPr="00C8160D" w:rsidRDefault="00C8160D" w:rsidP="00C8160D">
            <w:pPr>
              <w:keepNext w:val="0"/>
              <w:keepLines w:val="0"/>
              <w:spacing w:before="0" w:line="240" w:lineRule="auto"/>
              <w:ind w:firstLine="0"/>
              <w:jc w:val="center"/>
              <w:outlineLvl w:val="9"/>
              <w:rPr>
                <w:rFonts w:ascii="Calibri" w:eastAsia="Times New Roman" w:hAnsi="Calibri" w:cs="Calibri"/>
                <w:color w:val="000000"/>
                <w:sz w:val="22"/>
                <w:szCs w:val="22"/>
                <w:lang w:val="es-DO" w:eastAsia="es-DO"/>
              </w:rPr>
            </w:pPr>
            <w:r w:rsidRPr="00C8160D">
              <w:rPr>
                <w:rFonts w:ascii="Calibri" w:eastAsia="Times New Roman" w:hAnsi="Calibri" w:cs="Calibri"/>
                <w:color w:val="000000"/>
                <w:sz w:val="22"/>
                <w:szCs w:val="22"/>
                <w:lang w:val="es-DO" w:eastAsia="es-DO"/>
              </w:rPr>
              <w:t>80.0%</w:t>
            </w:r>
          </w:p>
        </w:tc>
        <w:tc>
          <w:tcPr>
            <w:tcW w:w="1134" w:type="dxa"/>
            <w:tcBorders>
              <w:top w:val="nil"/>
              <w:left w:val="nil"/>
              <w:bottom w:val="single" w:sz="4" w:space="0" w:color="305496"/>
              <w:right w:val="single" w:sz="8" w:space="0" w:color="305496"/>
            </w:tcBorders>
            <w:shd w:val="clear" w:color="000000" w:fill="FFFFFF"/>
            <w:vAlign w:val="center"/>
            <w:hideMark/>
          </w:tcPr>
          <w:p w:rsidR="00C8160D" w:rsidRPr="00C8160D" w:rsidRDefault="00C8160D" w:rsidP="00C8160D">
            <w:pPr>
              <w:keepNext w:val="0"/>
              <w:keepLines w:val="0"/>
              <w:spacing w:before="0" w:line="240" w:lineRule="auto"/>
              <w:ind w:firstLine="0"/>
              <w:jc w:val="center"/>
              <w:outlineLvl w:val="9"/>
              <w:rPr>
                <w:rFonts w:ascii="Calibri" w:eastAsia="Times New Roman" w:hAnsi="Calibri" w:cs="Calibri"/>
                <w:b/>
                <w:bCs/>
                <w:color w:val="000000"/>
                <w:sz w:val="22"/>
                <w:szCs w:val="22"/>
                <w:lang w:val="es-DO" w:eastAsia="es-DO"/>
              </w:rPr>
            </w:pPr>
            <w:r w:rsidRPr="00C8160D">
              <w:rPr>
                <w:rFonts w:ascii="Calibri" w:eastAsia="Times New Roman" w:hAnsi="Calibri" w:cs="Calibri"/>
                <w:b/>
                <w:bCs/>
                <w:color w:val="000000"/>
                <w:sz w:val="22"/>
                <w:szCs w:val="22"/>
                <w:lang w:val="es-DO" w:eastAsia="es-DO"/>
              </w:rPr>
              <w:t> </w:t>
            </w:r>
            <w:r w:rsidRPr="00C8160D">
              <w:rPr>
                <w:rFonts w:ascii="Calibri" w:eastAsia="Times New Roman" w:hAnsi="Calibri" w:cs="Calibri"/>
                <w:color w:val="000000"/>
                <w:sz w:val="22"/>
                <w:szCs w:val="22"/>
                <w:lang w:val="es-DO" w:eastAsia="es-DO"/>
              </w:rPr>
              <w:t>85.0%</w:t>
            </w:r>
          </w:p>
        </w:tc>
      </w:tr>
      <w:tr w:rsidR="00C8160D" w:rsidRPr="00C8160D" w:rsidTr="005C618F">
        <w:trPr>
          <w:trHeight w:val="1020"/>
          <w:jc w:val="center"/>
        </w:trPr>
        <w:tc>
          <w:tcPr>
            <w:tcW w:w="580" w:type="dxa"/>
            <w:tcBorders>
              <w:top w:val="nil"/>
              <w:left w:val="single" w:sz="8" w:space="0" w:color="305496"/>
              <w:bottom w:val="single" w:sz="4" w:space="0" w:color="305496"/>
              <w:right w:val="nil"/>
            </w:tcBorders>
            <w:shd w:val="clear" w:color="000000" w:fill="FFFFFF"/>
            <w:vAlign w:val="center"/>
            <w:hideMark/>
          </w:tcPr>
          <w:p w:rsidR="00C8160D" w:rsidRPr="00C8160D" w:rsidRDefault="00C8160D" w:rsidP="00C8160D">
            <w:pPr>
              <w:keepNext w:val="0"/>
              <w:keepLines w:val="0"/>
              <w:spacing w:before="0" w:line="240" w:lineRule="auto"/>
              <w:ind w:firstLine="0"/>
              <w:jc w:val="center"/>
              <w:outlineLvl w:val="9"/>
              <w:rPr>
                <w:rFonts w:ascii="Calibri" w:eastAsia="Times New Roman" w:hAnsi="Calibri" w:cs="Calibri"/>
                <w:color w:val="000000"/>
                <w:sz w:val="22"/>
                <w:szCs w:val="22"/>
                <w:lang w:val="es-DO" w:eastAsia="es-DO"/>
              </w:rPr>
            </w:pPr>
            <w:r w:rsidRPr="00C8160D">
              <w:rPr>
                <w:rFonts w:ascii="Calibri" w:eastAsia="Times New Roman" w:hAnsi="Calibri" w:cs="Calibri"/>
                <w:color w:val="000000"/>
                <w:sz w:val="22"/>
                <w:szCs w:val="22"/>
                <w:lang w:val="es-DO" w:eastAsia="es-DO"/>
              </w:rPr>
              <w:t>1.5</w:t>
            </w:r>
          </w:p>
        </w:tc>
        <w:tc>
          <w:tcPr>
            <w:tcW w:w="5193" w:type="dxa"/>
            <w:tcBorders>
              <w:top w:val="nil"/>
              <w:left w:val="nil"/>
              <w:bottom w:val="single" w:sz="4" w:space="0" w:color="305496"/>
              <w:right w:val="single" w:sz="4" w:space="0" w:color="4472C4"/>
            </w:tcBorders>
            <w:shd w:val="clear" w:color="000000" w:fill="FFFFFF"/>
            <w:vAlign w:val="center"/>
            <w:hideMark/>
          </w:tcPr>
          <w:p w:rsidR="00C8160D" w:rsidRPr="00C8160D" w:rsidRDefault="00C8160D" w:rsidP="00C8160D">
            <w:pPr>
              <w:keepNext w:val="0"/>
              <w:keepLines w:val="0"/>
              <w:spacing w:before="0" w:line="240" w:lineRule="auto"/>
              <w:ind w:firstLine="0"/>
              <w:jc w:val="left"/>
              <w:outlineLvl w:val="9"/>
              <w:rPr>
                <w:rFonts w:ascii="Calibri" w:eastAsia="Times New Roman" w:hAnsi="Calibri" w:cs="Calibri"/>
                <w:b/>
                <w:bCs/>
                <w:color w:val="000000"/>
                <w:sz w:val="22"/>
                <w:szCs w:val="22"/>
                <w:lang w:val="es-DO" w:eastAsia="es-DO"/>
              </w:rPr>
            </w:pPr>
            <w:r w:rsidRPr="00C8160D">
              <w:rPr>
                <w:rFonts w:ascii="Calibri" w:eastAsia="Times New Roman" w:hAnsi="Calibri" w:cs="Calibri"/>
                <w:b/>
                <w:bCs/>
                <w:color w:val="000000"/>
                <w:sz w:val="22"/>
                <w:szCs w:val="22"/>
                <w:lang w:val="es-DO" w:eastAsia="es-DO"/>
              </w:rPr>
              <w:t>Porcentaje de los contratos/órdenes de compra en estado activo/modificado que tienen su plan de entrega cargado.</w:t>
            </w:r>
          </w:p>
        </w:tc>
        <w:tc>
          <w:tcPr>
            <w:tcW w:w="1454" w:type="dxa"/>
            <w:tcBorders>
              <w:top w:val="single" w:sz="8" w:space="0" w:color="305496"/>
              <w:left w:val="single" w:sz="8" w:space="0" w:color="4472C4"/>
              <w:bottom w:val="nil"/>
              <w:right w:val="single" w:sz="8" w:space="0" w:color="4472C4"/>
            </w:tcBorders>
            <w:shd w:val="clear" w:color="000000" w:fill="E8EBF0"/>
            <w:vAlign w:val="center"/>
            <w:hideMark/>
          </w:tcPr>
          <w:p w:rsidR="00C8160D" w:rsidRPr="00C8160D" w:rsidRDefault="00C8160D" w:rsidP="00C8160D">
            <w:pPr>
              <w:keepNext w:val="0"/>
              <w:keepLines w:val="0"/>
              <w:spacing w:before="0" w:line="240" w:lineRule="auto"/>
              <w:ind w:firstLine="0"/>
              <w:jc w:val="center"/>
              <w:outlineLvl w:val="9"/>
              <w:rPr>
                <w:rFonts w:ascii="Calibri" w:eastAsia="Times New Roman" w:hAnsi="Calibri" w:cs="Calibri"/>
                <w:color w:val="000000"/>
                <w:sz w:val="22"/>
                <w:szCs w:val="22"/>
                <w:lang w:val="es-DO" w:eastAsia="es-DO"/>
              </w:rPr>
            </w:pPr>
            <w:r w:rsidRPr="00C8160D">
              <w:rPr>
                <w:rFonts w:ascii="Calibri" w:eastAsia="Times New Roman" w:hAnsi="Calibri" w:cs="Calibri"/>
                <w:color w:val="000000"/>
                <w:sz w:val="22"/>
                <w:szCs w:val="22"/>
                <w:lang w:val="es-DO" w:eastAsia="es-DO"/>
              </w:rPr>
              <w:t>89%</w:t>
            </w:r>
          </w:p>
        </w:tc>
        <w:tc>
          <w:tcPr>
            <w:tcW w:w="1129" w:type="dxa"/>
            <w:tcBorders>
              <w:top w:val="nil"/>
              <w:left w:val="nil"/>
              <w:bottom w:val="single" w:sz="4" w:space="0" w:color="305496"/>
              <w:right w:val="single" w:sz="8" w:space="0" w:color="305496"/>
            </w:tcBorders>
            <w:shd w:val="clear" w:color="000000" w:fill="FFFFFF"/>
            <w:vAlign w:val="center"/>
            <w:hideMark/>
          </w:tcPr>
          <w:p w:rsidR="00C8160D" w:rsidRPr="00C8160D" w:rsidRDefault="00C8160D" w:rsidP="00C8160D">
            <w:pPr>
              <w:keepNext w:val="0"/>
              <w:keepLines w:val="0"/>
              <w:spacing w:before="0" w:line="240" w:lineRule="auto"/>
              <w:ind w:firstLine="0"/>
              <w:jc w:val="center"/>
              <w:outlineLvl w:val="9"/>
              <w:rPr>
                <w:rFonts w:ascii="Calibri" w:eastAsia="Times New Roman" w:hAnsi="Calibri" w:cs="Calibri"/>
                <w:color w:val="000000"/>
                <w:sz w:val="22"/>
                <w:szCs w:val="22"/>
                <w:lang w:val="es-DO" w:eastAsia="es-DO"/>
              </w:rPr>
            </w:pPr>
            <w:r w:rsidRPr="00C8160D">
              <w:rPr>
                <w:rFonts w:ascii="Calibri" w:eastAsia="Times New Roman" w:hAnsi="Calibri" w:cs="Calibri"/>
                <w:color w:val="000000"/>
                <w:sz w:val="22"/>
                <w:szCs w:val="22"/>
                <w:lang w:val="es-DO" w:eastAsia="es-DO"/>
              </w:rPr>
              <w:t>80.0%</w:t>
            </w:r>
          </w:p>
        </w:tc>
        <w:tc>
          <w:tcPr>
            <w:tcW w:w="1134" w:type="dxa"/>
            <w:tcBorders>
              <w:top w:val="nil"/>
              <w:left w:val="nil"/>
              <w:bottom w:val="single" w:sz="4" w:space="0" w:color="305496"/>
              <w:right w:val="single" w:sz="8" w:space="0" w:color="305496"/>
            </w:tcBorders>
            <w:shd w:val="clear" w:color="000000" w:fill="FFFFFF"/>
            <w:vAlign w:val="center"/>
            <w:hideMark/>
          </w:tcPr>
          <w:p w:rsidR="00C8160D" w:rsidRPr="00C8160D" w:rsidRDefault="00C8160D" w:rsidP="00C8160D">
            <w:pPr>
              <w:keepNext w:val="0"/>
              <w:keepLines w:val="0"/>
              <w:spacing w:before="0" w:line="240" w:lineRule="auto"/>
              <w:ind w:firstLine="0"/>
              <w:jc w:val="center"/>
              <w:outlineLvl w:val="9"/>
              <w:rPr>
                <w:rFonts w:ascii="Calibri" w:eastAsia="Times New Roman" w:hAnsi="Calibri" w:cs="Calibri"/>
                <w:color w:val="000000"/>
                <w:sz w:val="22"/>
                <w:szCs w:val="22"/>
                <w:lang w:val="es-DO" w:eastAsia="es-DO"/>
              </w:rPr>
            </w:pPr>
            <w:r w:rsidRPr="00C8160D">
              <w:rPr>
                <w:rFonts w:ascii="Calibri" w:eastAsia="Times New Roman" w:hAnsi="Calibri" w:cs="Calibri"/>
                <w:color w:val="000000"/>
                <w:sz w:val="22"/>
                <w:szCs w:val="22"/>
                <w:lang w:val="es-DO" w:eastAsia="es-DO"/>
              </w:rPr>
              <w:t>80.0%</w:t>
            </w:r>
          </w:p>
        </w:tc>
      </w:tr>
      <w:tr w:rsidR="00C8160D" w:rsidRPr="00C8160D" w:rsidTr="005C618F">
        <w:trPr>
          <w:trHeight w:val="1740"/>
          <w:jc w:val="center"/>
        </w:trPr>
        <w:tc>
          <w:tcPr>
            <w:tcW w:w="580" w:type="dxa"/>
            <w:tcBorders>
              <w:top w:val="nil"/>
              <w:left w:val="single" w:sz="8" w:space="0" w:color="305496"/>
              <w:bottom w:val="single" w:sz="4" w:space="0" w:color="305496"/>
              <w:right w:val="nil"/>
            </w:tcBorders>
            <w:shd w:val="clear" w:color="000000" w:fill="FFFFFF"/>
            <w:vAlign w:val="center"/>
            <w:hideMark/>
          </w:tcPr>
          <w:p w:rsidR="00C8160D" w:rsidRPr="00C8160D" w:rsidRDefault="00C8160D" w:rsidP="00C8160D">
            <w:pPr>
              <w:keepNext w:val="0"/>
              <w:keepLines w:val="0"/>
              <w:spacing w:before="0" w:line="240" w:lineRule="auto"/>
              <w:ind w:firstLine="0"/>
              <w:jc w:val="center"/>
              <w:outlineLvl w:val="9"/>
              <w:rPr>
                <w:rFonts w:ascii="Calibri" w:eastAsia="Times New Roman" w:hAnsi="Calibri" w:cs="Calibri"/>
                <w:color w:val="000000"/>
                <w:sz w:val="22"/>
                <w:szCs w:val="22"/>
                <w:lang w:val="es-DO" w:eastAsia="es-DO"/>
              </w:rPr>
            </w:pPr>
            <w:r w:rsidRPr="00C8160D">
              <w:rPr>
                <w:rFonts w:ascii="Calibri" w:eastAsia="Times New Roman" w:hAnsi="Calibri" w:cs="Calibri"/>
                <w:color w:val="000000"/>
                <w:sz w:val="22"/>
                <w:szCs w:val="22"/>
                <w:lang w:val="es-DO" w:eastAsia="es-DO"/>
              </w:rPr>
              <w:t>1.6</w:t>
            </w:r>
          </w:p>
        </w:tc>
        <w:tc>
          <w:tcPr>
            <w:tcW w:w="5193" w:type="dxa"/>
            <w:tcBorders>
              <w:top w:val="nil"/>
              <w:left w:val="nil"/>
              <w:bottom w:val="single" w:sz="4" w:space="0" w:color="305496"/>
              <w:right w:val="single" w:sz="4" w:space="0" w:color="4472C4"/>
            </w:tcBorders>
            <w:shd w:val="clear" w:color="000000" w:fill="FFFFFF"/>
            <w:vAlign w:val="center"/>
            <w:hideMark/>
          </w:tcPr>
          <w:p w:rsidR="00C8160D" w:rsidRPr="00C8160D" w:rsidRDefault="00C8160D" w:rsidP="00C8160D">
            <w:pPr>
              <w:keepNext w:val="0"/>
              <w:keepLines w:val="0"/>
              <w:spacing w:before="0" w:line="240" w:lineRule="auto"/>
              <w:ind w:firstLine="0"/>
              <w:jc w:val="left"/>
              <w:outlineLvl w:val="9"/>
              <w:rPr>
                <w:rFonts w:ascii="Calibri" w:eastAsia="Times New Roman" w:hAnsi="Calibri" w:cs="Calibri"/>
                <w:b/>
                <w:bCs/>
                <w:color w:val="000000"/>
                <w:sz w:val="22"/>
                <w:szCs w:val="22"/>
                <w:lang w:val="es-DO" w:eastAsia="es-DO"/>
              </w:rPr>
            </w:pPr>
            <w:r w:rsidRPr="00C8160D">
              <w:rPr>
                <w:rFonts w:ascii="Calibri" w:eastAsia="Times New Roman" w:hAnsi="Calibri" w:cs="Calibri"/>
                <w:b/>
                <w:bCs/>
                <w:color w:val="000000"/>
                <w:sz w:val="22"/>
                <w:szCs w:val="22"/>
                <w:lang w:val="es-DO" w:eastAsia="es-DO"/>
              </w:rPr>
              <w:t>Porcentaje de los contratos/órdenes de compras que se encuentran en estado cerrado, rescindido o suspendido al cumplirse la fecha de finalización del contrato.</w:t>
            </w:r>
          </w:p>
        </w:tc>
        <w:tc>
          <w:tcPr>
            <w:tcW w:w="1454" w:type="dxa"/>
            <w:tcBorders>
              <w:top w:val="single" w:sz="4" w:space="0" w:color="4472C4"/>
              <w:left w:val="single" w:sz="8" w:space="0" w:color="4472C4"/>
              <w:bottom w:val="single" w:sz="4" w:space="0" w:color="305496"/>
              <w:right w:val="single" w:sz="8" w:space="0" w:color="4472C4"/>
            </w:tcBorders>
            <w:shd w:val="clear" w:color="000000" w:fill="E8EBF0"/>
            <w:vAlign w:val="center"/>
            <w:hideMark/>
          </w:tcPr>
          <w:p w:rsidR="00C8160D" w:rsidRPr="00C8160D" w:rsidRDefault="00C8160D" w:rsidP="00C8160D">
            <w:pPr>
              <w:keepNext w:val="0"/>
              <w:keepLines w:val="0"/>
              <w:spacing w:before="0" w:line="240" w:lineRule="auto"/>
              <w:ind w:firstLine="0"/>
              <w:jc w:val="center"/>
              <w:outlineLvl w:val="9"/>
              <w:rPr>
                <w:rFonts w:ascii="Calibri" w:eastAsia="Times New Roman" w:hAnsi="Calibri" w:cs="Calibri"/>
                <w:color w:val="000000"/>
                <w:sz w:val="22"/>
                <w:szCs w:val="22"/>
                <w:lang w:val="es-DO" w:eastAsia="es-DO"/>
              </w:rPr>
            </w:pPr>
            <w:r w:rsidRPr="00C8160D">
              <w:rPr>
                <w:rFonts w:ascii="Calibri" w:eastAsia="Times New Roman" w:hAnsi="Calibri" w:cs="Calibri"/>
                <w:color w:val="000000"/>
                <w:sz w:val="22"/>
                <w:szCs w:val="22"/>
                <w:lang w:val="es-DO" w:eastAsia="es-DO"/>
              </w:rPr>
              <w:t>97%</w:t>
            </w:r>
          </w:p>
        </w:tc>
        <w:tc>
          <w:tcPr>
            <w:tcW w:w="1129" w:type="dxa"/>
            <w:tcBorders>
              <w:top w:val="nil"/>
              <w:left w:val="nil"/>
              <w:bottom w:val="single" w:sz="4" w:space="0" w:color="305496"/>
              <w:right w:val="single" w:sz="8" w:space="0" w:color="305496"/>
            </w:tcBorders>
            <w:shd w:val="clear" w:color="000000" w:fill="FFFFFF"/>
            <w:vAlign w:val="center"/>
            <w:hideMark/>
          </w:tcPr>
          <w:p w:rsidR="00C8160D" w:rsidRPr="00C8160D" w:rsidRDefault="00C8160D" w:rsidP="00C8160D">
            <w:pPr>
              <w:keepNext w:val="0"/>
              <w:keepLines w:val="0"/>
              <w:spacing w:before="0" w:line="240" w:lineRule="auto"/>
              <w:ind w:firstLine="0"/>
              <w:jc w:val="center"/>
              <w:outlineLvl w:val="9"/>
              <w:rPr>
                <w:rFonts w:ascii="Calibri" w:eastAsia="Times New Roman" w:hAnsi="Calibri" w:cs="Calibri"/>
                <w:color w:val="000000"/>
                <w:sz w:val="22"/>
                <w:szCs w:val="22"/>
                <w:lang w:val="es-DO" w:eastAsia="es-DO"/>
              </w:rPr>
            </w:pPr>
            <w:r w:rsidRPr="00C8160D">
              <w:rPr>
                <w:rFonts w:ascii="Calibri" w:eastAsia="Times New Roman" w:hAnsi="Calibri" w:cs="Calibri"/>
                <w:color w:val="000000"/>
                <w:sz w:val="22"/>
                <w:szCs w:val="22"/>
                <w:lang w:val="es-DO" w:eastAsia="es-DO"/>
              </w:rPr>
              <w:t>80.0%</w:t>
            </w:r>
          </w:p>
        </w:tc>
        <w:tc>
          <w:tcPr>
            <w:tcW w:w="1134" w:type="dxa"/>
            <w:tcBorders>
              <w:top w:val="nil"/>
              <w:left w:val="nil"/>
              <w:bottom w:val="single" w:sz="4" w:space="0" w:color="305496"/>
              <w:right w:val="single" w:sz="8" w:space="0" w:color="305496"/>
            </w:tcBorders>
            <w:shd w:val="clear" w:color="000000" w:fill="FFFFFF"/>
            <w:vAlign w:val="center"/>
            <w:hideMark/>
          </w:tcPr>
          <w:p w:rsidR="00C8160D" w:rsidRPr="00C8160D" w:rsidRDefault="00C8160D" w:rsidP="00C8160D">
            <w:pPr>
              <w:keepNext w:val="0"/>
              <w:keepLines w:val="0"/>
              <w:spacing w:before="0" w:line="240" w:lineRule="auto"/>
              <w:ind w:firstLine="0"/>
              <w:jc w:val="center"/>
              <w:outlineLvl w:val="9"/>
              <w:rPr>
                <w:rFonts w:ascii="Calibri" w:eastAsia="Times New Roman" w:hAnsi="Calibri" w:cs="Calibri"/>
                <w:color w:val="000000"/>
                <w:sz w:val="22"/>
                <w:szCs w:val="22"/>
                <w:lang w:val="es-DO" w:eastAsia="es-DO"/>
              </w:rPr>
            </w:pPr>
            <w:r w:rsidRPr="00C8160D">
              <w:rPr>
                <w:rFonts w:ascii="Calibri" w:eastAsia="Times New Roman" w:hAnsi="Calibri" w:cs="Calibri"/>
                <w:color w:val="000000"/>
                <w:sz w:val="22"/>
                <w:szCs w:val="22"/>
                <w:lang w:val="es-DO" w:eastAsia="es-DO"/>
              </w:rPr>
              <w:t>80.0%</w:t>
            </w:r>
          </w:p>
        </w:tc>
      </w:tr>
      <w:tr w:rsidR="00C8160D" w:rsidRPr="00C8160D" w:rsidTr="005C618F">
        <w:trPr>
          <w:trHeight w:val="1099"/>
          <w:jc w:val="center"/>
        </w:trPr>
        <w:tc>
          <w:tcPr>
            <w:tcW w:w="580" w:type="dxa"/>
            <w:tcBorders>
              <w:top w:val="nil"/>
              <w:left w:val="single" w:sz="8" w:space="0" w:color="305496"/>
              <w:bottom w:val="nil"/>
              <w:right w:val="nil"/>
            </w:tcBorders>
            <w:shd w:val="clear" w:color="000000" w:fill="FFFFFF"/>
            <w:vAlign w:val="center"/>
            <w:hideMark/>
          </w:tcPr>
          <w:p w:rsidR="00C8160D" w:rsidRPr="00C8160D" w:rsidRDefault="00C8160D" w:rsidP="00C8160D">
            <w:pPr>
              <w:keepNext w:val="0"/>
              <w:keepLines w:val="0"/>
              <w:spacing w:before="0" w:line="240" w:lineRule="auto"/>
              <w:ind w:firstLine="0"/>
              <w:jc w:val="center"/>
              <w:outlineLvl w:val="9"/>
              <w:rPr>
                <w:rFonts w:ascii="Calibri" w:eastAsia="Times New Roman" w:hAnsi="Calibri" w:cs="Calibri"/>
                <w:color w:val="000000"/>
                <w:sz w:val="22"/>
                <w:szCs w:val="22"/>
                <w:lang w:val="es-DO" w:eastAsia="es-DO"/>
              </w:rPr>
            </w:pPr>
            <w:r w:rsidRPr="00C8160D">
              <w:rPr>
                <w:rFonts w:ascii="Calibri" w:eastAsia="Times New Roman" w:hAnsi="Calibri" w:cs="Calibri"/>
                <w:color w:val="000000"/>
                <w:sz w:val="22"/>
                <w:szCs w:val="22"/>
                <w:lang w:val="es-DO" w:eastAsia="es-DO"/>
              </w:rPr>
              <w:t>1.7</w:t>
            </w:r>
          </w:p>
        </w:tc>
        <w:tc>
          <w:tcPr>
            <w:tcW w:w="5193" w:type="dxa"/>
            <w:tcBorders>
              <w:top w:val="nil"/>
              <w:left w:val="nil"/>
              <w:bottom w:val="nil"/>
              <w:right w:val="nil"/>
            </w:tcBorders>
            <w:shd w:val="clear" w:color="000000" w:fill="FFFFFF"/>
            <w:vAlign w:val="center"/>
            <w:hideMark/>
          </w:tcPr>
          <w:p w:rsidR="00C8160D" w:rsidRPr="00C8160D" w:rsidRDefault="00C8160D" w:rsidP="00C8160D">
            <w:pPr>
              <w:keepNext w:val="0"/>
              <w:keepLines w:val="0"/>
              <w:spacing w:before="0" w:line="240" w:lineRule="auto"/>
              <w:ind w:firstLine="0"/>
              <w:jc w:val="left"/>
              <w:outlineLvl w:val="9"/>
              <w:rPr>
                <w:rFonts w:ascii="Calibri" w:eastAsia="Times New Roman" w:hAnsi="Calibri" w:cs="Calibri"/>
                <w:b/>
                <w:bCs/>
                <w:color w:val="000000"/>
                <w:sz w:val="22"/>
                <w:szCs w:val="22"/>
                <w:lang w:val="es-DO" w:eastAsia="es-DO"/>
              </w:rPr>
            </w:pPr>
            <w:r w:rsidRPr="00C8160D">
              <w:rPr>
                <w:rFonts w:ascii="Calibri" w:eastAsia="Times New Roman" w:hAnsi="Calibri" w:cs="Calibri"/>
                <w:b/>
                <w:bCs/>
                <w:color w:val="000000"/>
                <w:sz w:val="22"/>
                <w:szCs w:val="22"/>
                <w:lang w:val="es-DO" w:eastAsia="es-DO"/>
              </w:rPr>
              <w:t>Porcentaje global del indicador sobre el uso del SNCCP (SISCOMPRA).</w:t>
            </w:r>
          </w:p>
        </w:tc>
        <w:tc>
          <w:tcPr>
            <w:tcW w:w="1454" w:type="dxa"/>
            <w:tcBorders>
              <w:top w:val="single" w:sz="8" w:space="0" w:color="305496"/>
              <w:left w:val="single" w:sz="8" w:space="0" w:color="4472C4"/>
              <w:bottom w:val="single" w:sz="4" w:space="0" w:color="4472C4"/>
              <w:right w:val="single" w:sz="8" w:space="0" w:color="4472C4"/>
            </w:tcBorders>
            <w:shd w:val="clear" w:color="000000" w:fill="E8EBF0"/>
            <w:vAlign w:val="center"/>
            <w:hideMark/>
          </w:tcPr>
          <w:p w:rsidR="00C8160D" w:rsidRPr="00C8160D" w:rsidRDefault="00C8160D" w:rsidP="00C8160D">
            <w:pPr>
              <w:keepNext w:val="0"/>
              <w:keepLines w:val="0"/>
              <w:spacing w:before="0" w:line="240" w:lineRule="auto"/>
              <w:ind w:firstLine="0"/>
              <w:jc w:val="center"/>
              <w:outlineLvl w:val="9"/>
              <w:rPr>
                <w:rFonts w:ascii="Calibri" w:eastAsia="Times New Roman" w:hAnsi="Calibri" w:cs="Calibri"/>
                <w:color w:val="000000"/>
                <w:sz w:val="22"/>
                <w:szCs w:val="22"/>
                <w:lang w:val="es-DO" w:eastAsia="es-DO"/>
              </w:rPr>
            </w:pPr>
            <w:r w:rsidRPr="00C8160D">
              <w:rPr>
                <w:rFonts w:ascii="Calibri" w:eastAsia="Times New Roman" w:hAnsi="Calibri" w:cs="Calibri"/>
                <w:color w:val="000000"/>
                <w:sz w:val="22"/>
                <w:szCs w:val="22"/>
                <w:lang w:val="es-DO" w:eastAsia="es-DO"/>
              </w:rPr>
              <w:t>91.85%</w:t>
            </w:r>
          </w:p>
        </w:tc>
        <w:tc>
          <w:tcPr>
            <w:tcW w:w="1129" w:type="dxa"/>
            <w:tcBorders>
              <w:top w:val="nil"/>
              <w:left w:val="nil"/>
              <w:bottom w:val="nil"/>
              <w:right w:val="single" w:sz="8" w:space="0" w:color="305496"/>
            </w:tcBorders>
            <w:shd w:val="clear" w:color="000000" w:fill="FFFFFF"/>
            <w:vAlign w:val="center"/>
            <w:hideMark/>
          </w:tcPr>
          <w:p w:rsidR="00C8160D" w:rsidRPr="00C8160D" w:rsidRDefault="00C8160D" w:rsidP="00C8160D">
            <w:pPr>
              <w:keepNext w:val="0"/>
              <w:keepLines w:val="0"/>
              <w:spacing w:before="0" w:line="240" w:lineRule="auto"/>
              <w:ind w:firstLine="0"/>
              <w:jc w:val="center"/>
              <w:outlineLvl w:val="9"/>
              <w:rPr>
                <w:rFonts w:ascii="Calibri" w:eastAsia="Times New Roman" w:hAnsi="Calibri" w:cs="Calibri"/>
                <w:color w:val="000000"/>
                <w:sz w:val="22"/>
                <w:szCs w:val="22"/>
                <w:lang w:val="es-DO" w:eastAsia="es-DO"/>
              </w:rPr>
            </w:pPr>
            <w:r w:rsidRPr="00C8160D">
              <w:rPr>
                <w:rFonts w:ascii="Calibri" w:eastAsia="Times New Roman" w:hAnsi="Calibri" w:cs="Calibri"/>
                <w:color w:val="000000"/>
                <w:sz w:val="22"/>
                <w:szCs w:val="22"/>
                <w:lang w:val="es-DO" w:eastAsia="es-DO"/>
              </w:rPr>
              <w:t>85.0%</w:t>
            </w:r>
          </w:p>
        </w:tc>
        <w:tc>
          <w:tcPr>
            <w:tcW w:w="1134" w:type="dxa"/>
            <w:tcBorders>
              <w:top w:val="nil"/>
              <w:left w:val="nil"/>
              <w:bottom w:val="single" w:sz="4" w:space="0" w:color="305496"/>
              <w:right w:val="single" w:sz="8" w:space="0" w:color="305496"/>
            </w:tcBorders>
            <w:shd w:val="clear" w:color="000000" w:fill="FFFFFF"/>
            <w:vAlign w:val="center"/>
            <w:hideMark/>
          </w:tcPr>
          <w:p w:rsidR="00C8160D" w:rsidRPr="00C8160D" w:rsidRDefault="00C8160D" w:rsidP="00C8160D">
            <w:pPr>
              <w:keepNext w:val="0"/>
              <w:keepLines w:val="0"/>
              <w:spacing w:before="0" w:line="240" w:lineRule="auto"/>
              <w:ind w:firstLine="0"/>
              <w:jc w:val="center"/>
              <w:outlineLvl w:val="9"/>
              <w:rPr>
                <w:rFonts w:ascii="Calibri" w:eastAsia="Times New Roman" w:hAnsi="Calibri" w:cs="Calibri"/>
                <w:color w:val="000000"/>
                <w:sz w:val="22"/>
                <w:szCs w:val="22"/>
                <w:lang w:val="es-DO" w:eastAsia="es-DO"/>
              </w:rPr>
            </w:pPr>
            <w:r w:rsidRPr="00C8160D">
              <w:rPr>
                <w:rFonts w:ascii="Calibri" w:eastAsia="Times New Roman" w:hAnsi="Calibri" w:cs="Calibri"/>
                <w:color w:val="000000"/>
                <w:sz w:val="22"/>
                <w:szCs w:val="22"/>
                <w:lang w:val="es-DO" w:eastAsia="es-DO"/>
              </w:rPr>
              <w:t>90.0%</w:t>
            </w:r>
          </w:p>
        </w:tc>
      </w:tr>
      <w:tr w:rsidR="00C8160D" w:rsidRPr="00C8160D" w:rsidTr="005C618F">
        <w:trPr>
          <w:trHeight w:val="990"/>
          <w:jc w:val="center"/>
        </w:trPr>
        <w:tc>
          <w:tcPr>
            <w:tcW w:w="580" w:type="dxa"/>
            <w:tcBorders>
              <w:top w:val="single" w:sz="4" w:space="0" w:color="305496"/>
              <w:left w:val="single" w:sz="8" w:space="0" w:color="305496"/>
              <w:bottom w:val="double" w:sz="6" w:space="0" w:color="305496"/>
              <w:right w:val="nil"/>
            </w:tcBorders>
            <w:shd w:val="clear" w:color="000000" w:fill="FFFFFF"/>
            <w:vAlign w:val="center"/>
            <w:hideMark/>
          </w:tcPr>
          <w:p w:rsidR="00C8160D" w:rsidRPr="00C8160D" w:rsidRDefault="00C8160D" w:rsidP="00C8160D">
            <w:pPr>
              <w:keepNext w:val="0"/>
              <w:keepLines w:val="0"/>
              <w:spacing w:before="0" w:line="240" w:lineRule="auto"/>
              <w:ind w:firstLine="0"/>
              <w:jc w:val="center"/>
              <w:outlineLvl w:val="9"/>
              <w:rPr>
                <w:rFonts w:ascii="Calibri" w:eastAsia="Times New Roman" w:hAnsi="Calibri" w:cs="Calibri"/>
                <w:color w:val="000000"/>
                <w:sz w:val="22"/>
                <w:szCs w:val="22"/>
                <w:lang w:val="es-DO" w:eastAsia="es-DO"/>
              </w:rPr>
            </w:pPr>
            <w:r w:rsidRPr="00C8160D">
              <w:rPr>
                <w:rFonts w:ascii="Calibri" w:eastAsia="Times New Roman" w:hAnsi="Calibri" w:cs="Calibri"/>
                <w:color w:val="000000"/>
                <w:sz w:val="22"/>
                <w:szCs w:val="22"/>
                <w:lang w:val="es-DO" w:eastAsia="es-DO"/>
              </w:rPr>
              <w:t>1.8</w:t>
            </w:r>
          </w:p>
        </w:tc>
        <w:tc>
          <w:tcPr>
            <w:tcW w:w="5193" w:type="dxa"/>
            <w:tcBorders>
              <w:top w:val="single" w:sz="4" w:space="0" w:color="305496"/>
              <w:left w:val="nil"/>
              <w:bottom w:val="single" w:sz="4" w:space="0" w:color="4472C4"/>
              <w:right w:val="single" w:sz="8" w:space="0" w:color="305496"/>
            </w:tcBorders>
            <w:shd w:val="clear" w:color="000000" w:fill="FFFFFF"/>
            <w:vAlign w:val="center"/>
            <w:hideMark/>
          </w:tcPr>
          <w:p w:rsidR="00C8160D" w:rsidRPr="00C8160D" w:rsidRDefault="00C8160D" w:rsidP="00C8160D">
            <w:pPr>
              <w:keepNext w:val="0"/>
              <w:keepLines w:val="0"/>
              <w:spacing w:before="0" w:line="240" w:lineRule="auto"/>
              <w:ind w:firstLine="0"/>
              <w:jc w:val="left"/>
              <w:outlineLvl w:val="9"/>
              <w:rPr>
                <w:rFonts w:ascii="Calibri" w:eastAsia="Times New Roman" w:hAnsi="Calibri" w:cs="Calibri"/>
                <w:b/>
                <w:bCs/>
                <w:color w:val="000000"/>
                <w:sz w:val="22"/>
                <w:szCs w:val="22"/>
                <w:lang w:val="es-DO" w:eastAsia="es-DO"/>
              </w:rPr>
            </w:pPr>
            <w:r w:rsidRPr="00C8160D">
              <w:rPr>
                <w:rFonts w:ascii="Calibri" w:eastAsia="Times New Roman" w:hAnsi="Calibri" w:cs="Calibri"/>
                <w:b/>
                <w:bCs/>
                <w:color w:val="000000"/>
                <w:sz w:val="22"/>
                <w:szCs w:val="22"/>
                <w:lang w:val="es-DO" w:eastAsia="es-DO"/>
              </w:rPr>
              <w:t>Número de programas de formación técnica en el área de compras y contrataciones vigentes.</w:t>
            </w:r>
          </w:p>
        </w:tc>
        <w:tc>
          <w:tcPr>
            <w:tcW w:w="1454" w:type="dxa"/>
            <w:tcBorders>
              <w:top w:val="nil"/>
              <w:left w:val="single" w:sz="8" w:space="0" w:color="4472C4"/>
              <w:bottom w:val="single" w:sz="8" w:space="0" w:color="4472C4"/>
              <w:right w:val="single" w:sz="8" w:space="0" w:color="4472C4"/>
            </w:tcBorders>
            <w:shd w:val="clear" w:color="000000" w:fill="E8EBF0"/>
            <w:vAlign w:val="center"/>
            <w:hideMark/>
          </w:tcPr>
          <w:p w:rsidR="00C8160D" w:rsidRPr="00C8160D" w:rsidRDefault="00C8160D" w:rsidP="00C8160D">
            <w:pPr>
              <w:keepNext w:val="0"/>
              <w:keepLines w:val="0"/>
              <w:spacing w:before="0" w:line="240" w:lineRule="auto"/>
              <w:ind w:firstLine="0"/>
              <w:jc w:val="center"/>
              <w:outlineLvl w:val="9"/>
              <w:rPr>
                <w:rFonts w:ascii="Calibri" w:eastAsia="Times New Roman" w:hAnsi="Calibri" w:cs="Calibri"/>
                <w:color w:val="000000"/>
                <w:sz w:val="22"/>
                <w:szCs w:val="22"/>
                <w:lang w:val="es-DO" w:eastAsia="es-DO"/>
              </w:rPr>
            </w:pPr>
            <w:r w:rsidRPr="00C8160D">
              <w:rPr>
                <w:rFonts w:ascii="Calibri" w:eastAsia="Times New Roman" w:hAnsi="Calibri" w:cs="Calibri"/>
                <w:color w:val="000000"/>
                <w:sz w:val="22"/>
                <w:szCs w:val="22"/>
                <w:lang w:val="es-DO" w:eastAsia="es-DO"/>
              </w:rPr>
              <w:t>1</w:t>
            </w:r>
          </w:p>
        </w:tc>
        <w:tc>
          <w:tcPr>
            <w:tcW w:w="1129" w:type="dxa"/>
            <w:tcBorders>
              <w:top w:val="single" w:sz="4" w:space="0" w:color="305496"/>
              <w:left w:val="nil"/>
              <w:bottom w:val="single" w:sz="4" w:space="0" w:color="305496"/>
              <w:right w:val="single" w:sz="8" w:space="0" w:color="305496"/>
            </w:tcBorders>
            <w:shd w:val="clear" w:color="000000" w:fill="FFFFFF"/>
            <w:vAlign w:val="center"/>
            <w:hideMark/>
          </w:tcPr>
          <w:p w:rsidR="00C8160D" w:rsidRPr="00C8160D" w:rsidRDefault="00C8160D" w:rsidP="00C8160D">
            <w:pPr>
              <w:keepNext w:val="0"/>
              <w:keepLines w:val="0"/>
              <w:spacing w:before="0" w:line="240" w:lineRule="auto"/>
              <w:ind w:firstLine="0"/>
              <w:jc w:val="center"/>
              <w:outlineLvl w:val="9"/>
              <w:rPr>
                <w:rFonts w:ascii="Calibri" w:eastAsia="Times New Roman" w:hAnsi="Calibri" w:cs="Calibri"/>
                <w:color w:val="000000"/>
                <w:sz w:val="22"/>
                <w:szCs w:val="22"/>
                <w:lang w:val="es-DO" w:eastAsia="es-DO"/>
              </w:rPr>
            </w:pPr>
            <w:r w:rsidRPr="00C8160D">
              <w:rPr>
                <w:rFonts w:ascii="Calibri" w:eastAsia="Times New Roman" w:hAnsi="Calibri" w:cs="Calibri"/>
                <w:color w:val="000000"/>
                <w:sz w:val="22"/>
                <w:szCs w:val="22"/>
                <w:lang w:val="es-DO" w:eastAsia="es-DO"/>
              </w:rPr>
              <w:t>4</w:t>
            </w:r>
          </w:p>
        </w:tc>
        <w:tc>
          <w:tcPr>
            <w:tcW w:w="1134" w:type="dxa"/>
            <w:tcBorders>
              <w:top w:val="nil"/>
              <w:left w:val="nil"/>
              <w:bottom w:val="single" w:sz="4" w:space="0" w:color="305496"/>
              <w:right w:val="single" w:sz="8" w:space="0" w:color="305496"/>
            </w:tcBorders>
            <w:shd w:val="clear" w:color="000000" w:fill="FFFFFF"/>
            <w:vAlign w:val="center"/>
            <w:hideMark/>
          </w:tcPr>
          <w:p w:rsidR="00C8160D" w:rsidRPr="00C8160D" w:rsidRDefault="00C8160D" w:rsidP="00C8160D">
            <w:pPr>
              <w:keepNext w:val="0"/>
              <w:keepLines w:val="0"/>
              <w:spacing w:before="0" w:line="240" w:lineRule="auto"/>
              <w:ind w:firstLine="0"/>
              <w:jc w:val="center"/>
              <w:outlineLvl w:val="9"/>
              <w:rPr>
                <w:rFonts w:ascii="Calibri" w:eastAsia="Times New Roman" w:hAnsi="Calibri" w:cs="Calibri"/>
                <w:color w:val="000000"/>
                <w:sz w:val="22"/>
                <w:szCs w:val="22"/>
                <w:lang w:val="es-DO" w:eastAsia="es-DO"/>
              </w:rPr>
            </w:pPr>
            <w:r w:rsidRPr="00C8160D">
              <w:rPr>
                <w:rFonts w:ascii="Calibri" w:eastAsia="Times New Roman" w:hAnsi="Calibri" w:cs="Calibri"/>
                <w:color w:val="000000"/>
                <w:sz w:val="22"/>
                <w:szCs w:val="22"/>
                <w:lang w:val="es-DO" w:eastAsia="es-DO"/>
              </w:rPr>
              <w:t>4</w:t>
            </w:r>
          </w:p>
        </w:tc>
      </w:tr>
    </w:tbl>
    <w:p w:rsidR="00E35F03" w:rsidRDefault="00C8160D" w:rsidP="00C8160D">
      <w:pPr>
        <w:ind w:firstLine="0"/>
        <w:rPr>
          <w:rFonts w:asciiTheme="minorHAnsi" w:eastAsiaTheme="minorHAnsi" w:hAnsiTheme="minorHAnsi" w:cstheme="minorBidi"/>
          <w:color w:val="auto"/>
          <w:sz w:val="22"/>
          <w:szCs w:val="22"/>
          <w:lang w:val="es-DO"/>
        </w:rPr>
      </w:pPr>
      <w:r>
        <w:rPr>
          <w:color w:val="FF0000"/>
        </w:rPr>
        <w:fldChar w:fldCharType="end"/>
      </w:r>
      <w:r w:rsidR="00E35F03">
        <w:rPr>
          <w:color w:val="FF0000"/>
        </w:rPr>
        <w:fldChar w:fldCharType="begin"/>
      </w:r>
      <w:r w:rsidR="00E35F03">
        <w:rPr>
          <w:color w:val="FF0000"/>
        </w:rPr>
        <w:instrText xml:space="preserve"> LINK </w:instrText>
      </w:r>
      <w:r w:rsidR="00D940BE">
        <w:rPr>
          <w:color w:val="FF0000"/>
        </w:rPr>
        <w:instrText xml:space="preserve">Excel.Sheet.12 "C:\\Users\\caquino\\Documents\\PyD DGCP\\Memoria2019\\Areas\\PEI 2018-2021 Metas 2019 T3 vf.xlsx" "2019 Monitoreo!F15C1:F18C22" </w:instrText>
      </w:r>
      <w:r w:rsidR="00E35F03">
        <w:rPr>
          <w:color w:val="FF0000"/>
        </w:rPr>
        <w:instrText xml:space="preserve">\a \f 4 \h  \* MERGEFORMAT </w:instrText>
      </w:r>
      <w:r w:rsidR="00E35F03">
        <w:rPr>
          <w:color w:val="FF0000"/>
        </w:rPr>
        <w:fldChar w:fldCharType="separate"/>
      </w:r>
    </w:p>
    <w:tbl>
      <w:tblPr>
        <w:tblW w:w="9488" w:type="dxa"/>
        <w:jc w:val="center"/>
        <w:tblCellMar>
          <w:left w:w="70" w:type="dxa"/>
          <w:right w:w="70" w:type="dxa"/>
        </w:tblCellMar>
        <w:tblLook w:val="04A0" w:firstRow="1" w:lastRow="0" w:firstColumn="1" w:lastColumn="0" w:noHBand="0" w:noVBand="1"/>
      </w:tblPr>
      <w:tblGrid>
        <w:gridCol w:w="579"/>
        <w:gridCol w:w="5190"/>
        <w:gridCol w:w="1456"/>
        <w:gridCol w:w="1129"/>
        <w:gridCol w:w="1134"/>
      </w:tblGrid>
      <w:tr w:rsidR="00E35F03" w:rsidRPr="00E35F03" w:rsidTr="005C618F">
        <w:trPr>
          <w:trHeight w:val="1242"/>
          <w:jc w:val="center"/>
        </w:trPr>
        <w:tc>
          <w:tcPr>
            <w:tcW w:w="5769" w:type="dxa"/>
            <w:gridSpan w:val="2"/>
            <w:tcBorders>
              <w:top w:val="nil"/>
              <w:left w:val="single" w:sz="8" w:space="0" w:color="305496"/>
              <w:bottom w:val="nil"/>
              <w:right w:val="single" w:sz="8" w:space="0" w:color="FFFFFF"/>
            </w:tcBorders>
            <w:shd w:val="clear" w:color="000000" w:fill="305496"/>
            <w:vAlign w:val="center"/>
            <w:hideMark/>
          </w:tcPr>
          <w:p w:rsidR="00E35F03" w:rsidRPr="00E35F03" w:rsidRDefault="00E35F03">
            <w:pPr>
              <w:jc w:val="center"/>
              <w:rPr>
                <w:rFonts w:ascii="Calibri" w:eastAsia="Times New Roman" w:hAnsi="Calibri" w:cs="Calibri"/>
                <w:b/>
                <w:bCs/>
                <w:color w:val="FFFFFF"/>
                <w:lang w:val="es-DO" w:eastAsia="es-DO"/>
              </w:rPr>
            </w:pPr>
            <w:r w:rsidRPr="00E35F03">
              <w:rPr>
                <w:rFonts w:ascii="Calibri" w:eastAsia="Times New Roman" w:hAnsi="Calibri" w:cs="Calibri"/>
                <w:b/>
                <w:bCs/>
                <w:color w:val="FFFFFF"/>
                <w:lang w:val="es-DO" w:eastAsia="es-DO"/>
              </w:rPr>
              <w:t>EJE 2: FOMENTO DEL MERCADO DE COMPRAS PÚBLICAS</w:t>
            </w:r>
          </w:p>
        </w:tc>
        <w:tc>
          <w:tcPr>
            <w:tcW w:w="1456" w:type="dxa"/>
            <w:tcBorders>
              <w:top w:val="nil"/>
              <w:left w:val="nil"/>
              <w:bottom w:val="nil"/>
              <w:right w:val="single" w:sz="8" w:space="0" w:color="FFFFFF"/>
            </w:tcBorders>
            <w:shd w:val="clear" w:color="000000" w:fill="305496"/>
            <w:vAlign w:val="center"/>
            <w:hideMark/>
          </w:tcPr>
          <w:p w:rsidR="00E35F03" w:rsidRPr="00E35F03" w:rsidRDefault="00E35F03" w:rsidP="00E35F03">
            <w:pPr>
              <w:keepNext w:val="0"/>
              <w:keepLines w:val="0"/>
              <w:spacing w:before="0" w:line="240" w:lineRule="auto"/>
              <w:ind w:firstLine="0"/>
              <w:jc w:val="center"/>
              <w:outlineLvl w:val="9"/>
              <w:rPr>
                <w:rFonts w:ascii="Calibri" w:eastAsia="Times New Roman" w:hAnsi="Calibri" w:cs="Calibri"/>
                <w:b/>
                <w:bCs/>
                <w:color w:val="FFFFFF"/>
                <w:lang w:val="es-DO" w:eastAsia="es-DO"/>
              </w:rPr>
            </w:pPr>
            <w:r w:rsidRPr="00E35F03">
              <w:rPr>
                <w:rFonts w:ascii="Calibri" w:eastAsia="Times New Roman" w:hAnsi="Calibri" w:cs="Calibri"/>
                <w:b/>
                <w:bCs/>
                <w:color w:val="FFFFFF"/>
                <w:lang w:val="es-DO" w:eastAsia="es-DO"/>
              </w:rPr>
              <w:t>2019</w:t>
            </w:r>
            <w:r w:rsidRPr="00E35F03">
              <w:rPr>
                <w:rFonts w:ascii="Calibri" w:eastAsia="Times New Roman" w:hAnsi="Calibri" w:cs="Calibri"/>
                <w:b/>
                <w:bCs/>
                <w:color w:val="FFFFFF"/>
                <w:lang w:val="es-DO" w:eastAsia="es-DO"/>
              </w:rPr>
              <w:br/>
              <w:t>RESULTADOS</w:t>
            </w:r>
          </w:p>
        </w:tc>
        <w:tc>
          <w:tcPr>
            <w:tcW w:w="1129" w:type="dxa"/>
            <w:tcBorders>
              <w:top w:val="nil"/>
              <w:left w:val="nil"/>
              <w:bottom w:val="nil"/>
              <w:right w:val="single" w:sz="8" w:space="0" w:color="FFFFFF"/>
            </w:tcBorders>
            <w:shd w:val="clear" w:color="000000" w:fill="305496"/>
            <w:vAlign w:val="center"/>
            <w:hideMark/>
          </w:tcPr>
          <w:p w:rsidR="00E35F03" w:rsidRPr="00E35F03" w:rsidRDefault="00E35F03" w:rsidP="00E35F03">
            <w:pPr>
              <w:keepNext w:val="0"/>
              <w:keepLines w:val="0"/>
              <w:spacing w:before="0" w:line="240" w:lineRule="auto"/>
              <w:ind w:firstLine="0"/>
              <w:jc w:val="center"/>
              <w:outlineLvl w:val="9"/>
              <w:rPr>
                <w:rFonts w:ascii="Calibri" w:eastAsia="Times New Roman" w:hAnsi="Calibri" w:cs="Calibri"/>
                <w:b/>
                <w:bCs/>
                <w:color w:val="FFFFFF"/>
                <w:lang w:val="es-DO" w:eastAsia="es-DO"/>
              </w:rPr>
            </w:pPr>
            <w:r w:rsidRPr="00E35F03">
              <w:rPr>
                <w:rFonts w:ascii="Calibri" w:eastAsia="Times New Roman" w:hAnsi="Calibri" w:cs="Calibri"/>
                <w:b/>
                <w:bCs/>
                <w:color w:val="FFFFFF"/>
                <w:lang w:val="es-DO" w:eastAsia="es-DO"/>
              </w:rPr>
              <w:t>2020</w:t>
            </w:r>
            <w:r w:rsidRPr="00E35F03">
              <w:rPr>
                <w:rFonts w:ascii="Calibri" w:eastAsia="Times New Roman" w:hAnsi="Calibri" w:cs="Calibri"/>
                <w:b/>
                <w:bCs/>
                <w:color w:val="FFFFFF"/>
                <w:lang w:val="es-DO" w:eastAsia="es-DO"/>
              </w:rPr>
              <w:br/>
              <w:t>META</w:t>
            </w:r>
          </w:p>
        </w:tc>
        <w:tc>
          <w:tcPr>
            <w:tcW w:w="1134" w:type="dxa"/>
            <w:tcBorders>
              <w:top w:val="nil"/>
              <w:left w:val="nil"/>
              <w:bottom w:val="nil"/>
              <w:right w:val="single" w:sz="8" w:space="0" w:color="305496"/>
            </w:tcBorders>
            <w:shd w:val="clear" w:color="000000" w:fill="305496"/>
            <w:vAlign w:val="center"/>
            <w:hideMark/>
          </w:tcPr>
          <w:p w:rsidR="00E35F03" w:rsidRPr="00E35F03" w:rsidRDefault="00E35F03" w:rsidP="00E35F03">
            <w:pPr>
              <w:keepNext w:val="0"/>
              <w:keepLines w:val="0"/>
              <w:spacing w:before="0" w:line="240" w:lineRule="auto"/>
              <w:ind w:firstLine="0"/>
              <w:jc w:val="center"/>
              <w:outlineLvl w:val="9"/>
              <w:rPr>
                <w:rFonts w:ascii="Calibri" w:eastAsia="Times New Roman" w:hAnsi="Calibri" w:cs="Calibri"/>
                <w:b/>
                <w:bCs/>
                <w:color w:val="FFFFFF"/>
                <w:lang w:val="es-DO" w:eastAsia="es-DO"/>
              </w:rPr>
            </w:pPr>
            <w:r w:rsidRPr="00E35F03">
              <w:rPr>
                <w:rFonts w:ascii="Calibri" w:eastAsia="Times New Roman" w:hAnsi="Calibri" w:cs="Calibri"/>
                <w:b/>
                <w:bCs/>
                <w:color w:val="FFFFFF"/>
                <w:lang w:val="es-DO" w:eastAsia="es-DO"/>
              </w:rPr>
              <w:t>2021</w:t>
            </w:r>
            <w:r w:rsidRPr="00E35F03">
              <w:rPr>
                <w:rFonts w:ascii="Calibri" w:eastAsia="Times New Roman" w:hAnsi="Calibri" w:cs="Calibri"/>
                <w:b/>
                <w:bCs/>
                <w:color w:val="FFFFFF"/>
                <w:lang w:val="es-DO" w:eastAsia="es-DO"/>
              </w:rPr>
              <w:br/>
              <w:t>META</w:t>
            </w:r>
          </w:p>
        </w:tc>
      </w:tr>
      <w:tr w:rsidR="00E35F03" w:rsidRPr="00E35F03" w:rsidTr="005C618F">
        <w:trPr>
          <w:trHeight w:val="919"/>
          <w:jc w:val="center"/>
        </w:trPr>
        <w:tc>
          <w:tcPr>
            <w:tcW w:w="579" w:type="dxa"/>
            <w:tcBorders>
              <w:top w:val="single" w:sz="8" w:space="0" w:color="FFFFFF"/>
              <w:left w:val="single" w:sz="8" w:space="0" w:color="305496"/>
              <w:bottom w:val="single" w:sz="4" w:space="0" w:color="305496"/>
              <w:right w:val="single" w:sz="8" w:space="0" w:color="FFFFFF"/>
            </w:tcBorders>
            <w:shd w:val="clear" w:color="000000" w:fill="FFFFFF"/>
            <w:vAlign w:val="center"/>
            <w:hideMark/>
          </w:tcPr>
          <w:p w:rsidR="00E35F03" w:rsidRPr="00E35F03" w:rsidRDefault="00E35F03" w:rsidP="00E35F03">
            <w:pPr>
              <w:keepNext w:val="0"/>
              <w:keepLines w:val="0"/>
              <w:spacing w:before="0" w:line="240" w:lineRule="auto"/>
              <w:ind w:firstLine="0"/>
              <w:jc w:val="center"/>
              <w:outlineLvl w:val="9"/>
              <w:rPr>
                <w:rFonts w:ascii="Calibri" w:eastAsia="Times New Roman" w:hAnsi="Calibri" w:cs="Calibri"/>
                <w:color w:val="000000"/>
                <w:sz w:val="22"/>
                <w:szCs w:val="22"/>
                <w:lang w:val="es-DO" w:eastAsia="es-DO"/>
              </w:rPr>
            </w:pPr>
            <w:r w:rsidRPr="00E35F03">
              <w:rPr>
                <w:rFonts w:ascii="Calibri" w:eastAsia="Times New Roman" w:hAnsi="Calibri" w:cs="Calibri"/>
                <w:color w:val="000000"/>
                <w:sz w:val="22"/>
                <w:szCs w:val="22"/>
                <w:lang w:val="es-DO" w:eastAsia="es-DO"/>
              </w:rPr>
              <w:t>2.1</w:t>
            </w:r>
          </w:p>
        </w:tc>
        <w:tc>
          <w:tcPr>
            <w:tcW w:w="5190" w:type="dxa"/>
            <w:tcBorders>
              <w:top w:val="single" w:sz="12" w:space="0" w:color="FFFFFF"/>
              <w:left w:val="nil"/>
              <w:bottom w:val="single" w:sz="4" w:space="0" w:color="305496"/>
              <w:right w:val="nil"/>
            </w:tcBorders>
            <w:shd w:val="clear" w:color="000000" w:fill="FFFFFF"/>
            <w:vAlign w:val="center"/>
            <w:hideMark/>
          </w:tcPr>
          <w:p w:rsidR="00E35F03" w:rsidRPr="00E35F03" w:rsidRDefault="00E35F03" w:rsidP="00E35F03">
            <w:pPr>
              <w:keepNext w:val="0"/>
              <w:keepLines w:val="0"/>
              <w:spacing w:before="0" w:line="240" w:lineRule="auto"/>
              <w:ind w:firstLine="0"/>
              <w:jc w:val="left"/>
              <w:outlineLvl w:val="9"/>
              <w:rPr>
                <w:rFonts w:ascii="Calibri" w:eastAsia="Times New Roman" w:hAnsi="Calibri" w:cs="Calibri"/>
                <w:b/>
                <w:bCs/>
                <w:color w:val="000000"/>
                <w:sz w:val="22"/>
                <w:szCs w:val="22"/>
                <w:lang w:val="es-DO" w:eastAsia="es-DO"/>
              </w:rPr>
            </w:pPr>
            <w:r w:rsidRPr="00E35F03">
              <w:rPr>
                <w:rFonts w:ascii="Calibri" w:eastAsia="Times New Roman" w:hAnsi="Calibri" w:cs="Calibri"/>
                <w:b/>
                <w:bCs/>
                <w:color w:val="000000"/>
                <w:sz w:val="22"/>
                <w:szCs w:val="22"/>
                <w:lang w:val="es-DO" w:eastAsia="es-DO"/>
              </w:rPr>
              <w:t>Porcentaje del monto total transado a través del SNCCP contratado a MIPYME certificadas y personas físicas.</w:t>
            </w:r>
          </w:p>
        </w:tc>
        <w:tc>
          <w:tcPr>
            <w:tcW w:w="1456" w:type="dxa"/>
            <w:tcBorders>
              <w:top w:val="single" w:sz="8" w:space="0" w:color="305496"/>
              <w:left w:val="nil"/>
              <w:bottom w:val="single" w:sz="4" w:space="0" w:color="305496"/>
              <w:right w:val="single" w:sz="8" w:space="0" w:color="305496"/>
            </w:tcBorders>
            <w:shd w:val="clear" w:color="000000" w:fill="E8EBF0"/>
            <w:vAlign w:val="center"/>
            <w:hideMark/>
          </w:tcPr>
          <w:p w:rsidR="00E35F03" w:rsidRPr="00E35F03" w:rsidRDefault="00E35F03" w:rsidP="00E35F03">
            <w:pPr>
              <w:keepNext w:val="0"/>
              <w:keepLines w:val="0"/>
              <w:spacing w:before="0" w:line="240" w:lineRule="auto"/>
              <w:ind w:firstLine="0"/>
              <w:jc w:val="center"/>
              <w:outlineLvl w:val="9"/>
              <w:rPr>
                <w:rFonts w:ascii="Calibri" w:eastAsia="Times New Roman" w:hAnsi="Calibri" w:cs="Calibri"/>
                <w:color w:val="000000"/>
                <w:sz w:val="22"/>
                <w:szCs w:val="22"/>
                <w:lang w:val="es-DO" w:eastAsia="es-DO"/>
              </w:rPr>
            </w:pPr>
            <w:r w:rsidRPr="00E35F03">
              <w:rPr>
                <w:rFonts w:ascii="Calibri" w:eastAsia="Times New Roman" w:hAnsi="Calibri" w:cs="Calibri"/>
                <w:color w:val="000000"/>
                <w:sz w:val="22"/>
                <w:szCs w:val="22"/>
                <w:lang w:val="es-DO" w:eastAsia="es-DO"/>
              </w:rPr>
              <w:t>37%</w:t>
            </w:r>
          </w:p>
        </w:tc>
        <w:tc>
          <w:tcPr>
            <w:tcW w:w="1129" w:type="dxa"/>
            <w:tcBorders>
              <w:top w:val="single" w:sz="8" w:space="0" w:color="305496"/>
              <w:left w:val="nil"/>
              <w:bottom w:val="single" w:sz="4" w:space="0" w:color="305496"/>
              <w:right w:val="single" w:sz="8" w:space="0" w:color="305496"/>
            </w:tcBorders>
            <w:shd w:val="clear" w:color="000000" w:fill="FFFFFF"/>
            <w:vAlign w:val="center"/>
            <w:hideMark/>
          </w:tcPr>
          <w:p w:rsidR="00E35F03" w:rsidRPr="00E35F03" w:rsidRDefault="00E35F03" w:rsidP="00E35F03">
            <w:pPr>
              <w:keepNext w:val="0"/>
              <w:keepLines w:val="0"/>
              <w:spacing w:before="0" w:line="240" w:lineRule="auto"/>
              <w:ind w:firstLine="0"/>
              <w:jc w:val="center"/>
              <w:outlineLvl w:val="9"/>
              <w:rPr>
                <w:rFonts w:ascii="Calibri" w:eastAsia="Times New Roman" w:hAnsi="Calibri" w:cs="Calibri"/>
                <w:color w:val="000000"/>
                <w:sz w:val="22"/>
                <w:szCs w:val="22"/>
                <w:lang w:val="es-DO" w:eastAsia="es-DO"/>
              </w:rPr>
            </w:pPr>
            <w:r w:rsidRPr="00E35F03">
              <w:rPr>
                <w:rFonts w:ascii="Calibri" w:eastAsia="Times New Roman" w:hAnsi="Calibri" w:cs="Calibri"/>
                <w:color w:val="000000"/>
                <w:sz w:val="22"/>
                <w:szCs w:val="22"/>
                <w:lang w:val="es-DO" w:eastAsia="es-DO"/>
              </w:rPr>
              <w:t>42.0</w:t>
            </w:r>
          </w:p>
        </w:tc>
        <w:tc>
          <w:tcPr>
            <w:tcW w:w="1134" w:type="dxa"/>
            <w:tcBorders>
              <w:top w:val="single" w:sz="8" w:space="0" w:color="305496"/>
              <w:left w:val="nil"/>
              <w:bottom w:val="single" w:sz="4" w:space="0" w:color="305496"/>
              <w:right w:val="single" w:sz="8" w:space="0" w:color="305496"/>
            </w:tcBorders>
            <w:shd w:val="clear" w:color="000000" w:fill="FFFFFF"/>
            <w:vAlign w:val="center"/>
            <w:hideMark/>
          </w:tcPr>
          <w:p w:rsidR="00E35F03" w:rsidRPr="00E35F03" w:rsidRDefault="00E35F03" w:rsidP="00E35F03">
            <w:pPr>
              <w:keepNext w:val="0"/>
              <w:keepLines w:val="0"/>
              <w:spacing w:before="0" w:line="240" w:lineRule="auto"/>
              <w:ind w:firstLine="0"/>
              <w:jc w:val="center"/>
              <w:outlineLvl w:val="9"/>
              <w:rPr>
                <w:rFonts w:ascii="Calibri" w:eastAsia="Times New Roman" w:hAnsi="Calibri" w:cs="Calibri"/>
                <w:color w:val="000000"/>
                <w:sz w:val="22"/>
                <w:szCs w:val="22"/>
                <w:lang w:val="es-DO" w:eastAsia="es-DO"/>
              </w:rPr>
            </w:pPr>
            <w:r w:rsidRPr="00E35F03">
              <w:rPr>
                <w:rFonts w:ascii="Calibri" w:eastAsia="Times New Roman" w:hAnsi="Calibri" w:cs="Calibri"/>
                <w:color w:val="000000"/>
                <w:sz w:val="22"/>
                <w:szCs w:val="22"/>
                <w:lang w:val="es-DO" w:eastAsia="es-DO"/>
              </w:rPr>
              <w:t>47.0</w:t>
            </w:r>
          </w:p>
        </w:tc>
      </w:tr>
      <w:tr w:rsidR="00E35F03" w:rsidRPr="00E35F03" w:rsidTr="005C618F">
        <w:trPr>
          <w:trHeight w:val="900"/>
          <w:jc w:val="center"/>
        </w:trPr>
        <w:tc>
          <w:tcPr>
            <w:tcW w:w="579" w:type="dxa"/>
            <w:tcBorders>
              <w:top w:val="nil"/>
              <w:left w:val="single" w:sz="8" w:space="0" w:color="305496"/>
              <w:bottom w:val="single" w:sz="4" w:space="0" w:color="305496"/>
              <w:right w:val="single" w:sz="8" w:space="0" w:color="FFFFFF"/>
            </w:tcBorders>
            <w:shd w:val="clear" w:color="000000" w:fill="FFFFFF"/>
            <w:vAlign w:val="center"/>
            <w:hideMark/>
          </w:tcPr>
          <w:p w:rsidR="00E35F03" w:rsidRPr="00E35F03" w:rsidRDefault="00E35F03" w:rsidP="00E35F03">
            <w:pPr>
              <w:keepNext w:val="0"/>
              <w:keepLines w:val="0"/>
              <w:spacing w:before="0" w:line="240" w:lineRule="auto"/>
              <w:ind w:firstLine="0"/>
              <w:jc w:val="center"/>
              <w:outlineLvl w:val="9"/>
              <w:rPr>
                <w:rFonts w:ascii="Calibri" w:eastAsia="Times New Roman" w:hAnsi="Calibri" w:cs="Calibri"/>
                <w:color w:val="000000"/>
                <w:sz w:val="22"/>
                <w:szCs w:val="22"/>
                <w:lang w:val="es-DO" w:eastAsia="es-DO"/>
              </w:rPr>
            </w:pPr>
            <w:r w:rsidRPr="00E35F03">
              <w:rPr>
                <w:rFonts w:ascii="Calibri" w:eastAsia="Times New Roman" w:hAnsi="Calibri" w:cs="Calibri"/>
                <w:color w:val="000000"/>
                <w:sz w:val="22"/>
                <w:szCs w:val="22"/>
                <w:lang w:val="es-DO" w:eastAsia="es-DO"/>
              </w:rPr>
              <w:t>2.2</w:t>
            </w:r>
          </w:p>
        </w:tc>
        <w:tc>
          <w:tcPr>
            <w:tcW w:w="5190" w:type="dxa"/>
            <w:tcBorders>
              <w:top w:val="nil"/>
              <w:left w:val="nil"/>
              <w:bottom w:val="single" w:sz="4" w:space="0" w:color="305496"/>
              <w:right w:val="nil"/>
            </w:tcBorders>
            <w:shd w:val="clear" w:color="000000" w:fill="FFFFFF"/>
            <w:vAlign w:val="center"/>
            <w:hideMark/>
          </w:tcPr>
          <w:p w:rsidR="00E35F03" w:rsidRPr="00E35F03" w:rsidRDefault="00E35F03" w:rsidP="00E35F03">
            <w:pPr>
              <w:keepNext w:val="0"/>
              <w:keepLines w:val="0"/>
              <w:spacing w:before="0" w:line="240" w:lineRule="auto"/>
              <w:ind w:firstLine="0"/>
              <w:jc w:val="left"/>
              <w:outlineLvl w:val="9"/>
              <w:rPr>
                <w:rFonts w:ascii="Calibri" w:eastAsia="Times New Roman" w:hAnsi="Calibri" w:cs="Calibri"/>
                <w:b/>
                <w:bCs/>
                <w:color w:val="000000"/>
                <w:sz w:val="22"/>
                <w:szCs w:val="22"/>
                <w:lang w:val="es-DO" w:eastAsia="es-DO"/>
              </w:rPr>
            </w:pPr>
            <w:r w:rsidRPr="00E35F03">
              <w:rPr>
                <w:rFonts w:ascii="Calibri" w:eastAsia="Times New Roman" w:hAnsi="Calibri" w:cs="Calibri"/>
                <w:b/>
                <w:bCs/>
                <w:color w:val="000000"/>
                <w:sz w:val="22"/>
                <w:szCs w:val="22"/>
                <w:lang w:val="es-DO" w:eastAsia="es-DO"/>
              </w:rPr>
              <w:t>Porcentaje del monto total transado a través del SNCCP contratado a MIPYME de mujeres certificadas y no certificadas, y mujeres como personas físicas.</w:t>
            </w:r>
          </w:p>
        </w:tc>
        <w:tc>
          <w:tcPr>
            <w:tcW w:w="1456" w:type="dxa"/>
            <w:tcBorders>
              <w:top w:val="single" w:sz="8" w:space="0" w:color="305496"/>
              <w:left w:val="nil"/>
              <w:bottom w:val="single" w:sz="4" w:space="0" w:color="305496"/>
              <w:right w:val="single" w:sz="8" w:space="0" w:color="305496"/>
            </w:tcBorders>
            <w:shd w:val="clear" w:color="000000" w:fill="E8EBF0"/>
            <w:vAlign w:val="center"/>
            <w:hideMark/>
          </w:tcPr>
          <w:p w:rsidR="00E35F03" w:rsidRPr="00E35F03" w:rsidRDefault="00E35F03" w:rsidP="00E35F03">
            <w:pPr>
              <w:keepNext w:val="0"/>
              <w:keepLines w:val="0"/>
              <w:spacing w:before="0" w:line="240" w:lineRule="auto"/>
              <w:ind w:firstLine="0"/>
              <w:jc w:val="center"/>
              <w:outlineLvl w:val="9"/>
              <w:rPr>
                <w:rFonts w:ascii="Calibri" w:eastAsia="Times New Roman" w:hAnsi="Calibri" w:cs="Calibri"/>
                <w:color w:val="000000"/>
                <w:sz w:val="22"/>
                <w:szCs w:val="22"/>
                <w:lang w:val="es-DO" w:eastAsia="es-DO"/>
              </w:rPr>
            </w:pPr>
            <w:r w:rsidRPr="00E35F03">
              <w:rPr>
                <w:rFonts w:ascii="Calibri" w:eastAsia="Times New Roman" w:hAnsi="Calibri" w:cs="Calibri"/>
                <w:color w:val="000000"/>
                <w:sz w:val="22"/>
                <w:szCs w:val="22"/>
                <w:lang w:val="es-DO" w:eastAsia="es-DO"/>
              </w:rPr>
              <w:t>25%</w:t>
            </w:r>
          </w:p>
        </w:tc>
        <w:tc>
          <w:tcPr>
            <w:tcW w:w="1129" w:type="dxa"/>
            <w:tcBorders>
              <w:top w:val="nil"/>
              <w:left w:val="nil"/>
              <w:bottom w:val="single" w:sz="4" w:space="0" w:color="305496"/>
              <w:right w:val="single" w:sz="8" w:space="0" w:color="305496"/>
            </w:tcBorders>
            <w:shd w:val="clear" w:color="000000" w:fill="FFFFFF"/>
            <w:vAlign w:val="center"/>
            <w:hideMark/>
          </w:tcPr>
          <w:p w:rsidR="00E35F03" w:rsidRPr="00E35F03" w:rsidRDefault="00E35F03" w:rsidP="00E35F03">
            <w:pPr>
              <w:keepNext w:val="0"/>
              <w:keepLines w:val="0"/>
              <w:spacing w:before="0" w:line="240" w:lineRule="auto"/>
              <w:ind w:firstLine="0"/>
              <w:jc w:val="center"/>
              <w:outlineLvl w:val="9"/>
              <w:rPr>
                <w:rFonts w:ascii="Calibri" w:eastAsia="Times New Roman" w:hAnsi="Calibri" w:cs="Calibri"/>
                <w:color w:val="000000"/>
                <w:sz w:val="22"/>
                <w:szCs w:val="22"/>
                <w:lang w:val="es-DO" w:eastAsia="es-DO"/>
              </w:rPr>
            </w:pPr>
            <w:r w:rsidRPr="00E35F03">
              <w:rPr>
                <w:rFonts w:ascii="Calibri" w:eastAsia="Times New Roman" w:hAnsi="Calibri" w:cs="Calibri"/>
                <w:color w:val="000000"/>
                <w:sz w:val="22"/>
                <w:szCs w:val="22"/>
                <w:lang w:val="es-DO" w:eastAsia="es-DO"/>
              </w:rPr>
              <w:t>30.0</w:t>
            </w:r>
          </w:p>
        </w:tc>
        <w:tc>
          <w:tcPr>
            <w:tcW w:w="1134" w:type="dxa"/>
            <w:tcBorders>
              <w:top w:val="nil"/>
              <w:left w:val="nil"/>
              <w:bottom w:val="single" w:sz="4" w:space="0" w:color="305496"/>
              <w:right w:val="single" w:sz="8" w:space="0" w:color="305496"/>
            </w:tcBorders>
            <w:shd w:val="clear" w:color="000000" w:fill="FFFFFF"/>
            <w:vAlign w:val="center"/>
            <w:hideMark/>
          </w:tcPr>
          <w:p w:rsidR="00E35F03" w:rsidRPr="00E35F03" w:rsidRDefault="00E35F03" w:rsidP="00E35F03">
            <w:pPr>
              <w:keepNext w:val="0"/>
              <w:keepLines w:val="0"/>
              <w:spacing w:before="0" w:line="240" w:lineRule="auto"/>
              <w:ind w:firstLine="0"/>
              <w:jc w:val="center"/>
              <w:outlineLvl w:val="9"/>
              <w:rPr>
                <w:rFonts w:ascii="Calibri" w:eastAsia="Times New Roman" w:hAnsi="Calibri" w:cs="Calibri"/>
                <w:color w:val="000000"/>
                <w:sz w:val="22"/>
                <w:szCs w:val="22"/>
                <w:lang w:val="es-DO" w:eastAsia="es-DO"/>
              </w:rPr>
            </w:pPr>
            <w:r w:rsidRPr="00E35F03">
              <w:rPr>
                <w:rFonts w:ascii="Calibri" w:eastAsia="Times New Roman" w:hAnsi="Calibri" w:cs="Calibri"/>
                <w:color w:val="000000"/>
                <w:sz w:val="22"/>
                <w:szCs w:val="22"/>
                <w:lang w:val="es-DO" w:eastAsia="es-DO"/>
              </w:rPr>
              <w:t>35.0</w:t>
            </w:r>
          </w:p>
        </w:tc>
      </w:tr>
      <w:tr w:rsidR="00E35F03" w:rsidRPr="00E35F03" w:rsidTr="005C618F">
        <w:trPr>
          <w:trHeight w:val="900"/>
          <w:jc w:val="center"/>
        </w:trPr>
        <w:tc>
          <w:tcPr>
            <w:tcW w:w="579" w:type="dxa"/>
            <w:tcBorders>
              <w:top w:val="nil"/>
              <w:left w:val="single" w:sz="8" w:space="0" w:color="305496"/>
              <w:bottom w:val="double" w:sz="6" w:space="0" w:color="305496"/>
              <w:right w:val="single" w:sz="8" w:space="0" w:color="FFFFFF"/>
            </w:tcBorders>
            <w:shd w:val="clear" w:color="000000" w:fill="FFFFFF"/>
            <w:vAlign w:val="center"/>
            <w:hideMark/>
          </w:tcPr>
          <w:p w:rsidR="00E35F03" w:rsidRPr="00E35F03" w:rsidRDefault="00E35F03" w:rsidP="00E35F03">
            <w:pPr>
              <w:keepNext w:val="0"/>
              <w:keepLines w:val="0"/>
              <w:spacing w:before="0" w:line="240" w:lineRule="auto"/>
              <w:ind w:firstLine="0"/>
              <w:jc w:val="center"/>
              <w:outlineLvl w:val="9"/>
              <w:rPr>
                <w:rFonts w:ascii="Calibri" w:eastAsia="Times New Roman" w:hAnsi="Calibri" w:cs="Calibri"/>
                <w:color w:val="000000"/>
                <w:sz w:val="22"/>
                <w:szCs w:val="22"/>
                <w:lang w:val="es-DO" w:eastAsia="es-DO"/>
              </w:rPr>
            </w:pPr>
            <w:r w:rsidRPr="00E35F03">
              <w:rPr>
                <w:rFonts w:ascii="Calibri" w:eastAsia="Times New Roman" w:hAnsi="Calibri" w:cs="Calibri"/>
                <w:color w:val="000000"/>
                <w:sz w:val="22"/>
                <w:szCs w:val="22"/>
                <w:lang w:val="es-DO" w:eastAsia="es-DO"/>
              </w:rPr>
              <w:t>2.3</w:t>
            </w:r>
          </w:p>
        </w:tc>
        <w:tc>
          <w:tcPr>
            <w:tcW w:w="5190" w:type="dxa"/>
            <w:tcBorders>
              <w:top w:val="nil"/>
              <w:left w:val="nil"/>
              <w:bottom w:val="double" w:sz="6" w:space="0" w:color="305496"/>
              <w:right w:val="nil"/>
            </w:tcBorders>
            <w:shd w:val="clear" w:color="000000" w:fill="FFFFFF"/>
            <w:vAlign w:val="center"/>
            <w:hideMark/>
          </w:tcPr>
          <w:p w:rsidR="00E35F03" w:rsidRPr="00E35F03" w:rsidRDefault="00E35F03" w:rsidP="00E35F03">
            <w:pPr>
              <w:keepNext w:val="0"/>
              <w:keepLines w:val="0"/>
              <w:spacing w:before="0" w:line="240" w:lineRule="auto"/>
              <w:ind w:firstLine="0"/>
              <w:jc w:val="left"/>
              <w:outlineLvl w:val="9"/>
              <w:rPr>
                <w:rFonts w:ascii="Calibri" w:eastAsia="Times New Roman" w:hAnsi="Calibri" w:cs="Calibri"/>
                <w:b/>
                <w:bCs/>
                <w:color w:val="000000"/>
                <w:sz w:val="22"/>
                <w:szCs w:val="22"/>
                <w:lang w:val="es-DO" w:eastAsia="es-DO"/>
              </w:rPr>
            </w:pPr>
            <w:r w:rsidRPr="00E35F03">
              <w:rPr>
                <w:rFonts w:ascii="Calibri" w:eastAsia="Times New Roman" w:hAnsi="Calibri" w:cs="Calibri"/>
                <w:b/>
                <w:bCs/>
                <w:color w:val="000000"/>
                <w:sz w:val="22"/>
                <w:szCs w:val="22"/>
                <w:lang w:val="es-DO" w:eastAsia="es-DO"/>
              </w:rPr>
              <w:t>Número de políticas para la inclusión de ponderaciones de sostenibilidad ambiental en los pliegos de las licitaciones.</w:t>
            </w:r>
          </w:p>
        </w:tc>
        <w:tc>
          <w:tcPr>
            <w:tcW w:w="1456" w:type="dxa"/>
            <w:tcBorders>
              <w:top w:val="nil"/>
              <w:left w:val="nil"/>
              <w:bottom w:val="single" w:sz="4" w:space="0" w:color="auto"/>
              <w:right w:val="single" w:sz="8" w:space="0" w:color="305496"/>
            </w:tcBorders>
            <w:shd w:val="clear" w:color="000000" w:fill="E8EBF0"/>
            <w:vAlign w:val="center"/>
            <w:hideMark/>
          </w:tcPr>
          <w:p w:rsidR="00E35F03" w:rsidRPr="00E35F03" w:rsidRDefault="00E35F03" w:rsidP="00E35F03">
            <w:pPr>
              <w:keepNext w:val="0"/>
              <w:keepLines w:val="0"/>
              <w:spacing w:before="0" w:line="240" w:lineRule="auto"/>
              <w:ind w:firstLine="0"/>
              <w:jc w:val="center"/>
              <w:outlineLvl w:val="9"/>
              <w:rPr>
                <w:rFonts w:ascii="Calibri" w:eastAsia="Times New Roman" w:hAnsi="Calibri" w:cs="Calibri"/>
                <w:color w:val="000000"/>
                <w:sz w:val="22"/>
                <w:szCs w:val="22"/>
                <w:lang w:val="es-DO" w:eastAsia="es-DO"/>
              </w:rPr>
            </w:pPr>
            <w:r w:rsidRPr="00E35F03">
              <w:rPr>
                <w:rFonts w:ascii="Calibri" w:eastAsia="Times New Roman" w:hAnsi="Calibri" w:cs="Calibri"/>
                <w:color w:val="000000"/>
                <w:sz w:val="22"/>
                <w:szCs w:val="22"/>
                <w:lang w:val="es-DO" w:eastAsia="es-DO"/>
              </w:rPr>
              <w:t>2</w:t>
            </w:r>
          </w:p>
        </w:tc>
        <w:tc>
          <w:tcPr>
            <w:tcW w:w="1129" w:type="dxa"/>
            <w:tcBorders>
              <w:top w:val="nil"/>
              <w:left w:val="nil"/>
              <w:bottom w:val="double" w:sz="6" w:space="0" w:color="305496"/>
              <w:right w:val="single" w:sz="8" w:space="0" w:color="305496"/>
            </w:tcBorders>
            <w:shd w:val="clear" w:color="000000" w:fill="FFFFFF"/>
            <w:vAlign w:val="center"/>
            <w:hideMark/>
          </w:tcPr>
          <w:p w:rsidR="00E35F03" w:rsidRPr="00E35F03" w:rsidRDefault="00E35F03" w:rsidP="00E35F03">
            <w:pPr>
              <w:keepNext w:val="0"/>
              <w:keepLines w:val="0"/>
              <w:spacing w:before="0" w:line="240" w:lineRule="auto"/>
              <w:ind w:firstLine="0"/>
              <w:jc w:val="center"/>
              <w:outlineLvl w:val="9"/>
              <w:rPr>
                <w:rFonts w:ascii="Calibri" w:eastAsia="Times New Roman" w:hAnsi="Calibri" w:cs="Calibri"/>
                <w:color w:val="000000"/>
                <w:sz w:val="22"/>
                <w:szCs w:val="22"/>
                <w:lang w:val="es-DO" w:eastAsia="es-DO"/>
              </w:rPr>
            </w:pPr>
            <w:r w:rsidRPr="00E35F03">
              <w:rPr>
                <w:rFonts w:ascii="Calibri" w:eastAsia="Times New Roman" w:hAnsi="Calibri" w:cs="Calibri"/>
                <w:color w:val="000000"/>
                <w:sz w:val="22"/>
                <w:szCs w:val="22"/>
                <w:lang w:val="es-DO" w:eastAsia="es-DO"/>
              </w:rPr>
              <w:t>3</w:t>
            </w:r>
          </w:p>
        </w:tc>
        <w:tc>
          <w:tcPr>
            <w:tcW w:w="1134" w:type="dxa"/>
            <w:tcBorders>
              <w:top w:val="nil"/>
              <w:left w:val="nil"/>
              <w:bottom w:val="double" w:sz="6" w:space="0" w:color="305496"/>
              <w:right w:val="single" w:sz="8" w:space="0" w:color="305496"/>
            </w:tcBorders>
            <w:shd w:val="clear" w:color="000000" w:fill="FFFFFF"/>
            <w:vAlign w:val="center"/>
            <w:hideMark/>
          </w:tcPr>
          <w:p w:rsidR="00E35F03" w:rsidRPr="00E35F03" w:rsidRDefault="00E35F03" w:rsidP="00E35F03">
            <w:pPr>
              <w:keepNext w:val="0"/>
              <w:keepLines w:val="0"/>
              <w:spacing w:before="0" w:line="240" w:lineRule="auto"/>
              <w:ind w:firstLine="0"/>
              <w:jc w:val="center"/>
              <w:outlineLvl w:val="9"/>
              <w:rPr>
                <w:rFonts w:ascii="Calibri" w:eastAsia="Times New Roman" w:hAnsi="Calibri" w:cs="Calibri"/>
                <w:color w:val="000000"/>
                <w:sz w:val="22"/>
                <w:szCs w:val="22"/>
                <w:lang w:val="es-DO" w:eastAsia="es-DO"/>
              </w:rPr>
            </w:pPr>
            <w:r w:rsidRPr="00E35F03">
              <w:rPr>
                <w:rFonts w:ascii="Calibri" w:eastAsia="Times New Roman" w:hAnsi="Calibri" w:cs="Calibri"/>
                <w:color w:val="000000"/>
                <w:sz w:val="22"/>
                <w:szCs w:val="22"/>
                <w:lang w:val="es-DO" w:eastAsia="es-DO"/>
              </w:rPr>
              <w:t>4</w:t>
            </w:r>
          </w:p>
        </w:tc>
      </w:tr>
    </w:tbl>
    <w:p w:rsidR="007A5027" w:rsidRDefault="00E35F03" w:rsidP="007A5027">
      <w:pPr>
        <w:ind w:firstLine="708"/>
        <w:rPr>
          <w:color w:val="FF0000"/>
        </w:rPr>
      </w:pPr>
      <w:r>
        <w:rPr>
          <w:color w:val="FF0000"/>
        </w:rPr>
        <w:fldChar w:fldCharType="end"/>
      </w:r>
    </w:p>
    <w:tbl>
      <w:tblPr>
        <w:tblW w:w="9488" w:type="dxa"/>
        <w:jc w:val="center"/>
        <w:tblCellMar>
          <w:left w:w="70" w:type="dxa"/>
          <w:right w:w="70" w:type="dxa"/>
        </w:tblCellMar>
        <w:tblLook w:val="04A0" w:firstRow="1" w:lastRow="0" w:firstColumn="1" w:lastColumn="0" w:noHBand="0" w:noVBand="1"/>
      </w:tblPr>
      <w:tblGrid>
        <w:gridCol w:w="576"/>
        <w:gridCol w:w="5105"/>
        <w:gridCol w:w="1456"/>
        <w:gridCol w:w="1217"/>
        <w:gridCol w:w="1134"/>
      </w:tblGrid>
      <w:tr w:rsidR="007A5027" w:rsidRPr="00E35F03" w:rsidTr="005C618F">
        <w:trPr>
          <w:trHeight w:val="1242"/>
          <w:jc w:val="center"/>
        </w:trPr>
        <w:tc>
          <w:tcPr>
            <w:tcW w:w="5681" w:type="dxa"/>
            <w:gridSpan w:val="2"/>
            <w:tcBorders>
              <w:top w:val="nil"/>
              <w:left w:val="single" w:sz="8" w:space="0" w:color="305496"/>
              <w:bottom w:val="nil"/>
              <w:right w:val="single" w:sz="8" w:space="0" w:color="FFFFFF"/>
            </w:tcBorders>
            <w:shd w:val="clear" w:color="000000" w:fill="305496"/>
            <w:vAlign w:val="center"/>
            <w:hideMark/>
          </w:tcPr>
          <w:p w:rsidR="007A5027" w:rsidRPr="00E35F03" w:rsidRDefault="007A5027" w:rsidP="001656DE">
            <w:pPr>
              <w:jc w:val="center"/>
              <w:rPr>
                <w:rFonts w:ascii="Calibri" w:eastAsia="Times New Roman" w:hAnsi="Calibri" w:cs="Calibri"/>
                <w:b/>
                <w:bCs/>
                <w:color w:val="FFFFFF"/>
                <w:lang w:val="es-DO" w:eastAsia="es-DO"/>
              </w:rPr>
            </w:pPr>
            <w:r w:rsidRPr="00E35F03">
              <w:rPr>
                <w:rFonts w:ascii="Calibri" w:eastAsia="Times New Roman" w:hAnsi="Calibri" w:cs="Calibri"/>
                <w:b/>
                <w:bCs/>
                <w:color w:val="FFFFFF"/>
                <w:lang w:val="es-DO" w:eastAsia="es-DO"/>
              </w:rPr>
              <w:t>EJE 3: FORTALECIMIENTO INSTITUCIONAL</w:t>
            </w:r>
          </w:p>
        </w:tc>
        <w:tc>
          <w:tcPr>
            <w:tcW w:w="1456" w:type="dxa"/>
            <w:tcBorders>
              <w:top w:val="nil"/>
              <w:left w:val="nil"/>
              <w:bottom w:val="nil"/>
              <w:right w:val="single" w:sz="8" w:space="0" w:color="FFFFFF"/>
            </w:tcBorders>
            <w:shd w:val="clear" w:color="000000" w:fill="305496"/>
            <w:vAlign w:val="center"/>
            <w:hideMark/>
          </w:tcPr>
          <w:p w:rsidR="007A5027" w:rsidRDefault="007A5027" w:rsidP="001656DE">
            <w:pPr>
              <w:keepNext w:val="0"/>
              <w:keepLines w:val="0"/>
              <w:spacing w:before="0" w:line="240" w:lineRule="auto"/>
              <w:ind w:firstLine="0"/>
              <w:jc w:val="center"/>
              <w:outlineLvl w:val="9"/>
              <w:rPr>
                <w:rFonts w:ascii="Calibri" w:eastAsia="Times New Roman" w:hAnsi="Calibri" w:cs="Calibri"/>
                <w:b/>
                <w:bCs/>
                <w:color w:val="FFFFFF"/>
                <w:lang w:val="es-DO" w:eastAsia="es-DO"/>
              </w:rPr>
            </w:pPr>
            <w:r w:rsidRPr="00E35F03">
              <w:rPr>
                <w:rFonts w:ascii="Calibri" w:eastAsia="Times New Roman" w:hAnsi="Calibri" w:cs="Calibri"/>
                <w:b/>
                <w:bCs/>
                <w:color w:val="FFFFFF"/>
                <w:lang w:val="es-DO" w:eastAsia="es-DO"/>
              </w:rPr>
              <w:t>2019</w:t>
            </w:r>
            <w:r w:rsidRPr="00E35F03">
              <w:rPr>
                <w:rFonts w:ascii="Calibri" w:eastAsia="Times New Roman" w:hAnsi="Calibri" w:cs="Calibri"/>
                <w:b/>
                <w:bCs/>
                <w:color w:val="FFFFFF"/>
                <w:lang w:val="es-DO" w:eastAsia="es-DO"/>
              </w:rPr>
              <w:br w:type="page"/>
            </w:r>
          </w:p>
          <w:p w:rsidR="007A5027" w:rsidRPr="00E35F03" w:rsidRDefault="007A5027" w:rsidP="001656DE">
            <w:pPr>
              <w:keepNext w:val="0"/>
              <w:keepLines w:val="0"/>
              <w:spacing w:before="0" w:line="240" w:lineRule="auto"/>
              <w:ind w:firstLine="0"/>
              <w:jc w:val="center"/>
              <w:outlineLvl w:val="9"/>
              <w:rPr>
                <w:rFonts w:ascii="Calibri" w:eastAsia="Times New Roman" w:hAnsi="Calibri" w:cs="Calibri"/>
                <w:b/>
                <w:bCs/>
                <w:color w:val="FFFFFF"/>
                <w:lang w:val="es-DO" w:eastAsia="es-DO"/>
              </w:rPr>
            </w:pPr>
            <w:r w:rsidRPr="00E35F03">
              <w:rPr>
                <w:rFonts w:ascii="Calibri" w:eastAsia="Times New Roman" w:hAnsi="Calibri" w:cs="Calibri"/>
                <w:b/>
                <w:bCs/>
                <w:color w:val="FFFFFF"/>
                <w:lang w:val="es-DO" w:eastAsia="es-DO"/>
              </w:rPr>
              <w:t>RESULTADOS</w:t>
            </w:r>
          </w:p>
        </w:tc>
        <w:tc>
          <w:tcPr>
            <w:tcW w:w="1217" w:type="dxa"/>
            <w:tcBorders>
              <w:top w:val="nil"/>
              <w:left w:val="nil"/>
              <w:bottom w:val="nil"/>
              <w:right w:val="single" w:sz="8" w:space="0" w:color="FFFFFF"/>
            </w:tcBorders>
            <w:shd w:val="clear" w:color="000000" w:fill="305496"/>
            <w:vAlign w:val="center"/>
            <w:hideMark/>
          </w:tcPr>
          <w:p w:rsidR="007A5027" w:rsidRDefault="007A5027" w:rsidP="001656DE">
            <w:pPr>
              <w:keepNext w:val="0"/>
              <w:keepLines w:val="0"/>
              <w:spacing w:before="0" w:line="240" w:lineRule="auto"/>
              <w:ind w:firstLine="0"/>
              <w:jc w:val="center"/>
              <w:outlineLvl w:val="9"/>
              <w:rPr>
                <w:rFonts w:ascii="Calibri" w:eastAsia="Times New Roman" w:hAnsi="Calibri" w:cs="Calibri"/>
                <w:b/>
                <w:bCs/>
                <w:color w:val="FFFFFF"/>
                <w:lang w:val="es-DO" w:eastAsia="es-DO"/>
              </w:rPr>
            </w:pPr>
            <w:r w:rsidRPr="00E35F03">
              <w:rPr>
                <w:rFonts w:ascii="Calibri" w:eastAsia="Times New Roman" w:hAnsi="Calibri" w:cs="Calibri"/>
                <w:b/>
                <w:bCs/>
                <w:color w:val="FFFFFF"/>
                <w:lang w:val="es-DO" w:eastAsia="es-DO"/>
              </w:rPr>
              <w:t>2020</w:t>
            </w:r>
            <w:r w:rsidRPr="00E35F03">
              <w:rPr>
                <w:rFonts w:ascii="Calibri" w:eastAsia="Times New Roman" w:hAnsi="Calibri" w:cs="Calibri"/>
                <w:b/>
                <w:bCs/>
                <w:color w:val="FFFFFF"/>
                <w:lang w:val="es-DO" w:eastAsia="es-DO"/>
              </w:rPr>
              <w:br w:type="page"/>
            </w:r>
          </w:p>
          <w:p w:rsidR="007A5027" w:rsidRPr="00E35F03" w:rsidRDefault="007A5027" w:rsidP="001656DE">
            <w:pPr>
              <w:keepNext w:val="0"/>
              <w:keepLines w:val="0"/>
              <w:spacing w:before="0" w:line="240" w:lineRule="auto"/>
              <w:ind w:firstLine="0"/>
              <w:jc w:val="center"/>
              <w:outlineLvl w:val="9"/>
              <w:rPr>
                <w:rFonts w:ascii="Calibri" w:eastAsia="Times New Roman" w:hAnsi="Calibri" w:cs="Calibri"/>
                <w:b/>
                <w:bCs/>
                <w:color w:val="FFFFFF"/>
                <w:lang w:val="es-DO" w:eastAsia="es-DO"/>
              </w:rPr>
            </w:pPr>
            <w:r w:rsidRPr="00E35F03">
              <w:rPr>
                <w:rFonts w:ascii="Calibri" w:eastAsia="Times New Roman" w:hAnsi="Calibri" w:cs="Calibri"/>
                <w:b/>
                <w:bCs/>
                <w:color w:val="FFFFFF"/>
                <w:lang w:val="es-DO" w:eastAsia="es-DO"/>
              </w:rPr>
              <w:t>META</w:t>
            </w:r>
          </w:p>
        </w:tc>
        <w:tc>
          <w:tcPr>
            <w:tcW w:w="1134" w:type="dxa"/>
            <w:tcBorders>
              <w:top w:val="nil"/>
              <w:left w:val="nil"/>
              <w:bottom w:val="nil"/>
              <w:right w:val="single" w:sz="8" w:space="0" w:color="305496"/>
            </w:tcBorders>
            <w:shd w:val="clear" w:color="000000" w:fill="305496"/>
            <w:vAlign w:val="center"/>
            <w:hideMark/>
          </w:tcPr>
          <w:p w:rsidR="007A5027" w:rsidRDefault="007A5027" w:rsidP="001656DE">
            <w:pPr>
              <w:keepNext w:val="0"/>
              <w:keepLines w:val="0"/>
              <w:spacing w:before="0" w:line="240" w:lineRule="auto"/>
              <w:ind w:firstLine="0"/>
              <w:jc w:val="center"/>
              <w:outlineLvl w:val="9"/>
              <w:rPr>
                <w:rFonts w:ascii="Calibri" w:eastAsia="Times New Roman" w:hAnsi="Calibri" w:cs="Calibri"/>
                <w:b/>
                <w:bCs/>
                <w:color w:val="FFFFFF"/>
                <w:lang w:val="es-DO" w:eastAsia="es-DO"/>
              </w:rPr>
            </w:pPr>
            <w:r w:rsidRPr="00E35F03">
              <w:rPr>
                <w:rFonts w:ascii="Calibri" w:eastAsia="Times New Roman" w:hAnsi="Calibri" w:cs="Calibri"/>
                <w:b/>
                <w:bCs/>
                <w:color w:val="FFFFFF"/>
                <w:lang w:val="es-DO" w:eastAsia="es-DO"/>
              </w:rPr>
              <w:t>2021</w:t>
            </w:r>
          </w:p>
          <w:p w:rsidR="007A5027" w:rsidRPr="00E35F03" w:rsidRDefault="007A5027" w:rsidP="001656DE">
            <w:pPr>
              <w:keepNext w:val="0"/>
              <w:keepLines w:val="0"/>
              <w:spacing w:before="0" w:line="240" w:lineRule="auto"/>
              <w:ind w:firstLine="0"/>
              <w:jc w:val="center"/>
              <w:outlineLvl w:val="9"/>
              <w:rPr>
                <w:rFonts w:ascii="Calibri" w:eastAsia="Times New Roman" w:hAnsi="Calibri" w:cs="Calibri"/>
                <w:b/>
                <w:bCs/>
                <w:color w:val="FFFFFF"/>
                <w:lang w:val="es-DO" w:eastAsia="es-DO"/>
              </w:rPr>
            </w:pPr>
            <w:r w:rsidRPr="00E35F03">
              <w:rPr>
                <w:rFonts w:ascii="Calibri" w:eastAsia="Times New Roman" w:hAnsi="Calibri" w:cs="Calibri"/>
                <w:b/>
                <w:bCs/>
                <w:color w:val="FFFFFF"/>
                <w:lang w:val="es-DO" w:eastAsia="es-DO"/>
              </w:rPr>
              <w:br w:type="page"/>
              <w:t>META</w:t>
            </w:r>
          </w:p>
        </w:tc>
      </w:tr>
      <w:tr w:rsidR="007A5027" w:rsidRPr="00E35F03" w:rsidTr="005C618F">
        <w:trPr>
          <w:trHeight w:val="1010"/>
          <w:jc w:val="center"/>
        </w:trPr>
        <w:tc>
          <w:tcPr>
            <w:tcW w:w="576" w:type="dxa"/>
            <w:tcBorders>
              <w:top w:val="single" w:sz="8" w:space="0" w:color="FFFFFF"/>
              <w:left w:val="single" w:sz="8" w:space="0" w:color="305496"/>
              <w:bottom w:val="single" w:sz="4" w:space="0" w:color="305496"/>
              <w:right w:val="single" w:sz="8" w:space="0" w:color="FFFFFF"/>
            </w:tcBorders>
            <w:shd w:val="clear" w:color="000000" w:fill="FFFFFF"/>
            <w:vAlign w:val="center"/>
            <w:hideMark/>
          </w:tcPr>
          <w:p w:rsidR="007A5027" w:rsidRPr="00E35F03" w:rsidRDefault="007A5027" w:rsidP="001656DE">
            <w:pPr>
              <w:keepNext w:val="0"/>
              <w:keepLines w:val="0"/>
              <w:spacing w:before="0" w:line="240" w:lineRule="auto"/>
              <w:ind w:firstLine="0"/>
              <w:jc w:val="center"/>
              <w:outlineLvl w:val="9"/>
              <w:rPr>
                <w:rFonts w:ascii="Calibri" w:eastAsia="Times New Roman" w:hAnsi="Calibri" w:cs="Calibri"/>
                <w:color w:val="000000"/>
                <w:sz w:val="22"/>
                <w:szCs w:val="22"/>
                <w:lang w:val="es-DO" w:eastAsia="es-DO"/>
              </w:rPr>
            </w:pPr>
            <w:r w:rsidRPr="00E35F03">
              <w:rPr>
                <w:rFonts w:ascii="Calibri" w:eastAsia="Times New Roman" w:hAnsi="Calibri" w:cs="Calibri"/>
                <w:color w:val="000000"/>
                <w:sz w:val="22"/>
                <w:szCs w:val="22"/>
                <w:lang w:val="es-DO" w:eastAsia="es-DO"/>
              </w:rPr>
              <w:t>3.1</w:t>
            </w:r>
          </w:p>
        </w:tc>
        <w:tc>
          <w:tcPr>
            <w:tcW w:w="5105" w:type="dxa"/>
            <w:tcBorders>
              <w:top w:val="single" w:sz="12" w:space="0" w:color="FFFFFF"/>
              <w:left w:val="nil"/>
              <w:bottom w:val="single" w:sz="4" w:space="0" w:color="305496"/>
              <w:right w:val="nil"/>
            </w:tcBorders>
            <w:shd w:val="clear" w:color="000000" w:fill="FFFFFF"/>
            <w:vAlign w:val="center"/>
            <w:hideMark/>
          </w:tcPr>
          <w:p w:rsidR="007A5027" w:rsidRPr="00E35F03" w:rsidRDefault="007A5027" w:rsidP="001656DE">
            <w:pPr>
              <w:keepNext w:val="0"/>
              <w:keepLines w:val="0"/>
              <w:spacing w:before="0" w:line="240" w:lineRule="auto"/>
              <w:ind w:firstLine="0"/>
              <w:jc w:val="left"/>
              <w:outlineLvl w:val="9"/>
              <w:rPr>
                <w:rFonts w:ascii="Calibri" w:eastAsia="Times New Roman" w:hAnsi="Calibri" w:cs="Calibri"/>
                <w:b/>
                <w:bCs/>
                <w:color w:val="000000"/>
                <w:sz w:val="22"/>
                <w:szCs w:val="22"/>
                <w:lang w:val="es-DO" w:eastAsia="es-DO"/>
              </w:rPr>
            </w:pPr>
            <w:r w:rsidRPr="00E35F03">
              <w:rPr>
                <w:rFonts w:ascii="Calibri" w:eastAsia="Times New Roman" w:hAnsi="Calibri" w:cs="Calibri"/>
                <w:b/>
                <w:bCs/>
                <w:color w:val="000000"/>
                <w:sz w:val="22"/>
                <w:szCs w:val="22"/>
                <w:lang w:val="es-DO" w:eastAsia="es-DO"/>
              </w:rPr>
              <w:t>Porcentaje obtenido del Índice de Uso de las Tecnologías de la Información y Comunicación y la Implementación de Gobierno Electrónico (iTICge).</w:t>
            </w:r>
          </w:p>
        </w:tc>
        <w:tc>
          <w:tcPr>
            <w:tcW w:w="1456" w:type="dxa"/>
            <w:tcBorders>
              <w:top w:val="single" w:sz="8" w:space="0" w:color="4472C4"/>
              <w:left w:val="single" w:sz="8" w:space="0" w:color="4472C4"/>
              <w:bottom w:val="single" w:sz="4" w:space="0" w:color="305496"/>
              <w:right w:val="single" w:sz="8" w:space="0" w:color="4472C4"/>
            </w:tcBorders>
            <w:shd w:val="clear" w:color="000000" w:fill="E8EBF0"/>
            <w:vAlign w:val="center"/>
            <w:hideMark/>
          </w:tcPr>
          <w:p w:rsidR="007A5027" w:rsidRPr="00E35F03" w:rsidRDefault="007A5027" w:rsidP="001656DE">
            <w:pPr>
              <w:keepNext w:val="0"/>
              <w:keepLines w:val="0"/>
              <w:spacing w:before="0" w:line="240" w:lineRule="auto"/>
              <w:ind w:firstLine="0"/>
              <w:jc w:val="center"/>
              <w:outlineLvl w:val="9"/>
              <w:rPr>
                <w:rFonts w:ascii="Calibri" w:eastAsia="Times New Roman" w:hAnsi="Calibri" w:cs="Calibri"/>
                <w:color w:val="000000"/>
                <w:sz w:val="22"/>
                <w:szCs w:val="22"/>
                <w:lang w:val="es-DO" w:eastAsia="es-DO"/>
              </w:rPr>
            </w:pPr>
            <w:r w:rsidRPr="00E35F03">
              <w:rPr>
                <w:rFonts w:ascii="Calibri" w:eastAsia="Times New Roman" w:hAnsi="Calibri" w:cs="Calibri"/>
                <w:color w:val="000000"/>
                <w:sz w:val="22"/>
                <w:szCs w:val="22"/>
                <w:lang w:val="es-DO" w:eastAsia="es-DO"/>
              </w:rPr>
              <w:t>88.80%</w:t>
            </w:r>
          </w:p>
        </w:tc>
        <w:tc>
          <w:tcPr>
            <w:tcW w:w="1217" w:type="dxa"/>
            <w:tcBorders>
              <w:top w:val="single" w:sz="8" w:space="0" w:color="305496"/>
              <w:left w:val="nil"/>
              <w:bottom w:val="single" w:sz="4" w:space="0" w:color="305496"/>
              <w:right w:val="single" w:sz="8" w:space="0" w:color="305496"/>
            </w:tcBorders>
            <w:shd w:val="clear" w:color="000000" w:fill="FFFFFF"/>
            <w:vAlign w:val="center"/>
            <w:hideMark/>
          </w:tcPr>
          <w:p w:rsidR="007A5027" w:rsidRPr="00E35F03" w:rsidRDefault="007A5027" w:rsidP="001656DE">
            <w:pPr>
              <w:keepNext w:val="0"/>
              <w:keepLines w:val="0"/>
              <w:spacing w:before="0" w:line="240" w:lineRule="auto"/>
              <w:ind w:firstLine="0"/>
              <w:jc w:val="center"/>
              <w:outlineLvl w:val="9"/>
              <w:rPr>
                <w:rFonts w:ascii="Calibri" w:eastAsia="Times New Roman" w:hAnsi="Calibri" w:cs="Calibri"/>
                <w:color w:val="000000"/>
                <w:sz w:val="22"/>
                <w:szCs w:val="22"/>
                <w:lang w:val="es-DO" w:eastAsia="es-DO"/>
              </w:rPr>
            </w:pPr>
            <w:r w:rsidRPr="00E35F03">
              <w:rPr>
                <w:rFonts w:ascii="Calibri" w:eastAsia="Times New Roman" w:hAnsi="Calibri" w:cs="Calibri"/>
                <w:color w:val="000000"/>
                <w:sz w:val="22"/>
                <w:szCs w:val="22"/>
                <w:lang w:val="es-DO" w:eastAsia="es-DO"/>
              </w:rPr>
              <w:t>95.0</w:t>
            </w:r>
          </w:p>
        </w:tc>
        <w:tc>
          <w:tcPr>
            <w:tcW w:w="1134" w:type="dxa"/>
            <w:tcBorders>
              <w:top w:val="single" w:sz="8" w:space="0" w:color="305496"/>
              <w:left w:val="nil"/>
              <w:bottom w:val="single" w:sz="4" w:space="0" w:color="305496"/>
              <w:right w:val="single" w:sz="8" w:space="0" w:color="305496"/>
            </w:tcBorders>
            <w:shd w:val="clear" w:color="000000" w:fill="FFFFFF"/>
            <w:vAlign w:val="center"/>
            <w:hideMark/>
          </w:tcPr>
          <w:p w:rsidR="007A5027" w:rsidRPr="00E35F03" w:rsidRDefault="007A5027" w:rsidP="001656DE">
            <w:pPr>
              <w:keepNext w:val="0"/>
              <w:keepLines w:val="0"/>
              <w:spacing w:before="0" w:line="240" w:lineRule="auto"/>
              <w:ind w:firstLine="0"/>
              <w:jc w:val="center"/>
              <w:outlineLvl w:val="9"/>
              <w:rPr>
                <w:rFonts w:ascii="Calibri" w:eastAsia="Times New Roman" w:hAnsi="Calibri" w:cs="Calibri"/>
                <w:color w:val="000000"/>
                <w:sz w:val="22"/>
                <w:szCs w:val="22"/>
                <w:lang w:val="es-DO" w:eastAsia="es-DO"/>
              </w:rPr>
            </w:pPr>
            <w:r w:rsidRPr="00E35F03">
              <w:rPr>
                <w:rFonts w:ascii="Calibri" w:eastAsia="Times New Roman" w:hAnsi="Calibri" w:cs="Calibri"/>
                <w:color w:val="000000"/>
                <w:sz w:val="22"/>
                <w:szCs w:val="22"/>
                <w:lang w:val="es-DO" w:eastAsia="es-DO"/>
              </w:rPr>
              <w:t>95.0</w:t>
            </w:r>
          </w:p>
        </w:tc>
      </w:tr>
      <w:tr w:rsidR="007A5027" w:rsidRPr="00E35F03" w:rsidTr="005C618F">
        <w:trPr>
          <w:trHeight w:val="652"/>
          <w:jc w:val="center"/>
        </w:trPr>
        <w:tc>
          <w:tcPr>
            <w:tcW w:w="576" w:type="dxa"/>
            <w:tcBorders>
              <w:top w:val="nil"/>
              <w:left w:val="single" w:sz="8" w:space="0" w:color="305496"/>
              <w:bottom w:val="single" w:sz="4" w:space="0" w:color="305496"/>
              <w:right w:val="single" w:sz="8" w:space="0" w:color="FFFFFF"/>
            </w:tcBorders>
            <w:shd w:val="clear" w:color="000000" w:fill="FFFFFF"/>
            <w:vAlign w:val="center"/>
            <w:hideMark/>
          </w:tcPr>
          <w:p w:rsidR="007A5027" w:rsidRPr="00E35F03" w:rsidRDefault="007A5027" w:rsidP="001656DE">
            <w:pPr>
              <w:keepNext w:val="0"/>
              <w:keepLines w:val="0"/>
              <w:spacing w:before="0" w:line="240" w:lineRule="auto"/>
              <w:ind w:firstLine="0"/>
              <w:jc w:val="center"/>
              <w:outlineLvl w:val="9"/>
              <w:rPr>
                <w:rFonts w:ascii="Calibri" w:eastAsia="Times New Roman" w:hAnsi="Calibri" w:cs="Calibri"/>
                <w:color w:val="000000"/>
                <w:sz w:val="22"/>
                <w:szCs w:val="22"/>
                <w:lang w:val="es-DO" w:eastAsia="es-DO"/>
              </w:rPr>
            </w:pPr>
            <w:r w:rsidRPr="00E35F03">
              <w:rPr>
                <w:rFonts w:ascii="Calibri" w:eastAsia="Times New Roman" w:hAnsi="Calibri" w:cs="Calibri"/>
                <w:color w:val="000000"/>
                <w:sz w:val="22"/>
                <w:szCs w:val="22"/>
                <w:lang w:val="es-DO" w:eastAsia="es-DO"/>
              </w:rPr>
              <w:t>3.2</w:t>
            </w:r>
          </w:p>
        </w:tc>
        <w:tc>
          <w:tcPr>
            <w:tcW w:w="5105" w:type="dxa"/>
            <w:tcBorders>
              <w:top w:val="nil"/>
              <w:left w:val="nil"/>
              <w:bottom w:val="single" w:sz="4" w:space="0" w:color="305496"/>
              <w:right w:val="nil"/>
            </w:tcBorders>
            <w:shd w:val="clear" w:color="000000" w:fill="FFFFFF"/>
            <w:vAlign w:val="center"/>
            <w:hideMark/>
          </w:tcPr>
          <w:p w:rsidR="007A5027" w:rsidRPr="00E35F03" w:rsidRDefault="007A5027" w:rsidP="001656DE">
            <w:pPr>
              <w:keepNext w:val="0"/>
              <w:keepLines w:val="0"/>
              <w:spacing w:before="0" w:line="240" w:lineRule="auto"/>
              <w:ind w:firstLine="0"/>
              <w:jc w:val="left"/>
              <w:outlineLvl w:val="9"/>
              <w:rPr>
                <w:rFonts w:ascii="Calibri" w:eastAsia="Times New Roman" w:hAnsi="Calibri" w:cs="Calibri"/>
                <w:b/>
                <w:bCs/>
                <w:color w:val="000000"/>
                <w:sz w:val="22"/>
                <w:szCs w:val="22"/>
                <w:lang w:val="es-DO" w:eastAsia="es-DO"/>
              </w:rPr>
            </w:pPr>
            <w:r w:rsidRPr="00E35F03">
              <w:rPr>
                <w:rFonts w:ascii="Calibri" w:eastAsia="Times New Roman" w:hAnsi="Calibri" w:cs="Calibri"/>
                <w:b/>
                <w:bCs/>
                <w:color w:val="000000"/>
                <w:sz w:val="22"/>
                <w:szCs w:val="22"/>
                <w:lang w:val="es-DO" w:eastAsia="es-DO"/>
              </w:rPr>
              <w:t>Porcentaje obtenido por la institucional en el indicador sobre el uso del SNCCP (SISCOMPRA) del SMMGP.</w:t>
            </w:r>
          </w:p>
        </w:tc>
        <w:tc>
          <w:tcPr>
            <w:tcW w:w="1456" w:type="dxa"/>
            <w:tcBorders>
              <w:top w:val="nil"/>
              <w:left w:val="single" w:sz="8" w:space="0" w:color="4472C4"/>
              <w:bottom w:val="single" w:sz="4" w:space="0" w:color="305496"/>
              <w:right w:val="single" w:sz="8" w:space="0" w:color="4472C4"/>
            </w:tcBorders>
            <w:shd w:val="clear" w:color="000000" w:fill="E8EBF0"/>
            <w:vAlign w:val="center"/>
            <w:hideMark/>
          </w:tcPr>
          <w:p w:rsidR="007A5027" w:rsidRPr="00E35F03" w:rsidRDefault="007A5027" w:rsidP="001656DE">
            <w:pPr>
              <w:keepNext w:val="0"/>
              <w:keepLines w:val="0"/>
              <w:spacing w:before="0" w:line="240" w:lineRule="auto"/>
              <w:ind w:firstLine="0"/>
              <w:jc w:val="center"/>
              <w:outlineLvl w:val="9"/>
              <w:rPr>
                <w:rFonts w:ascii="Calibri" w:eastAsia="Times New Roman" w:hAnsi="Calibri" w:cs="Calibri"/>
                <w:color w:val="000000"/>
                <w:sz w:val="22"/>
                <w:szCs w:val="22"/>
                <w:lang w:val="es-DO" w:eastAsia="es-DO"/>
              </w:rPr>
            </w:pPr>
            <w:r w:rsidRPr="00E35F03">
              <w:rPr>
                <w:rFonts w:ascii="Calibri" w:eastAsia="Times New Roman" w:hAnsi="Calibri" w:cs="Calibri"/>
                <w:color w:val="000000"/>
                <w:sz w:val="22"/>
                <w:szCs w:val="22"/>
                <w:lang w:val="es-DO" w:eastAsia="es-DO"/>
              </w:rPr>
              <w:t>99.13%</w:t>
            </w:r>
          </w:p>
        </w:tc>
        <w:tc>
          <w:tcPr>
            <w:tcW w:w="1217" w:type="dxa"/>
            <w:tcBorders>
              <w:top w:val="nil"/>
              <w:left w:val="nil"/>
              <w:bottom w:val="single" w:sz="4" w:space="0" w:color="305496"/>
              <w:right w:val="single" w:sz="8" w:space="0" w:color="305496"/>
            </w:tcBorders>
            <w:shd w:val="clear" w:color="000000" w:fill="FFFFFF"/>
            <w:vAlign w:val="center"/>
            <w:hideMark/>
          </w:tcPr>
          <w:p w:rsidR="007A5027" w:rsidRPr="00E35F03" w:rsidRDefault="007A5027" w:rsidP="001656DE">
            <w:pPr>
              <w:keepNext w:val="0"/>
              <w:keepLines w:val="0"/>
              <w:spacing w:before="0" w:line="240" w:lineRule="auto"/>
              <w:ind w:firstLine="0"/>
              <w:jc w:val="center"/>
              <w:outlineLvl w:val="9"/>
              <w:rPr>
                <w:rFonts w:ascii="Calibri" w:eastAsia="Times New Roman" w:hAnsi="Calibri" w:cs="Calibri"/>
                <w:color w:val="000000"/>
                <w:sz w:val="22"/>
                <w:szCs w:val="22"/>
                <w:lang w:val="es-DO" w:eastAsia="es-DO"/>
              </w:rPr>
            </w:pPr>
            <w:r w:rsidRPr="00E35F03">
              <w:rPr>
                <w:rFonts w:ascii="Calibri" w:eastAsia="Times New Roman" w:hAnsi="Calibri" w:cs="Calibri"/>
                <w:color w:val="000000"/>
                <w:sz w:val="22"/>
                <w:szCs w:val="22"/>
                <w:lang w:val="es-DO" w:eastAsia="es-DO"/>
              </w:rPr>
              <w:t>95.0</w:t>
            </w:r>
          </w:p>
        </w:tc>
        <w:tc>
          <w:tcPr>
            <w:tcW w:w="1134" w:type="dxa"/>
            <w:tcBorders>
              <w:top w:val="nil"/>
              <w:left w:val="nil"/>
              <w:bottom w:val="single" w:sz="4" w:space="0" w:color="305496"/>
              <w:right w:val="single" w:sz="8" w:space="0" w:color="305496"/>
            </w:tcBorders>
            <w:shd w:val="clear" w:color="000000" w:fill="FFFFFF"/>
            <w:vAlign w:val="center"/>
            <w:hideMark/>
          </w:tcPr>
          <w:p w:rsidR="007A5027" w:rsidRPr="00E35F03" w:rsidRDefault="007A5027" w:rsidP="001656DE">
            <w:pPr>
              <w:keepNext w:val="0"/>
              <w:keepLines w:val="0"/>
              <w:spacing w:before="0" w:line="240" w:lineRule="auto"/>
              <w:ind w:firstLine="0"/>
              <w:jc w:val="center"/>
              <w:outlineLvl w:val="9"/>
              <w:rPr>
                <w:rFonts w:ascii="Calibri" w:eastAsia="Times New Roman" w:hAnsi="Calibri" w:cs="Calibri"/>
                <w:color w:val="000000"/>
                <w:sz w:val="22"/>
                <w:szCs w:val="22"/>
                <w:lang w:val="es-DO" w:eastAsia="es-DO"/>
              </w:rPr>
            </w:pPr>
            <w:r w:rsidRPr="00E35F03">
              <w:rPr>
                <w:rFonts w:ascii="Calibri" w:eastAsia="Times New Roman" w:hAnsi="Calibri" w:cs="Calibri"/>
                <w:color w:val="000000"/>
                <w:sz w:val="22"/>
                <w:szCs w:val="22"/>
                <w:lang w:val="es-DO" w:eastAsia="es-DO"/>
              </w:rPr>
              <w:t>95.0</w:t>
            </w:r>
          </w:p>
        </w:tc>
      </w:tr>
      <w:tr w:rsidR="007A5027" w:rsidRPr="00E35F03" w:rsidTr="005C618F">
        <w:trPr>
          <w:trHeight w:val="394"/>
          <w:jc w:val="center"/>
        </w:trPr>
        <w:tc>
          <w:tcPr>
            <w:tcW w:w="576" w:type="dxa"/>
            <w:tcBorders>
              <w:top w:val="nil"/>
              <w:left w:val="single" w:sz="8" w:space="0" w:color="305496"/>
              <w:bottom w:val="single" w:sz="4" w:space="0" w:color="305496"/>
              <w:right w:val="single" w:sz="8" w:space="0" w:color="FFFFFF"/>
            </w:tcBorders>
            <w:shd w:val="clear" w:color="000000" w:fill="FFFFFF"/>
            <w:vAlign w:val="center"/>
            <w:hideMark/>
          </w:tcPr>
          <w:p w:rsidR="007A5027" w:rsidRPr="00E35F03" w:rsidRDefault="007A5027" w:rsidP="001656DE">
            <w:pPr>
              <w:keepNext w:val="0"/>
              <w:keepLines w:val="0"/>
              <w:spacing w:before="0" w:line="240" w:lineRule="auto"/>
              <w:ind w:firstLine="0"/>
              <w:jc w:val="center"/>
              <w:outlineLvl w:val="9"/>
              <w:rPr>
                <w:rFonts w:ascii="Calibri" w:eastAsia="Times New Roman" w:hAnsi="Calibri" w:cs="Calibri"/>
                <w:color w:val="000000"/>
                <w:sz w:val="22"/>
                <w:szCs w:val="22"/>
                <w:lang w:val="es-DO" w:eastAsia="es-DO"/>
              </w:rPr>
            </w:pPr>
            <w:r w:rsidRPr="00E35F03">
              <w:rPr>
                <w:rFonts w:ascii="Calibri" w:eastAsia="Times New Roman" w:hAnsi="Calibri" w:cs="Calibri"/>
                <w:color w:val="000000"/>
                <w:sz w:val="22"/>
                <w:szCs w:val="22"/>
                <w:lang w:val="es-DO" w:eastAsia="es-DO"/>
              </w:rPr>
              <w:t>3.3</w:t>
            </w:r>
          </w:p>
        </w:tc>
        <w:tc>
          <w:tcPr>
            <w:tcW w:w="5105" w:type="dxa"/>
            <w:tcBorders>
              <w:top w:val="nil"/>
              <w:left w:val="nil"/>
              <w:bottom w:val="single" w:sz="4" w:space="0" w:color="305496"/>
              <w:right w:val="nil"/>
            </w:tcBorders>
            <w:shd w:val="clear" w:color="000000" w:fill="FFFFFF"/>
            <w:vAlign w:val="center"/>
            <w:hideMark/>
          </w:tcPr>
          <w:p w:rsidR="007A5027" w:rsidRPr="00E35F03" w:rsidRDefault="007A5027" w:rsidP="001656DE">
            <w:pPr>
              <w:keepNext w:val="0"/>
              <w:keepLines w:val="0"/>
              <w:spacing w:before="0" w:line="240" w:lineRule="auto"/>
              <w:ind w:firstLine="0"/>
              <w:jc w:val="left"/>
              <w:outlineLvl w:val="9"/>
              <w:rPr>
                <w:rFonts w:ascii="Calibri" w:eastAsia="Times New Roman" w:hAnsi="Calibri" w:cs="Calibri"/>
                <w:b/>
                <w:bCs/>
                <w:color w:val="000000"/>
                <w:sz w:val="22"/>
                <w:szCs w:val="22"/>
                <w:lang w:val="es-DO" w:eastAsia="es-DO"/>
              </w:rPr>
            </w:pPr>
            <w:r w:rsidRPr="00E35F03">
              <w:rPr>
                <w:rFonts w:ascii="Calibri" w:eastAsia="Times New Roman" w:hAnsi="Calibri" w:cs="Calibri"/>
                <w:b/>
                <w:bCs/>
                <w:color w:val="000000"/>
                <w:sz w:val="22"/>
                <w:szCs w:val="22"/>
                <w:lang w:val="es-DO" w:eastAsia="es-DO"/>
              </w:rPr>
              <w:t>Porcentaje obtenido en el Índice de gestión presupuestaria (IGP)del SMMGP.</w:t>
            </w:r>
          </w:p>
        </w:tc>
        <w:tc>
          <w:tcPr>
            <w:tcW w:w="1456" w:type="dxa"/>
            <w:tcBorders>
              <w:top w:val="nil"/>
              <w:left w:val="single" w:sz="8" w:space="0" w:color="4472C4"/>
              <w:bottom w:val="single" w:sz="4" w:space="0" w:color="305496"/>
              <w:right w:val="single" w:sz="8" w:space="0" w:color="4472C4"/>
            </w:tcBorders>
            <w:shd w:val="clear" w:color="000000" w:fill="E8EBF0"/>
            <w:vAlign w:val="center"/>
            <w:hideMark/>
          </w:tcPr>
          <w:p w:rsidR="007A5027" w:rsidRPr="00E35F03" w:rsidRDefault="007A5027" w:rsidP="001656DE">
            <w:pPr>
              <w:keepNext w:val="0"/>
              <w:keepLines w:val="0"/>
              <w:spacing w:before="0" w:line="240" w:lineRule="auto"/>
              <w:ind w:firstLine="0"/>
              <w:jc w:val="center"/>
              <w:outlineLvl w:val="9"/>
              <w:rPr>
                <w:rFonts w:ascii="Calibri" w:eastAsia="Times New Roman" w:hAnsi="Calibri" w:cs="Calibri"/>
                <w:color w:val="000000"/>
                <w:sz w:val="22"/>
                <w:szCs w:val="22"/>
                <w:lang w:val="es-DO" w:eastAsia="es-DO"/>
              </w:rPr>
            </w:pPr>
            <w:r w:rsidRPr="00E35F03">
              <w:rPr>
                <w:rFonts w:ascii="Calibri" w:eastAsia="Times New Roman" w:hAnsi="Calibri" w:cs="Calibri"/>
                <w:color w:val="000000"/>
                <w:sz w:val="22"/>
                <w:szCs w:val="22"/>
                <w:lang w:val="es-DO" w:eastAsia="es-DO"/>
              </w:rPr>
              <w:t>100.00%</w:t>
            </w:r>
          </w:p>
        </w:tc>
        <w:tc>
          <w:tcPr>
            <w:tcW w:w="1217" w:type="dxa"/>
            <w:tcBorders>
              <w:top w:val="nil"/>
              <w:left w:val="nil"/>
              <w:bottom w:val="single" w:sz="4" w:space="0" w:color="305496"/>
              <w:right w:val="single" w:sz="8" w:space="0" w:color="305496"/>
            </w:tcBorders>
            <w:shd w:val="clear" w:color="000000" w:fill="FFFFFF"/>
            <w:vAlign w:val="center"/>
            <w:hideMark/>
          </w:tcPr>
          <w:p w:rsidR="007A5027" w:rsidRPr="00E35F03" w:rsidRDefault="007A5027" w:rsidP="001656DE">
            <w:pPr>
              <w:keepNext w:val="0"/>
              <w:keepLines w:val="0"/>
              <w:spacing w:before="0" w:line="240" w:lineRule="auto"/>
              <w:ind w:firstLine="0"/>
              <w:jc w:val="center"/>
              <w:outlineLvl w:val="9"/>
              <w:rPr>
                <w:rFonts w:ascii="Calibri" w:eastAsia="Times New Roman" w:hAnsi="Calibri" w:cs="Calibri"/>
                <w:color w:val="000000"/>
                <w:sz w:val="22"/>
                <w:szCs w:val="22"/>
                <w:lang w:val="es-DO" w:eastAsia="es-DO"/>
              </w:rPr>
            </w:pPr>
            <w:r w:rsidRPr="00E35F03">
              <w:rPr>
                <w:rFonts w:ascii="Calibri" w:eastAsia="Times New Roman" w:hAnsi="Calibri" w:cs="Calibri"/>
                <w:color w:val="000000"/>
                <w:sz w:val="22"/>
                <w:szCs w:val="22"/>
                <w:lang w:val="es-DO" w:eastAsia="es-DO"/>
              </w:rPr>
              <w:t>95</w:t>
            </w:r>
          </w:p>
        </w:tc>
        <w:tc>
          <w:tcPr>
            <w:tcW w:w="1134" w:type="dxa"/>
            <w:tcBorders>
              <w:top w:val="nil"/>
              <w:left w:val="nil"/>
              <w:bottom w:val="single" w:sz="4" w:space="0" w:color="305496"/>
              <w:right w:val="single" w:sz="8" w:space="0" w:color="305496"/>
            </w:tcBorders>
            <w:shd w:val="clear" w:color="000000" w:fill="FFFFFF"/>
            <w:vAlign w:val="center"/>
            <w:hideMark/>
          </w:tcPr>
          <w:p w:rsidR="007A5027" w:rsidRPr="00E35F03" w:rsidRDefault="007A5027" w:rsidP="001656DE">
            <w:pPr>
              <w:keepNext w:val="0"/>
              <w:keepLines w:val="0"/>
              <w:spacing w:before="0" w:line="240" w:lineRule="auto"/>
              <w:ind w:firstLine="0"/>
              <w:jc w:val="center"/>
              <w:outlineLvl w:val="9"/>
              <w:rPr>
                <w:rFonts w:ascii="Calibri" w:eastAsia="Times New Roman" w:hAnsi="Calibri" w:cs="Calibri"/>
                <w:color w:val="000000"/>
                <w:sz w:val="22"/>
                <w:szCs w:val="22"/>
                <w:lang w:val="es-DO" w:eastAsia="es-DO"/>
              </w:rPr>
            </w:pPr>
            <w:r w:rsidRPr="00E35F03">
              <w:rPr>
                <w:rFonts w:ascii="Calibri" w:eastAsia="Times New Roman" w:hAnsi="Calibri" w:cs="Calibri"/>
                <w:color w:val="000000"/>
                <w:sz w:val="22"/>
                <w:szCs w:val="22"/>
                <w:lang w:val="es-DO" w:eastAsia="es-DO"/>
              </w:rPr>
              <w:t>95</w:t>
            </w:r>
          </w:p>
        </w:tc>
      </w:tr>
      <w:tr w:rsidR="007A5027" w:rsidRPr="00E35F03" w:rsidTr="005C618F">
        <w:trPr>
          <w:trHeight w:val="416"/>
          <w:jc w:val="center"/>
        </w:trPr>
        <w:tc>
          <w:tcPr>
            <w:tcW w:w="576" w:type="dxa"/>
            <w:tcBorders>
              <w:top w:val="nil"/>
              <w:left w:val="single" w:sz="8" w:space="0" w:color="305496"/>
              <w:bottom w:val="single" w:sz="4" w:space="0" w:color="305496"/>
              <w:right w:val="single" w:sz="8" w:space="0" w:color="FFFFFF"/>
            </w:tcBorders>
            <w:shd w:val="clear" w:color="000000" w:fill="FFFFFF"/>
            <w:vAlign w:val="center"/>
            <w:hideMark/>
          </w:tcPr>
          <w:p w:rsidR="007A5027" w:rsidRPr="00E35F03" w:rsidRDefault="007A5027" w:rsidP="001656DE">
            <w:pPr>
              <w:keepNext w:val="0"/>
              <w:keepLines w:val="0"/>
              <w:spacing w:before="0" w:line="240" w:lineRule="auto"/>
              <w:ind w:firstLine="0"/>
              <w:jc w:val="center"/>
              <w:outlineLvl w:val="9"/>
              <w:rPr>
                <w:rFonts w:ascii="Calibri" w:eastAsia="Times New Roman" w:hAnsi="Calibri" w:cs="Calibri"/>
                <w:color w:val="000000"/>
                <w:sz w:val="22"/>
                <w:szCs w:val="22"/>
                <w:lang w:val="es-DO" w:eastAsia="es-DO"/>
              </w:rPr>
            </w:pPr>
            <w:r w:rsidRPr="00E35F03">
              <w:rPr>
                <w:rFonts w:ascii="Calibri" w:eastAsia="Times New Roman" w:hAnsi="Calibri" w:cs="Calibri"/>
                <w:color w:val="000000"/>
                <w:sz w:val="22"/>
                <w:szCs w:val="22"/>
                <w:lang w:val="es-DO" w:eastAsia="es-DO"/>
              </w:rPr>
              <w:t>3.4</w:t>
            </w:r>
          </w:p>
        </w:tc>
        <w:tc>
          <w:tcPr>
            <w:tcW w:w="5105" w:type="dxa"/>
            <w:tcBorders>
              <w:top w:val="nil"/>
              <w:left w:val="nil"/>
              <w:bottom w:val="single" w:sz="4" w:space="0" w:color="305496"/>
              <w:right w:val="nil"/>
            </w:tcBorders>
            <w:shd w:val="clear" w:color="000000" w:fill="FFFFFF"/>
            <w:vAlign w:val="center"/>
            <w:hideMark/>
          </w:tcPr>
          <w:p w:rsidR="007A5027" w:rsidRPr="00E35F03" w:rsidRDefault="007A5027" w:rsidP="001656DE">
            <w:pPr>
              <w:keepNext w:val="0"/>
              <w:keepLines w:val="0"/>
              <w:spacing w:before="0" w:line="240" w:lineRule="auto"/>
              <w:ind w:firstLine="0"/>
              <w:jc w:val="left"/>
              <w:outlineLvl w:val="9"/>
              <w:rPr>
                <w:rFonts w:ascii="Calibri" w:eastAsia="Times New Roman" w:hAnsi="Calibri" w:cs="Calibri"/>
                <w:b/>
                <w:bCs/>
                <w:color w:val="000000"/>
                <w:sz w:val="22"/>
                <w:szCs w:val="22"/>
                <w:lang w:val="es-DO" w:eastAsia="es-DO"/>
              </w:rPr>
            </w:pPr>
            <w:r w:rsidRPr="00E35F03">
              <w:rPr>
                <w:rFonts w:ascii="Calibri" w:eastAsia="Times New Roman" w:hAnsi="Calibri" w:cs="Calibri"/>
                <w:b/>
                <w:bCs/>
                <w:color w:val="000000"/>
                <w:sz w:val="22"/>
                <w:szCs w:val="22"/>
                <w:lang w:val="es-DO" w:eastAsia="es-DO"/>
              </w:rPr>
              <w:t>Índice de Transparencia (DIGEIG)</w:t>
            </w:r>
          </w:p>
        </w:tc>
        <w:tc>
          <w:tcPr>
            <w:tcW w:w="1456" w:type="dxa"/>
            <w:tcBorders>
              <w:top w:val="nil"/>
              <w:left w:val="single" w:sz="8" w:space="0" w:color="4472C4"/>
              <w:bottom w:val="single" w:sz="4" w:space="0" w:color="305496"/>
              <w:right w:val="single" w:sz="8" w:space="0" w:color="4472C4"/>
            </w:tcBorders>
            <w:shd w:val="clear" w:color="000000" w:fill="E8EBF0"/>
            <w:vAlign w:val="center"/>
            <w:hideMark/>
          </w:tcPr>
          <w:p w:rsidR="007A5027" w:rsidRPr="00E35F03" w:rsidRDefault="007A5027" w:rsidP="001656DE">
            <w:pPr>
              <w:keepNext w:val="0"/>
              <w:keepLines w:val="0"/>
              <w:spacing w:before="0" w:line="240" w:lineRule="auto"/>
              <w:ind w:firstLine="0"/>
              <w:jc w:val="center"/>
              <w:outlineLvl w:val="9"/>
              <w:rPr>
                <w:rFonts w:ascii="Calibri" w:eastAsia="Times New Roman" w:hAnsi="Calibri" w:cs="Calibri"/>
                <w:color w:val="000000"/>
                <w:sz w:val="22"/>
                <w:szCs w:val="22"/>
                <w:lang w:val="es-DO" w:eastAsia="es-DO"/>
              </w:rPr>
            </w:pPr>
            <w:r w:rsidRPr="00E35F03">
              <w:rPr>
                <w:rFonts w:ascii="Calibri" w:eastAsia="Times New Roman" w:hAnsi="Calibri" w:cs="Calibri"/>
                <w:color w:val="000000"/>
                <w:sz w:val="22"/>
                <w:szCs w:val="22"/>
                <w:lang w:val="es-DO" w:eastAsia="es-DO"/>
              </w:rPr>
              <w:t>95.88%</w:t>
            </w:r>
          </w:p>
        </w:tc>
        <w:tc>
          <w:tcPr>
            <w:tcW w:w="1217" w:type="dxa"/>
            <w:tcBorders>
              <w:top w:val="nil"/>
              <w:left w:val="nil"/>
              <w:bottom w:val="single" w:sz="4" w:space="0" w:color="305496"/>
              <w:right w:val="single" w:sz="8" w:space="0" w:color="305496"/>
            </w:tcBorders>
            <w:shd w:val="clear" w:color="000000" w:fill="FFFFFF"/>
            <w:vAlign w:val="center"/>
            <w:hideMark/>
          </w:tcPr>
          <w:p w:rsidR="007A5027" w:rsidRPr="00E35F03" w:rsidRDefault="007A5027" w:rsidP="001656DE">
            <w:pPr>
              <w:keepNext w:val="0"/>
              <w:keepLines w:val="0"/>
              <w:spacing w:before="0" w:line="240" w:lineRule="auto"/>
              <w:ind w:firstLine="0"/>
              <w:jc w:val="center"/>
              <w:outlineLvl w:val="9"/>
              <w:rPr>
                <w:rFonts w:ascii="Calibri" w:eastAsia="Times New Roman" w:hAnsi="Calibri" w:cs="Calibri"/>
                <w:color w:val="000000"/>
                <w:sz w:val="22"/>
                <w:szCs w:val="22"/>
                <w:lang w:val="es-DO" w:eastAsia="es-DO"/>
              </w:rPr>
            </w:pPr>
            <w:r w:rsidRPr="00E35F03">
              <w:rPr>
                <w:rFonts w:ascii="Calibri" w:eastAsia="Times New Roman" w:hAnsi="Calibri" w:cs="Calibri"/>
                <w:color w:val="000000"/>
                <w:sz w:val="22"/>
                <w:szCs w:val="22"/>
                <w:lang w:val="es-DO" w:eastAsia="es-DO"/>
              </w:rPr>
              <w:t>100.0</w:t>
            </w:r>
          </w:p>
        </w:tc>
        <w:tc>
          <w:tcPr>
            <w:tcW w:w="1134" w:type="dxa"/>
            <w:tcBorders>
              <w:top w:val="nil"/>
              <w:left w:val="nil"/>
              <w:bottom w:val="single" w:sz="4" w:space="0" w:color="305496"/>
              <w:right w:val="single" w:sz="8" w:space="0" w:color="305496"/>
            </w:tcBorders>
            <w:shd w:val="clear" w:color="000000" w:fill="FFFFFF"/>
            <w:vAlign w:val="center"/>
            <w:hideMark/>
          </w:tcPr>
          <w:p w:rsidR="007A5027" w:rsidRPr="00E35F03" w:rsidRDefault="007A5027" w:rsidP="001656DE">
            <w:pPr>
              <w:keepNext w:val="0"/>
              <w:keepLines w:val="0"/>
              <w:spacing w:before="0" w:line="240" w:lineRule="auto"/>
              <w:ind w:firstLine="0"/>
              <w:jc w:val="center"/>
              <w:outlineLvl w:val="9"/>
              <w:rPr>
                <w:rFonts w:ascii="Calibri" w:eastAsia="Times New Roman" w:hAnsi="Calibri" w:cs="Calibri"/>
                <w:color w:val="000000"/>
                <w:sz w:val="22"/>
                <w:szCs w:val="22"/>
                <w:lang w:val="es-DO" w:eastAsia="es-DO"/>
              </w:rPr>
            </w:pPr>
            <w:r w:rsidRPr="00E35F03">
              <w:rPr>
                <w:rFonts w:ascii="Calibri" w:eastAsia="Times New Roman" w:hAnsi="Calibri" w:cs="Calibri"/>
                <w:color w:val="000000"/>
                <w:sz w:val="22"/>
                <w:szCs w:val="22"/>
                <w:lang w:val="es-DO" w:eastAsia="es-DO"/>
              </w:rPr>
              <w:t>100.0</w:t>
            </w:r>
          </w:p>
        </w:tc>
      </w:tr>
      <w:tr w:rsidR="007A5027" w:rsidRPr="00E35F03" w:rsidTr="005C618F">
        <w:trPr>
          <w:trHeight w:val="410"/>
          <w:jc w:val="center"/>
        </w:trPr>
        <w:tc>
          <w:tcPr>
            <w:tcW w:w="576" w:type="dxa"/>
            <w:tcBorders>
              <w:top w:val="nil"/>
              <w:left w:val="single" w:sz="8" w:space="0" w:color="305496"/>
              <w:bottom w:val="single" w:sz="4" w:space="0" w:color="305496"/>
              <w:right w:val="single" w:sz="8" w:space="0" w:color="FFFFFF"/>
            </w:tcBorders>
            <w:shd w:val="clear" w:color="000000" w:fill="FFFFFF"/>
            <w:vAlign w:val="center"/>
            <w:hideMark/>
          </w:tcPr>
          <w:p w:rsidR="007A5027" w:rsidRPr="00E35F03" w:rsidRDefault="007A5027" w:rsidP="001656DE">
            <w:pPr>
              <w:keepNext w:val="0"/>
              <w:keepLines w:val="0"/>
              <w:spacing w:before="0" w:line="240" w:lineRule="auto"/>
              <w:ind w:firstLine="0"/>
              <w:jc w:val="center"/>
              <w:outlineLvl w:val="9"/>
              <w:rPr>
                <w:rFonts w:ascii="Calibri" w:eastAsia="Times New Roman" w:hAnsi="Calibri" w:cs="Calibri"/>
                <w:color w:val="000000"/>
                <w:sz w:val="22"/>
                <w:szCs w:val="22"/>
                <w:lang w:val="es-DO" w:eastAsia="es-DO"/>
              </w:rPr>
            </w:pPr>
            <w:r w:rsidRPr="00E35F03">
              <w:rPr>
                <w:rFonts w:ascii="Calibri" w:eastAsia="Times New Roman" w:hAnsi="Calibri" w:cs="Calibri"/>
                <w:color w:val="000000"/>
                <w:sz w:val="22"/>
                <w:szCs w:val="22"/>
                <w:lang w:val="es-DO" w:eastAsia="es-DO"/>
              </w:rPr>
              <w:t>3.5</w:t>
            </w:r>
          </w:p>
        </w:tc>
        <w:tc>
          <w:tcPr>
            <w:tcW w:w="5105" w:type="dxa"/>
            <w:tcBorders>
              <w:top w:val="nil"/>
              <w:left w:val="nil"/>
              <w:bottom w:val="single" w:sz="4" w:space="0" w:color="305496"/>
              <w:right w:val="nil"/>
            </w:tcBorders>
            <w:shd w:val="clear" w:color="000000" w:fill="FFFFFF"/>
            <w:vAlign w:val="center"/>
            <w:hideMark/>
          </w:tcPr>
          <w:p w:rsidR="007A5027" w:rsidRPr="00E35F03" w:rsidRDefault="007A5027" w:rsidP="001656DE">
            <w:pPr>
              <w:keepNext w:val="0"/>
              <w:keepLines w:val="0"/>
              <w:spacing w:before="0" w:line="240" w:lineRule="auto"/>
              <w:ind w:firstLine="0"/>
              <w:jc w:val="left"/>
              <w:outlineLvl w:val="9"/>
              <w:rPr>
                <w:rFonts w:ascii="Calibri" w:eastAsia="Times New Roman" w:hAnsi="Calibri" w:cs="Calibri"/>
                <w:b/>
                <w:bCs/>
                <w:color w:val="000000"/>
                <w:sz w:val="22"/>
                <w:szCs w:val="22"/>
                <w:lang w:val="es-DO" w:eastAsia="es-DO"/>
              </w:rPr>
            </w:pPr>
            <w:r w:rsidRPr="00E35F03">
              <w:rPr>
                <w:rFonts w:ascii="Calibri" w:eastAsia="Times New Roman" w:hAnsi="Calibri" w:cs="Calibri"/>
                <w:b/>
                <w:bCs/>
                <w:color w:val="000000"/>
                <w:sz w:val="22"/>
                <w:szCs w:val="22"/>
                <w:lang w:val="es-DO" w:eastAsia="es-DO"/>
              </w:rPr>
              <w:t>Porcentaje promedio del indicador del SISMAP.</w:t>
            </w:r>
          </w:p>
        </w:tc>
        <w:tc>
          <w:tcPr>
            <w:tcW w:w="1456" w:type="dxa"/>
            <w:tcBorders>
              <w:top w:val="nil"/>
              <w:left w:val="single" w:sz="8" w:space="0" w:color="4472C4"/>
              <w:bottom w:val="single" w:sz="4" w:space="0" w:color="305496"/>
              <w:right w:val="single" w:sz="8" w:space="0" w:color="4472C4"/>
            </w:tcBorders>
            <w:shd w:val="clear" w:color="000000" w:fill="E8EBF0"/>
            <w:vAlign w:val="center"/>
            <w:hideMark/>
          </w:tcPr>
          <w:p w:rsidR="007A5027" w:rsidRPr="00E35F03" w:rsidRDefault="007A5027" w:rsidP="001656DE">
            <w:pPr>
              <w:keepNext w:val="0"/>
              <w:keepLines w:val="0"/>
              <w:spacing w:before="0" w:line="240" w:lineRule="auto"/>
              <w:ind w:firstLine="0"/>
              <w:jc w:val="center"/>
              <w:outlineLvl w:val="9"/>
              <w:rPr>
                <w:rFonts w:ascii="Calibri" w:eastAsia="Times New Roman" w:hAnsi="Calibri" w:cs="Calibri"/>
                <w:color w:val="000000"/>
                <w:sz w:val="22"/>
                <w:szCs w:val="22"/>
                <w:lang w:val="es-DO" w:eastAsia="es-DO"/>
              </w:rPr>
            </w:pPr>
            <w:r w:rsidRPr="00E35F03">
              <w:rPr>
                <w:rFonts w:ascii="Calibri" w:eastAsia="Times New Roman" w:hAnsi="Calibri" w:cs="Calibri"/>
                <w:color w:val="000000"/>
                <w:sz w:val="22"/>
                <w:szCs w:val="22"/>
                <w:lang w:val="es-DO" w:eastAsia="es-DO"/>
              </w:rPr>
              <w:t>88.64%</w:t>
            </w:r>
          </w:p>
        </w:tc>
        <w:tc>
          <w:tcPr>
            <w:tcW w:w="1217" w:type="dxa"/>
            <w:tcBorders>
              <w:top w:val="nil"/>
              <w:left w:val="nil"/>
              <w:bottom w:val="single" w:sz="4" w:space="0" w:color="305496"/>
              <w:right w:val="single" w:sz="8" w:space="0" w:color="305496"/>
            </w:tcBorders>
            <w:shd w:val="clear" w:color="000000" w:fill="FFFFFF"/>
            <w:vAlign w:val="center"/>
            <w:hideMark/>
          </w:tcPr>
          <w:p w:rsidR="007A5027" w:rsidRPr="00E35F03" w:rsidRDefault="007A5027" w:rsidP="001656DE">
            <w:pPr>
              <w:keepNext w:val="0"/>
              <w:keepLines w:val="0"/>
              <w:spacing w:before="0" w:line="240" w:lineRule="auto"/>
              <w:ind w:firstLine="0"/>
              <w:jc w:val="center"/>
              <w:outlineLvl w:val="9"/>
              <w:rPr>
                <w:rFonts w:ascii="Calibri" w:eastAsia="Times New Roman" w:hAnsi="Calibri" w:cs="Calibri"/>
                <w:color w:val="000000"/>
                <w:sz w:val="22"/>
                <w:szCs w:val="22"/>
                <w:lang w:val="es-DO" w:eastAsia="es-DO"/>
              </w:rPr>
            </w:pPr>
            <w:r w:rsidRPr="00E35F03">
              <w:rPr>
                <w:rFonts w:ascii="Calibri" w:eastAsia="Times New Roman" w:hAnsi="Calibri" w:cs="Calibri"/>
                <w:color w:val="000000"/>
                <w:sz w:val="22"/>
                <w:szCs w:val="22"/>
                <w:lang w:val="es-DO" w:eastAsia="es-DO"/>
              </w:rPr>
              <w:t>90</w:t>
            </w:r>
          </w:p>
        </w:tc>
        <w:tc>
          <w:tcPr>
            <w:tcW w:w="1134" w:type="dxa"/>
            <w:tcBorders>
              <w:top w:val="nil"/>
              <w:left w:val="nil"/>
              <w:bottom w:val="single" w:sz="4" w:space="0" w:color="305496"/>
              <w:right w:val="single" w:sz="8" w:space="0" w:color="305496"/>
            </w:tcBorders>
            <w:shd w:val="clear" w:color="000000" w:fill="FFFFFF"/>
            <w:vAlign w:val="center"/>
            <w:hideMark/>
          </w:tcPr>
          <w:p w:rsidR="007A5027" w:rsidRPr="00E35F03" w:rsidRDefault="007A5027" w:rsidP="001656DE">
            <w:pPr>
              <w:keepNext w:val="0"/>
              <w:keepLines w:val="0"/>
              <w:spacing w:before="0" w:line="240" w:lineRule="auto"/>
              <w:ind w:firstLine="0"/>
              <w:jc w:val="center"/>
              <w:outlineLvl w:val="9"/>
              <w:rPr>
                <w:rFonts w:ascii="Calibri" w:eastAsia="Times New Roman" w:hAnsi="Calibri" w:cs="Calibri"/>
                <w:color w:val="000000"/>
                <w:sz w:val="22"/>
                <w:szCs w:val="22"/>
                <w:lang w:val="es-DO" w:eastAsia="es-DO"/>
              </w:rPr>
            </w:pPr>
            <w:r w:rsidRPr="00E35F03">
              <w:rPr>
                <w:rFonts w:ascii="Calibri" w:eastAsia="Times New Roman" w:hAnsi="Calibri" w:cs="Calibri"/>
                <w:color w:val="000000"/>
                <w:sz w:val="22"/>
                <w:szCs w:val="22"/>
                <w:lang w:val="es-DO" w:eastAsia="es-DO"/>
              </w:rPr>
              <w:t>90</w:t>
            </w:r>
          </w:p>
        </w:tc>
      </w:tr>
      <w:tr w:rsidR="007A5027" w:rsidRPr="00E35F03" w:rsidTr="005C618F">
        <w:trPr>
          <w:trHeight w:val="410"/>
          <w:jc w:val="center"/>
        </w:trPr>
        <w:tc>
          <w:tcPr>
            <w:tcW w:w="576" w:type="dxa"/>
            <w:tcBorders>
              <w:top w:val="nil"/>
              <w:left w:val="single" w:sz="8" w:space="0" w:color="305496"/>
              <w:bottom w:val="double" w:sz="6" w:space="0" w:color="305496"/>
              <w:right w:val="single" w:sz="8" w:space="0" w:color="FFFFFF"/>
            </w:tcBorders>
            <w:shd w:val="clear" w:color="000000" w:fill="FFFFFF"/>
            <w:vAlign w:val="center"/>
            <w:hideMark/>
          </w:tcPr>
          <w:p w:rsidR="007A5027" w:rsidRPr="00E35F03" w:rsidRDefault="007A5027" w:rsidP="001656DE">
            <w:pPr>
              <w:keepNext w:val="0"/>
              <w:keepLines w:val="0"/>
              <w:spacing w:before="0" w:line="240" w:lineRule="auto"/>
              <w:ind w:firstLine="0"/>
              <w:jc w:val="center"/>
              <w:outlineLvl w:val="9"/>
              <w:rPr>
                <w:rFonts w:ascii="Calibri" w:eastAsia="Times New Roman" w:hAnsi="Calibri" w:cs="Calibri"/>
                <w:color w:val="000000"/>
                <w:sz w:val="22"/>
                <w:szCs w:val="22"/>
                <w:lang w:val="es-DO" w:eastAsia="es-DO"/>
              </w:rPr>
            </w:pPr>
            <w:r w:rsidRPr="00E35F03">
              <w:rPr>
                <w:rFonts w:ascii="Calibri" w:eastAsia="Times New Roman" w:hAnsi="Calibri" w:cs="Calibri"/>
                <w:color w:val="000000"/>
                <w:sz w:val="22"/>
                <w:szCs w:val="22"/>
                <w:lang w:val="es-DO" w:eastAsia="es-DO"/>
              </w:rPr>
              <w:t>3.6</w:t>
            </w:r>
          </w:p>
        </w:tc>
        <w:tc>
          <w:tcPr>
            <w:tcW w:w="5105" w:type="dxa"/>
            <w:tcBorders>
              <w:top w:val="nil"/>
              <w:left w:val="nil"/>
              <w:bottom w:val="double" w:sz="6" w:space="0" w:color="305496"/>
              <w:right w:val="nil"/>
            </w:tcBorders>
            <w:shd w:val="clear" w:color="000000" w:fill="FFFFFF"/>
            <w:vAlign w:val="center"/>
            <w:hideMark/>
          </w:tcPr>
          <w:p w:rsidR="007A5027" w:rsidRPr="00E35F03" w:rsidRDefault="007A5027" w:rsidP="001656DE">
            <w:pPr>
              <w:keepNext w:val="0"/>
              <w:keepLines w:val="0"/>
              <w:spacing w:before="0" w:line="240" w:lineRule="auto"/>
              <w:ind w:firstLine="0"/>
              <w:jc w:val="left"/>
              <w:outlineLvl w:val="9"/>
              <w:rPr>
                <w:rFonts w:ascii="Calibri" w:eastAsia="Times New Roman" w:hAnsi="Calibri" w:cs="Calibri"/>
                <w:b/>
                <w:bCs/>
                <w:color w:val="000000"/>
                <w:sz w:val="22"/>
                <w:szCs w:val="22"/>
                <w:lang w:val="es-DO" w:eastAsia="es-DO"/>
              </w:rPr>
            </w:pPr>
            <w:r w:rsidRPr="00E35F03">
              <w:rPr>
                <w:rFonts w:ascii="Calibri" w:eastAsia="Times New Roman" w:hAnsi="Calibri" w:cs="Calibri"/>
                <w:b/>
                <w:bCs/>
                <w:color w:val="000000"/>
                <w:sz w:val="22"/>
                <w:szCs w:val="22"/>
                <w:lang w:val="es-DO" w:eastAsia="es-DO"/>
              </w:rPr>
              <w:t>Porcentaje obtenido del indicador de las NOBACI.</w:t>
            </w:r>
          </w:p>
        </w:tc>
        <w:tc>
          <w:tcPr>
            <w:tcW w:w="1456" w:type="dxa"/>
            <w:tcBorders>
              <w:top w:val="nil"/>
              <w:left w:val="single" w:sz="8" w:space="0" w:color="4472C4"/>
              <w:bottom w:val="single" w:sz="8" w:space="0" w:color="4472C4"/>
              <w:right w:val="single" w:sz="8" w:space="0" w:color="4472C4"/>
            </w:tcBorders>
            <w:shd w:val="clear" w:color="000000" w:fill="E8EBF0"/>
            <w:vAlign w:val="center"/>
            <w:hideMark/>
          </w:tcPr>
          <w:p w:rsidR="007A5027" w:rsidRPr="00E35F03" w:rsidRDefault="007A5027" w:rsidP="001656DE">
            <w:pPr>
              <w:keepNext w:val="0"/>
              <w:keepLines w:val="0"/>
              <w:spacing w:before="0" w:line="240" w:lineRule="auto"/>
              <w:ind w:firstLine="0"/>
              <w:jc w:val="center"/>
              <w:outlineLvl w:val="9"/>
              <w:rPr>
                <w:rFonts w:ascii="Calibri" w:eastAsia="Times New Roman" w:hAnsi="Calibri" w:cs="Calibri"/>
                <w:color w:val="000000"/>
                <w:sz w:val="22"/>
                <w:szCs w:val="22"/>
                <w:lang w:val="es-DO" w:eastAsia="es-DO"/>
              </w:rPr>
            </w:pPr>
            <w:r w:rsidRPr="00E35F03">
              <w:rPr>
                <w:rFonts w:ascii="Calibri" w:eastAsia="Times New Roman" w:hAnsi="Calibri" w:cs="Calibri"/>
                <w:color w:val="000000"/>
                <w:sz w:val="22"/>
                <w:szCs w:val="22"/>
                <w:lang w:val="es-DO" w:eastAsia="es-DO"/>
              </w:rPr>
              <w:t>90.72%</w:t>
            </w:r>
          </w:p>
        </w:tc>
        <w:tc>
          <w:tcPr>
            <w:tcW w:w="1217" w:type="dxa"/>
            <w:tcBorders>
              <w:top w:val="nil"/>
              <w:left w:val="nil"/>
              <w:bottom w:val="double" w:sz="6" w:space="0" w:color="305496"/>
              <w:right w:val="single" w:sz="8" w:space="0" w:color="305496"/>
            </w:tcBorders>
            <w:shd w:val="clear" w:color="000000" w:fill="FFFFFF"/>
            <w:vAlign w:val="center"/>
            <w:hideMark/>
          </w:tcPr>
          <w:p w:rsidR="007A5027" w:rsidRPr="00E35F03" w:rsidRDefault="007A5027" w:rsidP="001656DE">
            <w:pPr>
              <w:keepNext w:val="0"/>
              <w:keepLines w:val="0"/>
              <w:spacing w:before="0" w:line="240" w:lineRule="auto"/>
              <w:ind w:firstLine="0"/>
              <w:jc w:val="center"/>
              <w:outlineLvl w:val="9"/>
              <w:rPr>
                <w:rFonts w:ascii="Calibri" w:eastAsia="Times New Roman" w:hAnsi="Calibri" w:cs="Calibri"/>
                <w:color w:val="000000"/>
                <w:sz w:val="22"/>
                <w:szCs w:val="22"/>
                <w:lang w:val="es-DO" w:eastAsia="es-DO"/>
              </w:rPr>
            </w:pPr>
            <w:r w:rsidRPr="00E35F03">
              <w:rPr>
                <w:rFonts w:ascii="Calibri" w:eastAsia="Times New Roman" w:hAnsi="Calibri" w:cs="Calibri"/>
                <w:color w:val="000000"/>
                <w:sz w:val="22"/>
                <w:szCs w:val="22"/>
                <w:lang w:val="es-DO" w:eastAsia="es-DO"/>
              </w:rPr>
              <w:t>90</w:t>
            </w:r>
          </w:p>
        </w:tc>
        <w:tc>
          <w:tcPr>
            <w:tcW w:w="1134" w:type="dxa"/>
            <w:tcBorders>
              <w:top w:val="nil"/>
              <w:left w:val="nil"/>
              <w:bottom w:val="double" w:sz="6" w:space="0" w:color="305496"/>
              <w:right w:val="single" w:sz="8" w:space="0" w:color="305496"/>
            </w:tcBorders>
            <w:shd w:val="clear" w:color="000000" w:fill="FFFFFF"/>
            <w:vAlign w:val="center"/>
            <w:hideMark/>
          </w:tcPr>
          <w:p w:rsidR="007A5027" w:rsidRPr="00E35F03" w:rsidRDefault="007A5027" w:rsidP="001656DE">
            <w:pPr>
              <w:keepNext w:val="0"/>
              <w:keepLines w:val="0"/>
              <w:spacing w:before="0" w:line="240" w:lineRule="auto"/>
              <w:ind w:firstLine="0"/>
              <w:jc w:val="center"/>
              <w:outlineLvl w:val="9"/>
              <w:rPr>
                <w:rFonts w:ascii="Calibri" w:eastAsia="Times New Roman" w:hAnsi="Calibri" w:cs="Calibri"/>
                <w:color w:val="000000"/>
                <w:sz w:val="22"/>
                <w:szCs w:val="22"/>
                <w:lang w:val="es-DO" w:eastAsia="es-DO"/>
              </w:rPr>
            </w:pPr>
            <w:r w:rsidRPr="00E35F03">
              <w:rPr>
                <w:rFonts w:ascii="Calibri" w:eastAsia="Times New Roman" w:hAnsi="Calibri" w:cs="Calibri"/>
                <w:color w:val="000000"/>
                <w:sz w:val="22"/>
                <w:szCs w:val="22"/>
                <w:lang w:val="es-DO" w:eastAsia="es-DO"/>
              </w:rPr>
              <w:t>90</w:t>
            </w:r>
          </w:p>
        </w:tc>
      </w:tr>
    </w:tbl>
    <w:p w:rsidR="00DE7178" w:rsidRPr="00DE7178" w:rsidRDefault="00DE7178" w:rsidP="00731AA9">
      <w:r w:rsidRPr="00DE7178">
        <w:rPr>
          <w:u w:val="single"/>
        </w:rPr>
        <w:t>Indicadores Estratégicos de Regionalización de las Contrataciones Públicas</w:t>
      </w:r>
      <w:r w:rsidR="00731AA9" w:rsidRPr="00731AA9">
        <w:t xml:space="preserve">: </w:t>
      </w:r>
      <w:r w:rsidRPr="00DE7178">
        <w:t>De acuerdo a las nuevas informaciones que pueden obtenerse por el Portal Transaccional, se han diseñado e incorporado al Plan Estratégico Institucional 2018-2021, los siguientes indicadores estratégicos:</w:t>
      </w:r>
    </w:p>
    <w:p w:rsidR="00DE7178" w:rsidRPr="00DE7178" w:rsidRDefault="00DE7178" w:rsidP="00DE7178">
      <w:pPr>
        <w:rPr>
          <w:b/>
        </w:rPr>
      </w:pPr>
      <w:r w:rsidRPr="00DE7178">
        <w:rPr>
          <w:b/>
        </w:rPr>
        <w:t>Registro de Proveedores por Región</w:t>
      </w:r>
    </w:p>
    <w:p w:rsidR="00DE7178" w:rsidRDefault="00DE7178" w:rsidP="00D428CC">
      <w:pPr>
        <w:ind w:firstLine="0"/>
        <w:jc w:val="center"/>
      </w:pPr>
      <w:r>
        <w:rPr>
          <w:noProof/>
          <w:lang w:val="es-DO" w:eastAsia="es-DO"/>
        </w:rPr>
        <w:drawing>
          <wp:inline distT="0" distB="0" distL="0" distR="0" wp14:anchorId="03223630" wp14:editId="52856FCE">
            <wp:extent cx="4162425" cy="3219450"/>
            <wp:effectExtent l="0" t="0" r="9525"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FC4CE7" w:rsidRDefault="00FC4CE7" w:rsidP="00F11885">
      <w:pPr>
        <w:pStyle w:val="Textoindependiente"/>
      </w:pPr>
      <w:r w:rsidRPr="00FC4CE7">
        <w:t>El número de proveedores registrados en las regiones mantiene una tendencia normal. Se espera que más proveedores se motiven a registrarse y a participar en las Compras Públicas. Desde la Dirección se fomenta a potenciales proveedores a través de las ruedas de negocio las oportunidades que existen para estos. Más aún, todos los proveedores de estado, sin importar su localidad, pueden ofertar a través de Portal Transaccional a los diferentes procesos que publican las instituciones públicas.</w:t>
      </w:r>
    </w:p>
    <w:p w:rsidR="00FC4CE7" w:rsidRDefault="00FC4CE7" w:rsidP="00D428CC">
      <w:pPr>
        <w:ind w:firstLine="0"/>
        <w:jc w:val="center"/>
      </w:pPr>
      <w:r>
        <w:rPr>
          <w:noProof/>
          <w:lang w:val="es-DO" w:eastAsia="es-DO"/>
        </w:rPr>
        <w:drawing>
          <wp:inline distT="0" distB="0" distL="0" distR="0" wp14:anchorId="409E4E3E" wp14:editId="142C7798">
            <wp:extent cx="4095750" cy="3095625"/>
            <wp:effectExtent l="0" t="0" r="0" b="9525"/>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FC4CE7" w:rsidRDefault="00FC4CE7" w:rsidP="00F11885">
      <w:pPr>
        <w:pStyle w:val="Textoindependiente"/>
      </w:pPr>
      <w:r w:rsidRPr="00FC4CE7">
        <w:t>El número de proveedores registrados en la región metropolitana continúa con un comportamiento normal.  Se espera que este se mantenga a lo largo del tiempo debido a que la variable está alcanzando una meseta, es decir la mayoría de los proveedores interesados a suplir al estado ya están registrados.  El reto institucional es diversificar la cantidad de nuevos proveedores que son adjudicados para así incluir a nuevas MIPYMES y mujeres.</w:t>
      </w:r>
    </w:p>
    <w:p w:rsidR="00FC4CE7" w:rsidRDefault="00FC4CE7" w:rsidP="00D428CC">
      <w:pPr>
        <w:ind w:firstLine="0"/>
        <w:jc w:val="center"/>
      </w:pPr>
      <w:r>
        <w:rPr>
          <w:noProof/>
          <w:lang w:val="es-DO" w:eastAsia="es-DO"/>
        </w:rPr>
        <w:drawing>
          <wp:inline distT="0" distB="0" distL="0" distR="0" wp14:anchorId="6B9FDF51" wp14:editId="6F47255A">
            <wp:extent cx="4067175" cy="3143250"/>
            <wp:effectExtent l="0" t="0" r="9525" b="0"/>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FC4CE7" w:rsidRDefault="00FC4CE7" w:rsidP="00F11885">
      <w:pPr>
        <w:pStyle w:val="Textoindependiente"/>
      </w:pPr>
      <w:r>
        <w:t xml:space="preserve">Al pasar el tiempo, la participación de la región norte en las adjudicaciones toma mayor importancia. Es importante destacar que, en esta región, en el tercer trimestre de 2019, el 42% de sus contrataciones correspondieron al sector construcción y servicios y el 19% se debió a compras relacionadas al sector tecnología. Estas contrataciones impulsaron al aumento en la participación de esta región. </w:t>
      </w:r>
    </w:p>
    <w:p w:rsidR="00FC4CE7" w:rsidRDefault="00FC4CE7" w:rsidP="00F11885">
      <w:pPr>
        <w:pStyle w:val="Textoindependiente"/>
      </w:pPr>
      <w:r>
        <w:t xml:space="preserve">Por otra parte, lo contratado las regiones este y sur mantiene una participación menor al 4% del total adjudicado. Lo que nos dice </w:t>
      </w:r>
      <w:r w:rsidR="00B97047">
        <w:t xml:space="preserve">que </w:t>
      </w:r>
      <w:r>
        <w:t>es necesario tomar acciones para aumentar las adjudicaciones a los proveedores de estas localidades. Se espera que con las ruedas de negocio que se han celebrado en este año, aumenten las adjudicaciones en otros sectores con mayor impacto a los sectores productivos nacional.</w:t>
      </w:r>
    </w:p>
    <w:p w:rsidR="008346B0" w:rsidRDefault="008346B0">
      <w:pPr>
        <w:keepNext w:val="0"/>
        <w:keepLines w:val="0"/>
        <w:spacing w:before="0" w:after="160" w:line="259" w:lineRule="auto"/>
        <w:ind w:firstLine="0"/>
        <w:jc w:val="left"/>
        <w:outlineLvl w:val="9"/>
        <w:rPr>
          <w:b/>
        </w:rPr>
      </w:pPr>
      <w:r>
        <w:rPr>
          <w:b/>
        </w:rPr>
        <w:br w:type="page"/>
      </w:r>
    </w:p>
    <w:p w:rsidR="00FC4CE7" w:rsidRPr="00FC4CE7" w:rsidRDefault="00FC4CE7" w:rsidP="00FC4CE7">
      <w:pPr>
        <w:rPr>
          <w:b/>
        </w:rPr>
      </w:pPr>
      <w:r>
        <w:rPr>
          <w:b/>
        </w:rPr>
        <w:t xml:space="preserve">Participación </w:t>
      </w:r>
      <w:r w:rsidRPr="00FC4CE7">
        <w:rPr>
          <w:b/>
        </w:rPr>
        <w:t>e</w:t>
      </w:r>
      <w:r>
        <w:rPr>
          <w:b/>
        </w:rPr>
        <w:t>n</w:t>
      </w:r>
      <w:r w:rsidRPr="00FC4CE7">
        <w:rPr>
          <w:b/>
        </w:rPr>
        <w:t xml:space="preserve"> las Adjudicaciones</w:t>
      </w:r>
    </w:p>
    <w:p w:rsidR="00FC4CE7" w:rsidRDefault="00FC4CE7" w:rsidP="00D428CC">
      <w:pPr>
        <w:ind w:firstLine="0"/>
        <w:jc w:val="center"/>
      </w:pPr>
      <w:r>
        <w:rPr>
          <w:noProof/>
          <w:lang w:val="es-DO" w:eastAsia="es-DO"/>
        </w:rPr>
        <w:drawing>
          <wp:inline distT="0" distB="0" distL="0" distR="0" wp14:anchorId="72D2623F" wp14:editId="0C100639">
            <wp:extent cx="4133850" cy="3171825"/>
            <wp:effectExtent l="0" t="0" r="0" b="9525"/>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FC4CE7" w:rsidRDefault="00FC4CE7" w:rsidP="00F11885">
      <w:pPr>
        <w:pStyle w:val="Textoindependiente"/>
      </w:pPr>
      <w:r w:rsidRPr="00FC4CE7">
        <w:t>Se observa el efecto de la regionalización de las compras. Una menor participación del monto contratado en la región metropolitana significa que se está adquiriendo más bienes y servicios a proveedores de otras regiones del país. Principalmente, en la región norte como habíamos visto en la gráfica anterior.</w:t>
      </w:r>
    </w:p>
    <w:p w:rsidR="00FC4CE7" w:rsidRDefault="00FC4CE7" w:rsidP="00D428CC">
      <w:pPr>
        <w:ind w:firstLine="0"/>
        <w:jc w:val="center"/>
      </w:pPr>
      <w:r>
        <w:rPr>
          <w:noProof/>
          <w:lang w:val="es-DO" w:eastAsia="es-DO"/>
        </w:rPr>
        <w:drawing>
          <wp:inline distT="0" distB="0" distL="0" distR="0" wp14:anchorId="78AAD7B4" wp14:editId="4D2217F7">
            <wp:extent cx="4753155" cy="3381375"/>
            <wp:effectExtent l="0" t="0" r="9525" b="9525"/>
            <wp:docPr id="19" name="Grá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FC4CE7" w:rsidRDefault="00FC4CE7" w:rsidP="00C12D04">
      <w:r>
        <w:t xml:space="preserve">En esta gráfica se ve como cada trimestre aumenta el número de proveedores distintos adjudicados en el Sistema de Compras. En la región norte, debido a su gran base de proveedores, existe una mayor cantidad de proveedores distintos adjudicados. En su mayoría, proveedores de servicios de ingeniería y de tecnología. </w:t>
      </w:r>
    </w:p>
    <w:p w:rsidR="00FC4CE7" w:rsidRDefault="00FC4CE7" w:rsidP="00C12D04">
      <w:r>
        <w:t>En la región sur y en la este, el número de proveedores adjudicados se mantiene relativamente constante, indicando que este grupo r</w:t>
      </w:r>
      <w:r w:rsidR="00C12D04">
        <w:t>ecibe</w:t>
      </w:r>
      <w:r>
        <w:t xml:space="preserve"> ingresos fijos que serán utilizados en sus localidades para dinamizar la economía.</w:t>
      </w:r>
    </w:p>
    <w:p w:rsidR="00FC4CE7" w:rsidRDefault="00FC4CE7" w:rsidP="00D428CC">
      <w:pPr>
        <w:ind w:firstLine="0"/>
        <w:jc w:val="center"/>
      </w:pPr>
      <w:r>
        <w:rPr>
          <w:noProof/>
          <w:lang w:val="es-DO" w:eastAsia="es-DO"/>
        </w:rPr>
        <w:drawing>
          <wp:inline distT="0" distB="0" distL="0" distR="0" wp14:anchorId="08F5387F" wp14:editId="42852419">
            <wp:extent cx="4276725" cy="3076575"/>
            <wp:effectExtent l="0" t="0" r="9525" b="9525"/>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FC4CE7" w:rsidRPr="008E1281" w:rsidRDefault="00FC4CE7" w:rsidP="00F11885">
      <w:pPr>
        <w:pStyle w:val="Textoindependiente"/>
      </w:pPr>
      <w:r>
        <w:t>Como puede observarse, es evidente el crecimiento sostenido del número de proveedores adjudicados en la Región Metropolitana, en el periodo transcurrido entre el primer trimestre del año 2018 hasta el tercer trimestre del 2019. En el primer trimestre del 2019, se advierte un crecimiento muy significativo en el número de proveedores adjudicados en la Región Metropolitana al compararlo con igual periodo del 2018 de un 32.5%. En el segundo trimestre del 2019 se muestra una muy leve disminución de un 1% en el número de proveedores al compararlo con el mismo periodo del 2018.</w:t>
      </w:r>
    </w:p>
    <w:p w:rsidR="00F11885" w:rsidRDefault="00F11885">
      <w:pPr>
        <w:keepNext w:val="0"/>
        <w:keepLines w:val="0"/>
        <w:spacing w:before="0" w:after="160" w:line="259" w:lineRule="auto"/>
        <w:ind w:firstLine="0"/>
        <w:jc w:val="left"/>
        <w:outlineLvl w:val="9"/>
        <w:rPr>
          <w:rStyle w:val="Ttulo3Car"/>
        </w:rPr>
      </w:pPr>
      <w:r>
        <w:rPr>
          <w:rStyle w:val="Ttulo3Car"/>
        </w:rPr>
        <w:br w:type="page"/>
      </w:r>
    </w:p>
    <w:p w:rsidR="007360B4" w:rsidRDefault="007360B4" w:rsidP="007A5027">
      <w:pPr>
        <w:ind w:firstLine="708"/>
      </w:pPr>
      <w:r w:rsidRPr="007360B4">
        <w:rPr>
          <w:rStyle w:val="Ttulo3Car"/>
        </w:rPr>
        <w:t>Sistema de Monitoreo y Medición de la Gestión Pública (SMMGP)</w:t>
      </w:r>
    </w:p>
    <w:p w:rsidR="007360B4" w:rsidRDefault="007360B4" w:rsidP="00F11885">
      <w:pPr>
        <w:pStyle w:val="Textoindependiente"/>
      </w:pPr>
      <w:r>
        <w:t xml:space="preserve">El Sistema de Monitoreo y Medición de la Gestión Pública, tiene como finalidad fomentar la transparencia, eficiencia y eficacia de la gestión, cumpliendo con la legislación existente en materia de administración financiera del Estado. El </w:t>
      </w:r>
      <w:r w:rsidR="00F73F01">
        <w:t>sistema</w:t>
      </w:r>
      <w:r>
        <w:t xml:space="preserve"> está integrado por los subsistemas: Metas Presidenciales, Obras Prioritarias, los indicadores del SISMAP, ITICGe, NOBACI</w:t>
      </w:r>
      <w:r w:rsidR="00F73F01">
        <w:t xml:space="preserve">, </w:t>
      </w:r>
      <w:r>
        <w:t>Transparencia, Gestión Presupuestaria</w:t>
      </w:r>
      <w:r w:rsidR="00F73F01">
        <w:t xml:space="preserve"> (IGP)</w:t>
      </w:r>
      <w:r>
        <w:t>, y Compras y Contrataciones</w:t>
      </w:r>
      <w:r w:rsidR="00F73F01">
        <w:t xml:space="preserve"> (SISCOMPRAS)</w:t>
      </w:r>
      <w:r>
        <w:t>, y un macro indicador</w:t>
      </w:r>
      <w:r w:rsidR="00F73F01">
        <w:t xml:space="preserve"> de Transparencia Gubernamental;</w:t>
      </w:r>
      <w:r w:rsidR="00F73F01" w:rsidRPr="00F73F01">
        <w:t xml:space="preserve"> los cuales son obtenidos mensualmente y reportados a los distintos órganos rectores para ser publicados trimestralmente y presentados en el Consejo de Gobierno, con los resultados en el Cuadro de Mando Integral del SMMGP.</w:t>
      </w:r>
    </w:p>
    <w:p w:rsidR="00F73F01" w:rsidRDefault="00F73F01" w:rsidP="00F11885">
      <w:pPr>
        <w:pStyle w:val="Textoindependiente"/>
      </w:pPr>
      <w:r w:rsidRPr="00F73F01">
        <w:t xml:space="preserve">La Dirección General </w:t>
      </w:r>
      <w:r>
        <w:t>durante el 2019 trabajó</w:t>
      </w:r>
      <w:r w:rsidRPr="00F73F01">
        <w:t xml:space="preserve"> en el cumplimiento de los indicadores del Sistema de Monitoreo y Medición de la Gestión Pública</w:t>
      </w:r>
      <w:r>
        <w:t>, a</w:t>
      </w:r>
      <w:r w:rsidRPr="00F73F01">
        <w:t xml:space="preserve"> nivel institucional, </w:t>
      </w:r>
      <w:r w:rsidR="0035290B">
        <w:t>presentando</w:t>
      </w:r>
      <w:r w:rsidRPr="00F73F01">
        <w:t xml:space="preserve"> los </w:t>
      </w:r>
      <w:r>
        <w:t>resultados siguientes</w:t>
      </w:r>
      <w:r w:rsidR="0035290B">
        <w:t>, al corte de</w:t>
      </w:r>
      <w:r w:rsidR="008F4AAD">
        <w:t>l</w:t>
      </w:r>
      <w:r w:rsidR="0035290B">
        <w:t xml:space="preserve"> 03 de diciembre 2019</w:t>
      </w:r>
      <w:r w:rsidRPr="00F73F01">
        <w:t>:</w:t>
      </w:r>
    </w:p>
    <w:p w:rsidR="0035290B" w:rsidRDefault="0035290B" w:rsidP="005C618F">
      <w:pPr>
        <w:ind w:left="-426" w:firstLine="0"/>
        <w:jc w:val="center"/>
      </w:pPr>
      <w:r>
        <w:rPr>
          <w:noProof/>
          <w:lang w:val="es-DO" w:eastAsia="es-DO"/>
        </w:rPr>
        <w:drawing>
          <wp:inline distT="0" distB="0" distL="0" distR="0">
            <wp:extent cx="5429250" cy="755156"/>
            <wp:effectExtent l="0" t="0" r="0" b="6985"/>
            <wp:docPr id="7" name="Imagen 7" descr="cid:image001.jpg@01D5A9FF.3BFA9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5A9FF.3BFA9450"/>
                    <pic:cNvPicPr>
                      <a:picLocks noChangeAspect="1" noChangeArrowheads="1"/>
                    </pic:cNvPicPr>
                  </pic:nvPicPr>
                  <pic:blipFill>
                    <a:blip r:embed="rId35" r:link="rId36" cstate="print">
                      <a:extLst>
                        <a:ext uri="{28A0092B-C50C-407E-A947-70E740481C1C}">
                          <a14:useLocalDpi xmlns:a14="http://schemas.microsoft.com/office/drawing/2010/main" val="0"/>
                        </a:ext>
                      </a:extLst>
                    </a:blip>
                    <a:srcRect/>
                    <a:stretch>
                      <a:fillRect/>
                    </a:stretch>
                  </pic:blipFill>
                  <pic:spPr bwMode="auto">
                    <a:xfrm>
                      <a:off x="0" y="0"/>
                      <a:ext cx="5501612" cy="765221"/>
                    </a:xfrm>
                    <a:prstGeom prst="rect">
                      <a:avLst/>
                    </a:prstGeom>
                    <a:noFill/>
                    <a:ln>
                      <a:noFill/>
                    </a:ln>
                  </pic:spPr>
                </pic:pic>
              </a:graphicData>
            </a:graphic>
          </wp:inline>
        </w:drawing>
      </w:r>
    </w:p>
    <w:p w:rsidR="0035290B" w:rsidRDefault="0035290B" w:rsidP="00F73F01">
      <w:pPr>
        <w:rPr>
          <w:rStyle w:val="Ttulo3Car"/>
        </w:rPr>
      </w:pPr>
    </w:p>
    <w:p w:rsidR="0035290B" w:rsidRDefault="0035290B">
      <w:pPr>
        <w:keepNext w:val="0"/>
        <w:keepLines w:val="0"/>
        <w:spacing w:before="0" w:after="160" w:line="259" w:lineRule="auto"/>
        <w:ind w:firstLine="0"/>
        <w:jc w:val="left"/>
        <w:outlineLvl w:val="9"/>
        <w:rPr>
          <w:rStyle w:val="Ttulo3Car"/>
        </w:rPr>
      </w:pPr>
      <w:r>
        <w:rPr>
          <w:rStyle w:val="Ttulo3Car"/>
        </w:rPr>
        <w:br w:type="page"/>
      </w:r>
    </w:p>
    <w:p w:rsidR="00F73F01" w:rsidRDefault="00F73F01" w:rsidP="00F73F01">
      <w:r w:rsidRPr="007360B4">
        <w:rPr>
          <w:rStyle w:val="Ttulo3Car"/>
        </w:rPr>
        <w:t xml:space="preserve">Sistema de Monitoreo </w:t>
      </w:r>
      <w:r>
        <w:rPr>
          <w:rStyle w:val="Ttulo3Car"/>
        </w:rPr>
        <w:t>de la Administración</w:t>
      </w:r>
      <w:r w:rsidRPr="007360B4">
        <w:rPr>
          <w:rStyle w:val="Ttulo3Car"/>
        </w:rPr>
        <w:t xml:space="preserve"> Pública (S</w:t>
      </w:r>
      <w:r w:rsidR="00900932">
        <w:rPr>
          <w:rStyle w:val="Ttulo3Car"/>
        </w:rPr>
        <w:t>ISMAP</w:t>
      </w:r>
      <w:r w:rsidRPr="007360B4">
        <w:rPr>
          <w:rStyle w:val="Ttulo3Car"/>
        </w:rPr>
        <w:t>)</w:t>
      </w:r>
    </w:p>
    <w:p w:rsidR="0076007C" w:rsidRDefault="0076007C" w:rsidP="00F11885">
      <w:pPr>
        <w:pStyle w:val="Textoindependiente"/>
      </w:pPr>
      <w:r>
        <w:t>El Sistema de Monitoreo y Seguimiento de la Administración Pública (SISMAP), es una herramienta desarrollada por el Ministerio de Administración Pública (MAP), como parte de los insumos del Sistema de Desempeño Institucional (EDI), que tiene como objetivo propiciar y garantizar la evaluación y monitoreo de la gestión pública. A través del SISMAP se monitorea y da seguimiento a los indicadores definidos por el MAP para evaluar el nivel de avance de la Administración Pública, en temas que son de rectoría en cada institución. El mismo está diseñado para ofrecer, de manera gráfica, un panorama detallado, de la situación de cada indicador, agrupados según los criterios del Barómetro de Servicio Civil definido por este Órgano Rector, comprendiendo los Indicadores de Eficiencia, de Eficacia, de Calidad, y de Economía.</w:t>
      </w:r>
    </w:p>
    <w:p w:rsidR="00F11885" w:rsidRDefault="0076007C" w:rsidP="00F11885">
      <w:pPr>
        <w:pStyle w:val="Textoindependiente"/>
      </w:pPr>
      <w:r>
        <w:t xml:space="preserve">En el 2019, actualizarnos las evidencias </w:t>
      </w:r>
      <w:r w:rsidR="005C618F">
        <w:t xml:space="preserve">de </w:t>
      </w:r>
      <w:r>
        <w:t xml:space="preserve">todas las acciones realizadas en la institución, de manera que reflejaran nuestra realidad. Como son la Carta Compromiso al Ciudadano, el Mapa de procesos Institucional y su correspondiente Manual de Procedimientos, el Manual de Cargos, el Manual de Organización y Funciones, y los Planes de Acción de Mejora, según el Modelo CAF, y de Clima Organizacional. Al cierre del 2019, los indicadores del Sistema de Monitoreo de la Administración Pública (SISMAP) de la Dirección General de Contrataciones Públicas presentaban un </w:t>
      </w:r>
      <w:r w:rsidR="008E6461" w:rsidRPr="00F11885">
        <w:t>90</w:t>
      </w:r>
      <w:r w:rsidRPr="00F11885">
        <w:t xml:space="preserve">.64% </w:t>
      </w:r>
      <w:r>
        <w:t>de cumplimiento en la totalidad de sus criterios, con una escala de valoración de objetivo logrado, que va de 80-100 puntos:</w:t>
      </w:r>
    </w:p>
    <w:p w:rsidR="00F11885" w:rsidRDefault="00F11885">
      <w:pPr>
        <w:keepNext w:val="0"/>
        <w:keepLines w:val="0"/>
        <w:spacing w:before="0" w:after="160" w:line="259" w:lineRule="auto"/>
        <w:ind w:firstLine="0"/>
        <w:jc w:val="left"/>
        <w:outlineLvl w:val="9"/>
      </w:pPr>
      <w:r>
        <w:br w:type="page"/>
      </w:r>
    </w:p>
    <w:p w:rsidR="0076007C" w:rsidRDefault="0076007C" w:rsidP="00F11885">
      <w:pPr>
        <w:pStyle w:val="Textoindependiente"/>
      </w:pPr>
    </w:p>
    <w:p w:rsidR="00343E3D" w:rsidRPr="006C5F08" w:rsidRDefault="00343E3D" w:rsidP="00343E3D">
      <w:pPr>
        <w:pStyle w:val="Textoindependiente"/>
        <w:ind w:firstLine="0"/>
        <w:rPr>
          <w:sz w:val="20"/>
        </w:rPr>
      </w:pPr>
      <w:r w:rsidRPr="006C5F08">
        <w:rPr>
          <w:noProof/>
          <w:lang w:val="es-DO" w:eastAsia="es-DO"/>
        </w:rPr>
        <w:drawing>
          <wp:anchor distT="0" distB="0" distL="0" distR="0" simplePos="0" relativeHeight="251694080" behindDoc="0" locked="0" layoutInCell="1" allowOverlap="1" wp14:anchorId="7183749F" wp14:editId="5B1DF39E">
            <wp:simplePos x="0" y="0"/>
            <wp:positionH relativeFrom="page">
              <wp:posOffset>1987236</wp:posOffset>
            </wp:positionH>
            <wp:positionV relativeFrom="paragraph">
              <wp:posOffset>289560</wp:posOffset>
            </wp:positionV>
            <wp:extent cx="4150937" cy="728662"/>
            <wp:effectExtent l="0" t="0" r="0" b="0"/>
            <wp:wrapTopAndBottom/>
            <wp:docPr id="2" name="image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55.jpeg"/>
                    <pic:cNvPicPr/>
                  </pic:nvPicPr>
                  <pic:blipFill>
                    <a:blip r:embed="rId37" cstate="print"/>
                    <a:stretch>
                      <a:fillRect/>
                    </a:stretch>
                  </pic:blipFill>
                  <pic:spPr>
                    <a:xfrm>
                      <a:off x="0" y="0"/>
                      <a:ext cx="4150937" cy="728662"/>
                    </a:xfrm>
                    <a:prstGeom prst="rect">
                      <a:avLst/>
                    </a:prstGeom>
                  </pic:spPr>
                </pic:pic>
              </a:graphicData>
            </a:graphic>
          </wp:anchor>
        </w:drawing>
      </w:r>
    </w:p>
    <w:p w:rsidR="00343E3D" w:rsidRPr="006C5F08" w:rsidRDefault="00343E3D" w:rsidP="00343E3D">
      <w:pPr>
        <w:pStyle w:val="Textoindependiente"/>
        <w:spacing w:before="5"/>
        <w:rPr>
          <w:sz w:val="16"/>
        </w:rPr>
      </w:pPr>
    </w:p>
    <w:tbl>
      <w:tblPr>
        <w:tblStyle w:val="TableNormal1"/>
        <w:tblW w:w="9073" w:type="dxa"/>
        <w:tblInd w:w="-714" w:type="dxa"/>
        <w:tblLayout w:type="fixed"/>
        <w:tblLook w:val="01E0" w:firstRow="1" w:lastRow="1" w:firstColumn="1" w:lastColumn="1" w:noHBand="0" w:noVBand="0"/>
      </w:tblPr>
      <w:tblGrid>
        <w:gridCol w:w="6521"/>
        <w:gridCol w:w="1559"/>
        <w:gridCol w:w="993"/>
      </w:tblGrid>
      <w:tr w:rsidR="00343E3D" w:rsidRPr="006C5F08" w:rsidTr="001656DE">
        <w:trPr>
          <w:trHeight w:val="386"/>
        </w:trPr>
        <w:tc>
          <w:tcPr>
            <w:tcW w:w="6521" w:type="dxa"/>
          </w:tcPr>
          <w:p w:rsidR="00343E3D" w:rsidRPr="006C5F08" w:rsidRDefault="00343E3D" w:rsidP="001656DE">
            <w:pPr>
              <w:pStyle w:val="TableParagraph"/>
              <w:spacing w:before="0" w:line="266" w:lineRule="exact"/>
              <w:ind w:firstLine="0"/>
              <w:rPr>
                <w:b/>
              </w:rPr>
            </w:pPr>
            <w:r w:rsidRPr="006C5F08">
              <w:rPr>
                <w:b/>
              </w:rPr>
              <w:t>Nombre</w:t>
            </w:r>
          </w:p>
        </w:tc>
        <w:tc>
          <w:tcPr>
            <w:tcW w:w="1559" w:type="dxa"/>
          </w:tcPr>
          <w:p w:rsidR="00343E3D" w:rsidRPr="006C5F08" w:rsidRDefault="00343E3D" w:rsidP="001656DE">
            <w:pPr>
              <w:pStyle w:val="TableParagraph"/>
              <w:spacing w:before="0" w:line="266" w:lineRule="exact"/>
              <w:ind w:left="715" w:firstLine="0"/>
              <w:rPr>
                <w:b/>
              </w:rPr>
            </w:pPr>
            <w:r w:rsidRPr="006C5F08">
              <w:rPr>
                <w:b/>
              </w:rPr>
              <w:t>Color</w:t>
            </w:r>
          </w:p>
        </w:tc>
        <w:tc>
          <w:tcPr>
            <w:tcW w:w="993" w:type="dxa"/>
          </w:tcPr>
          <w:p w:rsidR="00343E3D" w:rsidRPr="006C5F08" w:rsidRDefault="00343E3D" w:rsidP="001656DE">
            <w:pPr>
              <w:pStyle w:val="TableParagraph"/>
              <w:spacing w:before="0" w:line="266" w:lineRule="exact"/>
              <w:ind w:firstLine="0"/>
              <w:rPr>
                <w:b/>
              </w:rPr>
            </w:pPr>
            <w:r w:rsidRPr="006C5F08">
              <w:rPr>
                <w:b/>
              </w:rPr>
              <w:t>Valor %</w:t>
            </w:r>
          </w:p>
        </w:tc>
      </w:tr>
      <w:tr w:rsidR="00343E3D" w:rsidRPr="006C5F08" w:rsidTr="001656DE">
        <w:trPr>
          <w:trHeight w:val="996"/>
        </w:trPr>
        <w:tc>
          <w:tcPr>
            <w:tcW w:w="6521" w:type="dxa"/>
          </w:tcPr>
          <w:p w:rsidR="00343E3D" w:rsidRPr="006C5F08" w:rsidRDefault="00343E3D" w:rsidP="001656DE">
            <w:pPr>
              <w:pStyle w:val="TableParagraph"/>
              <w:spacing w:before="112" w:line="237" w:lineRule="auto"/>
              <w:ind w:right="692" w:firstLine="0"/>
            </w:pPr>
            <w:r w:rsidRPr="006C5F08">
              <w:rPr>
                <w:color w:val="3379B7"/>
                <w:u w:val="single" w:color="3379B7"/>
              </w:rPr>
              <w:t>Dirección General de</w:t>
            </w:r>
            <w:r w:rsidRPr="006C5F08">
              <w:rPr>
                <w:color w:val="3379B7"/>
              </w:rPr>
              <w:t xml:space="preserve"> </w:t>
            </w:r>
            <w:r w:rsidRPr="006C5F08">
              <w:rPr>
                <w:color w:val="3379B7"/>
                <w:u w:val="single" w:color="3379B7"/>
              </w:rPr>
              <w:t>Contrataciones Públicas</w:t>
            </w:r>
          </w:p>
        </w:tc>
        <w:tc>
          <w:tcPr>
            <w:tcW w:w="1559" w:type="dxa"/>
          </w:tcPr>
          <w:p w:rsidR="00343E3D" w:rsidRPr="005C618F" w:rsidRDefault="00343E3D" w:rsidP="001656DE">
            <w:pPr>
              <w:pStyle w:val="TableParagraph"/>
              <w:spacing w:before="6"/>
              <w:rPr>
                <w:color w:val="auto"/>
                <w:sz w:val="10"/>
              </w:rPr>
            </w:pPr>
          </w:p>
          <w:p w:rsidR="00343E3D" w:rsidRPr="005C618F" w:rsidRDefault="00343E3D" w:rsidP="001656DE">
            <w:pPr>
              <w:pStyle w:val="TableParagraph"/>
              <w:spacing w:before="0"/>
              <w:rPr>
                <w:color w:val="auto"/>
                <w:sz w:val="20"/>
              </w:rPr>
            </w:pPr>
            <w:r w:rsidRPr="005C618F">
              <w:rPr>
                <w:noProof/>
                <w:color w:val="auto"/>
                <w:sz w:val="20"/>
                <w:lang w:val="es-DO" w:eastAsia="es-DO" w:bidi="ar-SA"/>
              </w:rPr>
              <w:drawing>
                <wp:inline distT="0" distB="0" distL="0" distR="0" wp14:anchorId="7679F174" wp14:editId="3F30F50A">
                  <wp:extent cx="304800" cy="307848"/>
                  <wp:effectExtent l="0" t="0" r="0" b="0"/>
                  <wp:docPr id="3" name="image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56.jpeg"/>
                          <pic:cNvPicPr/>
                        </pic:nvPicPr>
                        <pic:blipFill>
                          <a:blip r:embed="rId38" cstate="print"/>
                          <a:stretch>
                            <a:fillRect/>
                          </a:stretch>
                        </pic:blipFill>
                        <pic:spPr>
                          <a:xfrm>
                            <a:off x="0" y="0"/>
                            <a:ext cx="304800" cy="307848"/>
                          </a:xfrm>
                          <a:prstGeom prst="rect">
                            <a:avLst/>
                          </a:prstGeom>
                        </pic:spPr>
                      </pic:pic>
                    </a:graphicData>
                  </a:graphic>
                </wp:inline>
              </w:drawing>
            </w:r>
          </w:p>
        </w:tc>
        <w:tc>
          <w:tcPr>
            <w:tcW w:w="993" w:type="dxa"/>
          </w:tcPr>
          <w:p w:rsidR="00343E3D" w:rsidRPr="005C618F" w:rsidRDefault="008E6461" w:rsidP="001656DE">
            <w:pPr>
              <w:pStyle w:val="TableParagraph"/>
              <w:spacing w:before="110"/>
              <w:ind w:firstLine="0"/>
              <w:rPr>
                <w:color w:val="auto"/>
              </w:rPr>
            </w:pPr>
            <w:r w:rsidRPr="005C618F">
              <w:rPr>
                <w:color w:val="auto"/>
              </w:rPr>
              <w:t>90</w:t>
            </w:r>
            <w:r w:rsidR="00343E3D" w:rsidRPr="005C618F">
              <w:rPr>
                <w:color w:val="auto"/>
              </w:rPr>
              <w:t>.64%</w:t>
            </w:r>
          </w:p>
        </w:tc>
      </w:tr>
    </w:tbl>
    <w:p w:rsidR="00343E3D" w:rsidRDefault="00343E3D" w:rsidP="00343E3D">
      <w:pPr>
        <w:keepNext w:val="0"/>
        <w:keepLines w:val="0"/>
        <w:widowControl w:val="0"/>
        <w:autoSpaceDE w:val="0"/>
        <w:autoSpaceDN w:val="0"/>
        <w:spacing w:before="0" w:line="240" w:lineRule="auto"/>
        <w:ind w:right="4800" w:firstLine="0"/>
        <w:jc w:val="left"/>
        <w:outlineLvl w:val="9"/>
        <w:rPr>
          <w:rFonts w:eastAsia="Times New Roman"/>
          <w:color w:val="auto"/>
          <w:sz w:val="20"/>
          <w:szCs w:val="20"/>
          <w:lang w:eastAsia="es-ES" w:bidi="es-ES"/>
        </w:rPr>
      </w:pPr>
      <w:r w:rsidRPr="009B14D9">
        <w:rPr>
          <w:rFonts w:eastAsia="Times New Roman"/>
          <w:color w:val="auto"/>
          <w:sz w:val="20"/>
          <w:szCs w:val="20"/>
          <w:lang w:eastAsia="es-ES" w:bidi="es-ES"/>
        </w:rPr>
        <w:t>Imagen Núm. 3 SISMAP</w:t>
      </w:r>
      <w:r w:rsidR="008E6461">
        <w:rPr>
          <w:rFonts w:eastAsia="Times New Roman"/>
          <w:color w:val="auto"/>
          <w:sz w:val="20"/>
          <w:szCs w:val="20"/>
          <w:lang w:eastAsia="es-ES" w:bidi="es-ES"/>
        </w:rPr>
        <w:t xml:space="preserve"> – 05/12/2019</w:t>
      </w:r>
    </w:p>
    <w:p w:rsidR="00900932" w:rsidRDefault="00900932" w:rsidP="00343E3D">
      <w:pPr>
        <w:keepNext w:val="0"/>
        <w:keepLines w:val="0"/>
        <w:widowControl w:val="0"/>
        <w:autoSpaceDE w:val="0"/>
        <w:autoSpaceDN w:val="0"/>
        <w:spacing w:before="0" w:line="240" w:lineRule="auto"/>
        <w:ind w:right="4800" w:firstLine="0"/>
        <w:jc w:val="left"/>
        <w:outlineLvl w:val="9"/>
        <w:rPr>
          <w:rFonts w:eastAsia="Times New Roman"/>
          <w:color w:val="auto"/>
          <w:sz w:val="20"/>
          <w:szCs w:val="20"/>
          <w:lang w:eastAsia="es-ES" w:bidi="es-ES"/>
        </w:rPr>
      </w:pPr>
    </w:p>
    <w:p w:rsidR="00F33CC4" w:rsidRDefault="00F33CC4" w:rsidP="00F33CC4">
      <w:pPr>
        <w:jc w:val="center"/>
      </w:pPr>
    </w:p>
    <w:p w:rsidR="008E1281" w:rsidRDefault="008E1281" w:rsidP="008E1281">
      <w:pPr>
        <w:jc w:val="center"/>
      </w:pPr>
    </w:p>
    <w:p w:rsidR="008E1281" w:rsidRDefault="008E1281" w:rsidP="008E1281">
      <w:pPr>
        <w:jc w:val="center"/>
      </w:pPr>
    </w:p>
    <w:p w:rsidR="008E1281" w:rsidRDefault="008E1281" w:rsidP="008E1281">
      <w:pPr>
        <w:jc w:val="center"/>
      </w:pPr>
    </w:p>
    <w:p w:rsidR="00F33CC4" w:rsidRPr="00F33CC4" w:rsidRDefault="00F33CC4" w:rsidP="008E1281">
      <w:pPr>
        <w:ind w:firstLine="0"/>
      </w:pPr>
    </w:p>
    <w:p w:rsidR="008E1281" w:rsidRDefault="008E1281">
      <w:pPr>
        <w:keepNext w:val="0"/>
        <w:keepLines w:val="0"/>
        <w:spacing w:before="0" w:after="160" w:line="259" w:lineRule="auto"/>
        <w:ind w:firstLine="0"/>
        <w:jc w:val="left"/>
        <w:outlineLvl w:val="9"/>
      </w:pPr>
      <w:r>
        <w:br w:type="page"/>
      </w:r>
    </w:p>
    <w:p w:rsidR="0097202A" w:rsidRDefault="0097202A" w:rsidP="000D5958">
      <w:pPr>
        <w:pStyle w:val="Ttulo2"/>
        <w:numPr>
          <w:ilvl w:val="0"/>
          <w:numId w:val="15"/>
        </w:numPr>
      </w:pPr>
      <w:r>
        <w:t>Perspectiva Operativa</w:t>
      </w:r>
    </w:p>
    <w:p w:rsidR="00CF2A3E" w:rsidRDefault="00CF2A3E" w:rsidP="00CF2A3E">
      <w:r>
        <w:rPr>
          <w:rStyle w:val="Ttulo3Car"/>
        </w:rPr>
        <w:t>Índice de Transparencia</w:t>
      </w:r>
    </w:p>
    <w:p w:rsidR="0037264B" w:rsidRPr="00F11885" w:rsidRDefault="00CF2A3E" w:rsidP="00F11885">
      <w:pPr>
        <w:pStyle w:val="Textoindependiente"/>
      </w:pPr>
      <w:r w:rsidRPr="00F11885">
        <w:t xml:space="preserve">La Dirección General de Contrataciones Públicas obtuvo una calificación promedio de 95.7 </w:t>
      </w:r>
      <w:r w:rsidR="003223D6" w:rsidRPr="00F11885">
        <w:t>en el periodo</w:t>
      </w:r>
      <w:r w:rsidRPr="00F11885">
        <w:t xml:space="preserve"> </w:t>
      </w:r>
      <w:r w:rsidR="003223D6" w:rsidRPr="00F11885">
        <w:t>e</w:t>
      </w:r>
      <w:r w:rsidRPr="00F11885">
        <w:t>nero –</w:t>
      </w:r>
      <w:r w:rsidR="003223D6" w:rsidRPr="00F11885">
        <w:t xml:space="preserve"> </w:t>
      </w:r>
      <w:r w:rsidRPr="00F11885">
        <w:t>agosto 2019, en la medición que realiza la Dirección General de Ética e Integridad Gubernamental (DIGEIG), correspondiente a las informaciones publicadas en el Portal de Transparencia de la instituci</w:t>
      </w:r>
      <w:r w:rsidR="003223D6" w:rsidRPr="00F11885">
        <w:t>ón de acuerdo a la Resolución 1-</w:t>
      </w:r>
      <w:r w:rsidRPr="00F11885">
        <w:t>18 y, además, por el uso efectivo del Portal Único de Acceso a la Información Pública (SAIP).</w:t>
      </w:r>
    </w:p>
    <w:p w:rsidR="003223D6" w:rsidRPr="00F11885" w:rsidRDefault="003223D6" w:rsidP="00F11885">
      <w:pPr>
        <w:pStyle w:val="Textoindependiente"/>
      </w:pPr>
      <w:r w:rsidRPr="00F11885">
        <w:t>En la gráfica siguiente, se muestra la evolución trimestral de dicho indicador:</w:t>
      </w:r>
    </w:p>
    <w:p w:rsidR="003223D6" w:rsidRDefault="002A4B5F" w:rsidP="00D428CC">
      <w:pPr>
        <w:ind w:firstLine="0"/>
        <w:jc w:val="center"/>
        <w:rPr>
          <w:lang w:val="es-DO"/>
        </w:rPr>
      </w:pPr>
      <w:r>
        <w:rPr>
          <w:noProof/>
          <w:lang w:val="es-DO" w:eastAsia="es-DO"/>
        </w:rPr>
        <w:drawing>
          <wp:inline distT="0" distB="0" distL="0" distR="0" wp14:anchorId="020859FB" wp14:editId="1CAA206B">
            <wp:extent cx="4572000" cy="2743200"/>
            <wp:effectExtent l="0" t="0" r="0" b="0"/>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2A4B5F" w:rsidRDefault="002A4B5F">
      <w:pPr>
        <w:keepNext w:val="0"/>
        <w:keepLines w:val="0"/>
        <w:spacing w:before="0" w:after="160" w:line="259" w:lineRule="auto"/>
        <w:ind w:firstLine="0"/>
        <w:jc w:val="left"/>
        <w:outlineLvl w:val="9"/>
        <w:rPr>
          <w:rStyle w:val="Ttulo3Car"/>
        </w:rPr>
      </w:pPr>
      <w:r>
        <w:rPr>
          <w:rStyle w:val="Ttulo3Car"/>
        </w:rPr>
        <w:br w:type="page"/>
      </w:r>
    </w:p>
    <w:p w:rsidR="002A4B5F" w:rsidRDefault="002A4B5F" w:rsidP="002A4B5F">
      <w:r>
        <w:rPr>
          <w:rStyle w:val="Ttulo3Car"/>
        </w:rPr>
        <w:t xml:space="preserve">Índice de </w:t>
      </w:r>
      <w:r w:rsidRPr="002A4B5F">
        <w:rPr>
          <w:rStyle w:val="Ttulo3Car"/>
        </w:rPr>
        <w:t>Uso de las Tecnologías de la Información y Comunicación y la Implementación de Gobierno Electrónico (iTICge)</w:t>
      </w:r>
    </w:p>
    <w:p w:rsidR="002A4B5F" w:rsidRDefault="002A4B5F" w:rsidP="00F11885">
      <w:pPr>
        <w:pStyle w:val="Textoindependiente"/>
        <w:rPr>
          <w:lang w:val="es-DO"/>
        </w:rPr>
      </w:pPr>
      <w:r w:rsidRPr="00582C55">
        <w:drawing>
          <wp:anchor distT="0" distB="0" distL="114300" distR="114300" simplePos="0" relativeHeight="251696128" behindDoc="0" locked="0" layoutInCell="1" allowOverlap="1" wp14:anchorId="22099E08" wp14:editId="66005838">
            <wp:simplePos x="0" y="0"/>
            <wp:positionH relativeFrom="column">
              <wp:posOffset>161925</wp:posOffset>
            </wp:positionH>
            <wp:positionV relativeFrom="paragraph">
              <wp:posOffset>2826385</wp:posOffset>
            </wp:positionV>
            <wp:extent cx="4514850" cy="2690495"/>
            <wp:effectExtent l="0" t="0" r="0" b="14605"/>
            <wp:wrapTopAndBottom/>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14:sizeRelH relativeFrom="page">
              <wp14:pctWidth>0</wp14:pctWidth>
            </wp14:sizeRelH>
            <wp14:sizeRelV relativeFrom="page">
              <wp14:pctHeight>0</wp14:pctHeight>
            </wp14:sizeRelV>
          </wp:anchor>
        </w:drawing>
      </w:r>
      <w:r w:rsidRPr="00582C55">
        <w:t>Durante los primeros tres trimestres del año, la institución se mantuvo en primer lugar del ranking (iTICge) con un puntaje de 100%, evidenciando la fortaleza reflejada en los ejes estratégicos o pilares, (Uso de las TIC, Implementación de Gobierno Electrónico, Gobierno Abierto, participación en línea y Servicios en línea), luego de la revisión por parte de la OPTIC realizada el mes de septiembre a los indicadores, presentamos un leve descenso debido al vencimiento de cuatro normativas NORTIC</w:t>
      </w:r>
      <w:r w:rsidRPr="00F11885">
        <w:t>.</w:t>
      </w:r>
      <w:r w:rsidRPr="002A4B5F">
        <w:rPr>
          <w:lang w:val="es-DO"/>
        </w:rPr>
        <w:t xml:space="preserve"> </w:t>
      </w:r>
    </w:p>
    <w:p w:rsidR="002A4B5F" w:rsidRPr="00F11885" w:rsidRDefault="002A4B5F" w:rsidP="00582C55">
      <w:r w:rsidRPr="00F11885">
        <w:t>Cabe destacar</w:t>
      </w:r>
      <w:r w:rsidR="001E4D9C">
        <w:t>, que cada año</w:t>
      </w:r>
      <w:r w:rsidRPr="00F11885">
        <w:t xml:space="preserve"> la OPTIC</w:t>
      </w:r>
      <w:r w:rsidR="001E4D9C">
        <w:t>,</w:t>
      </w:r>
      <w:r w:rsidRPr="00F11885">
        <w:t xml:space="preserve"> para asegurar vigencia y relevancia a través del tiempo y evitar obsolescencia para el cumplimiento de la recertificación de las normas NORTIC, incluye nuevas metas o sustituye indicadores, debido a esto, para dar respuesta a las exigencias y requerimientos nos vimos en la obligación de incorporar nuevos recursos humanos para llevar a cabo el proceso de recertificación, ya que es un proceso más complejo y retador, distinto a años anteriores. Para esto</w:t>
      </w:r>
      <w:r w:rsidR="001E4D9C">
        <w:t>s</w:t>
      </w:r>
      <w:r w:rsidRPr="00F11885">
        <w:t xml:space="preserve"> fines</w:t>
      </w:r>
      <w:r w:rsidR="001E4D9C">
        <w:t>,</w:t>
      </w:r>
      <w:r w:rsidRPr="00F11885">
        <w:t xml:space="preserve"> hemos identificado los puntos de mejora y elaborado un plan de trabajo para dar respuesta. Este año presentamos un avance de 89%. (</w:t>
      </w:r>
      <w:hyperlink r:id="rId41" w:history="1">
        <w:r w:rsidRPr="00F11885">
          <w:t>http://sisticge.dominicana.gob.do/</w:t>
        </w:r>
      </w:hyperlink>
      <w:r w:rsidRPr="00F11885">
        <w:t>.)</w:t>
      </w:r>
    </w:p>
    <w:p w:rsidR="002A4B5F" w:rsidRPr="002A4B5F" w:rsidRDefault="002A4B5F" w:rsidP="002A4B5F">
      <w:pPr>
        <w:rPr>
          <w:rStyle w:val="Ttulo3Car"/>
        </w:rPr>
      </w:pPr>
      <w:r w:rsidRPr="002A4B5F">
        <w:rPr>
          <w:rStyle w:val="Ttulo3Car"/>
          <w:lang w:val="es-DO"/>
        </w:rPr>
        <w:t>Normas Básicas de Control Interno (NOBACI)</w:t>
      </w:r>
    </w:p>
    <w:p w:rsidR="0040307B" w:rsidRPr="006C5F08" w:rsidRDefault="0040307B" w:rsidP="00582C55">
      <w:r w:rsidRPr="006C5F08">
        <w:t>Las Normas Básicas de Control Interno definen el nivel mínimo de calidad o marco general requerido para el control interno del sector público y proveen las bases para que los Sistemas de Administración de Co</w:t>
      </w:r>
      <w:r w:rsidR="001E4D9C">
        <w:t>ntrol y las Unidades de Auditorí</w:t>
      </w:r>
      <w:r w:rsidRPr="006C5F08">
        <w:t>a puedan ser evaluados. En el 201</w:t>
      </w:r>
      <w:r>
        <w:t>9</w:t>
      </w:r>
      <w:r w:rsidRPr="006C5F08">
        <w:t xml:space="preserve">, la institución </w:t>
      </w:r>
      <w:r>
        <w:t xml:space="preserve">actualizó las evidencias solicitadas según la metodología de las Normas Básicas de Control Interno mediante las </w:t>
      </w:r>
      <w:r w:rsidRPr="006C5F08">
        <w:t>orientaciones de la Contraloría General de la República. La Dirección General de Contrataciones Públicas obtuvo una puntuación de 90.</w:t>
      </w:r>
      <w:r>
        <w:t>72</w:t>
      </w:r>
      <w:r w:rsidRPr="006C5F08">
        <w:t>, del sumatorio total de cada uno de los elementos del control interno indicados.</w:t>
      </w:r>
    </w:p>
    <w:tbl>
      <w:tblPr>
        <w:tblStyle w:val="TableNormal1"/>
        <w:tblW w:w="75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0"/>
        <w:gridCol w:w="3900"/>
        <w:gridCol w:w="1224"/>
        <w:gridCol w:w="1636"/>
      </w:tblGrid>
      <w:tr w:rsidR="0040307B" w:rsidRPr="006C5F08" w:rsidTr="0062044A">
        <w:trPr>
          <w:trHeight w:val="1092"/>
          <w:jc w:val="center"/>
        </w:trPr>
        <w:tc>
          <w:tcPr>
            <w:tcW w:w="4730" w:type="dxa"/>
            <w:gridSpan w:val="2"/>
            <w:shd w:val="clear" w:color="auto" w:fill="1555BB"/>
          </w:tcPr>
          <w:p w:rsidR="0040307B" w:rsidRPr="002032DB" w:rsidRDefault="0040307B" w:rsidP="001656DE">
            <w:pPr>
              <w:pStyle w:val="TableParagraph"/>
              <w:spacing w:before="4"/>
              <w:jc w:val="center"/>
              <w:rPr>
                <w:sz w:val="20"/>
                <w:szCs w:val="20"/>
              </w:rPr>
            </w:pPr>
          </w:p>
          <w:p w:rsidR="0040307B" w:rsidRPr="002032DB" w:rsidRDefault="0040307B" w:rsidP="001656DE">
            <w:pPr>
              <w:pStyle w:val="TableParagraph"/>
              <w:spacing w:before="0"/>
              <w:ind w:left="-24"/>
              <w:jc w:val="center"/>
              <w:rPr>
                <w:b/>
              </w:rPr>
            </w:pPr>
            <w:r w:rsidRPr="002032DB">
              <w:rPr>
                <w:b/>
                <w:color w:val="FFFFFF"/>
              </w:rPr>
              <w:t>Componentes del Control Interno</w:t>
            </w:r>
          </w:p>
        </w:tc>
        <w:tc>
          <w:tcPr>
            <w:tcW w:w="1224" w:type="dxa"/>
            <w:shd w:val="clear" w:color="auto" w:fill="1555BB"/>
          </w:tcPr>
          <w:p w:rsidR="0040307B" w:rsidRPr="002032DB" w:rsidRDefault="0040307B" w:rsidP="001656DE">
            <w:pPr>
              <w:pStyle w:val="TableParagraph"/>
              <w:spacing w:before="4"/>
              <w:jc w:val="center"/>
              <w:rPr>
                <w:sz w:val="20"/>
                <w:szCs w:val="20"/>
              </w:rPr>
            </w:pPr>
          </w:p>
          <w:p w:rsidR="0040307B" w:rsidRPr="002032DB" w:rsidRDefault="0040307B" w:rsidP="001656DE">
            <w:pPr>
              <w:pStyle w:val="TableParagraph"/>
              <w:spacing w:before="0"/>
              <w:ind w:left="74" w:right="81" w:firstLine="0"/>
              <w:jc w:val="center"/>
              <w:rPr>
                <w:b/>
                <w:sz w:val="20"/>
                <w:szCs w:val="20"/>
              </w:rPr>
            </w:pPr>
            <w:r w:rsidRPr="002032DB">
              <w:rPr>
                <w:b/>
                <w:color w:val="FFFFFF"/>
                <w:sz w:val="20"/>
                <w:szCs w:val="20"/>
              </w:rPr>
              <w:t>Calificación</w:t>
            </w:r>
          </w:p>
        </w:tc>
        <w:tc>
          <w:tcPr>
            <w:tcW w:w="1636" w:type="dxa"/>
            <w:shd w:val="clear" w:color="auto" w:fill="1555BB"/>
          </w:tcPr>
          <w:p w:rsidR="0040307B" w:rsidRPr="002032DB" w:rsidRDefault="0040307B" w:rsidP="001656DE">
            <w:pPr>
              <w:pStyle w:val="TableParagraph"/>
              <w:spacing w:before="4"/>
              <w:jc w:val="center"/>
              <w:rPr>
                <w:sz w:val="20"/>
                <w:szCs w:val="20"/>
              </w:rPr>
            </w:pPr>
          </w:p>
          <w:p w:rsidR="0040307B" w:rsidRPr="002032DB" w:rsidRDefault="0040307B" w:rsidP="001656DE">
            <w:pPr>
              <w:pStyle w:val="TableParagraph"/>
              <w:spacing w:before="0"/>
              <w:ind w:left="84" w:right="120" w:firstLine="0"/>
              <w:jc w:val="center"/>
              <w:rPr>
                <w:b/>
              </w:rPr>
            </w:pPr>
            <w:r w:rsidRPr="002032DB">
              <w:rPr>
                <w:b/>
                <w:color w:val="FFFFFF"/>
              </w:rPr>
              <w:t>Nivel de Desarrollo</w:t>
            </w:r>
          </w:p>
        </w:tc>
      </w:tr>
      <w:tr w:rsidR="0040307B" w:rsidRPr="006C5F08" w:rsidTr="0062044A">
        <w:trPr>
          <w:trHeight w:val="270"/>
          <w:jc w:val="center"/>
        </w:trPr>
        <w:tc>
          <w:tcPr>
            <w:tcW w:w="830" w:type="dxa"/>
          </w:tcPr>
          <w:p w:rsidR="0040307B" w:rsidRPr="006C5F08" w:rsidRDefault="0040307B" w:rsidP="001656DE">
            <w:pPr>
              <w:pStyle w:val="TableParagraph"/>
              <w:spacing w:before="0" w:line="239" w:lineRule="exact"/>
              <w:ind w:right="313" w:firstLine="0"/>
              <w:jc w:val="center"/>
            </w:pPr>
            <w:r w:rsidRPr="006C5F08">
              <w:rPr>
                <w:w w:val="97"/>
              </w:rPr>
              <w:t>I</w:t>
            </w:r>
          </w:p>
        </w:tc>
        <w:tc>
          <w:tcPr>
            <w:tcW w:w="3900" w:type="dxa"/>
          </w:tcPr>
          <w:p w:rsidR="0040307B" w:rsidRPr="006C5F08" w:rsidRDefault="0040307B" w:rsidP="001656DE">
            <w:pPr>
              <w:pStyle w:val="TableParagraph"/>
              <w:spacing w:before="0" w:line="239" w:lineRule="exact"/>
              <w:ind w:firstLine="0"/>
            </w:pPr>
            <w:r w:rsidRPr="006C5F08">
              <w:t>Ambiente de Control</w:t>
            </w:r>
          </w:p>
        </w:tc>
        <w:tc>
          <w:tcPr>
            <w:tcW w:w="1224" w:type="dxa"/>
          </w:tcPr>
          <w:p w:rsidR="0040307B" w:rsidRPr="006C5F08" w:rsidRDefault="0040307B" w:rsidP="001656DE">
            <w:pPr>
              <w:pStyle w:val="TableParagraph"/>
              <w:spacing w:before="0" w:line="239" w:lineRule="exact"/>
              <w:ind w:left="74" w:right="79" w:firstLine="0"/>
            </w:pPr>
            <w:r w:rsidRPr="006C5F08">
              <w:t>8</w:t>
            </w:r>
            <w:r>
              <w:t>6.52</w:t>
            </w:r>
            <w:r w:rsidRPr="006C5F08">
              <w:t>%</w:t>
            </w:r>
          </w:p>
        </w:tc>
        <w:tc>
          <w:tcPr>
            <w:tcW w:w="1636" w:type="dxa"/>
          </w:tcPr>
          <w:p w:rsidR="0040307B" w:rsidRPr="006C5F08" w:rsidRDefault="0040307B" w:rsidP="001656DE">
            <w:pPr>
              <w:pStyle w:val="TableParagraph"/>
              <w:spacing w:before="0" w:line="239" w:lineRule="exact"/>
              <w:ind w:right="111" w:firstLine="0"/>
              <w:jc w:val="center"/>
            </w:pPr>
            <w:r w:rsidRPr="006C5F08">
              <w:t>Mediano</w:t>
            </w:r>
          </w:p>
        </w:tc>
      </w:tr>
      <w:tr w:rsidR="0040307B" w:rsidRPr="006C5F08" w:rsidTr="0062044A">
        <w:trPr>
          <w:trHeight w:val="276"/>
          <w:jc w:val="center"/>
        </w:trPr>
        <w:tc>
          <w:tcPr>
            <w:tcW w:w="830" w:type="dxa"/>
          </w:tcPr>
          <w:p w:rsidR="0040307B" w:rsidRPr="006C5F08" w:rsidRDefault="0040307B" w:rsidP="001656DE">
            <w:pPr>
              <w:pStyle w:val="TableParagraph"/>
              <w:spacing w:before="0" w:line="256" w:lineRule="exact"/>
              <w:ind w:right="276" w:firstLine="0"/>
              <w:jc w:val="center"/>
            </w:pPr>
            <w:r w:rsidRPr="006C5F08">
              <w:t>II</w:t>
            </w:r>
          </w:p>
        </w:tc>
        <w:tc>
          <w:tcPr>
            <w:tcW w:w="3900" w:type="dxa"/>
          </w:tcPr>
          <w:p w:rsidR="0040307B" w:rsidRPr="006C5F08" w:rsidRDefault="0040307B" w:rsidP="001656DE">
            <w:pPr>
              <w:pStyle w:val="TableParagraph"/>
              <w:spacing w:before="0" w:line="256" w:lineRule="exact"/>
              <w:ind w:firstLine="0"/>
            </w:pPr>
            <w:r w:rsidRPr="006C5F08">
              <w:t>Valoración y Administración de Riesgos</w:t>
            </w:r>
          </w:p>
        </w:tc>
        <w:tc>
          <w:tcPr>
            <w:tcW w:w="1224" w:type="dxa"/>
          </w:tcPr>
          <w:p w:rsidR="0040307B" w:rsidRPr="006C5F08" w:rsidRDefault="0040307B" w:rsidP="001656DE">
            <w:pPr>
              <w:pStyle w:val="TableParagraph"/>
              <w:spacing w:before="0" w:line="256" w:lineRule="exact"/>
              <w:ind w:left="74" w:right="79" w:firstLine="0"/>
            </w:pPr>
            <w:r w:rsidRPr="006C5F08">
              <w:t>100.00%</w:t>
            </w:r>
          </w:p>
        </w:tc>
        <w:tc>
          <w:tcPr>
            <w:tcW w:w="1636" w:type="dxa"/>
          </w:tcPr>
          <w:p w:rsidR="0040307B" w:rsidRPr="006C5F08" w:rsidRDefault="0040307B" w:rsidP="001656DE">
            <w:pPr>
              <w:pStyle w:val="TableParagraph"/>
              <w:spacing w:before="0" w:line="256" w:lineRule="exact"/>
              <w:ind w:right="117" w:firstLine="0"/>
              <w:jc w:val="center"/>
            </w:pPr>
            <w:r w:rsidRPr="006C5F08">
              <w:t>Satisfactorio</w:t>
            </w:r>
          </w:p>
        </w:tc>
      </w:tr>
      <w:tr w:rsidR="0040307B" w:rsidRPr="006C5F08" w:rsidTr="0062044A">
        <w:trPr>
          <w:trHeight w:val="275"/>
          <w:jc w:val="center"/>
        </w:trPr>
        <w:tc>
          <w:tcPr>
            <w:tcW w:w="830" w:type="dxa"/>
          </w:tcPr>
          <w:p w:rsidR="0040307B" w:rsidRPr="006C5F08" w:rsidRDefault="0040307B" w:rsidP="001656DE">
            <w:pPr>
              <w:pStyle w:val="TableParagraph"/>
              <w:spacing w:before="0" w:line="256" w:lineRule="exact"/>
              <w:ind w:right="235" w:firstLine="0"/>
              <w:jc w:val="center"/>
            </w:pPr>
            <w:r w:rsidRPr="006C5F08">
              <w:t>III</w:t>
            </w:r>
          </w:p>
        </w:tc>
        <w:tc>
          <w:tcPr>
            <w:tcW w:w="3900" w:type="dxa"/>
          </w:tcPr>
          <w:p w:rsidR="0040307B" w:rsidRPr="006C5F08" w:rsidRDefault="0040307B" w:rsidP="001656DE">
            <w:pPr>
              <w:pStyle w:val="TableParagraph"/>
              <w:spacing w:before="0" w:line="256" w:lineRule="exact"/>
              <w:ind w:firstLine="0"/>
            </w:pPr>
            <w:r w:rsidRPr="006C5F08">
              <w:t>Actividades de Control</w:t>
            </w:r>
          </w:p>
        </w:tc>
        <w:tc>
          <w:tcPr>
            <w:tcW w:w="1224" w:type="dxa"/>
          </w:tcPr>
          <w:p w:rsidR="0040307B" w:rsidRPr="006C5F08" w:rsidRDefault="0040307B" w:rsidP="001656DE">
            <w:pPr>
              <w:pStyle w:val="TableParagraph"/>
              <w:spacing w:before="0" w:line="256" w:lineRule="exact"/>
              <w:ind w:left="74" w:right="79" w:firstLine="0"/>
            </w:pPr>
            <w:r w:rsidRPr="006C5F08">
              <w:t>88.89%</w:t>
            </w:r>
          </w:p>
        </w:tc>
        <w:tc>
          <w:tcPr>
            <w:tcW w:w="1636" w:type="dxa"/>
          </w:tcPr>
          <w:p w:rsidR="0040307B" w:rsidRPr="006C5F08" w:rsidRDefault="0040307B" w:rsidP="001656DE">
            <w:pPr>
              <w:pStyle w:val="TableParagraph"/>
              <w:spacing w:before="0" w:line="256" w:lineRule="exact"/>
              <w:ind w:right="117" w:firstLine="0"/>
              <w:jc w:val="center"/>
            </w:pPr>
            <w:r w:rsidRPr="006C5F08">
              <w:t>Satisfactorio</w:t>
            </w:r>
          </w:p>
        </w:tc>
      </w:tr>
      <w:tr w:rsidR="0040307B" w:rsidRPr="006C5F08" w:rsidTr="0062044A">
        <w:trPr>
          <w:trHeight w:val="276"/>
          <w:jc w:val="center"/>
        </w:trPr>
        <w:tc>
          <w:tcPr>
            <w:tcW w:w="830" w:type="dxa"/>
          </w:tcPr>
          <w:p w:rsidR="0040307B" w:rsidRPr="006C5F08" w:rsidRDefault="0040307B" w:rsidP="001656DE">
            <w:pPr>
              <w:pStyle w:val="TableParagraph"/>
              <w:spacing w:before="0" w:line="256" w:lineRule="exact"/>
              <w:ind w:right="228" w:firstLine="0"/>
              <w:jc w:val="center"/>
            </w:pPr>
            <w:r>
              <w:rPr>
                <w:w w:val="90"/>
              </w:rPr>
              <w:t>I</w:t>
            </w:r>
            <w:r w:rsidRPr="006C5F08">
              <w:rPr>
                <w:w w:val="90"/>
              </w:rPr>
              <w:t>V</w:t>
            </w:r>
          </w:p>
        </w:tc>
        <w:tc>
          <w:tcPr>
            <w:tcW w:w="3900" w:type="dxa"/>
          </w:tcPr>
          <w:p w:rsidR="0040307B" w:rsidRPr="006C5F08" w:rsidRDefault="0040307B" w:rsidP="001656DE">
            <w:pPr>
              <w:pStyle w:val="TableParagraph"/>
              <w:spacing w:before="0" w:line="256" w:lineRule="exact"/>
              <w:ind w:firstLine="0"/>
            </w:pPr>
            <w:r w:rsidRPr="006C5F08">
              <w:t>Información y Comunicación</w:t>
            </w:r>
          </w:p>
        </w:tc>
        <w:tc>
          <w:tcPr>
            <w:tcW w:w="1224" w:type="dxa"/>
          </w:tcPr>
          <w:p w:rsidR="0040307B" w:rsidRPr="006C5F08" w:rsidRDefault="0040307B" w:rsidP="001656DE">
            <w:pPr>
              <w:pStyle w:val="TableParagraph"/>
              <w:spacing w:before="0" w:line="256" w:lineRule="exact"/>
              <w:ind w:left="74" w:right="79" w:firstLine="0"/>
            </w:pPr>
            <w:r w:rsidRPr="006C5F08">
              <w:t>90.70%</w:t>
            </w:r>
          </w:p>
        </w:tc>
        <w:tc>
          <w:tcPr>
            <w:tcW w:w="1636" w:type="dxa"/>
          </w:tcPr>
          <w:p w:rsidR="0040307B" w:rsidRPr="006C5F08" w:rsidRDefault="0040307B" w:rsidP="001656DE">
            <w:pPr>
              <w:pStyle w:val="TableParagraph"/>
              <w:spacing w:before="0" w:line="256" w:lineRule="exact"/>
              <w:ind w:right="117" w:firstLine="0"/>
              <w:jc w:val="center"/>
            </w:pPr>
            <w:r w:rsidRPr="006C5F08">
              <w:t>Satisfactorio</w:t>
            </w:r>
          </w:p>
        </w:tc>
      </w:tr>
      <w:tr w:rsidR="0040307B" w:rsidRPr="006C5F08" w:rsidTr="0062044A">
        <w:trPr>
          <w:trHeight w:val="290"/>
          <w:jc w:val="center"/>
        </w:trPr>
        <w:tc>
          <w:tcPr>
            <w:tcW w:w="830" w:type="dxa"/>
          </w:tcPr>
          <w:p w:rsidR="0040307B" w:rsidRPr="006C5F08" w:rsidRDefault="0040307B" w:rsidP="001656DE">
            <w:pPr>
              <w:pStyle w:val="TableParagraph"/>
              <w:spacing w:before="0" w:line="271" w:lineRule="exact"/>
              <w:ind w:right="265" w:firstLine="0"/>
              <w:jc w:val="center"/>
            </w:pPr>
            <w:r w:rsidRPr="006C5F08">
              <w:rPr>
                <w:w w:val="97"/>
              </w:rPr>
              <w:t>V</w:t>
            </w:r>
          </w:p>
        </w:tc>
        <w:tc>
          <w:tcPr>
            <w:tcW w:w="3900" w:type="dxa"/>
          </w:tcPr>
          <w:p w:rsidR="0040307B" w:rsidRPr="006C5F08" w:rsidRDefault="0040307B" w:rsidP="001656DE">
            <w:pPr>
              <w:pStyle w:val="TableParagraph"/>
              <w:spacing w:before="0" w:line="271" w:lineRule="exact"/>
              <w:ind w:firstLine="0"/>
            </w:pPr>
            <w:r w:rsidRPr="006C5F08">
              <w:t>Monitoreo y Evaluación</w:t>
            </w:r>
          </w:p>
        </w:tc>
        <w:tc>
          <w:tcPr>
            <w:tcW w:w="1224" w:type="dxa"/>
          </w:tcPr>
          <w:p w:rsidR="0040307B" w:rsidRPr="006C5F08" w:rsidRDefault="0040307B" w:rsidP="001656DE">
            <w:pPr>
              <w:pStyle w:val="TableParagraph"/>
              <w:spacing w:before="0" w:line="271" w:lineRule="exact"/>
              <w:ind w:left="74" w:right="79" w:firstLine="0"/>
            </w:pPr>
            <w:r w:rsidRPr="006C5F08">
              <w:t>87.50%</w:t>
            </w:r>
          </w:p>
        </w:tc>
        <w:tc>
          <w:tcPr>
            <w:tcW w:w="1636" w:type="dxa"/>
          </w:tcPr>
          <w:p w:rsidR="0040307B" w:rsidRPr="006C5F08" w:rsidRDefault="0040307B" w:rsidP="001656DE">
            <w:pPr>
              <w:pStyle w:val="TableParagraph"/>
              <w:spacing w:before="0" w:line="271" w:lineRule="exact"/>
              <w:ind w:right="117" w:firstLine="0"/>
              <w:jc w:val="center"/>
            </w:pPr>
            <w:r w:rsidRPr="006C5F08">
              <w:t>Satisfactorio</w:t>
            </w:r>
          </w:p>
        </w:tc>
      </w:tr>
      <w:tr w:rsidR="0040307B" w:rsidRPr="006C5F08" w:rsidTr="0062044A">
        <w:trPr>
          <w:trHeight w:val="285"/>
          <w:jc w:val="center"/>
        </w:trPr>
        <w:tc>
          <w:tcPr>
            <w:tcW w:w="830" w:type="dxa"/>
            <w:shd w:val="clear" w:color="auto" w:fill="1555BB"/>
          </w:tcPr>
          <w:p w:rsidR="0040307B" w:rsidRPr="006C5F08" w:rsidRDefault="0040307B" w:rsidP="001656DE">
            <w:pPr>
              <w:pStyle w:val="TableParagraph"/>
              <w:spacing w:before="0"/>
              <w:rPr>
                <w:sz w:val="20"/>
              </w:rPr>
            </w:pPr>
          </w:p>
        </w:tc>
        <w:tc>
          <w:tcPr>
            <w:tcW w:w="3900" w:type="dxa"/>
            <w:shd w:val="clear" w:color="auto" w:fill="1555BB"/>
          </w:tcPr>
          <w:p w:rsidR="0040307B" w:rsidRPr="006C5F08" w:rsidRDefault="0040307B" w:rsidP="001656DE">
            <w:pPr>
              <w:pStyle w:val="TableParagraph"/>
              <w:spacing w:before="0" w:line="266" w:lineRule="exact"/>
              <w:ind w:firstLine="0"/>
              <w:rPr>
                <w:b/>
              </w:rPr>
            </w:pPr>
            <w:r w:rsidRPr="006C5F08">
              <w:rPr>
                <w:b/>
                <w:color w:val="FFFFFF"/>
              </w:rPr>
              <w:t>Calificación Integral del SCI</w:t>
            </w:r>
          </w:p>
        </w:tc>
        <w:tc>
          <w:tcPr>
            <w:tcW w:w="1224" w:type="dxa"/>
            <w:shd w:val="clear" w:color="auto" w:fill="1555BB"/>
          </w:tcPr>
          <w:p w:rsidR="0040307B" w:rsidRPr="006C5F08" w:rsidRDefault="0040307B" w:rsidP="001656DE">
            <w:pPr>
              <w:pStyle w:val="TableParagraph"/>
              <w:spacing w:before="0" w:line="266" w:lineRule="exact"/>
              <w:ind w:left="68" w:right="81" w:firstLine="0"/>
              <w:rPr>
                <w:b/>
              </w:rPr>
            </w:pPr>
            <w:r>
              <w:rPr>
                <w:b/>
                <w:color w:val="FFFFFF"/>
              </w:rPr>
              <w:t>90.72</w:t>
            </w:r>
            <w:r w:rsidRPr="006C5F08">
              <w:rPr>
                <w:b/>
                <w:color w:val="FFFFFF"/>
              </w:rPr>
              <w:t>%</w:t>
            </w:r>
          </w:p>
        </w:tc>
        <w:tc>
          <w:tcPr>
            <w:tcW w:w="1636" w:type="dxa"/>
            <w:shd w:val="clear" w:color="auto" w:fill="1555BB"/>
          </w:tcPr>
          <w:p w:rsidR="0040307B" w:rsidRPr="006C5F08" w:rsidRDefault="0040307B" w:rsidP="001656DE">
            <w:pPr>
              <w:pStyle w:val="TableParagraph"/>
              <w:spacing w:before="0" w:line="266" w:lineRule="exact"/>
              <w:ind w:left="77" w:right="120" w:firstLine="0"/>
              <w:rPr>
                <w:b/>
              </w:rPr>
            </w:pPr>
            <w:r w:rsidRPr="006C5F08">
              <w:rPr>
                <w:b/>
                <w:color w:val="FFFFFF"/>
              </w:rPr>
              <w:t>Satisfactorio</w:t>
            </w:r>
          </w:p>
        </w:tc>
      </w:tr>
    </w:tbl>
    <w:p w:rsidR="0040307B" w:rsidRPr="00AF13C7" w:rsidRDefault="00582C55" w:rsidP="0040307B">
      <w:pPr>
        <w:pStyle w:val="Textoindependiente"/>
        <w:ind w:firstLine="0"/>
        <w:rPr>
          <w:sz w:val="16"/>
          <w:szCs w:val="16"/>
        </w:rPr>
      </w:pPr>
      <w:r>
        <w:rPr>
          <w:sz w:val="16"/>
          <w:szCs w:val="16"/>
        </w:rPr>
        <w:t>Tabla</w:t>
      </w:r>
      <w:r w:rsidR="0040307B" w:rsidRPr="00AF13C7">
        <w:rPr>
          <w:sz w:val="16"/>
          <w:szCs w:val="16"/>
        </w:rPr>
        <w:t>: Resultados NOBACI a diciembre 2019.</w:t>
      </w:r>
    </w:p>
    <w:p w:rsidR="0040307B" w:rsidRPr="006C5F08" w:rsidRDefault="0040307B" w:rsidP="00582C55">
      <w:r w:rsidRPr="006C5F08">
        <w:t xml:space="preserve">Asimismo, se realizó, presentó y socializó la matriz del plan de acción y </w:t>
      </w:r>
      <w:r w:rsidRPr="00F11885">
        <w:t xml:space="preserve">las </w:t>
      </w:r>
      <w:r w:rsidRPr="006C5F08">
        <w:t>acciones de mejoras o fortalecimiento del control interno para la realización y optimización de los resultados alcanzados, l</w:t>
      </w:r>
      <w:r>
        <w:t xml:space="preserve">as cuales fueron incluidas </w:t>
      </w:r>
      <w:r w:rsidRPr="006C5F08">
        <w:t>en el POA 201</w:t>
      </w:r>
      <w:r>
        <w:t>9</w:t>
      </w:r>
      <w:r w:rsidRPr="006C5F08">
        <w:t>. La misma conlleva</w:t>
      </w:r>
      <w:r w:rsidRPr="00F11885">
        <w:t xml:space="preserve"> </w:t>
      </w:r>
      <w:r w:rsidRPr="006C5F08">
        <w:t>los</w:t>
      </w:r>
      <w:r w:rsidRPr="00F11885">
        <w:t xml:space="preserve"> </w:t>
      </w:r>
      <w:r w:rsidRPr="006C5F08">
        <w:t>pasos</w:t>
      </w:r>
      <w:r w:rsidRPr="00F11885">
        <w:t xml:space="preserve"> </w:t>
      </w:r>
      <w:r w:rsidRPr="006C5F08">
        <w:t>que</w:t>
      </w:r>
      <w:r w:rsidRPr="00F11885">
        <w:t xml:space="preserve"> </w:t>
      </w:r>
      <w:r w:rsidRPr="006C5F08">
        <w:t>se</w:t>
      </w:r>
      <w:r w:rsidRPr="00F11885">
        <w:t xml:space="preserve"> </w:t>
      </w:r>
      <w:r w:rsidRPr="006C5F08">
        <w:t>deben</w:t>
      </w:r>
      <w:r w:rsidRPr="00F11885">
        <w:t xml:space="preserve"> </w:t>
      </w:r>
      <w:r w:rsidRPr="006C5F08">
        <w:t>agotar</w:t>
      </w:r>
      <w:r w:rsidRPr="00F11885">
        <w:t xml:space="preserve"> </w:t>
      </w:r>
      <w:r w:rsidRPr="006C5F08">
        <w:t>para</w:t>
      </w:r>
      <w:r w:rsidRPr="00F11885">
        <w:t xml:space="preserve"> </w:t>
      </w:r>
      <w:r w:rsidRPr="006C5F08">
        <w:t>cumplir</w:t>
      </w:r>
      <w:r w:rsidRPr="00F11885">
        <w:t xml:space="preserve"> </w:t>
      </w:r>
      <w:r w:rsidRPr="006C5F08">
        <w:t>con</w:t>
      </w:r>
      <w:r w:rsidRPr="00F11885">
        <w:t xml:space="preserve"> </w:t>
      </w:r>
      <w:r w:rsidRPr="006C5F08">
        <w:t>las</w:t>
      </w:r>
      <w:r w:rsidRPr="00F11885">
        <w:t xml:space="preserve"> </w:t>
      </w:r>
      <w:r w:rsidRPr="006C5F08">
        <w:t>recomendaciones</w:t>
      </w:r>
      <w:r w:rsidRPr="00F11885">
        <w:t xml:space="preserve"> </w:t>
      </w:r>
      <w:r w:rsidRPr="006C5F08">
        <w:t>de</w:t>
      </w:r>
      <w:r w:rsidRPr="00F11885">
        <w:t xml:space="preserve"> </w:t>
      </w:r>
      <w:r w:rsidRPr="006C5F08">
        <w:t>la autoevaluación: (1) c</w:t>
      </w:r>
      <w:r w:rsidR="008F4AAD">
        <w:t>argar</w:t>
      </w:r>
      <w:r w:rsidRPr="006C5F08">
        <w:t xml:space="preserve"> el plan de acción al 31 de diciembre, completando</w:t>
      </w:r>
      <w:r w:rsidRPr="00F11885">
        <w:t xml:space="preserve"> </w:t>
      </w:r>
      <w:r w:rsidRPr="006C5F08">
        <w:t>las actividades consideradas en la matriz correspondiente de control interno; y (2) dar seguimiento trimestral al monitoreo de resultados por parte de la Contraloría General de la República y el Sistema del Ministerio de la Presidencia, y completar la matriz de seguimiento, mediante la cual se reporta el avance en la ejecución o conclusión del plan de acción para el ajuste del Sistema de Control Interno (SCI).</w:t>
      </w:r>
    </w:p>
    <w:p w:rsidR="000A224D" w:rsidRDefault="000A224D">
      <w:pPr>
        <w:keepNext w:val="0"/>
        <w:keepLines w:val="0"/>
        <w:spacing w:before="0" w:after="160" w:line="259" w:lineRule="auto"/>
        <w:ind w:firstLine="0"/>
        <w:jc w:val="left"/>
        <w:outlineLvl w:val="9"/>
        <w:rPr>
          <w:rFonts w:asciiTheme="majorHAnsi" w:hAnsiTheme="majorHAnsi" w:cstheme="majorBidi"/>
          <w:color w:val="1F4D78" w:themeColor="accent1" w:themeShade="7F"/>
        </w:rPr>
      </w:pPr>
      <w:r>
        <w:br w:type="page"/>
      </w:r>
    </w:p>
    <w:p w:rsidR="002A4B5F" w:rsidRDefault="00845DE7" w:rsidP="00845DE7">
      <w:pPr>
        <w:pStyle w:val="Ttulo3"/>
      </w:pPr>
      <w:r>
        <w:t>Indicador de Gestión Presupuestaria (IGP)</w:t>
      </w:r>
    </w:p>
    <w:p w:rsidR="00845DE7" w:rsidRPr="008F65D2" w:rsidRDefault="00845DE7" w:rsidP="00582C55">
      <w:r>
        <w:t>Este indicador tiene como objetivo medir el grado en que las instituciones llevan una gestión presupuestaria eficaz, eficiente y transparente. Dicho indicador, se compone de los dos sub-indicadores siguientes: (1) Eficacia</w:t>
      </w:r>
      <w:r w:rsidR="008F4AAD">
        <w:t>,</w:t>
      </w:r>
      <w:r>
        <w:t xml:space="preserve"> que es un indicador que expresa el porcentaje de cumplimiento de las metas físicas propuestas por la institución, y (2) Correcta Publicación de Información Presupuestaria</w:t>
      </w:r>
      <w:r w:rsidR="008F4AAD">
        <w:t>,</w:t>
      </w:r>
      <w:r>
        <w:t xml:space="preserve"> que mide la apertura y validez de la información presupuestaria que la institución pone</w:t>
      </w:r>
      <w:r w:rsidR="00A14277">
        <w:t xml:space="preserve"> a disposición de la ciudadanía; y</w:t>
      </w:r>
      <w:r w:rsidR="008F65D2">
        <w:t xml:space="preserve"> </w:t>
      </w:r>
      <w:r w:rsidR="00A14277">
        <w:t>s</w:t>
      </w:r>
      <w:r w:rsidR="008F65D2" w:rsidRPr="008F65D2">
        <w:t>e mide de forma trimestral, para conocer en qué son invertidos los recursos públicos, utilizando las informaciones registradas por las instituciones en el Sistema de Información de la Gestión Financiera del Estado (SIGEF) y las publicadas en los portales de transparencia de cada institución, de acuerdo con la normativa vigente para estos fines.</w:t>
      </w:r>
    </w:p>
    <w:p w:rsidR="002A4B5F" w:rsidRPr="00845DE7" w:rsidRDefault="00A14277" w:rsidP="001E4D9C">
      <w:pPr>
        <w:ind w:firstLine="0"/>
        <w:jc w:val="center"/>
      </w:pPr>
      <w:r>
        <w:rPr>
          <w:noProof/>
          <w:lang w:val="es-DO" w:eastAsia="es-DO"/>
        </w:rPr>
        <w:drawing>
          <wp:inline distT="0" distB="0" distL="0" distR="0" wp14:anchorId="11C313F6" wp14:editId="7D29B1D8">
            <wp:extent cx="4572000" cy="2743200"/>
            <wp:effectExtent l="0" t="0" r="0" b="0"/>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7050D6" w:rsidRDefault="007050D6">
      <w:pPr>
        <w:keepNext w:val="0"/>
        <w:keepLines w:val="0"/>
        <w:spacing w:before="0" w:after="160" w:line="259" w:lineRule="auto"/>
        <w:ind w:firstLine="0"/>
        <w:jc w:val="left"/>
        <w:outlineLvl w:val="9"/>
        <w:rPr>
          <w:rFonts w:asciiTheme="majorHAnsi" w:hAnsiTheme="majorHAnsi" w:cstheme="majorBidi"/>
          <w:color w:val="1F4D78" w:themeColor="accent1" w:themeShade="7F"/>
          <w:lang w:val="es-DO"/>
        </w:rPr>
      </w:pPr>
      <w:r>
        <w:rPr>
          <w:lang w:val="es-DO"/>
        </w:rPr>
        <w:br w:type="page"/>
      </w:r>
    </w:p>
    <w:p w:rsidR="002A4B5F" w:rsidRDefault="007050D6" w:rsidP="00341CE0">
      <w:pPr>
        <w:pStyle w:val="Ttulo3"/>
        <w:rPr>
          <w:lang w:val="es-DO"/>
        </w:rPr>
      </w:pPr>
      <w:r>
        <w:rPr>
          <w:lang w:val="es-DO"/>
        </w:rPr>
        <w:t>P</w:t>
      </w:r>
      <w:r w:rsidR="00BD03BA">
        <w:rPr>
          <w:lang w:val="es-DO"/>
        </w:rPr>
        <w:t>lan Anual de Compras y Contrataciones (PACC)</w:t>
      </w:r>
    </w:p>
    <w:p w:rsidR="00346D44" w:rsidRPr="00F11885" w:rsidRDefault="00346D44" w:rsidP="00582C55">
      <w:r w:rsidRPr="00F11885">
        <w:t>Este instrumento de planificación incluye todos los requerimientos de compras de la Dirección General de Contrataciones Públicas, alineados al Plan Estratégico Institucional (PEI) 2018-2021 y al Plan Operativo Anual (POA) del 2019, financiados con los recursos asignados en el Presupuesto General del Estado, y los fondos de la cooperación internacional.</w:t>
      </w:r>
    </w:p>
    <w:p w:rsidR="00346D44" w:rsidRPr="007050D6" w:rsidRDefault="00346D44" w:rsidP="00582C55">
      <w:pPr>
        <w:rPr>
          <w:color w:val="auto"/>
        </w:rPr>
      </w:pPr>
      <w:r w:rsidRPr="00F11885">
        <w:t>En el Plan Anual de Compras y Contrataciones</w:t>
      </w:r>
      <w:r w:rsidR="009A556E" w:rsidRPr="00F11885">
        <w:t xml:space="preserve"> 2019</w:t>
      </w:r>
      <w:r w:rsidRPr="00F11885">
        <w:t xml:space="preserve">, se </w:t>
      </w:r>
      <w:r w:rsidRPr="00C84A26">
        <w:rPr>
          <w:color w:val="auto"/>
        </w:rPr>
        <w:t xml:space="preserve">planificaron </w:t>
      </w:r>
      <w:r w:rsidR="00C84A26" w:rsidRPr="00C84A26">
        <w:rPr>
          <w:color w:val="auto"/>
        </w:rPr>
        <w:t xml:space="preserve">132 </w:t>
      </w:r>
      <w:r w:rsidRPr="00C84A26">
        <w:rPr>
          <w:color w:val="auto"/>
        </w:rPr>
        <w:t xml:space="preserve">procesos </w:t>
      </w:r>
      <w:r w:rsidRPr="00F11885">
        <w:t xml:space="preserve">de compras por un monto </w:t>
      </w:r>
      <w:r w:rsidR="001E4D9C">
        <w:t xml:space="preserve">estimado total </w:t>
      </w:r>
      <w:r w:rsidR="00C84A26" w:rsidRPr="00C84A26">
        <w:rPr>
          <w:color w:val="auto"/>
        </w:rPr>
        <w:t>de RD$142,626,670.88</w:t>
      </w:r>
      <w:r w:rsidRPr="00C84A26">
        <w:rPr>
          <w:color w:val="auto"/>
        </w:rPr>
        <w:t>.</w:t>
      </w:r>
      <w:r w:rsidR="009A556E" w:rsidRPr="00C84A26">
        <w:rPr>
          <w:color w:val="auto"/>
        </w:rPr>
        <w:t xml:space="preserve"> </w:t>
      </w:r>
      <w:r w:rsidR="00341CE0" w:rsidRPr="00F11885">
        <w:t xml:space="preserve">La estructuración y publicación oportuna del Plan Anual de Compras y Contrataciones forma parte de los indicadores establecidos en el Sistema de Monitoreo de las Compras y Contrataciones Públicas, con una ponderación de 15 puntos. La Dirección General de Contrataciones Públicas obtuvo la calificación máxima (15 puntos), al </w:t>
      </w:r>
      <w:r w:rsidR="009A556E" w:rsidRPr="00F11885">
        <w:t>carga</w:t>
      </w:r>
      <w:r w:rsidR="00341CE0" w:rsidRPr="00F11885">
        <w:t>r</w:t>
      </w:r>
      <w:r w:rsidR="009A556E" w:rsidRPr="00F11885">
        <w:t xml:space="preserve"> </w:t>
      </w:r>
      <w:r w:rsidR="00341CE0" w:rsidRPr="00F11885">
        <w:t>su PACC oportunamente</w:t>
      </w:r>
      <w:r w:rsidR="009A556E" w:rsidRPr="00F11885">
        <w:t xml:space="preserve"> en </w:t>
      </w:r>
      <w:r w:rsidR="009A556E" w:rsidRPr="007050D6">
        <w:rPr>
          <w:color w:val="auto"/>
        </w:rPr>
        <w:t xml:space="preserve">fecha </w:t>
      </w:r>
      <w:r w:rsidR="007050D6" w:rsidRPr="007050D6">
        <w:rPr>
          <w:color w:val="auto"/>
        </w:rPr>
        <w:t>31 de Julio del 2018,</w:t>
      </w:r>
      <w:r w:rsidR="009A556E" w:rsidRPr="007050D6">
        <w:rPr>
          <w:color w:val="auto"/>
        </w:rPr>
        <w:t xml:space="preserve"> de acuerdo a </w:t>
      </w:r>
      <w:r w:rsidR="00341CE0" w:rsidRPr="007050D6">
        <w:rPr>
          <w:color w:val="auto"/>
        </w:rPr>
        <w:t xml:space="preserve">la meta </w:t>
      </w:r>
      <w:r w:rsidR="009A556E" w:rsidRPr="007050D6">
        <w:rPr>
          <w:color w:val="auto"/>
        </w:rPr>
        <w:t>establecid</w:t>
      </w:r>
      <w:r w:rsidR="00341CE0" w:rsidRPr="007050D6">
        <w:rPr>
          <w:color w:val="auto"/>
        </w:rPr>
        <w:t>a</w:t>
      </w:r>
      <w:r w:rsidR="009A556E" w:rsidRPr="007050D6">
        <w:rPr>
          <w:color w:val="auto"/>
        </w:rPr>
        <w:t xml:space="preserve"> por el órgano rector.</w:t>
      </w:r>
    </w:p>
    <w:p w:rsidR="00F11885" w:rsidRDefault="00346D44" w:rsidP="000A224D">
      <w:pPr>
        <w:rPr>
          <w:rFonts w:asciiTheme="majorHAnsi" w:hAnsiTheme="majorHAnsi" w:cstheme="majorBidi"/>
          <w:color w:val="1F4D78" w:themeColor="accent1" w:themeShade="7F"/>
          <w:lang w:val="es-DO"/>
        </w:rPr>
      </w:pPr>
      <w:r w:rsidRPr="00346D44">
        <w:rPr>
          <w:lang w:val="es-DO"/>
        </w:rPr>
        <w:t> </w:t>
      </w:r>
      <w:r w:rsidR="00341CE0" w:rsidRPr="00341CE0">
        <w:rPr>
          <w:color w:val="FF0000"/>
          <w:lang w:val="es-DO"/>
        </w:rPr>
        <w:t xml:space="preserve"> </w:t>
      </w:r>
      <w:r w:rsidR="00F11885">
        <w:rPr>
          <w:lang w:val="es-DO"/>
        </w:rPr>
        <w:br w:type="page"/>
      </w:r>
    </w:p>
    <w:p w:rsidR="00341CE0" w:rsidRPr="00346D44" w:rsidRDefault="00341CE0" w:rsidP="00BE0004">
      <w:pPr>
        <w:pStyle w:val="Ttulo3"/>
        <w:rPr>
          <w:lang w:val="es-DO"/>
        </w:rPr>
      </w:pPr>
      <w:r w:rsidRPr="00341CE0">
        <w:rPr>
          <w:lang w:val="es-DO"/>
        </w:rPr>
        <w:t>Sistema Nacional de Compras y Contrataciones Públicas (SNCCP)</w:t>
      </w:r>
    </w:p>
    <w:p w:rsidR="00BE0004" w:rsidRPr="00F11885" w:rsidRDefault="00BE0004" w:rsidP="00582C55">
      <w:r w:rsidRPr="00F11885">
        <w:t>El indicador correspondiente al Uso del Sistema Nacional de Compras y Contrataciones Públicas (SNCCP), incluido en el Sistema de Monitoreo y Medición de la Gestión Pública (SMMGP), tiene como objetivo medir el grado de desarrollo de la gestión de las compras y contrataciones públicas, en términos de transparencia, eficiencia, eficacia y calidad en correspondencia con el marco normativo y procedimental vigente, que inciden en el fortalecimiento de las compras, a través de una serie de indicadores básicos y sub indicadores que se derivan de éstos. Para su verificación, cada indicador debe contar con una evidencia aportada por el uso del Portal Transaccional, que permita comprobar su estado.</w:t>
      </w:r>
    </w:p>
    <w:p w:rsidR="00CA3157" w:rsidRPr="00F11885" w:rsidRDefault="00F36E71" w:rsidP="00582C55">
      <w:r>
        <w:t>En todos los perí</w:t>
      </w:r>
      <w:r w:rsidR="00CA3157" w:rsidRPr="00F11885">
        <w:t>odos de medición de este indicador para la Dirección General de Contrataciones Públicas, los resultados se mantuvieron dentro d</w:t>
      </w:r>
      <w:r w:rsidR="005219C9" w:rsidRPr="00F11885">
        <w:t>e</w:t>
      </w:r>
      <w:r w:rsidR="008F4AAD">
        <w:t xml:space="preserve"> una tendencia promedio de 93%; </w:t>
      </w:r>
      <w:r w:rsidR="005219C9" w:rsidRPr="00F11885">
        <w:t>los resultados trimestrales se muestran en la gráfica siguiente:</w:t>
      </w:r>
    </w:p>
    <w:p w:rsidR="00BE0004" w:rsidRPr="00BE0004" w:rsidRDefault="00BE0004" w:rsidP="00F36E71">
      <w:pPr>
        <w:ind w:firstLine="0"/>
        <w:jc w:val="center"/>
        <w:rPr>
          <w:lang w:val="es-DO"/>
        </w:rPr>
      </w:pPr>
      <w:r>
        <w:rPr>
          <w:noProof/>
          <w:lang w:val="es-DO" w:eastAsia="es-DO"/>
        </w:rPr>
        <w:drawing>
          <wp:inline distT="0" distB="0" distL="0" distR="0" wp14:anchorId="4B252469" wp14:editId="7AF71423">
            <wp:extent cx="4572000" cy="2743200"/>
            <wp:effectExtent l="0" t="0" r="0" b="0"/>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F11885" w:rsidRDefault="00F36E71">
      <w:pPr>
        <w:keepNext w:val="0"/>
        <w:keepLines w:val="0"/>
        <w:spacing w:before="0" w:after="160" w:line="259" w:lineRule="auto"/>
        <w:ind w:firstLine="0"/>
        <w:jc w:val="left"/>
        <w:outlineLvl w:val="9"/>
        <w:rPr>
          <w:rFonts w:asciiTheme="majorHAnsi" w:hAnsiTheme="majorHAnsi" w:cstheme="majorBidi"/>
          <w:color w:val="1F4D78" w:themeColor="accent1" w:themeShade="7F"/>
          <w:lang w:val="es-DO"/>
        </w:rPr>
      </w:pPr>
      <w:r w:rsidRPr="00F36E71">
        <w:rPr>
          <w:noProof/>
          <w:color w:val="FF0000"/>
          <w:lang w:val="es-DO" w:eastAsia="es-DO"/>
        </w:rPr>
        <w:drawing>
          <wp:inline distT="0" distB="0" distL="0" distR="0" wp14:anchorId="63B4B0C7" wp14:editId="52CAFDC4">
            <wp:extent cx="4819650" cy="2078990"/>
            <wp:effectExtent l="0" t="0" r="0" b="0"/>
            <wp:docPr id="1026" name="Picture 1"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1" descr="image00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819650" cy="2078990"/>
                    </a:xfrm>
                    <a:prstGeom prst="rect">
                      <a:avLst/>
                    </a:prstGeom>
                    <a:noFill/>
                    <a:ln>
                      <a:noFill/>
                    </a:ln>
                    <a:extLst/>
                  </pic:spPr>
                </pic:pic>
              </a:graphicData>
            </a:graphic>
          </wp:inline>
        </w:drawing>
      </w:r>
      <w:r w:rsidR="00F11885">
        <w:rPr>
          <w:lang w:val="es-DO"/>
        </w:rPr>
        <w:br w:type="page"/>
      </w:r>
    </w:p>
    <w:p w:rsidR="00355D24" w:rsidRPr="00355D24" w:rsidRDefault="00355D24" w:rsidP="00355D24">
      <w:pPr>
        <w:pStyle w:val="Ttulo3"/>
        <w:rPr>
          <w:lang w:val="es-DO"/>
        </w:rPr>
      </w:pPr>
      <w:r w:rsidRPr="00355D24">
        <w:rPr>
          <w:lang w:val="es-DO"/>
        </w:rPr>
        <w:t>Comisiones de Veeduría Ciudadana</w:t>
      </w:r>
    </w:p>
    <w:p w:rsidR="005A634D" w:rsidRPr="00F11885" w:rsidRDefault="00355D24" w:rsidP="00582C55">
      <w:r w:rsidRPr="00F11885">
        <w:t xml:space="preserve">Las Comisiones de Veeduría Ciudadana tienen como objetivo promover mecanismos de vigilancia y control social de las contrataciones públicas en las instituciones a las cuales fueron asignadas, para contribuir con el cumplimento de la Ley No. 340-06 y su modificación y aportar en los esfuerzos que se realizan para mejorar la calidad del gasto. </w:t>
      </w:r>
    </w:p>
    <w:p w:rsidR="00355D24" w:rsidRPr="00F11885" w:rsidRDefault="00355D24" w:rsidP="00582C55">
      <w:r w:rsidRPr="00F11885">
        <w:t>La Dirección General de Contrataciones Públicas ofrece asistencia técnica y capacitación a las Comisiones de Veeduría integradas en base al Art. No. 8 del Decreto No. 188-14, que establece los principios y las Normas Generales de las Comisiones de Veeduría Ciudadana.</w:t>
      </w:r>
      <w:r w:rsidR="005A634D" w:rsidRPr="00F11885">
        <w:t xml:space="preserve"> </w:t>
      </w:r>
      <w:r w:rsidRPr="00F11885">
        <w:t>Asimismo, la institución realiza acciones para fortalecer la participación de la ciudadanía en el monitoreo de los procesos de compras y contrataciones públicas, con el fin de prevenir actos de corrupción y mal uso de los fondos públicos.</w:t>
      </w:r>
    </w:p>
    <w:p w:rsidR="00355D24" w:rsidRPr="00F11885" w:rsidRDefault="00FC0EAB" w:rsidP="00582C55">
      <w:r>
        <w:t xml:space="preserve">Durante el 2019, se impartieron </w:t>
      </w:r>
      <w:r w:rsidR="00355D24" w:rsidRPr="00F11885">
        <w:t>capacitaciones a Comisiones de Veeduría y Organizaciones de la Sociedad Civil, logrando un empoderamiento en temas legales y sobre el Portal Transaccional, para fomentar el monitoreo de la legitimidad de los procesos de compras y contrataciones públicas.</w:t>
      </w:r>
    </w:p>
    <w:p w:rsidR="00FC0EAB" w:rsidRDefault="00FC0EAB">
      <w:pPr>
        <w:keepNext w:val="0"/>
        <w:keepLines w:val="0"/>
        <w:spacing w:before="0" w:after="160" w:line="259" w:lineRule="auto"/>
        <w:ind w:firstLine="0"/>
        <w:jc w:val="left"/>
        <w:outlineLvl w:val="9"/>
        <w:rPr>
          <w:rFonts w:asciiTheme="majorHAnsi" w:hAnsiTheme="majorHAnsi" w:cstheme="majorBidi"/>
          <w:color w:val="1F4D78" w:themeColor="accent1" w:themeShade="7F"/>
          <w:lang w:val="es-DO"/>
        </w:rPr>
      </w:pPr>
      <w:r>
        <w:rPr>
          <w:lang w:val="es-DO"/>
        </w:rPr>
        <w:br w:type="page"/>
      </w:r>
    </w:p>
    <w:p w:rsidR="00355D24" w:rsidRPr="00355D24" w:rsidRDefault="00355D24" w:rsidP="005A634D">
      <w:pPr>
        <w:pStyle w:val="Ttulo3"/>
        <w:rPr>
          <w:lang w:val="es-DO"/>
        </w:rPr>
      </w:pPr>
      <w:r w:rsidRPr="00355D24">
        <w:rPr>
          <w:lang w:val="es-DO"/>
        </w:rPr>
        <w:t>Auditorías y Declaraciones Juradas</w:t>
      </w:r>
    </w:p>
    <w:p w:rsidR="00BD03BA" w:rsidRPr="00F11885" w:rsidRDefault="002574F3" w:rsidP="00582C55">
      <w:r w:rsidRPr="00582C55">
        <w:rPr>
          <w:u w:val="single"/>
        </w:rPr>
        <w:t>D</w:t>
      </w:r>
      <w:r w:rsidR="00355D24" w:rsidRPr="00582C55">
        <w:rPr>
          <w:u w:val="single"/>
        </w:rPr>
        <w:t>isposiciones del numeral 32 del artículo No. 2 de la Ley No. 311-14, sobre Declaración Jurada de Patrimonio y de las disposiciones del Decreto No. 92-16</w:t>
      </w:r>
      <w:r w:rsidRPr="00582C55">
        <w:rPr>
          <w:u w:val="single"/>
        </w:rPr>
        <w:t>.</w:t>
      </w:r>
      <w:r w:rsidR="00355D24" w:rsidRPr="00F11885">
        <w:t xml:space="preserve"> </w:t>
      </w:r>
      <w:r w:rsidRPr="00F11885">
        <w:t xml:space="preserve">En cumplimiento de las disposiciones mencionadas, </w:t>
      </w:r>
      <w:r w:rsidR="00355D24" w:rsidRPr="00F11885">
        <w:t>los funcionarios de la Dirección General de Contrataciones Públicas obligados a presentar, remitieron su declaración jurada a la institución correspondiente dentro del plazo requerido.</w:t>
      </w:r>
    </w:p>
    <w:p w:rsidR="000A224D" w:rsidRDefault="0017751F" w:rsidP="00582C55">
      <w:r w:rsidRPr="00F11885">
        <w:rPr>
          <w:u w:val="single"/>
        </w:rPr>
        <w:t>A</w:t>
      </w:r>
      <w:r w:rsidR="002574F3" w:rsidRPr="00F11885">
        <w:rPr>
          <w:u w:val="single"/>
        </w:rPr>
        <w:t xml:space="preserve">uditoría </w:t>
      </w:r>
      <w:r w:rsidR="003D6176" w:rsidRPr="00F11885">
        <w:rPr>
          <w:u w:val="single"/>
        </w:rPr>
        <w:t>de Aseguramiento de veracidad de la meta data estadísticas del SIGEF</w:t>
      </w:r>
      <w:r w:rsidR="00C12D04">
        <w:t>. El informe sobre la auditorí</w:t>
      </w:r>
      <w:r w:rsidR="003D6176" w:rsidRPr="00F11885">
        <w:t xml:space="preserve">a de aseguramiento sobre la veracidad de la meta data estadística del subsistema de compras dominicanas del sistema de gestión financiera (SIGEF), sobre los procesos de compras y contrataciones gubernamentales para el período 2012,2013,2014,2015, a diciembre 2016, mediante el uso de la herramienta ACL Analytics V14, </w:t>
      </w:r>
      <w:r w:rsidR="00463B3B" w:rsidRPr="00F11885">
        <w:t xml:space="preserve">fue recibido en fecha 23 de agosto del </w:t>
      </w:r>
      <w:r w:rsidR="003D6176" w:rsidRPr="00F11885">
        <w:t>2019 de parte de la firma auditora DELOITTE.</w:t>
      </w:r>
    </w:p>
    <w:p w:rsidR="00D428CC" w:rsidRDefault="00D428CC" w:rsidP="00582C55"/>
    <w:p w:rsidR="00463B3B" w:rsidRPr="00F11885" w:rsidRDefault="00463B3B" w:rsidP="000A224D">
      <w:pPr>
        <w:pStyle w:val="Textoindependiente"/>
      </w:pPr>
      <w:r w:rsidRPr="00F11885">
        <w:rPr>
          <w:u w:val="single"/>
        </w:rPr>
        <w:t>Evaluación Externa Premio Nacional a la Calidad y Reconocimiento a las Prácticas Promisorias</w:t>
      </w:r>
      <w:r w:rsidRPr="00F11885">
        <w:t>. En cumplimiento con una de las fases de postulación al Premio Nacional a la Calidad y Reconocimiento a las Prácticas Promisorias, que realiza el MAP con el propósito estimular a las organizaciones del sector público a incorporarse al proceso de mejora continua, a través de la implementación del Modelo de Excelencia Marco Común de Evaluación (CAF), fue realizada la Au</w:t>
      </w:r>
      <w:r w:rsidR="00C12D04">
        <w:t xml:space="preserve">ditoría de </w:t>
      </w:r>
      <w:r w:rsidRPr="00F11885">
        <w:t>Evaluación Externa, por los miembros del equipo evaluador externo del MAP, sobre la documentación que presentan las instituciones postulantes, ya que la Dirección General de Contrataciones Públicas obtuvo una puntuación dentro del rango de la calificación total establecida en las bases de premiación.</w:t>
      </w:r>
    </w:p>
    <w:p w:rsidR="00463B3B" w:rsidRPr="00083538" w:rsidRDefault="00FC0EAB" w:rsidP="00463B3B">
      <w:r>
        <w:rPr>
          <w:u w:val="single"/>
        </w:rPr>
        <w:t>Otros procesos de evaluacio</w:t>
      </w:r>
      <w:r w:rsidR="00463B3B" w:rsidRPr="00083538">
        <w:rPr>
          <w:u w:val="single"/>
        </w:rPr>
        <w:t>n</w:t>
      </w:r>
      <w:r>
        <w:rPr>
          <w:u w:val="single"/>
        </w:rPr>
        <w:t>es</w:t>
      </w:r>
      <w:r w:rsidR="00C12D04">
        <w:rPr>
          <w:u w:val="single"/>
        </w:rPr>
        <w:t xml:space="preserve"> y auditorí</w:t>
      </w:r>
      <w:r w:rsidR="00463B3B" w:rsidRPr="00083538">
        <w:rPr>
          <w:u w:val="single"/>
        </w:rPr>
        <w:t>as recibidas en este año fueron</w:t>
      </w:r>
      <w:r w:rsidR="00463B3B" w:rsidRPr="00083538">
        <w:t>:</w:t>
      </w:r>
    </w:p>
    <w:p w:rsidR="00463B3B" w:rsidRPr="008469B7" w:rsidRDefault="00C12D04" w:rsidP="008469B7">
      <w:pPr>
        <w:pStyle w:val="Prrafodelista"/>
        <w:numPr>
          <w:ilvl w:val="0"/>
          <w:numId w:val="19"/>
        </w:numPr>
        <w:ind w:left="567" w:hanging="548"/>
      </w:pPr>
      <w:r>
        <w:t>Auditorí</w:t>
      </w:r>
      <w:r w:rsidR="00463B3B" w:rsidRPr="008469B7">
        <w:t xml:space="preserve">a de Uso de TIC e </w:t>
      </w:r>
      <w:r w:rsidR="00104CFA" w:rsidRPr="008469B7">
        <w:t>I</w:t>
      </w:r>
      <w:r w:rsidR="00463B3B" w:rsidRPr="008469B7">
        <w:t xml:space="preserve">mplementación de Gobierno </w:t>
      </w:r>
      <w:r w:rsidR="00104CFA" w:rsidRPr="008469B7">
        <w:t>E</w:t>
      </w:r>
      <w:r w:rsidR="00463B3B" w:rsidRPr="008469B7">
        <w:t>lectrónico (iTICg</w:t>
      </w:r>
      <w:r w:rsidR="00104CFA" w:rsidRPr="008469B7">
        <w:t>e</w:t>
      </w:r>
      <w:r w:rsidR="00463B3B" w:rsidRPr="008469B7">
        <w:t>) – noviembre 2019</w:t>
      </w:r>
    </w:p>
    <w:p w:rsidR="00104CFA" w:rsidRPr="008469B7" w:rsidRDefault="00104CFA" w:rsidP="008469B7">
      <w:pPr>
        <w:pStyle w:val="Prrafodelista"/>
        <w:numPr>
          <w:ilvl w:val="0"/>
          <w:numId w:val="19"/>
        </w:numPr>
        <w:ind w:left="567" w:hanging="548"/>
      </w:pPr>
      <w:r w:rsidRPr="008469B7">
        <w:t>Evaluación del Desempeño Institucional (EDI) – noviembre 2019</w:t>
      </w:r>
    </w:p>
    <w:p w:rsidR="00104CFA" w:rsidRDefault="00104CFA">
      <w:pPr>
        <w:keepNext w:val="0"/>
        <w:keepLines w:val="0"/>
        <w:spacing w:before="0" w:after="160" w:line="259" w:lineRule="auto"/>
        <w:ind w:firstLine="0"/>
        <w:jc w:val="left"/>
        <w:outlineLvl w:val="9"/>
        <w:rPr>
          <w:lang w:val="es-DO"/>
        </w:rPr>
      </w:pPr>
      <w:r>
        <w:rPr>
          <w:lang w:val="es-DO"/>
        </w:rPr>
        <w:br w:type="page"/>
      </w:r>
    </w:p>
    <w:p w:rsidR="005A634D" w:rsidRPr="003B6DF6" w:rsidRDefault="005A634D" w:rsidP="000D5958">
      <w:pPr>
        <w:pStyle w:val="Ttulo2"/>
        <w:numPr>
          <w:ilvl w:val="0"/>
          <w:numId w:val="15"/>
        </w:numPr>
      </w:pPr>
      <w:r w:rsidRPr="003B6DF6">
        <w:t>Perspectiva de los Usuarios</w:t>
      </w:r>
    </w:p>
    <w:p w:rsidR="005A634D" w:rsidRDefault="003B6DF6" w:rsidP="003B6DF6">
      <w:pPr>
        <w:pStyle w:val="Ttulo3"/>
        <w:rPr>
          <w:lang w:val="es-DO"/>
        </w:rPr>
      </w:pPr>
      <w:r>
        <w:rPr>
          <w:lang w:val="es-DO"/>
        </w:rPr>
        <w:t>Sistema de Atención Ciudadana 3-1-1</w:t>
      </w:r>
    </w:p>
    <w:p w:rsidR="001656DE" w:rsidRPr="00083538" w:rsidRDefault="001656DE" w:rsidP="001656DE">
      <w:r w:rsidRPr="00083538">
        <w:t>A través del Sistema 3-1-1, el ciudadano puede reportar en cualquier momento su denuncia, queja o reclamación mediante una vía centralizada, única, rápida y directa. En el presente año, esta Dirección General recibió tres (3) denuncias, de las cuales solo una correspondía a esta Dirección General y fue ce</w:t>
      </w:r>
      <w:r w:rsidR="00C12D04">
        <w:t>rrada de forma satisfactoria; la</w:t>
      </w:r>
      <w:r w:rsidRPr="00083538">
        <w:t>s dos restantes eran responsabilidades de otra entidad, y fueron transferidas oportunamente.</w:t>
      </w:r>
    </w:p>
    <w:p w:rsidR="001656DE" w:rsidRPr="001656DE" w:rsidRDefault="001656DE" w:rsidP="001656DE">
      <w:pPr>
        <w:pStyle w:val="Ttulo3"/>
        <w:rPr>
          <w:lang w:val="es-DO"/>
        </w:rPr>
      </w:pPr>
      <w:r w:rsidRPr="001656DE">
        <w:rPr>
          <w:lang w:val="es-DO"/>
        </w:rPr>
        <w:t>Entrada de servicios en línea, simplificación de trámites, mejora de servicios públicos</w:t>
      </w:r>
    </w:p>
    <w:p w:rsidR="001656DE" w:rsidRPr="00083538" w:rsidRDefault="001656DE" w:rsidP="001656DE">
      <w:r w:rsidRPr="00083538">
        <w:t>La Dirección General de Contrataciones</w:t>
      </w:r>
      <w:r w:rsidR="00FC0EAB">
        <w:t xml:space="preserve"> Públicas</w:t>
      </w:r>
      <w:r w:rsidRPr="00083538">
        <w:t xml:space="preserve"> ha trabajado en la mejora y simplificación de los servicios públicos, bajo la sombrilla del Proyecto RD+SIMPLE, y las actividades de</w:t>
      </w:r>
      <w:r w:rsidR="001654B2" w:rsidRPr="00083538">
        <w:t>l plan de mejora de los</w:t>
      </w:r>
      <w:r w:rsidRPr="00083538">
        <w:t xml:space="preserve"> </w:t>
      </w:r>
      <w:r w:rsidR="001654B2" w:rsidRPr="00083538">
        <w:t>S</w:t>
      </w:r>
      <w:r w:rsidRPr="00083538">
        <w:t xml:space="preserve">ervicios en </w:t>
      </w:r>
      <w:r w:rsidR="001654B2" w:rsidRPr="00083538">
        <w:t>L</w:t>
      </w:r>
      <w:r w:rsidRPr="00083538">
        <w:t>ínea del SNCCP.</w:t>
      </w:r>
    </w:p>
    <w:p w:rsidR="000A224D" w:rsidRDefault="000A224D">
      <w:pPr>
        <w:keepNext w:val="0"/>
        <w:keepLines w:val="0"/>
        <w:spacing w:before="0" w:after="160" w:line="259" w:lineRule="auto"/>
        <w:ind w:firstLine="0"/>
        <w:jc w:val="left"/>
        <w:outlineLvl w:val="9"/>
        <w:rPr>
          <w:b/>
          <w:lang w:val="es-DO"/>
        </w:rPr>
      </w:pPr>
      <w:r>
        <w:rPr>
          <w:b/>
          <w:lang w:val="es-DO"/>
        </w:rPr>
        <w:br w:type="page"/>
      </w:r>
    </w:p>
    <w:p w:rsidR="001656DE" w:rsidRPr="001656DE" w:rsidRDefault="001656DE" w:rsidP="001656DE">
      <w:pPr>
        <w:rPr>
          <w:b/>
          <w:lang w:val="es-DO"/>
        </w:rPr>
      </w:pPr>
      <w:r w:rsidRPr="001656DE">
        <w:rPr>
          <w:b/>
          <w:lang w:val="es-DO"/>
        </w:rPr>
        <w:t>Proyecto RD</w:t>
      </w:r>
      <w:r w:rsidR="008B26D4">
        <w:rPr>
          <w:b/>
          <w:lang w:val="es-DO"/>
        </w:rPr>
        <w:t xml:space="preserve"> </w:t>
      </w:r>
      <w:r w:rsidRPr="001656DE">
        <w:rPr>
          <w:b/>
          <w:lang w:val="es-DO"/>
        </w:rPr>
        <w:t>+</w:t>
      </w:r>
      <w:r w:rsidR="008B26D4">
        <w:rPr>
          <w:b/>
          <w:lang w:val="es-DO"/>
        </w:rPr>
        <w:t xml:space="preserve"> </w:t>
      </w:r>
      <w:r w:rsidRPr="001656DE">
        <w:rPr>
          <w:b/>
          <w:lang w:val="es-DO"/>
        </w:rPr>
        <w:t>SIMPLE</w:t>
      </w:r>
    </w:p>
    <w:p w:rsidR="001656DE" w:rsidRPr="00083538" w:rsidRDefault="008B26D4" w:rsidP="001656DE">
      <w:r w:rsidRPr="00083538">
        <w:t>Mediante el programa RD SIMPLE, se bu</w:t>
      </w:r>
      <w:r w:rsidR="00FC0EAB">
        <w:t>sca la simplificación de los trá</w:t>
      </w:r>
      <w:r w:rsidRPr="00083538">
        <w:t>mites y actualización de los procesos de l</w:t>
      </w:r>
      <w:r w:rsidR="00C12D04">
        <w:t>os gobiernos con miras a hacerlos</w:t>
      </w:r>
      <w:r w:rsidRPr="00083538">
        <w:t xml:space="preserve"> menos costoso</w:t>
      </w:r>
      <w:r w:rsidR="00C12D04">
        <w:t>s</w:t>
      </w:r>
      <w:r w:rsidRPr="00083538">
        <w:t xml:space="preserve"> al ciudadano. A finales de noviembre del 2018, la Dirección General de Contrataciones Públicas en cumplimiento del decreto No. 258-18 de mejora regulatoria, recibió del Ministerio de Hacienda la invitación para participar en el plan de mejora regulatoria integral. A partir de este encuentro</w:t>
      </w:r>
      <w:r w:rsidR="00C12D04">
        <w:t>,</w:t>
      </w:r>
      <w:r w:rsidRPr="00083538">
        <w:t xml:space="preserve"> s</w:t>
      </w:r>
      <w:r w:rsidR="001656DE" w:rsidRPr="00083538">
        <w:t xml:space="preserve">e realizó </w:t>
      </w:r>
      <w:r w:rsidRPr="00083538">
        <w:t>un</w:t>
      </w:r>
      <w:r w:rsidR="001656DE" w:rsidRPr="00083538">
        <w:t xml:space="preserve"> análisis </w:t>
      </w:r>
      <w:r w:rsidRPr="00083538">
        <w:t>para</w:t>
      </w:r>
      <w:r w:rsidR="001656DE" w:rsidRPr="00083538">
        <w:t xml:space="preserve"> la presentación de </w:t>
      </w:r>
      <w:r w:rsidRPr="00083538">
        <w:t xml:space="preserve">los </w:t>
      </w:r>
      <w:r w:rsidR="001656DE" w:rsidRPr="00083538">
        <w:t xml:space="preserve">resultados del programa </w:t>
      </w:r>
      <w:r w:rsidRPr="00083538">
        <w:t xml:space="preserve">de </w:t>
      </w:r>
      <w:r w:rsidR="001656DE" w:rsidRPr="00083538">
        <w:t>simplificación de cargas de la República Dominicana y levantamiento del inventario regulatorio de la administración pública referente a la Dirección General de Contrataciones Públicas.</w:t>
      </w:r>
    </w:p>
    <w:p w:rsidR="001656DE" w:rsidRPr="00083538" w:rsidRDefault="001656DE" w:rsidP="001656DE">
      <w:r w:rsidRPr="00083538">
        <w:t>El Consejo Nacional de Competitividad emitió un informe de simplificación de trámites</w:t>
      </w:r>
      <w:r w:rsidR="008B26D4" w:rsidRPr="00083538">
        <w:t xml:space="preserve"> para la República Dominicana,</w:t>
      </w:r>
      <w:r w:rsidRPr="00083538">
        <w:t xml:space="preserve"> análisis realizado por COMPITERD, en éste</w:t>
      </w:r>
      <w:r w:rsidR="008B26D4" w:rsidRPr="00083538">
        <w:t xml:space="preserve"> se reflejó que</w:t>
      </w:r>
      <w:r w:rsidRPr="00083538">
        <w:t xml:space="preserve"> </w:t>
      </w:r>
      <w:r w:rsidR="008B26D4" w:rsidRPr="00083538">
        <w:t>la Dirección General de Contrataciones Públicas</w:t>
      </w:r>
      <w:r w:rsidRPr="00083538">
        <w:t xml:space="preserve"> </w:t>
      </w:r>
      <w:r w:rsidR="008B26D4" w:rsidRPr="00083538">
        <w:t xml:space="preserve">se encuentra dentro de un rango de </w:t>
      </w:r>
      <w:r w:rsidRPr="00083538">
        <w:t>16.3% del costo social levantado</w:t>
      </w:r>
      <w:r w:rsidR="008B26D4" w:rsidRPr="00083538">
        <w:t>,</w:t>
      </w:r>
      <w:r w:rsidRPr="00083538">
        <w:t xml:space="preserve"> y su número</w:t>
      </w:r>
      <w:r w:rsidR="00C12D04">
        <w:t xml:space="preserve"> de </w:t>
      </w:r>
      <w:r w:rsidRPr="00083538">
        <w:t xml:space="preserve">trámite </w:t>
      </w:r>
      <w:r w:rsidR="000D5E2C">
        <w:t>se encuentra fuera de los 10 trá</w:t>
      </w:r>
      <w:r w:rsidRPr="00083538">
        <w:t>mites prioritarios analizados.</w:t>
      </w:r>
    </w:p>
    <w:p w:rsidR="001656DE" w:rsidRPr="00083538" w:rsidRDefault="008B26D4" w:rsidP="001656DE">
      <w:r w:rsidRPr="00083538">
        <w:t>El servicio de</w:t>
      </w:r>
      <w:r w:rsidR="001656DE" w:rsidRPr="00083538">
        <w:t xml:space="preserve"> “</w:t>
      </w:r>
      <w:r w:rsidR="00083538" w:rsidRPr="00083538">
        <w:rPr>
          <w:i/>
        </w:rPr>
        <w:t>I</w:t>
      </w:r>
      <w:r w:rsidR="001656DE" w:rsidRPr="00083538">
        <w:rPr>
          <w:i/>
        </w:rPr>
        <w:t>nscripción en el registro de proveedores- personas físicas nacionales, personas jurídicas nacionales, asociaciones sin fines de lucro, cooperativas, entidades del estado, consorcios, personas fiscas extranjeras jurídicas extranjera y personas jurídicas según la ley no. 122-05</w:t>
      </w:r>
      <w:r w:rsidR="001656DE" w:rsidRPr="00083538">
        <w:t xml:space="preserve">” fue definido como </w:t>
      </w:r>
      <w:r w:rsidRPr="00083538">
        <w:t>prioritario para esta Dirección, y a partir de los resultados de este informe, se elaboró un plan de acción cubriendo lo siguiente:</w:t>
      </w:r>
    </w:p>
    <w:p w:rsidR="001656DE" w:rsidRPr="008469B7" w:rsidRDefault="001656DE" w:rsidP="008469B7">
      <w:pPr>
        <w:pStyle w:val="Prrafodelista"/>
        <w:numPr>
          <w:ilvl w:val="0"/>
          <w:numId w:val="19"/>
        </w:numPr>
        <w:ind w:left="567" w:hanging="548"/>
      </w:pPr>
      <w:r w:rsidRPr="008469B7">
        <w:t>Preparación y levantamiento con miras a conocer los motivos de resultados obtenidos 2018.</w:t>
      </w:r>
    </w:p>
    <w:p w:rsidR="001656DE" w:rsidRPr="008469B7" w:rsidRDefault="001656DE" w:rsidP="008469B7">
      <w:pPr>
        <w:pStyle w:val="Prrafodelista"/>
        <w:numPr>
          <w:ilvl w:val="0"/>
          <w:numId w:val="19"/>
        </w:numPr>
        <w:ind w:left="567" w:hanging="548"/>
      </w:pPr>
      <w:r w:rsidRPr="008469B7">
        <w:t>Coordinación con el equipo gerencial y reuniones con fines</w:t>
      </w:r>
      <w:r w:rsidR="00FC0EAB">
        <w:t xml:space="preserve"> de revisiones de las matrices.</w:t>
      </w:r>
    </w:p>
    <w:p w:rsidR="001656DE" w:rsidRPr="008469B7" w:rsidRDefault="001656DE" w:rsidP="008469B7">
      <w:pPr>
        <w:pStyle w:val="Prrafodelista"/>
        <w:numPr>
          <w:ilvl w:val="0"/>
          <w:numId w:val="19"/>
        </w:numPr>
        <w:ind w:left="567" w:hanging="548"/>
      </w:pPr>
      <w:r w:rsidRPr="008469B7">
        <w:t xml:space="preserve">Análisis comparativo de los resultados y preparación informe de la discrepancia de los resultados </w:t>
      </w:r>
      <w:r w:rsidR="008B26D4" w:rsidRPr="008469B7">
        <w:t xml:space="preserve">con </w:t>
      </w:r>
      <w:r w:rsidRPr="008469B7">
        <w:t>la evaluación presentada.</w:t>
      </w:r>
    </w:p>
    <w:p w:rsidR="001656DE" w:rsidRPr="008469B7" w:rsidRDefault="001656DE" w:rsidP="008469B7">
      <w:pPr>
        <w:pStyle w:val="Prrafodelista"/>
        <w:numPr>
          <w:ilvl w:val="0"/>
          <w:numId w:val="19"/>
        </w:numPr>
        <w:ind w:left="567" w:hanging="548"/>
      </w:pPr>
      <w:r w:rsidRPr="008469B7">
        <w:t xml:space="preserve">Solicitud de revisión </w:t>
      </w:r>
      <w:r w:rsidR="008B26D4" w:rsidRPr="008469B7">
        <w:t xml:space="preserve">del informe </w:t>
      </w:r>
      <w:r w:rsidRPr="008469B7">
        <w:t xml:space="preserve">ante la Dirección General de </w:t>
      </w:r>
      <w:r w:rsidR="008B26D4" w:rsidRPr="008469B7">
        <w:t>C</w:t>
      </w:r>
      <w:r w:rsidRPr="008469B7">
        <w:t>ompetitividad.</w:t>
      </w:r>
    </w:p>
    <w:p w:rsidR="001656DE" w:rsidRPr="008469B7" w:rsidRDefault="001656DE" w:rsidP="008469B7">
      <w:pPr>
        <w:pStyle w:val="Prrafodelista"/>
        <w:numPr>
          <w:ilvl w:val="0"/>
          <w:numId w:val="19"/>
        </w:numPr>
        <w:ind w:left="567" w:hanging="548"/>
      </w:pPr>
      <w:r w:rsidRPr="008469B7">
        <w:t>Reuniones con el Ministerio de</w:t>
      </w:r>
      <w:r w:rsidR="00FC0EAB">
        <w:t xml:space="preserve"> Hacienda y equipo de COMPITERD.</w:t>
      </w:r>
    </w:p>
    <w:p w:rsidR="001656DE" w:rsidRPr="008469B7" w:rsidRDefault="001656DE" w:rsidP="008469B7">
      <w:pPr>
        <w:pStyle w:val="Prrafodelista"/>
        <w:numPr>
          <w:ilvl w:val="0"/>
          <w:numId w:val="19"/>
        </w:numPr>
        <w:ind w:left="567" w:hanging="548"/>
      </w:pPr>
      <w:r w:rsidRPr="008469B7">
        <w:t xml:space="preserve">Levantamiento institucional de las cargas simplificación de trámites para mejorar el registro de proveedores del estado y la optimización de los procesos. </w:t>
      </w:r>
    </w:p>
    <w:p w:rsidR="001656DE" w:rsidRPr="008469B7" w:rsidRDefault="008B26D4" w:rsidP="008469B7">
      <w:pPr>
        <w:pStyle w:val="Prrafodelista"/>
        <w:numPr>
          <w:ilvl w:val="0"/>
          <w:numId w:val="19"/>
        </w:numPr>
        <w:ind w:left="567" w:hanging="548"/>
      </w:pPr>
      <w:r w:rsidRPr="008469B7">
        <w:t>L</w:t>
      </w:r>
      <w:r w:rsidR="001656DE" w:rsidRPr="008469B7">
        <w:t>lenado de las matrices con miras a la evaluación del año 2020</w:t>
      </w:r>
      <w:r w:rsidR="00FC0EAB">
        <w:t>.</w:t>
      </w:r>
    </w:p>
    <w:p w:rsidR="001656DE" w:rsidRPr="008469B7" w:rsidRDefault="001656DE" w:rsidP="008469B7">
      <w:pPr>
        <w:pStyle w:val="Prrafodelista"/>
        <w:numPr>
          <w:ilvl w:val="0"/>
          <w:numId w:val="19"/>
        </w:numPr>
        <w:ind w:left="567" w:hanging="548"/>
      </w:pPr>
      <w:r w:rsidRPr="008469B7">
        <w:t>Informes finales y propuesta 2020 de la simplificación de trámite.</w:t>
      </w:r>
    </w:p>
    <w:p w:rsidR="00104CFA" w:rsidRPr="008469B7" w:rsidRDefault="00104CFA" w:rsidP="001656DE">
      <w:r w:rsidRPr="008469B7">
        <w:t>Dentro de los resu</w:t>
      </w:r>
      <w:r w:rsidR="000D5E2C">
        <w:t>ltados más relevantes que arrojó</w:t>
      </w:r>
      <w:r w:rsidRPr="008469B7">
        <w:t xml:space="preserve"> la consecución de este plan de acción, se logró lo siguiente:</w:t>
      </w:r>
    </w:p>
    <w:p w:rsidR="00104CFA" w:rsidRPr="008469B7" w:rsidRDefault="00104CFA" w:rsidP="008469B7">
      <w:pPr>
        <w:pStyle w:val="Prrafodelista"/>
        <w:numPr>
          <w:ilvl w:val="0"/>
          <w:numId w:val="19"/>
        </w:numPr>
        <w:ind w:left="567" w:hanging="548"/>
      </w:pPr>
      <w:r w:rsidRPr="008469B7">
        <w:t xml:space="preserve">Revisión y actualización de los requisitos solicitados por esta Dirección a todos los interesados en inscribirse como Proveedores del Estado: </w:t>
      </w:r>
      <w:r w:rsidR="00D02F73" w:rsidRPr="008469B7">
        <w:t>S</w:t>
      </w:r>
      <w:r w:rsidRPr="008469B7">
        <w:t xml:space="preserve">e inició la elaboración de la nueva Resolución de requisitos para la inscripción en el Registro de Proveedores del Estado, que homologará dichos requisitos con las nuevas plataformas digitales.  </w:t>
      </w:r>
    </w:p>
    <w:p w:rsidR="00104CFA" w:rsidRPr="008469B7" w:rsidRDefault="00104CFA" w:rsidP="008469B7">
      <w:pPr>
        <w:pStyle w:val="Prrafodelista"/>
        <w:numPr>
          <w:ilvl w:val="0"/>
          <w:numId w:val="19"/>
        </w:numPr>
        <w:ind w:left="567" w:hanging="548"/>
      </w:pPr>
      <w:r w:rsidRPr="008469B7">
        <w:t xml:space="preserve">Revisión y fusión de los formularios del registro de proveedores y del registro de beneficiarios para adecuar los campos con un lenguaje ciudadano: Actualmente, se encuentra en revisión el modelo de formulario unificado que elaboró el departamento de Gestión de Proveedores que incluye la simplificación del trámite y la incorporación del lenguaje ciudadano. </w:t>
      </w:r>
    </w:p>
    <w:p w:rsidR="00104CFA" w:rsidRPr="008469B7" w:rsidRDefault="00104CFA" w:rsidP="008469B7">
      <w:pPr>
        <w:pStyle w:val="Prrafodelista"/>
        <w:numPr>
          <w:ilvl w:val="0"/>
          <w:numId w:val="19"/>
        </w:numPr>
        <w:ind w:left="567" w:hanging="548"/>
      </w:pPr>
      <w:r w:rsidRPr="008469B7">
        <w:t xml:space="preserve">Incremento y optimización en el uso del módulo de gestión de proveedores en línea a través del Portal Transaccional: Para el cumplimiento de esta meta, se elaboró un piloto de intervención con la finalidad </w:t>
      </w:r>
      <w:r w:rsidR="00D02F73" w:rsidRPr="008469B7">
        <w:t>de que,</w:t>
      </w:r>
      <w:r w:rsidRPr="008469B7">
        <w:t xml:space="preserve"> en las capacitaciones del Portal Transaccio</w:t>
      </w:r>
      <w:r w:rsidR="00D02F73" w:rsidRPr="008469B7">
        <w:t>nal a Proveedores, se incentive</w:t>
      </w:r>
      <w:r w:rsidRPr="008469B7">
        <w:t xml:space="preserve"> la creación de usuarios y su vinculación con el RPE (Membresía), con una aprobación inferior a 24 horas. </w:t>
      </w:r>
    </w:p>
    <w:p w:rsidR="00104CFA" w:rsidRPr="008469B7" w:rsidRDefault="00104CFA" w:rsidP="008469B7">
      <w:pPr>
        <w:pStyle w:val="Prrafodelista"/>
        <w:numPr>
          <w:ilvl w:val="0"/>
          <w:numId w:val="19"/>
        </w:numPr>
        <w:ind w:left="567" w:hanging="548"/>
      </w:pPr>
      <w:r w:rsidRPr="008469B7">
        <w:t>Reducción de los tiempos de respuesta de las solicitudes recibidas de manera presencial en el Registro de Proveedores de 8 a 4 días laborables</w:t>
      </w:r>
      <w:r w:rsidR="000D5E2C">
        <w:t>.</w:t>
      </w:r>
      <w:r w:rsidR="00D02F73" w:rsidRPr="008469B7">
        <w:t xml:space="preserve"> </w:t>
      </w:r>
      <w:r w:rsidRPr="008469B7">
        <w:t xml:space="preserve">Actualmente, </w:t>
      </w:r>
      <w:r w:rsidR="00D02F73" w:rsidRPr="008469B7">
        <w:t xml:space="preserve">la Dirección </w:t>
      </w:r>
      <w:r w:rsidRPr="008469B7">
        <w:t xml:space="preserve">se encuentra en la revisión </w:t>
      </w:r>
      <w:r w:rsidR="00D02F73" w:rsidRPr="008469B7">
        <w:t xml:space="preserve">y monitoreo de los servicios e indicadores a ser comprometidos en su </w:t>
      </w:r>
      <w:r w:rsidRPr="008469B7">
        <w:t>carta compromiso</w:t>
      </w:r>
      <w:r w:rsidR="00D02F73" w:rsidRPr="008469B7">
        <w:t xml:space="preserve"> 2019-2021</w:t>
      </w:r>
      <w:r w:rsidRPr="008469B7">
        <w:t>, así como en la elaboración de un plan interno para mejorar el modelo de aten</w:t>
      </w:r>
      <w:r w:rsidR="00D02F73" w:rsidRPr="008469B7">
        <w:t>ción al usuario de la Dirección, que sustenten el logro de esta reducción en los tiempos de respuesta.</w:t>
      </w:r>
    </w:p>
    <w:p w:rsidR="00104CFA" w:rsidRPr="008469B7" w:rsidRDefault="00104CFA" w:rsidP="008469B7">
      <w:pPr>
        <w:pStyle w:val="Prrafodelista"/>
        <w:numPr>
          <w:ilvl w:val="0"/>
          <w:numId w:val="19"/>
        </w:numPr>
        <w:ind w:left="567" w:hanging="548"/>
      </w:pPr>
      <w:r w:rsidRPr="008469B7">
        <w:t>Diseño e implementación de una campaña de difusión para incentivar la inscripción en línea del Registro de Proveedores:</w:t>
      </w:r>
      <w:r w:rsidR="00D02F73" w:rsidRPr="008469B7">
        <w:t xml:space="preserve"> S</w:t>
      </w:r>
      <w:r w:rsidRPr="008469B7">
        <w:t xml:space="preserve">e está elaborando una campaña de difusión para dar a conocer el Portal Transaccional y el módulo de proveedores en línea. </w:t>
      </w:r>
    </w:p>
    <w:p w:rsidR="00104CFA" w:rsidRPr="008469B7" w:rsidRDefault="00104CFA" w:rsidP="008469B7">
      <w:pPr>
        <w:pStyle w:val="Prrafodelista"/>
        <w:numPr>
          <w:ilvl w:val="0"/>
          <w:numId w:val="19"/>
        </w:numPr>
        <w:ind w:left="567" w:hanging="548"/>
      </w:pPr>
      <w:r w:rsidRPr="008469B7">
        <w:t>Instalación de una estación de auto gestión en la oficina principal, para que el usuario pueda realizar su solicitud en línea con la asistencia de un representante de servicio.</w:t>
      </w:r>
    </w:p>
    <w:p w:rsidR="00104CFA" w:rsidRPr="008469B7" w:rsidRDefault="00104CFA" w:rsidP="00104CFA">
      <w:r w:rsidRPr="008469B7">
        <w:t>Con estas acciones, la Dirección General de Contrataciones Públicas se posiciona como una de las entidades gubernamentales, que ha implementado las mejores políticas y reducción de trámites con mi</w:t>
      </w:r>
      <w:r w:rsidR="000D5E2C">
        <w:t>ras a la disminución de costos a</w:t>
      </w:r>
      <w:r w:rsidRPr="008469B7">
        <w:t>l ciudadano, logrando así mayor eficiencia en los servicios ofrecidos.</w:t>
      </w:r>
    </w:p>
    <w:p w:rsidR="008B26D4" w:rsidRPr="008B26D4" w:rsidRDefault="008B26D4" w:rsidP="001656DE">
      <w:pPr>
        <w:rPr>
          <w:b/>
          <w:lang w:val="es-DO"/>
        </w:rPr>
      </w:pPr>
      <w:r w:rsidRPr="008B26D4">
        <w:rPr>
          <w:b/>
          <w:lang w:val="es-DO"/>
        </w:rPr>
        <w:t>Servicios en Línea del</w:t>
      </w:r>
      <w:r w:rsidR="001654B2">
        <w:rPr>
          <w:b/>
          <w:lang w:val="es-DO"/>
        </w:rPr>
        <w:t xml:space="preserve"> Sistema Nacional de Compras y C</w:t>
      </w:r>
      <w:r w:rsidRPr="008B26D4">
        <w:rPr>
          <w:b/>
          <w:lang w:val="es-DO"/>
        </w:rPr>
        <w:t xml:space="preserve">ontrataciones Públicas (SNCCP) </w:t>
      </w:r>
    </w:p>
    <w:p w:rsidR="00535868" w:rsidRPr="008469B7" w:rsidRDefault="00535868" w:rsidP="001656DE">
      <w:r w:rsidRPr="008469B7">
        <w:t>Para esta iniciativa se implementaron una serie de mejoras e integraciones con sistemas interinstitucionales, que garantizan cada vez más la eficiencia y trasparencia de los procesos de compras públicas. Estas mejoras son:</w:t>
      </w:r>
    </w:p>
    <w:p w:rsidR="001656DE" w:rsidRPr="008469B7" w:rsidRDefault="00535868" w:rsidP="008469B7">
      <w:pPr>
        <w:pStyle w:val="Prrafodelista"/>
        <w:numPr>
          <w:ilvl w:val="0"/>
          <w:numId w:val="19"/>
        </w:numPr>
        <w:ind w:left="567" w:hanging="548"/>
      </w:pPr>
      <w:r w:rsidRPr="008469B7">
        <w:t>L</w:t>
      </w:r>
      <w:r w:rsidR="001656DE" w:rsidRPr="008469B7">
        <w:t xml:space="preserve">anzamiento de </w:t>
      </w:r>
      <w:r w:rsidRPr="008469B7">
        <w:t xml:space="preserve">la </w:t>
      </w:r>
      <w:r w:rsidR="001656DE" w:rsidRPr="008469B7">
        <w:t>penúlti</w:t>
      </w:r>
      <w:r w:rsidRPr="008469B7">
        <w:t xml:space="preserve">ma versión Portal Transaccional: </w:t>
      </w:r>
      <w:r w:rsidR="001656DE" w:rsidRPr="008469B7">
        <w:t xml:space="preserve">integración con </w:t>
      </w:r>
      <w:r w:rsidRPr="008469B7">
        <w:t xml:space="preserve">la </w:t>
      </w:r>
      <w:r w:rsidR="001656DE" w:rsidRPr="008469B7">
        <w:t>Contr</w:t>
      </w:r>
      <w:r w:rsidRPr="008469B7">
        <w:t xml:space="preserve">aloría General de la República. </w:t>
      </w:r>
      <w:r w:rsidR="001656DE" w:rsidRPr="008469B7">
        <w:t>Esta versión del Portal Transaccional de Compras y Contrataciones del estado incluye la innovación de integración entre ambos sistemas para optimizar el proceso de certificación de contratos de la Contraloría General de la República y brindar transparencia en cuanto al estatus de ejecución de dicho proceso tan importante para el proveedor</w:t>
      </w:r>
      <w:r w:rsidR="000D5E2C">
        <w:t>,</w:t>
      </w:r>
      <w:r w:rsidR="001656DE" w:rsidRPr="008469B7">
        <w:t xml:space="preserve"> porque es el punto de partida para el inicio de la entrega de los bienes, obras o servicios contratados.</w:t>
      </w:r>
      <w:r w:rsidRPr="008469B7">
        <w:t xml:space="preserve"> </w:t>
      </w:r>
      <w:r w:rsidR="001656DE" w:rsidRPr="008469B7">
        <w:t>Con esta funcionalidad el sistema de compras enviará automáticamente el contrato aprobado y enviado al sistema de registro de la CGR de forma tal que la información quede precargada en dicho sistema y ahorr</w:t>
      </w:r>
      <w:r w:rsidR="000D5E2C">
        <w:t xml:space="preserve">e </w:t>
      </w:r>
      <w:r w:rsidR="001656DE" w:rsidRPr="008469B7">
        <w:t>los pasos de carga de la información. Además, los sistemas quedarán integrados de forma tal que cuando el contrato sea certificado por la CGR, se reflejará automáticamente la certificación en el contrato del proveedor en el Portal Transaccional. Esta certificación podrá ser descargada por el proveedor adjudicado directamente en su contrato del escritorio virtual.</w:t>
      </w:r>
    </w:p>
    <w:p w:rsidR="001656DE" w:rsidRPr="008469B7" w:rsidRDefault="00535868" w:rsidP="008469B7">
      <w:pPr>
        <w:pStyle w:val="Prrafodelista"/>
        <w:numPr>
          <w:ilvl w:val="0"/>
          <w:numId w:val="19"/>
        </w:numPr>
        <w:ind w:left="567" w:hanging="548"/>
      </w:pPr>
      <w:r w:rsidRPr="008469B7">
        <w:t>I</w:t>
      </w:r>
      <w:r w:rsidR="001656DE" w:rsidRPr="008469B7">
        <w:t xml:space="preserve">mplementación del </w:t>
      </w:r>
      <w:r w:rsidRPr="008469B7">
        <w:t>E</w:t>
      </w:r>
      <w:r w:rsidR="001656DE" w:rsidRPr="008469B7">
        <w:t>xpediente digital de compras y contrataciones: configuración de documentos obligatorios por modalidad de compras</w:t>
      </w:r>
      <w:r w:rsidRPr="008469B7">
        <w:t xml:space="preserve">. </w:t>
      </w:r>
      <w:r w:rsidR="001656DE" w:rsidRPr="008469B7">
        <w:t xml:space="preserve">El </w:t>
      </w:r>
      <w:r w:rsidRPr="008469B7">
        <w:t>primero (</w:t>
      </w:r>
      <w:r w:rsidR="001656DE" w:rsidRPr="008469B7">
        <w:t>1</w:t>
      </w:r>
      <w:r w:rsidRPr="008469B7">
        <w:t>ero)</w:t>
      </w:r>
      <w:r w:rsidR="001656DE" w:rsidRPr="008469B7">
        <w:t xml:space="preserve"> de mayo </w:t>
      </w:r>
      <w:r w:rsidRPr="008469B7">
        <w:t xml:space="preserve">de 2019, </w:t>
      </w:r>
      <w:r w:rsidR="001656DE" w:rsidRPr="008469B7">
        <w:t>la Dirección General de Contrataciones Públicas (DGCP), lanza oficialmente el expediente digital a través de la funcionalidad de solicitud de documentos obligatorios por modalidad de compras.</w:t>
      </w:r>
      <w:r w:rsidRPr="008469B7">
        <w:t xml:space="preserve"> </w:t>
      </w:r>
      <w:r w:rsidR="001656DE" w:rsidRPr="008469B7">
        <w:t>Con esta funcionalidad, el ciudadano tendrá a su disposición la descarga de los documentos de cada proceso de compras en tiempo real que serán organizados por carpetas de interés (Publicación, Adendas, Ofertas recibidas, Apertura, Análisis de ofertas, Adjudicación y Contratos). Este lanzamiento coloca al país en un modelo de trasparencia total de los documentos cargados en cada proceso</w:t>
      </w:r>
      <w:r w:rsidR="000D5E2C">
        <w:t>,</w:t>
      </w:r>
      <w:r w:rsidR="001656DE" w:rsidRPr="008469B7">
        <w:t xml:space="preserve"> automatizándose su carga obligatoria según lo especificado en la Normativa de Compras y Contrataciones.</w:t>
      </w:r>
    </w:p>
    <w:p w:rsidR="001656DE" w:rsidRPr="008469B7" w:rsidRDefault="001656DE" w:rsidP="008469B7">
      <w:pPr>
        <w:pStyle w:val="Prrafodelista"/>
        <w:numPr>
          <w:ilvl w:val="0"/>
          <w:numId w:val="19"/>
        </w:numPr>
        <w:ind w:left="567" w:hanging="548"/>
      </w:pPr>
      <w:r w:rsidRPr="008469B7">
        <w:t xml:space="preserve">Lanzamiento de </w:t>
      </w:r>
      <w:r w:rsidR="00535868" w:rsidRPr="008469B7">
        <w:t xml:space="preserve">la </w:t>
      </w:r>
      <w:r w:rsidRPr="008469B7">
        <w:t>última versión Portal Transaccional: integraciones SIGEF_Gastos</w:t>
      </w:r>
      <w:r w:rsidR="00535868" w:rsidRPr="008469B7">
        <w:t xml:space="preserve">. </w:t>
      </w:r>
      <w:r w:rsidRPr="008469B7">
        <w:t>Esta versión del Portal Transaccional de Compras y Contrataciones del estado incluye la innovación de integración con el Sistema de Información de la Gestión Financiera (SIGEF) automatizando los correctos momentos de la ejecución del gasto en cada proceso de compras.</w:t>
      </w:r>
      <w:r w:rsidR="00535868" w:rsidRPr="008469B7">
        <w:t xml:space="preserve"> </w:t>
      </w:r>
      <w:r w:rsidRPr="008469B7">
        <w:t xml:space="preserve">Esta funcionalidad, apoyada en la </w:t>
      </w:r>
      <w:r w:rsidR="00535868" w:rsidRPr="008469B7">
        <w:t>“</w:t>
      </w:r>
      <w:r w:rsidRPr="008469B7">
        <w:t>Guía Alfabética de Imputaciones Presupuestarias por Objeto del Gasto</w:t>
      </w:r>
      <w:r w:rsidR="00535868" w:rsidRPr="008469B7">
        <w:t>”</w:t>
      </w:r>
      <w:r w:rsidRPr="008469B7">
        <w:t xml:space="preserve">, permitirá la reserva de apropiación presupuestaria en la publicación de cada proceso de compras, así como también el registro del compromiso de pago para cada contrato adjudicado. Está orientada al cumplimiento del Decreto 15-17 y el aseguramiento del presupuesto en cada contrato de los proveedores, las MIPYMES y las mujeres con el Estado Dominicano. Esta funcionalidad completa el cierre del Portal Transaccional de Compras y Contrataciones con el 100% </w:t>
      </w:r>
      <w:r w:rsidR="000D5E2C">
        <w:t xml:space="preserve">de los </w:t>
      </w:r>
      <w:r w:rsidRPr="008469B7">
        <w:t xml:space="preserve">requerimientos </w:t>
      </w:r>
      <w:r w:rsidR="000D5E2C">
        <w:t xml:space="preserve">incluidos en </w:t>
      </w:r>
      <w:r w:rsidRPr="008469B7">
        <w:t>el pliego</w:t>
      </w:r>
      <w:r w:rsidR="000D5E2C">
        <w:t>,</w:t>
      </w:r>
      <w:r w:rsidRPr="008469B7">
        <w:t xml:space="preserve"> FASE II desarrollad</w:t>
      </w:r>
      <w:r w:rsidR="000D5E2C">
        <w:t>a</w:t>
      </w:r>
      <w:r w:rsidRPr="008469B7">
        <w:t xml:space="preserve"> y cumplida</w:t>
      </w:r>
      <w:r w:rsidR="000D5E2C">
        <w:t xml:space="preserve">, y </w:t>
      </w:r>
      <w:r w:rsidRPr="008469B7">
        <w:t>entrega conforme.</w:t>
      </w:r>
    </w:p>
    <w:p w:rsidR="001656DE" w:rsidRPr="008469B7" w:rsidRDefault="001656DE" w:rsidP="008469B7">
      <w:pPr>
        <w:pStyle w:val="Prrafodelista"/>
        <w:numPr>
          <w:ilvl w:val="0"/>
          <w:numId w:val="19"/>
        </w:numPr>
        <w:ind w:left="567" w:hanging="548"/>
      </w:pPr>
      <w:r w:rsidRPr="008469B7">
        <w:t>Levantamiento de mejoras para la FASE III (evolutivo) con actores del Sistema Nacional de Compras y C</w:t>
      </w:r>
      <w:r w:rsidR="00446BFE" w:rsidRPr="008469B7">
        <w:t xml:space="preserve">ontrataciones Públicas (SNCCP). </w:t>
      </w:r>
      <w:r w:rsidRPr="008469B7">
        <w:t>Como parte del ciclo de mejora continua del Portal Transaccional de Compras y Contrataciones, el área funcional en conjunto con el área de implementación, convocaron a unas sesiones de levantamiento de requerimientos de mejoras del sistema. En estas sesiones asistieron 200 instituciones y 30 proveedores de estos proveedores.</w:t>
      </w:r>
    </w:p>
    <w:p w:rsidR="001656DE" w:rsidRPr="008469B7" w:rsidRDefault="001656DE" w:rsidP="008469B7">
      <w:pPr>
        <w:pStyle w:val="Prrafodelista"/>
        <w:numPr>
          <w:ilvl w:val="0"/>
          <w:numId w:val="19"/>
        </w:numPr>
        <w:ind w:left="567" w:hanging="548"/>
      </w:pPr>
      <w:r w:rsidRPr="008469B7">
        <w:t>Interoperabilidad del Portal Transaccional de Compras y Contrataciones con el Sistema TRE de la Contraloría General de la República. Esta integración habilita la integración en línea del suministro de la información de los contratos suscritos con las diferentes instituciones del estado que gestionan sus compras en el Portal Transaccional con sus respectivos proveedores. Esto permite a la Contraloría realizar la certificación de los contratos suscritos de manera digital dentro de sus procesos de auditoría y garantizando a la DGCP que los usuarios del sistema mantengan actualizadas las informaciones respectivas a dichas transacciones.</w:t>
      </w:r>
    </w:p>
    <w:p w:rsidR="00446BFE" w:rsidRPr="0003733C" w:rsidRDefault="001656DE" w:rsidP="008469B7">
      <w:pPr>
        <w:pStyle w:val="Prrafodelista"/>
        <w:numPr>
          <w:ilvl w:val="0"/>
          <w:numId w:val="19"/>
        </w:numPr>
        <w:ind w:left="567" w:hanging="548"/>
        <w:rPr>
          <w:lang w:val="es-DO"/>
        </w:rPr>
      </w:pPr>
      <w:r w:rsidRPr="008469B7">
        <w:t>Interoperabilidad del Portal Transaccional de Compras y Contrataciones con la Junta de Aviación Civil (JAC). Esta integración le permite a la JAC poder consultar en línea las informaciones de los contratos suscritos entre esta entidad y sus proveedores con fines de eliminar la doble captura de datos que sostenían en su sistema interno ERP y en el Portal Transaccional.</w:t>
      </w:r>
      <w:r w:rsidR="00446BFE" w:rsidRPr="0003733C">
        <w:rPr>
          <w:lang w:val="es-DO"/>
        </w:rPr>
        <w:br w:type="page"/>
      </w:r>
    </w:p>
    <w:p w:rsidR="0037264B" w:rsidRPr="00E11D58" w:rsidRDefault="00446BFE" w:rsidP="000D5958">
      <w:pPr>
        <w:pStyle w:val="Ttulo2"/>
        <w:numPr>
          <w:ilvl w:val="0"/>
          <w:numId w:val="14"/>
        </w:numPr>
        <w:rPr>
          <w:b/>
        </w:rPr>
      </w:pPr>
      <w:r w:rsidRPr="00E11D58">
        <w:rPr>
          <w:b/>
        </w:rPr>
        <w:t>Otras acciones Desarrolladas</w:t>
      </w:r>
    </w:p>
    <w:p w:rsidR="00771632" w:rsidRPr="000E7F80" w:rsidRDefault="000E7F80" w:rsidP="00E11D58">
      <w:pPr>
        <w:pStyle w:val="Ttulo4"/>
        <w:rPr>
          <w:b/>
        </w:rPr>
      </w:pPr>
      <w:r w:rsidRPr="005E6BE7">
        <w:rPr>
          <w:b/>
          <w:i w:val="0"/>
        </w:rPr>
        <w:t>EJE ESTRATÉGICO I -</w:t>
      </w:r>
      <w:r w:rsidR="00771632" w:rsidRPr="005E6BE7">
        <w:rPr>
          <w:b/>
          <w:i w:val="0"/>
        </w:rPr>
        <w:t xml:space="preserve"> </w:t>
      </w:r>
      <w:r w:rsidRPr="005E6BE7">
        <w:rPr>
          <w:b/>
          <w:i w:val="0"/>
        </w:rPr>
        <w:t>REGULACIÓN Y SUPERVISIÓN</w:t>
      </w:r>
      <w:r w:rsidR="00E11D58">
        <w:rPr>
          <w:b/>
          <w:i w:val="0"/>
        </w:rPr>
        <w:t xml:space="preserve">: </w:t>
      </w:r>
      <w:r w:rsidR="00771632" w:rsidRPr="000E7F80">
        <w:rPr>
          <w:b/>
        </w:rPr>
        <w:t>Marco legal para un Sistema Nacional de Compras Públicas (SNCCP) confiable y transparente.</w:t>
      </w:r>
    </w:p>
    <w:p w:rsidR="000A6AA9" w:rsidRPr="006C5F08" w:rsidRDefault="000A6AA9" w:rsidP="000A6AA9">
      <w:r w:rsidRPr="008469B7">
        <w:rPr>
          <w:b/>
        </w:rPr>
        <w:t>Aplicación del Decreto 350-17, que ordena la obligatoriedad del uso del Portal Transaccional a las instituciones del Estado</w:t>
      </w:r>
      <w:r w:rsidRPr="008469B7">
        <w:t>:</w:t>
      </w:r>
      <w:r w:rsidRPr="000F7BA6">
        <w:t xml:space="preserve"> </w:t>
      </w:r>
      <w:r w:rsidR="000E1D92" w:rsidRPr="00191F0C">
        <w:rPr>
          <w:color w:val="auto"/>
        </w:rPr>
        <w:t>A</w:t>
      </w:r>
      <w:r w:rsidRPr="00191F0C">
        <w:rPr>
          <w:color w:val="auto"/>
        </w:rPr>
        <w:t xml:space="preserve"> noviembre del 2019 se han se incorporado 63 nu</w:t>
      </w:r>
      <w:r w:rsidR="008469B7" w:rsidRPr="00191F0C">
        <w:rPr>
          <w:color w:val="auto"/>
        </w:rPr>
        <w:t>evas instituciones públicas y 16</w:t>
      </w:r>
      <w:r w:rsidRPr="00191F0C">
        <w:rPr>
          <w:color w:val="auto"/>
        </w:rPr>
        <w:t xml:space="preserve"> gobiernos </w:t>
      </w:r>
      <w:r w:rsidRPr="00BF3B6F">
        <w:rPr>
          <w:color w:val="auto"/>
        </w:rPr>
        <w:t>locales, o un total de 80 nuevas entidades públicas. Actualmente, se encuentran 30</w:t>
      </w:r>
      <w:r w:rsidR="008469B7" w:rsidRPr="00BF3B6F">
        <w:rPr>
          <w:color w:val="auto"/>
        </w:rPr>
        <w:t>5</w:t>
      </w:r>
      <w:r w:rsidRPr="00BF3B6F">
        <w:rPr>
          <w:color w:val="auto"/>
        </w:rPr>
        <w:t xml:space="preserve"> instituciones gestionando sus procesos de compras y contrataciones públicas en el Portal Transaccional, de las cuales, </w:t>
      </w:r>
      <w:r w:rsidR="00BF3B6F" w:rsidRPr="00BF3B6F">
        <w:rPr>
          <w:color w:val="auto"/>
        </w:rPr>
        <w:t>263</w:t>
      </w:r>
      <w:r w:rsidRPr="00BF3B6F">
        <w:rPr>
          <w:color w:val="auto"/>
        </w:rPr>
        <w:t xml:space="preserve"> son instituciones y </w:t>
      </w:r>
      <w:r w:rsidR="00BF3B6F" w:rsidRPr="00BF3B6F">
        <w:rPr>
          <w:color w:val="auto"/>
        </w:rPr>
        <w:t>43</w:t>
      </w:r>
      <w:r w:rsidRPr="00BF3B6F">
        <w:rPr>
          <w:color w:val="auto"/>
        </w:rPr>
        <w:t xml:space="preserve"> </w:t>
      </w:r>
      <w:r w:rsidRPr="000F7BA6">
        <w:t>corresponden a gobiernos locales.</w:t>
      </w:r>
    </w:p>
    <w:p w:rsidR="000A6AA9" w:rsidRPr="00BF3B6F" w:rsidRDefault="000A6AA9" w:rsidP="000A6AA9">
      <w:pPr>
        <w:rPr>
          <w:color w:val="auto"/>
        </w:rPr>
      </w:pPr>
      <w:r w:rsidRPr="008469B7">
        <w:rPr>
          <w:b/>
        </w:rPr>
        <w:t>Democratización de la información</w:t>
      </w:r>
      <w:r w:rsidRPr="008469B7">
        <w:t xml:space="preserve">: </w:t>
      </w:r>
      <w:r w:rsidRPr="00366B12">
        <w:t xml:space="preserve">para promover la competencia entre los </w:t>
      </w:r>
      <w:r w:rsidRPr="00191F0C">
        <w:rPr>
          <w:color w:val="auto"/>
        </w:rPr>
        <w:t xml:space="preserve">proveedores, al 30 de noviembre, se publicaron </w:t>
      </w:r>
      <w:r w:rsidRPr="00366B12">
        <w:t xml:space="preserve">y gestionaron 77,661 procesos de los cuales 50,281 se gestionaron vía el Portal Transaccional. A su vez, se recibieron 100,635 ofertas, siendo el 27.16% de éstas en línea. En total, en el Sistema Nacional de Compras y Contrataciones Públicas fueron </w:t>
      </w:r>
      <w:r w:rsidRPr="00BF3B6F">
        <w:rPr>
          <w:color w:val="auto"/>
        </w:rPr>
        <w:t>transados RD$97,432,123,543.70.</w:t>
      </w:r>
    </w:p>
    <w:p w:rsidR="000A6AA9" w:rsidRPr="008469B7" w:rsidRDefault="000A6AA9" w:rsidP="000A6AA9">
      <w:r w:rsidRPr="008469B7">
        <w:rPr>
          <w:b/>
        </w:rPr>
        <w:t>Modalidades de compras en el SNCCP</w:t>
      </w:r>
      <w:r w:rsidRPr="008469B7">
        <w:t xml:space="preserve">: </w:t>
      </w:r>
      <w:r w:rsidRPr="00366B12">
        <w:t>en cuanto a la cantidad de contratos, las compras por debajo del umbral representaron el 53% de los procesos; los procesos de excepción 10%; las compras menores 29%; la comparación de precios 5%; la licitación pública 2%. En contraste con los sorteos de obras y las licitaciones restringidas obtuvieron en total un 1% de los procesos.</w:t>
      </w:r>
    </w:p>
    <w:p w:rsidR="000A6AA9" w:rsidRPr="008469B7" w:rsidRDefault="000A6AA9" w:rsidP="000A6AA9">
      <w:r w:rsidRPr="008469B7">
        <w:rPr>
          <w:b/>
        </w:rPr>
        <w:t>Monto contratado en el SNCCP</w:t>
      </w:r>
      <w:r w:rsidRPr="008469B7">
        <w:t xml:space="preserve">: </w:t>
      </w:r>
      <w:r w:rsidRPr="00366B12">
        <w:t>las informaciones se desagregan según la herramienta utilizada. Al cierre de noviembre del año 2019, en el Portal Transaccional fueron contratados RD$95,611,772,522.51 equivalente</w:t>
      </w:r>
      <w:r w:rsidR="000D5E2C">
        <w:t>s</w:t>
      </w:r>
      <w:r w:rsidRPr="00366B12">
        <w:t xml:space="preserve"> a un 98%; mientras que, en el SIGEF, el monto contratado alcanzó los RD$2,131,610,617.85, equivalente a un 2%.</w:t>
      </w:r>
    </w:p>
    <w:p w:rsidR="000A6AA9" w:rsidRPr="008469B7" w:rsidRDefault="000A6AA9" w:rsidP="000A6AA9">
      <w:r w:rsidRPr="00366B12">
        <w:rPr>
          <w:b/>
        </w:rPr>
        <w:t xml:space="preserve"> </w:t>
      </w:r>
      <w:r w:rsidRPr="008469B7">
        <w:rPr>
          <w:b/>
        </w:rPr>
        <w:t>Monto contratado por tipo de proveedor</w:t>
      </w:r>
      <w:r w:rsidRPr="008469B7">
        <w:t xml:space="preserve">: </w:t>
      </w:r>
      <w:r w:rsidRPr="00366B12">
        <w:t>las MIPYME certificadas y MIPYME no certificadas, como principales proveedores del Estado, suplieron más del 88% de las compras públicas. Durante el 2019, las MIPYME certificadas por el Ministerio de Industria, Comercio y MIPYMES (MICM) contrataron RD$20,645,434,922.46 (21%); las MIPYME no certificadas y otras organizaciones un monto de RD$65,186,593,386.93 (67%); personas físicas RD$3,218,206,408.65 (3%); y las grandes empresas RD$8,693,148,422.33 (9%).</w:t>
      </w:r>
    </w:p>
    <w:p w:rsidR="000A6AA9" w:rsidRDefault="000A6AA9" w:rsidP="000A6AA9">
      <w:r w:rsidRPr="008469B7">
        <w:rPr>
          <w:b/>
        </w:rPr>
        <w:t>Monto contratado por género en el SNCCP</w:t>
      </w:r>
      <w:r w:rsidRPr="008469B7">
        <w:t xml:space="preserve">: </w:t>
      </w:r>
      <w:r w:rsidRPr="00366B12">
        <w:t>la distribución de las adjudicaciones por género, hasta el 30 de noviembre, fueron de RD$18,239,152,295.15 (15%) femenino; y RD$79,487,591,134.20 (85%), masculino; para un 0%, equivalente a RD$16,639,711.01, el género no fue especificado</w:t>
      </w:r>
      <w:r>
        <w:t>.</w:t>
      </w:r>
    </w:p>
    <w:p w:rsidR="00096093" w:rsidRDefault="000A6AA9" w:rsidP="000E1D92">
      <w:r w:rsidRPr="008469B7">
        <w:rPr>
          <w:b/>
        </w:rPr>
        <w:t>Asistencias Técnicas</w:t>
      </w:r>
      <w:r w:rsidRPr="008469B7">
        <w:t xml:space="preserve">: </w:t>
      </w:r>
      <w:r w:rsidRPr="006C5F08">
        <w:t xml:space="preserve">demandadas </w:t>
      </w:r>
      <w:r>
        <w:t>a través de</w:t>
      </w:r>
      <w:r w:rsidRPr="006C5F08">
        <w:t xml:space="preserve"> los diferentes canales de atención, por parte de las unidades de compras, proveedores, MIPYME, mujeres, y la socie</w:t>
      </w:r>
      <w:r>
        <w:t xml:space="preserve">dad en general. </w:t>
      </w:r>
      <w:r w:rsidRPr="00191F0C">
        <w:rPr>
          <w:color w:val="auto"/>
        </w:rPr>
        <w:t xml:space="preserve">Al 30 de noviembre del 2019, se </w:t>
      </w:r>
      <w:r w:rsidRPr="00BF3B6F">
        <w:rPr>
          <w:color w:val="auto"/>
        </w:rPr>
        <w:t xml:space="preserve">atendieron </w:t>
      </w:r>
      <w:r w:rsidR="00BF3B6F" w:rsidRPr="00BF3B6F">
        <w:rPr>
          <w:color w:val="auto"/>
        </w:rPr>
        <w:t>56,486</w:t>
      </w:r>
      <w:r w:rsidRPr="00BF3B6F">
        <w:rPr>
          <w:color w:val="auto"/>
        </w:rPr>
        <w:t xml:space="preserve"> requerimientos de asistencia, de los cuales 43,283 fueron vía telefónica, 747 por correo electrónico y 241 ofrecidas de manera presencial. En adición, se ofrecieron 11,</w:t>
      </w:r>
      <w:r w:rsidR="00BF3B6F" w:rsidRPr="00BF3B6F">
        <w:rPr>
          <w:color w:val="auto"/>
        </w:rPr>
        <w:t>308</w:t>
      </w:r>
      <w:r w:rsidRPr="00BF3B6F">
        <w:rPr>
          <w:color w:val="auto"/>
        </w:rPr>
        <w:t xml:space="preserve"> asistencias </w:t>
      </w:r>
      <w:r w:rsidRPr="006C5F08">
        <w:t>técnicas especializadas dentro de los plazos establecidos.</w:t>
      </w:r>
    </w:p>
    <w:tbl>
      <w:tblPr>
        <w:tblW w:w="8505" w:type="dxa"/>
        <w:jc w:val="center"/>
        <w:tblCellMar>
          <w:left w:w="70" w:type="dxa"/>
          <w:right w:w="70" w:type="dxa"/>
        </w:tblCellMar>
        <w:tblLook w:val="04A0" w:firstRow="1" w:lastRow="0" w:firstColumn="1" w:lastColumn="0" w:noHBand="0" w:noVBand="1"/>
      </w:tblPr>
      <w:tblGrid>
        <w:gridCol w:w="6520"/>
        <w:gridCol w:w="1985"/>
      </w:tblGrid>
      <w:tr w:rsidR="000E1D92" w:rsidRPr="006C5F08" w:rsidTr="000E1D92">
        <w:trPr>
          <w:trHeight w:val="384"/>
          <w:jc w:val="center"/>
        </w:trPr>
        <w:tc>
          <w:tcPr>
            <w:tcW w:w="8505" w:type="dxa"/>
            <w:gridSpan w:val="2"/>
            <w:tcBorders>
              <w:top w:val="single" w:sz="4" w:space="0" w:color="auto"/>
              <w:left w:val="single" w:sz="4" w:space="0" w:color="auto"/>
              <w:bottom w:val="single" w:sz="4" w:space="0" w:color="auto"/>
              <w:right w:val="single" w:sz="4" w:space="0" w:color="auto"/>
            </w:tcBorders>
            <w:shd w:val="clear" w:color="auto" w:fill="4472C4" w:themeFill="accent5"/>
            <w:vAlign w:val="center"/>
            <w:hideMark/>
          </w:tcPr>
          <w:p w:rsidR="000E1D92" w:rsidRPr="006C5F08" w:rsidRDefault="000E1D92" w:rsidP="009E0A31">
            <w:pPr>
              <w:spacing w:before="0" w:line="240" w:lineRule="auto"/>
              <w:ind w:firstLine="0"/>
              <w:jc w:val="center"/>
              <w:rPr>
                <w:b/>
                <w:bCs/>
                <w:color w:val="FFFFFF"/>
                <w:lang w:val="es-DO" w:eastAsia="es-DO"/>
              </w:rPr>
            </w:pPr>
            <w:r w:rsidRPr="006C5F08">
              <w:rPr>
                <w:b/>
                <w:bCs/>
                <w:color w:val="FFFFFF"/>
              </w:rPr>
              <w:t>Total de asistencias técnicas ofrecidas a los actores del SNCCP</w:t>
            </w:r>
          </w:p>
        </w:tc>
      </w:tr>
      <w:tr w:rsidR="000E1D92" w:rsidRPr="006C5F08" w:rsidTr="000E1D92">
        <w:trPr>
          <w:trHeight w:val="277"/>
          <w:jc w:val="center"/>
        </w:trPr>
        <w:tc>
          <w:tcPr>
            <w:tcW w:w="6520" w:type="dxa"/>
            <w:tcBorders>
              <w:top w:val="nil"/>
              <w:left w:val="single" w:sz="4" w:space="0" w:color="auto"/>
              <w:bottom w:val="single" w:sz="4" w:space="0" w:color="auto"/>
              <w:right w:val="single" w:sz="4" w:space="0" w:color="auto"/>
            </w:tcBorders>
            <w:shd w:val="clear" w:color="auto" w:fill="4472C4" w:themeFill="accent5"/>
            <w:vAlign w:val="center"/>
            <w:hideMark/>
          </w:tcPr>
          <w:p w:rsidR="000E1D92" w:rsidRPr="006C5F08" w:rsidRDefault="000E1D92" w:rsidP="009E0A31">
            <w:pPr>
              <w:spacing w:before="0" w:line="240" w:lineRule="auto"/>
              <w:ind w:firstLineChars="100" w:firstLine="240"/>
              <w:jc w:val="center"/>
              <w:rPr>
                <w:b/>
                <w:bCs/>
                <w:color w:val="FFFFFF"/>
              </w:rPr>
            </w:pPr>
            <w:r w:rsidRPr="006C5F08">
              <w:rPr>
                <w:b/>
                <w:bCs/>
                <w:color w:val="FFFFFF"/>
              </w:rPr>
              <w:t>Tipos de Asistencias</w:t>
            </w:r>
          </w:p>
        </w:tc>
        <w:tc>
          <w:tcPr>
            <w:tcW w:w="1985" w:type="dxa"/>
            <w:tcBorders>
              <w:top w:val="nil"/>
              <w:left w:val="nil"/>
              <w:bottom w:val="single" w:sz="4" w:space="0" w:color="auto"/>
              <w:right w:val="single" w:sz="4" w:space="0" w:color="auto"/>
            </w:tcBorders>
            <w:shd w:val="clear" w:color="auto" w:fill="4472C4" w:themeFill="accent5"/>
            <w:vAlign w:val="center"/>
            <w:hideMark/>
          </w:tcPr>
          <w:p w:rsidR="000E1D92" w:rsidRPr="006C5F08" w:rsidRDefault="000E1D92" w:rsidP="009E0A31">
            <w:pPr>
              <w:spacing w:before="0" w:line="240" w:lineRule="auto"/>
              <w:ind w:firstLine="0"/>
              <w:jc w:val="center"/>
              <w:rPr>
                <w:b/>
                <w:bCs/>
                <w:color w:val="FFFFFF"/>
              </w:rPr>
            </w:pPr>
            <w:r w:rsidRPr="006C5F08">
              <w:rPr>
                <w:b/>
                <w:bCs/>
                <w:color w:val="FFFFFF"/>
              </w:rPr>
              <w:t>Cantidad</w:t>
            </w:r>
          </w:p>
        </w:tc>
      </w:tr>
      <w:tr w:rsidR="000E1D92" w:rsidRPr="006C5F08" w:rsidTr="000E1D92">
        <w:trPr>
          <w:trHeight w:val="315"/>
          <w:jc w:val="center"/>
        </w:trPr>
        <w:tc>
          <w:tcPr>
            <w:tcW w:w="6520" w:type="dxa"/>
            <w:tcBorders>
              <w:top w:val="nil"/>
              <w:left w:val="single" w:sz="4" w:space="0" w:color="auto"/>
              <w:bottom w:val="single" w:sz="4" w:space="0" w:color="auto"/>
              <w:right w:val="single" w:sz="4" w:space="0" w:color="auto"/>
            </w:tcBorders>
            <w:shd w:val="clear" w:color="auto" w:fill="auto"/>
            <w:vAlign w:val="center"/>
            <w:hideMark/>
          </w:tcPr>
          <w:p w:rsidR="000E1D92" w:rsidRPr="006C5F08" w:rsidRDefault="000E1D92" w:rsidP="009E0A31">
            <w:pPr>
              <w:spacing w:before="0" w:line="240" w:lineRule="auto"/>
              <w:ind w:firstLine="0"/>
              <w:rPr>
                <w:color w:val="000000"/>
              </w:rPr>
            </w:pPr>
            <w:r w:rsidRPr="006C5F08">
              <w:rPr>
                <w:color w:val="000000"/>
              </w:rPr>
              <w:t>Asistencias telefónicas</w:t>
            </w:r>
          </w:p>
        </w:tc>
        <w:tc>
          <w:tcPr>
            <w:tcW w:w="1985" w:type="dxa"/>
            <w:tcBorders>
              <w:top w:val="nil"/>
              <w:left w:val="nil"/>
              <w:bottom w:val="single" w:sz="4" w:space="0" w:color="auto"/>
              <w:right w:val="single" w:sz="4" w:space="0" w:color="auto"/>
            </w:tcBorders>
            <w:shd w:val="clear" w:color="auto" w:fill="auto"/>
            <w:vAlign w:val="center"/>
            <w:hideMark/>
          </w:tcPr>
          <w:p w:rsidR="000E1D92" w:rsidRPr="006C5F08" w:rsidRDefault="000E1D92" w:rsidP="009E0A31">
            <w:pPr>
              <w:spacing w:before="0" w:line="240" w:lineRule="auto"/>
              <w:ind w:firstLine="0"/>
              <w:jc w:val="center"/>
              <w:rPr>
                <w:color w:val="000000"/>
              </w:rPr>
            </w:pPr>
            <w:r>
              <w:rPr>
                <w:color w:val="000000"/>
              </w:rPr>
              <w:t>43,238</w:t>
            </w:r>
          </w:p>
        </w:tc>
      </w:tr>
      <w:tr w:rsidR="000E1D92" w:rsidRPr="006C5F08" w:rsidTr="000E1D92">
        <w:trPr>
          <w:trHeight w:val="315"/>
          <w:jc w:val="center"/>
        </w:trPr>
        <w:tc>
          <w:tcPr>
            <w:tcW w:w="6520" w:type="dxa"/>
            <w:tcBorders>
              <w:top w:val="nil"/>
              <w:left w:val="single" w:sz="4" w:space="0" w:color="auto"/>
              <w:bottom w:val="single" w:sz="4" w:space="0" w:color="auto"/>
              <w:right w:val="single" w:sz="4" w:space="0" w:color="auto"/>
            </w:tcBorders>
            <w:shd w:val="clear" w:color="auto" w:fill="auto"/>
            <w:vAlign w:val="center"/>
            <w:hideMark/>
          </w:tcPr>
          <w:p w:rsidR="000E1D92" w:rsidRPr="006C5F08" w:rsidRDefault="000E1D92" w:rsidP="009E0A31">
            <w:pPr>
              <w:spacing w:before="0" w:line="240" w:lineRule="auto"/>
              <w:ind w:firstLine="0"/>
              <w:rPr>
                <w:color w:val="000000"/>
              </w:rPr>
            </w:pPr>
            <w:r w:rsidRPr="006C5F08">
              <w:rPr>
                <w:color w:val="000000"/>
              </w:rPr>
              <w:t>Asistencias presenciales</w:t>
            </w:r>
          </w:p>
        </w:tc>
        <w:tc>
          <w:tcPr>
            <w:tcW w:w="1985" w:type="dxa"/>
            <w:tcBorders>
              <w:top w:val="nil"/>
              <w:left w:val="nil"/>
              <w:bottom w:val="single" w:sz="4" w:space="0" w:color="auto"/>
              <w:right w:val="single" w:sz="4" w:space="0" w:color="auto"/>
            </w:tcBorders>
            <w:shd w:val="clear" w:color="auto" w:fill="auto"/>
            <w:vAlign w:val="center"/>
            <w:hideMark/>
          </w:tcPr>
          <w:p w:rsidR="000E1D92" w:rsidRPr="006C5F08" w:rsidRDefault="000E1D92" w:rsidP="009E0A31">
            <w:pPr>
              <w:spacing w:before="0" w:line="240" w:lineRule="auto"/>
              <w:ind w:firstLine="0"/>
              <w:jc w:val="center"/>
              <w:rPr>
                <w:color w:val="000000"/>
              </w:rPr>
            </w:pPr>
            <w:r>
              <w:rPr>
                <w:color w:val="000000"/>
              </w:rPr>
              <w:t>241</w:t>
            </w:r>
          </w:p>
        </w:tc>
      </w:tr>
      <w:tr w:rsidR="000E1D92" w:rsidRPr="006C5F08" w:rsidTr="000E1D92">
        <w:trPr>
          <w:trHeight w:val="315"/>
          <w:jc w:val="center"/>
        </w:trPr>
        <w:tc>
          <w:tcPr>
            <w:tcW w:w="6520" w:type="dxa"/>
            <w:tcBorders>
              <w:top w:val="nil"/>
              <w:left w:val="single" w:sz="4" w:space="0" w:color="auto"/>
              <w:bottom w:val="single" w:sz="4" w:space="0" w:color="auto"/>
              <w:right w:val="single" w:sz="4" w:space="0" w:color="auto"/>
            </w:tcBorders>
            <w:shd w:val="clear" w:color="auto" w:fill="auto"/>
            <w:vAlign w:val="center"/>
            <w:hideMark/>
          </w:tcPr>
          <w:p w:rsidR="000E1D92" w:rsidRPr="006C5F08" w:rsidRDefault="000E1D92" w:rsidP="009E0A31">
            <w:pPr>
              <w:spacing w:before="0" w:line="240" w:lineRule="auto"/>
              <w:ind w:firstLine="0"/>
              <w:rPr>
                <w:color w:val="000000"/>
              </w:rPr>
            </w:pPr>
            <w:r w:rsidRPr="006C5F08">
              <w:rPr>
                <w:color w:val="000000"/>
              </w:rPr>
              <w:t>Asistencias vía correo electrónico</w:t>
            </w:r>
          </w:p>
        </w:tc>
        <w:tc>
          <w:tcPr>
            <w:tcW w:w="1985" w:type="dxa"/>
            <w:tcBorders>
              <w:top w:val="nil"/>
              <w:left w:val="nil"/>
              <w:bottom w:val="single" w:sz="4" w:space="0" w:color="auto"/>
              <w:right w:val="single" w:sz="4" w:space="0" w:color="auto"/>
            </w:tcBorders>
            <w:shd w:val="clear" w:color="auto" w:fill="auto"/>
            <w:vAlign w:val="center"/>
            <w:hideMark/>
          </w:tcPr>
          <w:p w:rsidR="000E1D92" w:rsidRPr="006C5F08" w:rsidRDefault="000E1D92" w:rsidP="009E0A31">
            <w:pPr>
              <w:spacing w:before="0" w:line="240" w:lineRule="auto"/>
              <w:ind w:firstLine="0"/>
              <w:jc w:val="center"/>
              <w:rPr>
                <w:color w:val="000000"/>
              </w:rPr>
            </w:pPr>
            <w:r>
              <w:rPr>
                <w:color w:val="000000"/>
              </w:rPr>
              <w:t>747</w:t>
            </w:r>
          </w:p>
        </w:tc>
      </w:tr>
      <w:tr w:rsidR="000E1D92" w:rsidRPr="006C5F08" w:rsidTr="000E1D92">
        <w:trPr>
          <w:trHeight w:val="315"/>
          <w:jc w:val="center"/>
        </w:trPr>
        <w:tc>
          <w:tcPr>
            <w:tcW w:w="6520" w:type="dxa"/>
            <w:tcBorders>
              <w:top w:val="nil"/>
              <w:left w:val="single" w:sz="4" w:space="0" w:color="auto"/>
              <w:bottom w:val="single" w:sz="4" w:space="0" w:color="auto"/>
              <w:right w:val="single" w:sz="4" w:space="0" w:color="auto"/>
            </w:tcBorders>
            <w:shd w:val="clear" w:color="auto" w:fill="auto"/>
            <w:vAlign w:val="center"/>
          </w:tcPr>
          <w:p w:rsidR="000E1D92" w:rsidRPr="006C5F08" w:rsidRDefault="000E1D92" w:rsidP="009E0A31">
            <w:pPr>
              <w:spacing w:before="0" w:line="240" w:lineRule="auto"/>
              <w:ind w:firstLine="0"/>
              <w:rPr>
                <w:color w:val="000000"/>
              </w:rPr>
            </w:pPr>
            <w:r>
              <w:rPr>
                <w:color w:val="000000"/>
              </w:rPr>
              <w:t>Asistencias vía comunicación escrita</w:t>
            </w:r>
          </w:p>
        </w:tc>
        <w:tc>
          <w:tcPr>
            <w:tcW w:w="1985" w:type="dxa"/>
            <w:tcBorders>
              <w:top w:val="nil"/>
              <w:left w:val="nil"/>
              <w:bottom w:val="single" w:sz="4" w:space="0" w:color="auto"/>
              <w:right w:val="single" w:sz="4" w:space="0" w:color="auto"/>
            </w:tcBorders>
            <w:shd w:val="clear" w:color="auto" w:fill="auto"/>
            <w:vAlign w:val="center"/>
          </w:tcPr>
          <w:p w:rsidR="000E1D92" w:rsidRDefault="000E1D92" w:rsidP="009E0A31">
            <w:pPr>
              <w:spacing w:before="0" w:line="240" w:lineRule="auto"/>
              <w:ind w:firstLine="0"/>
              <w:jc w:val="center"/>
              <w:rPr>
                <w:color w:val="000000"/>
              </w:rPr>
            </w:pPr>
            <w:r>
              <w:rPr>
                <w:color w:val="000000"/>
              </w:rPr>
              <w:t>907</w:t>
            </w:r>
          </w:p>
        </w:tc>
      </w:tr>
      <w:tr w:rsidR="000E1D92" w:rsidRPr="006C5F08" w:rsidTr="000E1D92">
        <w:trPr>
          <w:trHeight w:val="436"/>
          <w:jc w:val="center"/>
        </w:trPr>
        <w:tc>
          <w:tcPr>
            <w:tcW w:w="6520" w:type="dxa"/>
            <w:tcBorders>
              <w:top w:val="nil"/>
              <w:left w:val="single" w:sz="4" w:space="0" w:color="auto"/>
              <w:bottom w:val="single" w:sz="4" w:space="0" w:color="auto"/>
              <w:right w:val="single" w:sz="4" w:space="0" w:color="auto"/>
            </w:tcBorders>
            <w:shd w:val="clear" w:color="auto" w:fill="FFFFFF" w:themeFill="background1"/>
            <w:vAlign w:val="center"/>
            <w:hideMark/>
          </w:tcPr>
          <w:p w:rsidR="000E1D92" w:rsidRPr="009C49EA" w:rsidRDefault="000E1D92" w:rsidP="009E0A31">
            <w:pPr>
              <w:spacing w:before="0" w:line="240" w:lineRule="auto"/>
              <w:ind w:firstLine="0"/>
              <w:rPr>
                <w:b/>
                <w:bCs/>
                <w:color w:val="auto"/>
              </w:rPr>
            </w:pPr>
            <w:r w:rsidRPr="009C49EA">
              <w:rPr>
                <w:b/>
                <w:bCs/>
                <w:color w:val="auto"/>
              </w:rPr>
              <w:t xml:space="preserve">Total de asistencias </w:t>
            </w:r>
            <w:r w:rsidRPr="00191F0C">
              <w:rPr>
                <w:b/>
                <w:bCs/>
                <w:color w:val="auto"/>
              </w:rPr>
              <w:t>técnicas a nov</w:t>
            </w:r>
            <w:r w:rsidR="00191F0C">
              <w:rPr>
                <w:b/>
                <w:bCs/>
                <w:color w:val="auto"/>
              </w:rPr>
              <w:t>iembre</w:t>
            </w:r>
            <w:r w:rsidRPr="00191F0C">
              <w:rPr>
                <w:b/>
                <w:bCs/>
                <w:color w:val="auto"/>
              </w:rPr>
              <w:t xml:space="preserve"> 2019 vía mesa de </w:t>
            </w:r>
            <w:r w:rsidRPr="009C49EA">
              <w:rPr>
                <w:b/>
                <w:bCs/>
                <w:color w:val="auto"/>
              </w:rPr>
              <w:t>ayuda</w:t>
            </w:r>
          </w:p>
        </w:tc>
        <w:tc>
          <w:tcPr>
            <w:tcW w:w="1985" w:type="dxa"/>
            <w:tcBorders>
              <w:top w:val="nil"/>
              <w:left w:val="nil"/>
              <w:bottom w:val="single" w:sz="4" w:space="0" w:color="auto"/>
              <w:right w:val="single" w:sz="4" w:space="0" w:color="auto"/>
            </w:tcBorders>
            <w:shd w:val="clear" w:color="auto" w:fill="FFFFFF" w:themeFill="background1"/>
            <w:vAlign w:val="center"/>
            <w:hideMark/>
          </w:tcPr>
          <w:p w:rsidR="000E1D92" w:rsidRPr="009C49EA" w:rsidRDefault="000E1D92" w:rsidP="009E0A31">
            <w:pPr>
              <w:spacing w:before="0" w:line="240" w:lineRule="auto"/>
              <w:ind w:firstLine="0"/>
              <w:jc w:val="center"/>
              <w:rPr>
                <w:b/>
                <w:bCs/>
                <w:color w:val="auto"/>
              </w:rPr>
            </w:pPr>
            <w:r w:rsidRPr="009C49EA">
              <w:rPr>
                <w:b/>
                <w:bCs/>
                <w:color w:val="auto"/>
              </w:rPr>
              <w:t>45,178</w:t>
            </w:r>
          </w:p>
        </w:tc>
      </w:tr>
      <w:tr w:rsidR="000E1D92" w:rsidRPr="002740A2" w:rsidTr="000E1D92">
        <w:trPr>
          <w:trHeight w:val="434"/>
          <w:jc w:val="center"/>
        </w:trPr>
        <w:tc>
          <w:tcPr>
            <w:tcW w:w="6520" w:type="dxa"/>
            <w:tcBorders>
              <w:top w:val="nil"/>
              <w:left w:val="single" w:sz="4" w:space="0" w:color="auto"/>
              <w:bottom w:val="single" w:sz="4" w:space="0" w:color="auto"/>
              <w:right w:val="single" w:sz="4" w:space="0" w:color="auto"/>
            </w:tcBorders>
            <w:shd w:val="clear" w:color="auto" w:fill="4472C4" w:themeFill="accent5"/>
            <w:vAlign w:val="center"/>
            <w:hideMark/>
          </w:tcPr>
          <w:p w:rsidR="000E1D92" w:rsidRPr="002740A2" w:rsidRDefault="000E1D92" w:rsidP="009E0A31">
            <w:pPr>
              <w:spacing w:before="0" w:line="240" w:lineRule="auto"/>
              <w:ind w:firstLineChars="100" w:firstLine="240"/>
              <w:jc w:val="center"/>
              <w:rPr>
                <w:b/>
                <w:bCs/>
                <w:color w:val="FFFFFF"/>
              </w:rPr>
            </w:pPr>
            <w:r w:rsidRPr="002740A2">
              <w:rPr>
                <w:b/>
                <w:bCs/>
                <w:color w:val="FFFFFF"/>
              </w:rPr>
              <w:t>Asistencias Técnicas Especializadas</w:t>
            </w:r>
          </w:p>
        </w:tc>
        <w:tc>
          <w:tcPr>
            <w:tcW w:w="1984" w:type="dxa"/>
            <w:tcBorders>
              <w:top w:val="nil"/>
              <w:left w:val="nil"/>
              <w:bottom w:val="single" w:sz="4" w:space="0" w:color="auto"/>
              <w:right w:val="single" w:sz="4" w:space="0" w:color="auto"/>
            </w:tcBorders>
            <w:shd w:val="clear" w:color="auto" w:fill="4472C4" w:themeFill="accent5"/>
            <w:vAlign w:val="center"/>
            <w:hideMark/>
          </w:tcPr>
          <w:p w:rsidR="000E1D92" w:rsidRPr="002740A2" w:rsidRDefault="000E1D92" w:rsidP="009E0A31">
            <w:pPr>
              <w:spacing w:before="0" w:line="240" w:lineRule="auto"/>
              <w:ind w:firstLine="0"/>
              <w:jc w:val="center"/>
              <w:rPr>
                <w:b/>
                <w:bCs/>
                <w:color w:val="FFFFFF"/>
              </w:rPr>
            </w:pPr>
            <w:r w:rsidRPr="002740A2">
              <w:rPr>
                <w:b/>
                <w:bCs/>
                <w:color w:val="FFFFFF"/>
              </w:rPr>
              <w:t>Cantidad</w:t>
            </w:r>
          </w:p>
        </w:tc>
      </w:tr>
      <w:tr w:rsidR="000E1D92" w:rsidRPr="002740A2" w:rsidTr="000E1D92">
        <w:trPr>
          <w:trHeight w:val="477"/>
          <w:jc w:val="center"/>
        </w:trPr>
        <w:tc>
          <w:tcPr>
            <w:tcW w:w="6520" w:type="dxa"/>
            <w:tcBorders>
              <w:top w:val="nil"/>
              <w:left w:val="single" w:sz="4" w:space="0" w:color="auto"/>
              <w:bottom w:val="single" w:sz="4" w:space="0" w:color="auto"/>
              <w:right w:val="single" w:sz="4" w:space="0" w:color="auto"/>
            </w:tcBorders>
            <w:shd w:val="clear" w:color="auto" w:fill="auto"/>
            <w:vAlign w:val="center"/>
            <w:hideMark/>
          </w:tcPr>
          <w:p w:rsidR="000E1D92" w:rsidRPr="002740A2" w:rsidRDefault="000E1D92" w:rsidP="009E0A31">
            <w:pPr>
              <w:spacing w:before="0" w:line="240" w:lineRule="auto"/>
              <w:ind w:firstLine="0"/>
              <w:rPr>
                <w:color w:val="000000"/>
              </w:rPr>
            </w:pPr>
            <w:r w:rsidRPr="002740A2">
              <w:rPr>
                <w:color w:val="000000"/>
              </w:rPr>
              <w:t>Asistencias técnicas presenciales SISCOMPRAS</w:t>
            </w:r>
          </w:p>
        </w:tc>
        <w:tc>
          <w:tcPr>
            <w:tcW w:w="1984" w:type="dxa"/>
            <w:tcBorders>
              <w:top w:val="nil"/>
              <w:left w:val="nil"/>
              <w:bottom w:val="single" w:sz="4" w:space="0" w:color="auto"/>
              <w:right w:val="single" w:sz="4" w:space="0" w:color="auto"/>
            </w:tcBorders>
            <w:shd w:val="clear" w:color="auto" w:fill="auto"/>
            <w:vAlign w:val="center"/>
            <w:hideMark/>
          </w:tcPr>
          <w:p w:rsidR="000E1D92" w:rsidRPr="002740A2" w:rsidRDefault="000E1D92" w:rsidP="009E0A31">
            <w:pPr>
              <w:spacing w:before="0" w:line="240" w:lineRule="auto"/>
              <w:ind w:firstLine="0"/>
              <w:jc w:val="center"/>
              <w:rPr>
                <w:color w:val="000000"/>
              </w:rPr>
            </w:pPr>
            <w:r w:rsidRPr="002740A2">
              <w:rPr>
                <w:color w:val="000000"/>
              </w:rPr>
              <w:t>112</w:t>
            </w:r>
          </w:p>
        </w:tc>
      </w:tr>
      <w:tr w:rsidR="000E1D92" w:rsidRPr="002740A2" w:rsidTr="000E1D92">
        <w:trPr>
          <w:trHeight w:val="315"/>
          <w:jc w:val="center"/>
        </w:trPr>
        <w:tc>
          <w:tcPr>
            <w:tcW w:w="6520" w:type="dxa"/>
            <w:tcBorders>
              <w:top w:val="nil"/>
              <w:left w:val="single" w:sz="4" w:space="0" w:color="auto"/>
              <w:bottom w:val="single" w:sz="4" w:space="0" w:color="auto"/>
              <w:right w:val="single" w:sz="4" w:space="0" w:color="auto"/>
            </w:tcBorders>
            <w:shd w:val="clear" w:color="auto" w:fill="auto"/>
            <w:vAlign w:val="center"/>
            <w:hideMark/>
          </w:tcPr>
          <w:p w:rsidR="000E1D92" w:rsidRPr="002740A2" w:rsidRDefault="000E1D92" w:rsidP="009E0A31">
            <w:pPr>
              <w:spacing w:before="0" w:line="240" w:lineRule="auto"/>
              <w:ind w:firstLine="0"/>
              <w:rPr>
                <w:color w:val="000000"/>
              </w:rPr>
            </w:pPr>
            <w:r w:rsidRPr="002740A2">
              <w:rPr>
                <w:color w:val="000000"/>
              </w:rPr>
              <w:t>Presentación del SISCOMPRAS a instituciones</w:t>
            </w:r>
          </w:p>
        </w:tc>
        <w:tc>
          <w:tcPr>
            <w:tcW w:w="1984" w:type="dxa"/>
            <w:tcBorders>
              <w:top w:val="nil"/>
              <w:left w:val="nil"/>
              <w:bottom w:val="single" w:sz="4" w:space="0" w:color="auto"/>
              <w:right w:val="single" w:sz="4" w:space="0" w:color="auto"/>
            </w:tcBorders>
            <w:shd w:val="clear" w:color="auto" w:fill="auto"/>
            <w:vAlign w:val="center"/>
            <w:hideMark/>
          </w:tcPr>
          <w:p w:rsidR="000E1D92" w:rsidRPr="002740A2" w:rsidRDefault="000E1D92" w:rsidP="009E0A31">
            <w:pPr>
              <w:spacing w:before="0" w:line="240" w:lineRule="auto"/>
              <w:ind w:firstLine="0"/>
              <w:jc w:val="center"/>
              <w:rPr>
                <w:color w:val="000000"/>
              </w:rPr>
            </w:pPr>
            <w:r w:rsidRPr="002740A2">
              <w:rPr>
                <w:color w:val="000000"/>
              </w:rPr>
              <w:t>14</w:t>
            </w:r>
          </w:p>
        </w:tc>
      </w:tr>
      <w:tr w:rsidR="000E1D92" w:rsidRPr="002740A2" w:rsidTr="000E1D92">
        <w:trPr>
          <w:trHeight w:val="315"/>
          <w:jc w:val="center"/>
        </w:trPr>
        <w:tc>
          <w:tcPr>
            <w:tcW w:w="6520" w:type="dxa"/>
            <w:tcBorders>
              <w:top w:val="nil"/>
              <w:left w:val="single" w:sz="4" w:space="0" w:color="auto"/>
              <w:bottom w:val="single" w:sz="4" w:space="0" w:color="auto"/>
              <w:right w:val="single" w:sz="4" w:space="0" w:color="auto"/>
            </w:tcBorders>
            <w:shd w:val="clear" w:color="auto" w:fill="auto"/>
            <w:vAlign w:val="center"/>
            <w:hideMark/>
          </w:tcPr>
          <w:p w:rsidR="000E1D92" w:rsidRPr="002740A2" w:rsidRDefault="000E1D92" w:rsidP="009E0A31">
            <w:pPr>
              <w:spacing w:before="0" w:line="240" w:lineRule="auto"/>
              <w:ind w:firstLine="0"/>
              <w:rPr>
                <w:color w:val="000000"/>
              </w:rPr>
            </w:pPr>
            <w:r w:rsidRPr="002740A2">
              <w:rPr>
                <w:color w:val="000000"/>
              </w:rPr>
              <w:t>Asistencias técnicas vía correo electrónico SISCOMPRAS</w:t>
            </w:r>
          </w:p>
        </w:tc>
        <w:tc>
          <w:tcPr>
            <w:tcW w:w="1984" w:type="dxa"/>
            <w:tcBorders>
              <w:top w:val="nil"/>
              <w:left w:val="nil"/>
              <w:bottom w:val="single" w:sz="4" w:space="0" w:color="auto"/>
              <w:right w:val="single" w:sz="4" w:space="0" w:color="auto"/>
            </w:tcBorders>
            <w:shd w:val="clear" w:color="auto" w:fill="auto"/>
            <w:vAlign w:val="center"/>
            <w:hideMark/>
          </w:tcPr>
          <w:p w:rsidR="000E1D92" w:rsidRPr="002740A2" w:rsidRDefault="000E1D92" w:rsidP="009E0A31">
            <w:pPr>
              <w:spacing w:before="0" w:line="240" w:lineRule="auto"/>
              <w:ind w:firstLine="0"/>
              <w:jc w:val="center"/>
              <w:rPr>
                <w:color w:val="000000"/>
              </w:rPr>
            </w:pPr>
            <w:r w:rsidRPr="002740A2">
              <w:rPr>
                <w:color w:val="000000"/>
              </w:rPr>
              <w:t>2,200</w:t>
            </w:r>
          </w:p>
        </w:tc>
      </w:tr>
      <w:tr w:rsidR="000E1D92" w:rsidRPr="006C5F08" w:rsidTr="000E1D92">
        <w:trPr>
          <w:trHeight w:val="315"/>
          <w:jc w:val="center"/>
        </w:trPr>
        <w:tc>
          <w:tcPr>
            <w:tcW w:w="6520" w:type="dxa"/>
            <w:tcBorders>
              <w:top w:val="nil"/>
              <w:left w:val="single" w:sz="4" w:space="0" w:color="auto"/>
              <w:bottom w:val="single" w:sz="4" w:space="0" w:color="auto"/>
              <w:right w:val="single" w:sz="4" w:space="0" w:color="auto"/>
            </w:tcBorders>
            <w:shd w:val="clear" w:color="auto" w:fill="auto"/>
            <w:vAlign w:val="center"/>
            <w:hideMark/>
          </w:tcPr>
          <w:p w:rsidR="000E1D92" w:rsidRPr="002740A2" w:rsidRDefault="000E1D92" w:rsidP="009E0A31">
            <w:pPr>
              <w:spacing w:before="0" w:line="240" w:lineRule="auto"/>
              <w:ind w:firstLine="0"/>
              <w:rPr>
                <w:color w:val="000000"/>
              </w:rPr>
            </w:pPr>
            <w:r w:rsidRPr="002740A2">
              <w:rPr>
                <w:color w:val="000000"/>
              </w:rPr>
              <w:t>Asistencias técnicas vía telefónicas SISCOMPRAS</w:t>
            </w:r>
          </w:p>
        </w:tc>
        <w:tc>
          <w:tcPr>
            <w:tcW w:w="1984" w:type="dxa"/>
            <w:tcBorders>
              <w:top w:val="nil"/>
              <w:left w:val="nil"/>
              <w:bottom w:val="single" w:sz="4" w:space="0" w:color="auto"/>
              <w:right w:val="single" w:sz="4" w:space="0" w:color="auto"/>
            </w:tcBorders>
            <w:shd w:val="clear" w:color="auto" w:fill="auto"/>
            <w:vAlign w:val="center"/>
            <w:hideMark/>
          </w:tcPr>
          <w:p w:rsidR="000E1D92" w:rsidRPr="002740A2" w:rsidRDefault="000E1D92" w:rsidP="009E0A31">
            <w:pPr>
              <w:spacing w:before="0" w:line="240" w:lineRule="auto"/>
              <w:ind w:firstLine="0"/>
              <w:jc w:val="center"/>
              <w:rPr>
                <w:color w:val="000000"/>
              </w:rPr>
            </w:pPr>
            <w:r w:rsidRPr="002740A2">
              <w:rPr>
                <w:color w:val="000000"/>
              </w:rPr>
              <w:t>2,120</w:t>
            </w:r>
          </w:p>
        </w:tc>
      </w:tr>
      <w:tr w:rsidR="000E1D92" w:rsidRPr="006C5F08" w:rsidTr="000E1D92">
        <w:trPr>
          <w:trHeight w:val="315"/>
          <w:jc w:val="center"/>
        </w:trPr>
        <w:tc>
          <w:tcPr>
            <w:tcW w:w="6520" w:type="dxa"/>
            <w:tcBorders>
              <w:top w:val="nil"/>
              <w:left w:val="single" w:sz="4" w:space="0" w:color="auto"/>
              <w:bottom w:val="single" w:sz="4" w:space="0" w:color="auto"/>
              <w:right w:val="single" w:sz="4" w:space="0" w:color="auto"/>
            </w:tcBorders>
            <w:shd w:val="clear" w:color="auto" w:fill="auto"/>
            <w:vAlign w:val="center"/>
            <w:hideMark/>
          </w:tcPr>
          <w:p w:rsidR="000E1D92" w:rsidRPr="00BF3B6F" w:rsidRDefault="000E1D92" w:rsidP="009E0A31">
            <w:pPr>
              <w:spacing w:before="0" w:line="240" w:lineRule="auto"/>
              <w:ind w:firstLine="0"/>
              <w:rPr>
                <w:color w:val="auto"/>
              </w:rPr>
            </w:pPr>
            <w:r w:rsidRPr="00BF3B6F">
              <w:rPr>
                <w:color w:val="auto"/>
              </w:rPr>
              <w:t>Solicitudes de asistencia técnica (Catálogo UNSPSC)</w:t>
            </w:r>
          </w:p>
        </w:tc>
        <w:tc>
          <w:tcPr>
            <w:tcW w:w="1984" w:type="dxa"/>
            <w:tcBorders>
              <w:top w:val="nil"/>
              <w:left w:val="nil"/>
              <w:bottom w:val="single" w:sz="4" w:space="0" w:color="auto"/>
              <w:right w:val="single" w:sz="4" w:space="0" w:color="auto"/>
            </w:tcBorders>
            <w:shd w:val="clear" w:color="auto" w:fill="auto"/>
            <w:vAlign w:val="center"/>
          </w:tcPr>
          <w:p w:rsidR="000E1D92" w:rsidRPr="00BF3B6F" w:rsidRDefault="00BF3B6F" w:rsidP="009E0A31">
            <w:pPr>
              <w:spacing w:before="0" w:line="240" w:lineRule="auto"/>
              <w:ind w:firstLine="0"/>
              <w:jc w:val="center"/>
              <w:rPr>
                <w:color w:val="auto"/>
              </w:rPr>
            </w:pPr>
            <w:r w:rsidRPr="00BF3B6F">
              <w:rPr>
                <w:color w:val="auto"/>
              </w:rPr>
              <w:t>176</w:t>
            </w:r>
          </w:p>
        </w:tc>
      </w:tr>
      <w:tr w:rsidR="000E1D92" w:rsidRPr="006C5F08" w:rsidTr="000E1D92">
        <w:trPr>
          <w:trHeight w:val="315"/>
          <w:jc w:val="center"/>
        </w:trPr>
        <w:tc>
          <w:tcPr>
            <w:tcW w:w="6520" w:type="dxa"/>
            <w:tcBorders>
              <w:top w:val="nil"/>
              <w:left w:val="single" w:sz="4" w:space="0" w:color="auto"/>
              <w:bottom w:val="single" w:sz="4" w:space="0" w:color="auto"/>
              <w:right w:val="single" w:sz="4" w:space="0" w:color="auto"/>
            </w:tcBorders>
            <w:shd w:val="clear" w:color="auto" w:fill="auto"/>
            <w:vAlign w:val="center"/>
          </w:tcPr>
          <w:p w:rsidR="000E1D92" w:rsidRPr="00832C89" w:rsidRDefault="000E1D92" w:rsidP="009E0A31">
            <w:pPr>
              <w:spacing w:before="0" w:line="240" w:lineRule="auto"/>
              <w:ind w:firstLine="0"/>
              <w:rPr>
                <w:color w:val="000000"/>
              </w:rPr>
            </w:pPr>
            <w:r w:rsidRPr="00832C89">
              <w:rPr>
                <w:color w:val="000000"/>
              </w:rPr>
              <w:t>Asistencias técnicas de Implementación del Portal Transaccional</w:t>
            </w:r>
          </w:p>
        </w:tc>
        <w:tc>
          <w:tcPr>
            <w:tcW w:w="1984" w:type="dxa"/>
            <w:tcBorders>
              <w:top w:val="nil"/>
              <w:left w:val="nil"/>
              <w:bottom w:val="single" w:sz="4" w:space="0" w:color="auto"/>
              <w:right w:val="single" w:sz="4" w:space="0" w:color="auto"/>
            </w:tcBorders>
            <w:shd w:val="clear" w:color="auto" w:fill="auto"/>
            <w:vAlign w:val="center"/>
          </w:tcPr>
          <w:p w:rsidR="000E1D92" w:rsidRPr="00832C89" w:rsidRDefault="000E1D92" w:rsidP="009E0A31">
            <w:pPr>
              <w:spacing w:before="0" w:line="240" w:lineRule="auto"/>
              <w:ind w:firstLine="0"/>
              <w:jc w:val="center"/>
              <w:rPr>
                <w:color w:val="000000"/>
              </w:rPr>
            </w:pPr>
            <w:r w:rsidRPr="00832C89">
              <w:rPr>
                <w:color w:val="000000"/>
              </w:rPr>
              <w:t>6,366</w:t>
            </w:r>
          </w:p>
        </w:tc>
      </w:tr>
      <w:tr w:rsidR="000E1D92" w:rsidRPr="006C5F08" w:rsidTr="000E1D92">
        <w:trPr>
          <w:trHeight w:val="315"/>
          <w:jc w:val="center"/>
        </w:trPr>
        <w:tc>
          <w:tcPr>
            <w:tcW w:w="6520" w:type="dxa"/>
            <w:tcBorders>
              <w:top w:val="nil"/>
              <w:left w:val="single" w:sz="4" w:space="0" w:color="auto"/>
              <w:bottom w:val="single" w:sz="4" w:space="0" w:color="auto"/>
              <w:right w:val="single" w:sz="4" w:space="0" w:color="auto"/>
            </w:tcBorders>
            <w:shd w:val="clear" w:color="auto" w:fill="auto"/>
            <w:vAlign w:val="center"/>
            <w:hideMark/>
          </w:tcPr>
          <w:p w:rsidR="000E1D92" w:rsidRPr="005862CF" w:rsidRDefault="000E1D92" w:rsidP="009E0A31">
            <w:pPr>
              <w:spacing w:before="0" w:line="240" w:lineRule="auto"/>
              <w:ind w:firstLine="0"/>
              <w:rPr>
                <w:color w:val="000000"/>
              </w:rPr>
            </w:pPr>
            <w:r w:rsidRPr="005862CF">
              <w:rPr>
                <w:color w:val="000000"/>
              </w:rPr>
              <w:t>Asistencia técnica legal de Resolución de Conflictos</w:t>
            </w:r>
          </w:p>
        </w:tc>
        <w:tc>
          <w:tcPr>
            <w:tcW w:w="1984" w:type="dxa"/>
            <w:tcBorders>
              <w:top w:val="nil"/>
              <w:left w:val="nil"/>
              <w:bottom w:val="single" w:sz="4" w:space="0" w:color="auto"/>
              <w:right w:val="single" w:sz="4" w:space="0" w:color="auto"/>
            </w:tcBorders>
            <w:shd w:val="clear" w:color="auto" w:fill="auto"/>
            <w:vAlign w:val="center"/>
          </w:tcPr>
          <w:p w:rsidR="000E1D92" w:rsidRPr="005862CF" w:rsidRDefault="000E1D92" w:rsidP="009E0A31">
            <w:pPr>
              <w:spacing w:before="0" w:line="240" w:lineRule="auto"/>
              <w:ind w:firstLine="0"/>
              <w:jc w:val="center"/>
              <w:rPr>
                <w:color w:val="000000"/>
              </w:rPr>
            </w:pPr>
            <w:r w:rsidRPr="005862CF">
              <w:rPr>
                <w:color w:val="000000"/>
              </w:rPr>
              <w:t>29</w:t>
            </w:r>
          </w:p>
        </w:tc>
      </w:tr>
      <w:tr w:rsidR="000E1D92" w:rsidRPr="006C5F08" w:rsidTr="000E1D92">
        <w:trPr>
          <w:trHeight w:val="315"/>
          <w:jc w:val="center"/>
        </w:trPr>
        <w:tc>
          <w:tcPr>
            <w:tcW w:w="6520" w:type="dxa"/>
            <w:tcBorders>
              <w:top w:val="nil"/>
              <w:left w:val="single" w:sz="4" w:space="0" w:color="auto"/>
              <w:bottom w:val="single" w:sz="4" w:space="0" w:color="auto"/>
              <w:right w:val="single" w:sz="4" w:space="0" w:color="auto"/>
            </w:tcBorders>
            <w:shd w:val="clear" w:color="auto" w:fill="auto"/>
            <w:vAlign w:val="center"/>
            <w:hideMark/>
          </w:tcPr>
          <w:p w:rsidR="000E1D92" w:rsidRPr="00CE199D" w:rsidRDefault="000E1D92" w:rsidP="009E0A31">
            <w:pPr>
              <w:spacing w:before="0" w:line="240" w:lineRule="auto"/>
              <w:ind w:firstLine="0"/>
              <w:rPr>
                <w:color w:val="000000"/>
              </w:rPr>
            </w:pPr>
            <w:r w:rsidRPr="00CE199D">
              <w:rPr>
                <w:color w:val="000000"/>
              </w:rPr>
              <w:t>Asistencia técnica legal de Políticas, Normas y Procedimientos</w:t>
            </w:r>
          </w:p>
        </w:tc>
        <w:tc>
          <w:tcPr>
            <w:tcW w:w="1984" w:type="dxa"/>
            <w:tcBorders>
              <w:top w:val="nil"/>
              <w:left w:val="nil"/>
              <w:bottom w:val="single" w:sz="4" w:space="0" w:color="auto"/>
              <w:right w:val="single" w:sz="4" w:space="0" w:color="auto"/>
            </w:tcBorders>
            <w:shd w:val="clear" w:color="auto" w:fill="auto"/>
            <w:vAlign w:val="center"/>
          </w:tcPr>
          <w:p w:rsidR="000E1D92" w:rsidRPr="00CE199D" w:rsidRDefault="000E1D92" w:rsidP="009E0A31">
            <w:pPr>
              <w:spacing w:before="0" w:line="240" w:lineRule="auto"/>
              <w:ind w:firstLine="0"/>
              <w:jc w:val="center"/>
              <w:rPr>
                <w:color w:val="000000"/>
              </w:rPr>
            </w:pPr>
            <w:r w:rsidRPr="00CE199D">
              <w:rPr>
                <w:color w:val="000000"/>
              </w:rPr>
              <w:t>291</w:t>
            </w:r>
          </w:p>
        </w:tc>
      </w:tr>
      <w:tr w:rsidR="000E1D92" w:rsidRPr="006C5F08" w:rsidTr="000E1D92">
        <w:trPr>
          <w:trHeight w:val="315"/>
          <w:jc w:val="center"/>
        </w:trPr>
        <w:tc>
          <w:tcPr>
            <w:tcW w:w="6520" w:type="dxa"/>
            <w:tcBorders>
              <w:top w:val="nil"/>
              <w:left w:val="single" w:sz="4" w:space="0" w:color="auto"/>
              <w:bottom w:val="single" w:sz="4" w:space="0" w:color="auto"/>
              <w:right w:val="single" w:sz="4" w:space="0" w:color="auto"/>
            </w:tcBorders>
            <w:shd w:val="clear" w:color="auto" w:fill="auto"/>
            <w:vAlign w:val="center"/>
            <w:hideMark/>
          </w:tcPr>
          <w:p w:rsidR="000E1D92" w:rsidRPr="000E1D92" w:rsidRDefault="000E1D92" w:rsidP="009E0A31">
            <w:pPr>
              <w:spacing w:before="0" w:line="240" w:lineRule="auto"/>
              <w:ind w:firstLine="0"/>
              <w:rPr>
                <w:b/>
                <w:color w:val="FF0000"/>
              </w:rPr>
            </w:pPr>
            <w:r w:rsidRPr="00191F0C">
              <w:rPr>
                <w:b/>
                <w:color w:val="auto"/>
              </w:rPr>
              <w:t>Total de asistencias técnicas especializadas a nov</w:t>
            </w:r>
            <w:r w:rsidR="00191F0C">
              <w:rPr>
                <w:b/>
                <w:color w:val="auto"/>
              </w:rPr>
              <w:t>iembre</w:t>
            </w:r>
            <w:r w:rsidRPr="00191F0C">
              <w:rPr>
                <w:b/>
                <w:color w:val="auto"/>
              </w:rPr>
              <w:t xml:space="preserve"> 2019</w:t>
            </w:r>
          </w:p>
        </w:tc>
        <w:tc>
          <w:tcPr>
            <w:tcW w:w="1984" w:type="dxa"/>
            <w:tcBorders>
              <w:top w:val="nil"/>
              <w:left w:val="nil"/>
              <w:bottom w:val="single" w:sz="4" w:space="0" w:color="auto"/>
              <w:right w:val="single" w:sz="4" w:space="0" w:color="auto"/>
            </w:tcBorders>
            <w:shd w:val="clear" w:color="auto" w:fill="auto"/>
            <w:vAlign w:val="center"/>
          </w:tcPr>
          <w:p w:rsidR="000E1D92" w:rsidRPr="000E1D92" w:rsidRDefault="000E1D92" w:rsidP="00BF3B6F">
            <w:pPr>
              <w:spacing w:before="0" w:line="240" w:lineRule="auto"/>
              <w:ind w:firstLine="0"/>
              <w:jc w:val="center"/>
              <w:rPr>
                <w:b/>
                <w:color w:val="FF0000"/>
              </w:rPr>
            </w:pPr>
            <w:r w:rsidRPr="00BF3B6F">
              <w:rPr>
                <w:b/>
                <w:color w:val="auto"/>
              </w:rPr>
              <w:t>11,</w:t>
            </w:r>
            <w:r w:rsidR="00BF3B6F" w:rsidRPr="00BF3B6F">
              <w:rPr>
                <w:b/>
                <w:color w:val="auto"/>
              </w:rPr>
              <w:t>308</w:t>
            </w:r>
          </w:p>
        </w:tc>
      </w:tr>
      <w:tr w:rsidR="000E1D92" w:rsidRPr="006C5F08" w:rsidTr="000E1D92">
        <w:trPr>
          <w:trHeight w:val="324"/>
          <w:jc w:val="center"/>
        </w:trPr>
        <w:tc>
          <w:tcPr>
            <w:tcW w:w="6520" w:type="dxa"/>
            <w:tcBorders>
              <w:top w:val="nil"/>
              <w:left w:val="single" w:sz="4" w:space="0" w:color="auto"/>
              <w:bottom w:val="single" w:sz="4" w:space="0" w:color="auto"/>
              <w:right w:val="single" w:sz="4" w:space="0" w:color="auto"/>
            </w:tcBorders>
            <w:shd w:val="clear" w:color="auto" w:fill="4472C4" w:themeFill="accent5"/>
            <w:vAlign w:val="center"/>
            <w:hideMark/>
          </w:tcPr>
          <w:p w:rsidR="000E1D92" w:rsidRPr="009C49EA" w:rsidRDefault="000E1D92" w:rsidP="009E0A31">
            <w:pPr>
              <w:spacing w:before="0" w:line="240" w:lineRule="auto"/>
              <w:ind w:firstLine="0"/>
              <w:rPr>
                <w:b/>
                <w:bCs/>
                <w:color w:val="FFFFFF" w:themeColor="background1"/>
              </w:rPr>
            </w:pPr>
            <w:r w:rsidRPr="009C49EA">
              <w:rPr>
                <w:b/>
                <w:bCs/>
                <w:color w:val="FFFFFF" w:themeColor="background1"/>
              </w:rPr>
              <w:t>Total de asistencias técnicas ofrecidas a los actores del SNCCP</w:t>
            </w:r>
          </w:p>
        </w:tc>
        <w:tc>
          <w:tcPr>
            <w:tcW w:w="1984" w:type="dxa"/>
            <w:tcBorders>
              <w:top w:val="nil"/>
              <w:left w:val="nil"/>
              <w:bottom w:val="single" w:sz="4" w:space="0" w:color="auto"/>
              <w:right w:val="single" w:sz="4" w:space="0" w:color="auto"/>
            </w:tcBorders>
            <w:shd w:val="clear" w:color="auto" w:fill="4472C4" w:themeFill="accent5"/>
            <w:vAlign w:val="center"/>
            <w:hideMark/>
          </w:tcPr>
          <w:p w:rsidR="000E1D92" w:rsidRPr="009C49EA" w:rsidRDefault="00BF3B6F" w:rsidP="00BF3B6F">
            <w:pPr>
              <w:spacing w:before="0" w:line="240" w:lineRule="auto"/>
              <w:ind w:firstLine="0"/>
              <w:jc w:val="center"/>
              <w:rPr>
                <w:b/>
                <w:bCs/>
                <w:color w:val="FFFFFF" w:themeColor="background1"/>
              </w:rPr>
            </w:pPr>
            <w:r>
              <w:rPr>
                <w:b/>
                <w:bCs/>
                <w:color w:val="FFFFFF" w:themeColor="background1"/>
              </w:rPr>
              <w:t>56,486</w:t>
            </w:r>
          </w:p>
        </w:tc>
      </w:tr>
    </w:tbl>
    <w:p w:rsidR="000E1D92" w:rsidRDefault="000E1D92" w:rsidP="000E1D92">
      <w:r w:rsidRPr="00DE2895">
        <w:rPr>
          <w:b/>
        </w:rPr>
        <w:t>Capacitaciones</w:t>
      </w:r>
      <w:r w:rsidRPr="008469B7">
        <w:t>:</w:t>
      </w:r>
      <w:r w:rsidRPr="000E1D92">
        <w:t xml:space="preserve"> Contrataciones Públicas impartió más de 300 talleres dirigidos a las unidades de compra de las instituciones del Estado, a proveedores, servidores públicos, mujeres, MIPYME, y a la sociedad civil, en el aspecto normativo y profesional sobre la función y gestión del Sistema Nacional de Compras y Contrataciones Públicas, y en el aspecto técnico relacionado con el uso del Portal Transaccional, así como también capacitaciones especializadas en temas particulares. Durante dichas jornadas de formación participaron 5,317 personas.</w:t>
      </w:r>
    </w:p>
    <w:tbl>
      <w:tblPr>
        <w:tblW w:w="8363" w:type="dxa"/>
        <w:jc w:val="center"/>
        <w:tblCellMar>
          <w:left w:w="70" w:type="dxa"/>
          <w:right w:w="70" w:type="dxa"/>
        </w:tblCellMar>
        <w:tblLook w:val="04A0" w:firstRow="1" w:lastRow="0" w:firstColumn="1" w:lastColumn="0" w:noHBand="0" w:noVBand="1"/>
      </w:tblPr>
      <w:tblGrid>
        <w:gridCol w:w="6520"/>
        <w:gridCol w:w="1843"/>
      </w:tblGrid>
      <w:tr w:rsidR="000E1D92" w:rsidRPr="006C5F08" w:rsidTr="000E1D92">
        <w:trPr>
          <w:trHeight w:val="315"/>
          <w:jc w:val="center"/>
        </w:trPr>
        <w:tc>
          <w:tcPr>
            <w:tcW w:w="8363" w:type="dxa"/>
            <w:gridSpan w:val="2"/>
            <w:tcBorders>
              <w:top w:val="single" w:sz="4" w:space="0" w:color="auto"/>
              <w:left w:val="single" w:sz="4" w:space="0" w:color="auto"/>
              <w:bottom w:val="single" w:sz="4" w:space="0" w:color="auto"/>
              <w:right w:val="single" w:sz="4" w:space="0" w:color="auto"/>
            </w:tcBorders>
            <w:shd w:val="clear" w:color="auto" w:fill="4472C4" w:themeFill="accent5"/>
            <w:vAlign w:val="center"/>
            <w:hideMark/>
          </w:tcPr>
          <w:p w:rsidR="000E1D92" w:rsidRPr="006C5F08" w:rsidRDefault="000E1D92" w:rsidP="009E0A31">
            <w:pPr>
              <w:spacing w:before="0" w:line="240" w:lineRule="auto"/>
              <w:ind w:firstLine="0"/>
              <w:jc w:val="center"/>
              <w:rPr>
                <w:b/>
                <w:bCs/>
                <w:color w:val="FFFFFF"/>
                <w:lang w:val="es-DO" w:eastAsia="es-DO"/>
              </w:rPr>
            </w:pPr>
            <w:r w:rsidRPr="006C5F08">
              <w:rPr>
                <w:b/>
                <w:bCs/>
                <w:color w:val="FFFFFF"/>
              </w:rPr>
              <w:t xml:space="preserve">  Capacitaciones Normativas y Técnicas </w:t>
            </w:r>
          </w:p>
        </w:tc>
      </w:tr>
      <w:tr w:rsidR="000E1D92" w:rsidRPr="006C5F08" w:rsidTr="000E1D92">
        <w:trPr>
          <w:trHeight w:val="315"/>
          <w:jc w:val="center"/>
        </w:trPr>
        <w:tc>
          <w:tcPr>
            <w:tcW w:w="6520" w:type="dxa"/>
            <w:tcBorders>
              <w:top w:val="nil"/>
              <w:left w:val="single" w:sz="4" w:space="0" w:color="auto"/>
              <w:bottom w:val="single" w:sz="4" w:space="0" w:color="auto"/>
              <w:right w:val="single" w:sz="4" w:space="0" w:color="auto"/>
            </w:tcBorders>
            <w:shd w:val="clear" w:color="auto" w:fill="auto"/>
            <w:vAlign w:val="center"/>
            <w:hideMark/>
          </w:tcPr>
          <w:p w:rsidR="000E1D92" w:rsidRPr="006C5F08" w:rsidRDefault="000E1D92" w:rsidP="009E0A31">
            <w:pPr>
              <w:spacing w:before="0" w:line="240" w:lineRule="auto"/>
              <w:ind w:hanging="67"/>
              <w:rPr>
                <w:color w:val="000000"/>
              </w:rPr>
            </w:pPr>
            <w:r w:rsidRPr="006C5F08">
              <w:rPr>
                <w:color w:val="000000"/>
              </w:rPr>
              <w:t>Sistema Nacional de Compras y Contrataciones Públicas</w:t>
            </w:r>
          </w:p>
        </w:tc>
        <w:tc>
          <w:tcPr>
            <w:tcW w:w="1843" w:type="dxa"/>
            <w:tcBorders>
              <w:top w:val="nil"/>
              <w:left w:val="nil"/>
              <w:bottom w:val="single" w:sz="4" w:space="0" w:color="auto"/>
              <w:right w:val="single" w:sz="4" w:space="0" w:color="auto"/>
            </w:tcBorders>
            <w:shd w:val="clear" w:color="auto" w:fill="auto"/>
            <w:vAlign w:val="center"/>
            <w:hideMark/>
          </w:tcPr>
          <w:p w:rsidR="000E1D92" w:rsidRPr="00D214AF" w:rsidRDefault="000E1D92" w:rsidP="009E0A31">
            <w:pPr>
              <w:spacing w:before="0" w:line="240" w:lineRule="auto"/>
              <w:ind w:firstLine="0"/>
              <w:jc w:val="center"/>
              <w:rPr>
                <w:color w:val="000000"/>
              </w:rPr>
            </w:pPr>
            <w:r w:rsidRPr="00D214AF">
              <w:rPr>
                <w:color w:val="auto"/>
              </w:rPr>
              <w:t>1,627</w:t>
            </w:r>
          </w:p>
        </w:tc>
      </w:tr>
      <w:tr w:rsidR="000E1D92" w:rsidRPr="006C5F08" w:rsidTr="000E1D92">
        <w:trPr>
          <w:trHeight w:val="315"/>
          <w:jc w:val="center"/>
        </w:trPr>
        <w:tc>
          <w:tcPr>
            <w:tcW w:w="6520" w:type="dxa"/>
            <w:tcBorders>
              <w:top w:val="nil"/>
              <w:left w:val="single" w:sz="4" w:space="0" w:color="auto"/>
              <w:bottom w:val="single" w:sz="4" w:space="0" w:color="auto"/>
              <w:right w:val="single" w:sz="4" w:space="0" w:color="auto"/>
            </w:tcBorders>
            <w:shd w:val="clear" w:color="auto" w:fill="auto"/>
            <w:vAlign w:val="center"/>
            <w:hideMark/>
          </w:tcPr>
          <w:p w:rsidR="000E1D92" w:rsidRPr="001C16DF" w:rsidRDefault="000E1D92" w:rsidP="009E0A31">
            <w:pPr>
              <w:spacing w:before="0" w:line="240" w:lineRule="auto"/>
              <w:ind w:hanging="67"/>
              <w:rPr>
                <w:color w:val="000000"/>
              </w:rPr>
            </w:pPr>
            <w:r w:rsidRPr="001C16DF">
              <w:rPr>
                <w:color w:val="000000"/>
              </w:rPr>
              <w:t>Capacitación sobre Compras Públicas Sostenibles</w:t>
            </w:r>
          </w:p>
        </w:tc>
        <w:tc>
          <w:tcPr>
            <w:tcW w:w="1843" w:type="dxa"/>
            <w:tcBorders>
              <w:top w:val="nil"/>
              <w:left w:val="nil"/>
              <w:bottom w:val="single" w:sz="4" w:space="0" w:color="auto"/>
              <w:right w:val="single" w:sz="4" w:space="0" w:color="auto"/>
            </w:tcBorders>
            <w:shd w:val="clear" w:color="auto" w:fill="auto"/>
            <w:vAlign w:val="center"/>
            <w:hideMark/>
          </w:tcPr>
          <w:p w:rsidR="000E1D92" w:rsidRPr="001C16DF" w:rsidRDefault="000E1D92" w:rsidP="009E0A31">
            <w:pPr>
              <w:spacing w:before="0" w:line="240" w:lineRule="auto"/>
              <w:ind w:firstLine="0"/>
              <w:jc w:val="center"/>
              <w:rPr>
                <w:color w:val="000000"/>
              </w:rPr>
            </w:pPr>
            <w:r w:rsidRPr="001C16DF">
              <w:rPr>
                <w:color w:val="000000"/>
              </w:rPr>
              <w:t>377</w:t>
            </w:r>
          </w:p>
        </w:tc>
      </w:tr>
      <w:tr w:rsidR="000E1D92" w:rsidRPr="006C5F08" w:rsidTr="000E1D92">
        <w:trPr>
          <w:trHeight w:val="315"/>
          <w:jc w:val="center"/>
        </w:trPr>
        <w:tc>
          <w:tcPr>
            <w:tcW w:w="6520" w:type="dxa"/>
            <w:tcBorders>
              <w:top w:val="nil"/>
              <w:left w:val="single" w:sz="4" w:space="0" w:color="auto"/>
              <w:bottom w:val="single" w:sz="4" w:space="0" w:color="auto"/>
              <w:right w:val="single" w:sz="4" w:space="0" w:color="auto"/>
            </w:tcBorders>
            <w:shd w:val="clear" w:color="auto" w:fill="auto"/>
            <w:vAlign w:val="center"/>
            <w:hideMark/>
          </w:tcPr>
          <w:p w:rsidR="000E1D92" w:rsidRPr="006C5F08" w:rsidRDefault="000E1D92" w:rsidP="009E0A31">
            <w:pPr>
              <w:spacing w:before="0" w:line="240" w:lineRule="auto"/>
              <w:ind w:hanging="67"/>
              <w:rPr>
                <w:color w:val="000000"/>
              </w:rPr>
            </w:pPr>
            <w:r w:rsidRPr="006C5F08">
              <w:rPr>
                <w:color w:val="000000"/>
              </w:rPr>
              <w:t>Uso del Portal Transaccional</w:t>
            </w:r>
          </w:p>
        </w:tc>
        <w:tc>
          <w:tcPr>
            <w:tcW w:w="1843" w:type="dxa"/>
            <w:tcBorders>
              <w:top w:val="nil"/>
              <w:left w:val="nil"/>
              <w:bottom w:val="single" w:sz="4" w:space="0" w:color="auto"/>
              <w:right w:val="single" w:sz="4" w:space="0" w:color="auto"/>
            </w:tcBorders>
            <w:shd w:val="clear" w:color="auto" w:fill="auto"/>
            <w:vAlign w:val="center"/>
          </w:tcPr>
          <w:p w:rsidR="000E1D92" w:rsidRPr="00D214AF" w:rsidRDefault="000E1D92" w:rsidP="009E0A31">
            <w:pPr>
              <w:spacing w:before="0" w:line="240" w:lineRule="auto"/>
              <w:ind w:firstLine="0"/>
              <w:jc w:val="center"/>
              <w:rPr>
                <w:color w:val="000000"/>
              </w:rPr>
            </w:pPr>
            <w:r w:rsidRPr="00EF7EFF">
              <w:rPr>
                <w:color w:val="000000"/>
              </w:rPr>
              <w:t>2,588</w:t>
            </w:r>
          </w:p>
        </w:tc>
      </w:tr>
      <w:tr w:rsidR="000E1D92" w:rsidRPr="006C5F08" w:rsidTr="000E1D92">
        <w:trPr>
          <w:trHeight w:val="315"/>
          <w:jc w:val="center"/>
        </w:trPr>
        <w:tc>
          <w:tcPr>
            <w:tcW w:w="6520" w:type="dxa"/>
            <w:tcBorders>
              <w:top w:val="nil"/>
              <w:left w:val="single" w:sz="4" w:space="0" w:color="auto"/>
              <w:bottom w:val="single" w:sz="4" w:space="0" w:color="auto"/>
              <w:right w:val="single" w:sz="4" w:space="0" w:color="auto"/>
            </w:tcBorders>
            <w:shd w:val="clear" w:color="auto" w:fill="auto"/>
            <w:vAlign w:val="center"/>
            <w:hideMark/>
          </w:tcPr>
          <w:p w:rsidR="000E1D92" w:rsidRPr="007F0763" w:rsidRDefault="000E1D92" w:rsidP="009E0A31">
            <w:pPr>
              <w:spacing w:before="0" w:line="240" w:lineRule="auto"/>
              <w:ind w:hanging="67"/>
              <w:rPr>
                <w:b/>
                <w:color w:val="000000"/>
              </w:rPr>
            </w:pPr>
            <w:r w:rsidRPr="007F0763">
              <w:rPr>
                <w:b/>
                <w:color w:val="000000"/>
              </w:rPr>
              <w:t xml:space="preserve">Total de </w:t>
            </w:r>
            <w:r>
              <w:rPr>
                <w:b/>
                <w:color w:val="000000"/>
              </w:rPr>
              <w:t xml:space="preserve">personas </w:t>
            </w:r>
            <w:r w:rsidRPr="007F0763">
              <w:rPr>
                <w:b/>
                <w:color w:val="000000"/>
              </w:rPr>
              <w:t>capacita</w:t>
            </w:r>
            <w:r>
              <w:rPr>
                <w:b/>
                <w:color w:val="000000"/>
              </w:rPr>
              <w:t>da</w:t>
            </w:r>
            <w:r w:rsidRPr="007F0763">
              <w:rPr>
                <w:b/>
                <w:color w:val="000000"/>
              </w:rPr>
              <w:t>s</w:t>
            </w:r>
            <w:r>
              <w:rPr>
                <w:b/>
                <w:color w:val="000000"/>
              </w:rPr>
              <w:t xml:space="preserve"> en las normativas y técnicas</w:t>
            </w:r>
            <w:r w:rsidRPr="007F0763">
              <w:rPr>
                <w:b/>
                <w:color w:val="000000"/>
              </w:rPr>
              <w:t xml:space="preserve"> </w:t>
            </w:r>
          </w:p>
        </w:tc>
        <w:tc>
          <w:tcPr>
            <w:tcW w:w="1843" w:type="dxa"/>
            <w:tcBorders>
              <w:top w:val="nil"/>
              <w:left w:val="nil"/>
              <w:bottom w:val="single" w:sz="4" w:space="0" w:color="auto"/>
              <w:right w:val="single" w:sz="4" w:space="0" w:color="auto"/>
            </w:tcBorders>
            <w:shd w:val="clear" w:color="auto" w:fill="auto"/>
            <w:vAlign w:val="center"/>
          </w:tcPr>
          <w:p w:rsidR="000E1D92" w:rsidRPr="007F0763" w:rsidRDefault="000E1D92" w:rsidP="009E0A31">
            <w:pPr>
              <w:spacing w:before="0" w:line="240" w:lineRule="auto"/>
              <w:ind w:firstLine="0"/>
              <w:jc w:val="center"/>
              <w:rPr>
                <w:b/>
                <w:color w:val="000000"/>
              </w:rPr>
            </w:pPr>
            <w:r w:rsidRPr="00217701">
              <w:rPr>
                <w:b/>
                <w:color w:val="000000"/>
              </w:rPr>
              <w:t>4,547</w:t>
            </w:r>
          </w:p>
        </w:tc>
      </w:tr>
      <w:tr w:rsidR="000E1D92" w:rsidRPr="006C5F08" w:rsidTr="000E1D92">
        <w:trPr>
          <w:trHeight w:val="315"/>
          <w:jc w:val="center"/>
        </w:trPr>
        <w:tc>
          <w:tcPr>
            <w:tcW w:w="8363" w:type="dxa"/>
            <w:gridSpan w:val="2"/>
            <w:tcBorders>
              <w:top w:val="single" w:sz="4" w:space="0" w:color="auto"/>
              <w:left w:val="single" w:sz="4" w:space="0" w:color="auto"/>
              <w:bottom w:val="single" w:sz="4" w:space="0" w:color="auto"/>
              <w:right w:val="single" w:sz="4" w:space="0" w:color="auto"/>
            </w:tcBorders>
            <w:shd w:val="clear" w:color="auto" w:fill="4472C4" w:themeFill="accent5"/>
            <w:vAlign w:val="center"/>
            <w:hideMark/>
          </w:tcPr>
          <w:p w:rsidR="000E1D92" w:rsidRPr="006C5F08" w:rsidRDefault="000E1D92" w:rsidP="009E0A31">
            <w:pPr>
              <w:spacing w:before="0" w:line="240" w:lineRule="auto"/>
              <w:ind w:firstLine="0"/>
              <w:jc w:val="center"/>
              <w:rPr>
                <w:b/>
                <w:bCs/>
                <w:color w:val="FFFFFF"/>
              </w:rPr>
            </w:pPr>
            <w:r w:rsidRPr="006C5F08">
              <w:rPr>
                <w:b/>
                <w:bCs/>
                <w:color w:val="FFFFFF"/>
              </w:rPr>
              <w:t xml:space="preserve">  Capacitaciones Especializadas </w:t>
            </w:r>
          </w:p>
        </w:tc>
      </w:tr>
      <w:tr w:rsidR="000E1D92" w:rsidRPr="006C5F08" w:rsidTr="000E1D92">
        <w:trPr>
          <w:trHeight w:val="630"/>
          <w:jc w:val="center"/>
        </w:trPr>
        <w:tc>
          <w:tcPr>
            <w:tcW w:w="6520" w:type="dxa"/>
            <w:tcBorders>
              <w:top w:val="nil"/>
              <w:left w:val="single" w:sz="4" w:space="0" w:color="auto"/>
              <w:bottom w:val="single" w:sz="4" w:space="0" w:color="auto"/>
              <w:right w:val="single" w:sz="4" w:space="0" w:color="auto"/>
            </w:tcBorders>
            <w:shd w:val="clear" w:color="auto" w:fill="auto"/>
            <w:vAlign w:val="center"/>
            <w:hideMark/>
          </w:tcPr>
          <w:p w:rsidR="000E1D92" w:rsidRPr="00026208" w:rsidRDefault="000E1D92" w:rsidP="009E0A31">
            <w:pPr>
              <w:spacing w:before="0" w:line="240" w:lineRule="auto"/>
              <w:ind w:firstLine="0"/>
              <w:rPr>
                <w:color w:val="auto"/>
              </w:rPr>
            </w:pPr>
            <w:r w:rsidRPr="00026208">
              <w:rPr>
                <w:color w:val="auto"/>
              </w:rPr>
              <w:t>Capacitación sobre la política de compras nacionales al sector agropecuario (Decreto 168-19, y Resoluciones de la Dirección General y el Ministerio de Agricultura)</w:t>
            </w:r>
          </w:p>
        </w:tc>
        <w:tc>
          <w:tcPr>
            <w:tcW w:w="1843" w:type="dxa"/>
            <w:tcBorders>
              <w:top w:val="nil"/>
              <w:left w:val="nil"/>
              <w:bottom w:val="single" w:sz="4" w:space="0" w:color="auto"/>
              <w:right w:val="single" w:sz="4" w:space="0" w:color="auto"/>
            </w:tcBorders>
            <w:shd w:val="clear" w:color="auto" w:fill="auto"/>
            <w:vAlign w:val="center"/>
            <w:hideMark/>
          </w:tcPr>
          <w:p w:rsidR="000E1D92" w:rsidRPr="00026208" w:rsidRDefault="000E1D92" w:rsidP="009E0A31">
            <w:pPr>
              <w:spacing w:before="0" w:line="240" w:lineRule="auto"/>
              <w:ind w:firstLine="0"/>
              <w:jc w:val="center"/>
              <w:rPr>
                <w:color w:val="auto"/>
              </w:rPr>
            </w:pPr>
            <w:r w:rsidRPr="00026208">
              <w:rPr>
                <w:color w:val="auto"/>
              </w:rPr>
              <w:t>501</w:t>
            </w:r>
          </w:p>
        </w:tc>
      </w:tr>
      <w:tr w:rsidR="000E1D92" w:rsidRPr="006C5F08" w:rsidTr="000E1D92">
        <w:trPr>
          <w:trHeight w:val="315"/>
          <w:jc w:val="center"/>
        </w:trPr>
        <w:tc>
          <w:tcPr>
            <w:tcW w:w="6520" w:type="dxa"/>
            <w:tcBorders>
              <w:top w:val="nil"/>
              <w:left w:val="single" w:sz="4" w:space="0" w:color="auto"/>
              <w:bottom w:val="single" w:sz="4" w:space="0" w:color="auto"/>
              <w:right w:val="single" w:sz="4" w:space="0" w:color="auto"/>
            </w:tcBorders>
            <w:shd w:val="clear" w:color="auto" w:fill="auto"/>
            <w:vAlign w:val="center"/>
            <w:hideMark/>
          </w:tcPr>
          <w:p w:rsidR="000E1D92" w:rsidRPr="00026208" w:rsidRDefault="000E1D92" w:rsidP="009E0A31">
            <w:pPr>
              <w:spacing w:before="0" w:line="240" w:lineRule="auto"/>
              <w:ind w:firstLine="0"/>
              <w:rPr>
                <w:color w:val="auto"/>
              </w:rPr>
            </w:pPr>
            <w:r>
              <w:rPr>
                <w:color w:val="auto"/>
                <w:lang w:val="es-MX"/>
              </w:rPr>
              <w:t xml:space="preserve">Capacitación para el </w:t>
            </w:r>
            <w:r w:rsidRPr="00026208">
              <w:rPr>
                <w:color w:val="auto"/>
                <w:lang w:val="es-MX"/>
              </w:rPr>
              <w:t>Piloto de Responsabilidad Empresarial INDICARSE</w:t>
            </w:r>
          </w:p>
        </w:tc>
        <w:tc>
          <w:tcPr>
            <w:tcW w:w="1843" w:type="dxa"/>
            <w:tcBorders>
              <w:top w:val="nil"/>
              <w:left w:val="nil"/>
              <w:bottom w:val="single" w:sz="4" w:space="0" w:color="auto"/>
              <w:right w:val="single" w:sz="4" w:space="0" w:color="auto"/>
            </w:tcBorders>
            <w:shd w:val="clear" w:color="auto" w:fill="auto"/>
            <w:vAlign w:val="center"/>
            <w:hideMark/>
          </w:tcPr>
          <w:p w:rsidR="000E1D92" w:rsidRPr="00026208" w:rsidRDefault="000E1D92" w:rsidP="009E0A31">
            <w:pPr>
              <w:spacing w:before="0" w:line="240" w:lineRule="auto"/>
              <w:ind w:firstLine="0"/>
              <w:jc w:val="center"/>
              <w:rPr>
                <w:color w:val="auto"/>
              </w:rPr>
            </w:pPr>
            <w:r w:rsidRPr="00026208">
              <w:rPr>
                <w:color w:val="auto"/>
              </w:rPr>
              <w:t>20</w:t>
            </w:r>
          </w:p>
        </w:tc>
      </w:tr>
      <w:tr w:rsidR="000E1D92" w:rsidRPr="006C5F08" w:rsidTr="000E1D92">
        <w:trPr>
          <w:trHeight w:val="315"/>
          <w:jc w:val="center"/>
        </w:trPr>
        <w:tc>
          <w:tcPr>
            <w:tcW w:w="6520" w:type="dxa"/>
            <w:tcBorders>
              <w:top w:val="nil"/>
              <w:left w:val="single" w:sz="4" w:space="0" w:color="auto"/>
              <w:bottom w:val="single" w:sz="4" w:space="0" w:color="auto"/>
              <w:right w:val="single" w:sz="4" w:space="0" w:color="auto"/>
            </w:tcBorders>
            <w:shd w:val="clear" w:color="auto" w:fill="auto"/>
            <w:vAlign w:val="center"/>
            <w:hideMark/>
          </w:tcPr>
          <w:p w:rsidR="000E1D92" w:rsidRPr="00AC4410" w:rsidRDefault="000E1D92" w:rsidP="009E0A31">
            <w:pPr>
              <w:spacing w:before="0" w:line="240" w:lineRule="auto"/>
              <w:ind w:firstLine="0"/>
              <w:rPr>
                <w:color w:val="auto"/>
              </w:rPr>
            </w:pPr>
            <w:r w:rsidRPr="00AC4410">
              <w:rPr>
                <w:color w:val="auto"/>
              </w:rPr>
              <w:t>Sensibilización sobre el Empoderamiento Económico de la Mujer y las Compras Públicas</w:t>
            </w:r>
          </w:p>
        </w:tc>
        <w:tc>
          <w:tcPr>
            <w:tcW w:w="1843" w:type="dxa"/>
            <w:tcBorders>
              <w:top w:val="nil"/>
              <w:left w:val="nil"/>
              <w:bottom w:val="single" w:sz="4" w:space="0" w:color="auto"/>
              <w:right w:val="single" w:sz="4" w:space="0" w:color="auto"/>
            </w:tcBorders>
            <w:shd w:val="clear" w:color="auto" w:fill="auto"/>
            <w:vAlign w:val="center"/>
            <w:hideMark/>
          </w:tcPr>
          <w:p w:rsidR="000E1D92" w:rsidRPr="00026208" w:rsidRDefault="000E1D92" w:rsidP="009E0A31">
            <w:pPr>
              <w:spacing w:before="0" w:line="240" w:lineRule="auto"/>
              <w:ind w:firstLine="0"/>
              <w:jc w:val="center"/>
              <w:rPr>
                <w:color w:val="000000"/>
              </w:rPr>
            </w:pPr>
            <w:r w:rsidRPr="00026208">
              <w:rPr>
                <w:color w:val="000000"/>
              </w:rPr>
              <w:t>60</w:t>
            </w:r>
          </w:p>
        </w:tc>
      </w:tr>
      <w:tr w:rsidR="000E1D92" w:rsidRPr="006C5F08" w:rsidTr="000E1D92">
        <w:trPr>
          <w:trHeight w:val="630"/>
          <w:jc w:val="center"/>
        </w:trPr>
        <w:tc>
          <w:tcPr>
            <w:tcW w:w="65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1D92" w:rsidRPr="00AC4410" w:rsidRDefault="000E1D92" w:rsidP="009E0A31">
            <w:pPr>
              <w:spacing w:before="0" w:line="240" w:lineRule="auto"/>
              <w:ind w:firstLine="0"/>
              <w:rPr>
                <w:color w:val="auto"/>
                <w:highlight w:val="green"/>
              </w:rPr>
            </w:pPr>
            <w:r w:rsidRPr="00AC4410">
              <w:rPr>
                <w:color w:val="auto"/>
              </w:rPr>
              <w:t>Taller sobre especificaciones técnicas sostenibles experiencia comparada de Brasil, y la socialización de las guías de compra de combustible y de mantenimiento de vehículos.</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0E1D92" w:rsidRPr="006D7B4F" w:rsidRDefault="000E1D92" w:rsidP="009E0A31">
            <w:pPr>
              <w:spacing w:before="0" w:line="240" w:lineRule="auto"/>
              <w:ind w:firstLine="0"/>
              <w:jc w:val="center"/>
              <w:rPr>
                <w:color w:val="000000"/>
                <w:highlight w:val="green"/>
              </w:rPr>
            </w:pPr>
            <w:r w:rsidRPr="00AC4410">
              <w:rPr>
                <w:color w:val="000000"/>
              </w:rPr>
              <w:t>130</w:t>
            </w:r>
          </w:p>
        </w:tc>
      </w:tr>
      <w:tr w:rsidR="000E1D92" w:rsidRPr="006C5F08" w:rsidTr="000E1D92">
        <w:trPr>
          <w:trHeight w:val="630"/>
          <w:jc w:val="center"/>
        </w:trPr>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rsidR="000E1D92" w:rsidRPr="00AC4410" w:rsidRDefault="000E1D92" w:rsidP="009E0A31">
            <w:pPr>
              <w:spacing w:before="0" w:line="240" w:lineRule="auto"/>
              <w:ind w:firstLine="0"/>
              <w:rPr>
                <w:color w:val="auto"/>
              </w:rPr>
            </w:pPr>
            <w:r w:rsidRPr="00677282">
              <w:rPr>
                <w:color w:val="auto"/>
              </w:rPr>
              <w:t>Diplomado Experto en Integridad Corporativa, Transparencia y Buen Gobierno</w:t>
            </w:r>
            <w:r>
              <w:rPr>
                <w:color w:val="auto"/>
              </w:rPr>
              <w:t>.</w:t>
            </w:r>
          </w:p>
        </w:tc>
        <w:tc>
          <w:tcPr>
            <w:tcW w:w="1843" w:type="dxa"/>
            <w:tcBorders>
              <w:top w:val="single" w:sz="4" w:space="0" w:color="auto"/>
              <w:left w:val="nil"/>
              <w:bottom w:val="single" w:sz="4" w:space="0" w:color="auto"/>
              <w:right w:val="single" w:sz="4" w:space="0" w:color="auto"/>
            </w:tcBorders>
            <w:shd w:val="clear" w:color="auto" w:fill="auto"/>
            <w:vAlign w:val="center"/>
          </w:tcPr>
          <w:p w:rsidR="000E1D92" w:rsidRPr="00AC4410" w:rsidRDefault="000E1D92" w:rsidP="009E0A31">
            <w:pPr>
              <w:spacing w:before="0" w:line="240" w:lineRule="auto"/>
              <w:ind w:firstLine="0"/>
              <w:jc w:val="center"/>
              <w:rPr>
                <w:color w:val="000000"/>
              </w:rPr>
            </w:pPr>
            <w:r>
              <w:rPr>
                <w:color w:val="000000"/>
              </w:rPr>
              <w:t>59</w:t>
            </w:r>
          </w:p>
        </w:tc>
      </w:tr>
      <w:tr w:rsidR="000E1D92" w:rsidRPr="006C5F08" w:rsidTr="000E1D92">
        <w:trPr>
          <w:trHeight w:val="315"/>
          <w:jc w:val="center"/>
        </w:trPr>
        <w:tc>
          <w:tcPr>
            <w:tcW w:w="6520" w:type="dxa"/>
            <w:tcBorders>
              <w:top w:val="nil"/>
              <w:left w:val="single" w:sz="4" w:space="0" w:color="auto"/>
              <w:bottom w:val="single" w:sz="4" w:space="0" w:color="auto"/>
              <w:right w:val="single" w:sz="4" w:space="0" w:color="auto"/>
            </w:tcBorders>
            <w:shd w:val="clear" w:color="auto" w:fill="auto"/>
            <w:vAlign w:val="center"/>
            <w:hideMark/>
          </w:tcPr>
          <w:p w:rsidR="000E1D92" w:rsidRPr="007F0763" w:rsidRDefault="000E1D92" w:rsidP="009E0A31">
            <w:pPr>
              <w:spacing w:before="0" w:line="240" w:lineRule="auto"/>
              <w:ind w:firstLine="0"/>
              <w:rPr>
                <w:b/>
                <w:color w:val="000000"/>
              </w:rPr>
            </w:pPr>
            <w:r w:rsidRPr="007F0763">
              <w:rPr>
                <w:b/>
                <w:color w:val="000000"/>
              </w:rPr>
              <w:t xml:space="preserve">Total de </w:t>
            </w:r>
            <w:r>
              <w:rPr>
                <w:b/>
                <w:color w:val="000000"/>
              </w:rPr>
              <w:t xml:space="preserve">personas </w:t>
            </w:r>
            <w:r w:rsidRPr="007F0763">
              <w:rPr>
                <w:b/>
                <w:color w:val="000000"/>
              </w:rPr>
              <w:t>capacita</w:t>
            </w:r>
            <w:r>
              <w:rPr>
                <w:b/>
                <w:color w:val="000000"/>
              </w:rPr>
              <w:t>da</w:t>
            </w:r>
            <w:r w:rsidRPr="007F0763">
              <w:rPr>
                <w:b/>
                <w:color w:val="000000"/>
              </w:rPr>
              <w:t>s</w:t>
            </w:r>
            <w:r>
              <w:rPr>
                <w:b/>
                <w:color w:val="000000"/>
              </w:rPr>
              <w:t xml:space="preserve"> en temas especializado</w:t>
            </w:r>
            <w:r w:rsidRPr="007F0763">
              <w:rPr>
                <w:b/>
                <w:color w:val="000000"/>
              </w:rPr>
              <w:t>s</w:t>
            </w:r>
          </w:p>
        </w:tc>
        <w:tc>
          <w:tcPr>
            <w:tcW w:w="1843" w:type="dxa"/>
            <w:tcBorders>
              <w:top w:val="nil"/>
              <w:left w:val="nil"/>
              <w:bottom w:val="single" w:sz="4" w:space="0" w:color="auto"/>
              <w:right w:val="single" w:sz="4" w:space="0" w:color="auto"/>
            </w:tcBorders>
            <w:shd w:val="clear" w:color="auto" w:fill="auto"/>
            <w:vAlign w:val="center"/>
            <w:hideMark/>
          </w:tcPr>
          <w:p w:rsidR="000E1D92" w:rsidRPr="00BF3B6F" w:rsidRDefault="000E1D92" w:rsidP="009E0A31">
            <w:pPr>
              <w:spacing w:before="0" w:line="240" w:lineRule="auto"/>
              <w:ind w:firstLine="0"/>
              <w:jc w:val="center"/>
              <w:rPr>
                <w:b/>
                <w:color w:val="auto"/>
              </w:rPr>
            </w:pPr>
            <w:r w:rsidRPr="00BF3B6F">
              <w:rPr>
                <w:b/>
                <w:color w:val="auto"/>
              </w:rPr>
              <w:t>770</w:t>
            </w:r>
          </w:p>
        </w:tc>
      </w:tr>
      <w:tr w:rsidR="000E1D92" w:rsidRPr="006C5F08" w:rsidTr="000E1D92">
        <w:trPr>
          <w:trHeight w:val="315"/>
          <w:jc w:val="center"/>
        </w:trPr>
        <w:tc>
          <w:tcPr>
            <w:tcW w:w="6520" w:type="dxa"/>
            <w:tcBorders>
              <w:top w:val="nil"/>
              <w:left w:val="single" w:sz="4" w:space="0" w:color="auto"/>
              <w:bottom w:val="single" w:sz="4" w:space="0" w:color="auto"/>
              <w:right w:val="single" w:sz="4" w:space="0" w:color="auto"/>
            </w:tcBorders>
            <w:shd w:val="clear" w:color="auto" w:fill="4472C4" w:themeFill="accent5"/>
            <w:vAlign w:val="center"/>
            <w:hideMark/>
          </w:tcPr>
          <w:p w:rsidR="000E1D92" w:rsidRPr="006C5F08" w:rsidRDefault="000E1D92" w:rsidP="009E0A31">
            <w:pPr>
              <w:spacing w:before="0" w:line="240" w:lineRule="auto"/>
              <w:ind w:firstLine="0"/>
              <w:rPr>
                <w:b/>
                <w:bCs/>
                <w:color w:val="FFFFFF"/>
              </w:rPr>
            </w:pPr>
            <w:r w:rsidRPr="006C5F08">
              <w:rPr>
                <w:b/>
                <w:bCs/>
                <w:color w:val="FFFFFF"/>
              </w:rPr>
              <w:t>Total de capacitaciones ofrecidas a los actores del SNCCP</w:t>
            </w:r>
          </w:p>
        </w:tc>
        <w:tc>
          <w:tcPr>
            <w:tcW w:w="1843" w:type="dxa"/>
            <w:tcBorders>
              <w:top w:val="nil"/>
              <w:left w:val="nil"/>
              <w:bottom w:val="single" w:sz="4" w:space="0" w:color="auto"/>
              <w:right w:val="single" w:sz="4" w:space="0" w:color="auto"/>
            </w:tcBorders>
            <w:shd w:val="clear" w:color="auto" w:fill="4472C4" w:themeFill="accent5"/>
            <w:vAlign w:val="center"/>
            <w:hideMark/>
          </w:tcPr>
          <w:p w:rsidR="000E1D92" w:rsidRPr="00BF3B6F" w:rsidRDefault="000E1D92" w:rsidP="009E0A31">
            <w:pPr>
              <w:spacing w:before="0" w:line="240" w:lineRule="auto"/>
              <w:ind w:firstLine="0"/>
              <w:jc w:val="center"/>
              <w:rPr>
                <w:b/>
                <w:bCs/>
                <w:color w:val="auto"/>
              </w:rPr>
            </w:pPr>
            <w:r w:rsidRPr="00BF3B6F">
              <w:rPr>
                <w:b/>
                <w:bCs/>
                <w:color w:val="auto"/>
              </w:rPr>
              <w:t>5,317</w:t>
            </w:r>
          </w:p>
        </w:tc>
      </w:tr>
    </w:tbl>
    <w:p w:rsidR="000E1D92" w:rsidRPr="007F0763" w:rsidRDefault="0062044A" w:rsidP="000E1D92">
      <w:pPr>
        <w:spacing w:before="60" w:line="240" w:lineRule="auto"/>
        <w:ind w:firstLine="708"/>
        <w:rPr>
          <w:sz w:val="22"/>
        </w:rPr>
      </w:pPr>
      <w:r>
        <w:rPr>
          <w:sz w:val="22"/>
        </w:rPr>
        <w:t>Tabla</w:t>
      </w:r>
      <w:r w:rsidR="000E1D92" w:rsidRPr="00191F0C">
        <w:rPr>
          <w:sz w:val="22"/>
        </w:rPr>
        <w:t>:</w:t>
      </w:r>
      <w:r w:rsidR="000E1D92" w:rsidRPr="007F0763">
        <w:rPr>
          <w:sz w:val="22"/>
        </w:rPr>
        <w:t xml:space="preserve"> Capacitaciones y talleres impartidos.</w:t>
      </w:r>
    </w:p>
    <w:p w:rsidR="000E1D92" w:rsidRDefault="000E1D92" w:rsidP="000E1D92">
      <w:r w:rsidRPr="00DE2895">
        <w:rPr>
          <w:b/>
        </w:rPr>
        <w:t>Gestión de Proveedores del Estado</w:t>
      </w:r>
      <w:r w:rsidRPr="00DE2895">
        <w:t xml:space="preserve">: </w:t>
      </w:r>
      <w:r>
        <w:t xml:space="preserve">La Dirección General de Contrataciones Públicas, por medio de su modelo de intervención “Compras Públicas Sostenibles e Inclusivas” realiza actividades permanentes de fomento al mercado público con la finalidad de incentivar la participación de personas físicas y jurídicas, con énfasis en mujeres, MIPYME y Sectores Productivos, en las compras públicas. El resultado de estas acciones se puede evidenciar –entre otras cosas– en el comportamiento del registro de proveedores del Estado. </w:t>
      </w:r>
    </w:p>
    <w:p w:rsidR="000E1D92" w:rsidRPr="00BF3B6F" w:rsidRDefault="00191F0C" w:rsidP="000E1D92">
      <w:pPr>
        <w:rPr>
          <w:color w:val="auto"/>
        </w:rPr>
      </w:pPr>
      <w:r w:rsidRPr="00191F0C">
        <w:rPr>
          <w:noProof/>
          <w:lang w:val="es-DO" w:eastAsia="es-DO"/>
        </w:rPr>
        <w:drawing>
          <wp:anchor distT="0" distB="0" distL="114300" distR="114300" simplePos="0" relativeHeight="251719680" behindDoc="0" locked="0" layoutInCell="1" allowOverlap="1">
            <wp:simplePos x="0" y="0"/>
            <wp:positionH relativeFrom="margin">
              <wp:posOffset>1695450</wp:posOffset>
            </wp:positionH>
            <wp:positionV relativeFrom="margin">
              <wp:posOffset>3236595</wp:posOffset>
            </wp:positionV>
            <wp:extent cx="3009900" cy="838200"/>
            <wp:effectExtent l="0" t="0" r="0" b="0"/>
            <wp:wrapSquare wrapText="bothSides"/>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5">
                      <a:extLst>
                        <a:ext uri="{28A0092B-C50C-407E-A947-70E740481C1C}">
                          <a14:useLocalDpi xmlns:a14="http://schemas.microsoft.com/office/drawing/2010/main" val="0"/>
                        </a:ext>
                      </a:extLst>
                    </a:blip>
                    <a:srcRect t="11510" b="25181"/>
                    <a:stretch/>
                  </pic:blipFill>
                  <pic:spPr bwMode="auto">
                    <a:xfrm>
                      <a:off x="0" y="0"/>
                      <a:ext cx="3009900" cy="838200"/>
                    </a:xfrm>
                    <a:prstGeom prst="rect">
                      <a:avLst/>
                    </a:prstGeom>
                    <a:noFill/>
                    <a:ln>
                      <a:noFill/>
                    </a:ln>
                    <a:extLst>
                      <a:ext uri="{53640926-AAD7-44D8-BBD7-CCE9431645EC}">
                        <a14:shadowObscured xmlns:a14="http://schemas.microsoft.com/office/drawing/2010/main"/>
                      </a:ext>
                    </a:extLst>
                  </pic:spPr>
                </pic:pic>
              </a:graphicData>
            </a:graphic>
          </wp:anchor>
        </w:drawing>
      </w:r>
      <w:r w:rsidR="000E1D92" w:rsidRPr="00BF3B6F">
        <w:rPr>
          <w:color w:val="auto"/>
        </w:rPr>
        <w:t>De lo anterior, el aumento d</w:t>
      </w:r>
      <w:r>
        <w:rPr>
          <w:color w:val="auto"/>
        </w:rPr>
        <w:t>e solicitudes de inscripción y a</w:t>
      </w:r>
      <w:r w:rsidR="000E1D92" w:rsidRPr="00BF3B6F">
        <w:rPr>
          <w:color w:val="auto"/>
        </w:rPr>
        <w:t xml:space="preserve">ctualización es un indicador del incremento de la participación, así como de la confianza en el sistema de compras y contrataciones públicas. </w:t>
      </w:r>
      <w:r w:rsidR="000E1D92" w:rsidRPr="00191F0C">
        <w:rPr>
          <w:color w:val="auto"/>
        </w:rPr>
        <w:t xml:space="preserve">A </w:t>
      </w:r>
      <w:r w:rsidR="00BF3B6F" w:rsidRPr="00191F0C">
        <w:rPr>
          <w:color w:val="auto"/>
        </w:rPr>
        <w:t xml:space="preserve">noviembre 2019, se </w:t>
      </w:r>
      <w:r w:rsidR="00BF3B6F" w:rsidRPr="00BF3B6F">
        <w:rPr>
          <w:color w:val="auto"/>
        </w:rPr>
        <w:t>recibieron 17,167 solicitudes de las cuales 9,</w:t>
      </w:r>
      <w:r w:rsidR="000E1D92" w:rsidRPr="00BF3B6F">
        <w:rPr>
          <w:color w:val="auto"/>
        </w:rPr>
        <w:t>7</w:t>
      </w:r>
      <w:r w:rsidR="00BF3B6F" w:rsidRPr="00BF3B6F">
        <w:rPr>
          <w:color w:val="auto"/>
        </w:rPr>
        <w:t>04</w:t>
      </w:r>
      <w:r w:rsidR="000E1D92" w:rsidRPr="00BF3B6F">
        <w:rPr>
          <w:color w:val="auto"/>
        </w:rPr>
        <w:t xml:space="preserve"> son solicitudes de actualización, 5,</w:t>
      </w:r>
      <w:r w:rsidR="00BF3B6F" w:rsidRPr="00BF3B6F">
        <w:rPr>
          <w:color w:val="auto"/>
        </w:rPr>
        <w:t>131</w:t>
      </w:r>
      <w:r w:rsidR="000E1D92" w:rsidRPr="00BF3B6F">
        <w:rPr>
          <w:color w:val="auto"/>
        </w:rPr>
        <w:t xml:space="preserve"> de creación y 2,3</w:t>
      </w:r>
      <w:r w:rsidR="00BF3B6F" w:rsidRPr="00BF3B6F">
        <w:rPr>
          <w:color w:val="auto"/>
        </w:rPr>
        <w:t>32</w:t>
      </w:r>
      <w:r w:rsidR="000E1D92" w:rsidRPr="00BF3B6F">
        <w:rPr>
          <w:color w:val="auto"/>
        </w:rPr>
        <w:t xml:space="preserve"> corresponden a solicitudes de acceso a al Portal Transaccional. </w:t>
      </w:r>
    </w:p>
    <w:p w:rsidR="000E1D92" w:rsidRDefault="000E1D92" w:rsidP="000E1D92">
      <w:r>
        <w:t xml:space="preserve">Esto se evidencia en el crecimiento exponencial que ha experimentado el RPE, alcancanzando al cierre </w:t>
      </w:r>
      <w:r w:rsidRPr="00191F0C">
        <w:rPr>
          <w:color w:val="auto"/>
        </w:rPr>
        <w:t xml:space="preserve">de </w:t>
      </w:r>
      <w:r w:rsidR="00BF3B6F" w:rsidRPr="00191F0C">
        <w:rPr>
          <w:color w:val="auto"/>
        </w:rPr>
        <w:t>noviembre</w:t>
      </w:r>
      <w:r w:rsidRPr="00191F0C">
        <w:rPr>
          <w:color w:val="auto"/>
        </w:rPr>
        <w:t xml:space="preserve"> de 2019 un </w:t>
      </w:r>
      <w:r w:rsidRPr="00DE2895">
        <w:t>total de</w:t>
      </w:r>
      <w:r w:rsidRPr="00BF3B6F">
        <w:rPr>
          <w:color w:val="auto"/>
        </w:rPr>
        <w:t xml:space="preserve"> </w:t>
      </w:r>
      <w:r w:rsidR="00BF3B6F" w:rsidRPr="00BF3B6F">
        <w:rPr>
          <w:color w:val="auto"/>
        </w:rPr>
        <w:t>5,748</w:t>
      </w:r>
      <w:r w:rsidRPr="00BF3B6F">
        <w:rPr>
          <w:color w:val="auto"/>
        </w:rPr>
        <w:t xml:space="preserve"> nuevos proveedores(as) para un total de 83,</w:t>
      </w:r>
      <w:r w:rsidR="00BF3B6F" w:rsidRPr="00BF3B6F">
        <w:rPr>
          <w:color w:val="auto"/>
        </w:rPr>
        <w:t>532</w:t>
      </w:r>
      <w:r w:rsidRPr="00BF3B6F">
        <w:rPr>
          <w:color w:val="auto"/>
        </w:rPr>
        <w:t xml:space="preserve"> Proveedores (as) del Estado, de los cuales 19,0</w:t>
      </w:r>
      <w:r w:rsidR="00BF3B6F" w:rsidRPr="00BF3B6F">
        <w:rPr>
          <w:color w:val="auto"/>
        </w:rPr>
        <w:t>82</w:t>
      </w:r>
      <w:r w:rsidRPr="00BF3B6F">
        <w:rPr>
          <w:color w:val="auto"/>
        </w:rPr>
        <w:t xml:space="preserve"> son mujeres, que representan el 2</w:t>
      </w:r>
      <w:r w:rsidR="00BF3B6F" w:rsidRPr="00BF3B6F">
        <w:rPr>
          <w:color w:val="auto"/>
        </w:rPr>
        <w:t>3</w:t>
      </w:r>
      <w:r w:rsidRPr="00BF3B6F">
        <w:rPr>
          <w:color w:val="auto"/>
        </w:rPr>
        <w:t xml:space="preserve">% </w:t>
      </w:r>
      <w:r w:rsidR="00B44501" w:rsidRPr="00BF3B6F">
        <w:rPr>
          <w:color w:val="auto"/>
        </w:rPr>
        <w:t>del Registro.</w:t>
      </w:r>
    </w:p>
    <w:p w:rsidR="00B44501" w:rsidRDefault="00191F0C" w:rsidP="00DE2895">
      <w:r w:rsidRPr="00191F0C">
        <w:rPr>
          <w:noProof/>
          <w:lang w:val="es-DO" w:eastAsia="es-DO"/>
        </w:rPr>
        <w:drawing>
          <wp:anchor distT="0" distB="0" distL="114300" distR="114300" simplePos="0" relativeHeight="251720704" behindDoc="0" locked="0" layoutInCell="1" allowOverlap="1">
            <wp:simplePos x="0" y="0"/>
            <wp:positionH relativeFrom="margin">
              <wp:posOffset>1504950</wp:posOffset>
            </wp:positionH>
            <wp:positionV relativeFrom="margin">
              <wp:posOffset>760095</wp:posOffset>
            </wp:positionV>
            <wp:extent cx="3248025" cy="1971675"/>
            <wp:effectExtent l="0" t="0" r="9525" b="9525"/>
            <wp:wrapSquare wrapText="bothSides"/>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248025" cy="1971675"/>
                    </a:xfrm>
                    <a:prstGeom prst="rect">
                      <a:avLst/>
                    </a:prstGeom>
                    <a:noFill/>
                    <a:ln>
                      <a:noFill/>
                    </a:ln>
                  </pic:spPr>
                </pic:pic>
              </a:graphicData>
            </a:graphic>
          </wp:anchor>
        </w:drawing>
      </w:r>
      <w:r w:rsidR="00B44501" w:rsidRPr="00DE2895">
        <w:rPr>
          <w:noProof/>
          <w:lang w:val="es-DO" w:eastAsia="es-DO"/>
        </w:rPr>
        <w:drawing>
          <wp:anchor distT="0" distB="0" distL="114300" distR="114300" simplePos="0" relativeHeight="251702272" behindDoc="0" locked="0" layoutInCell="1" allowOverlap="1" wp14:anchorId="271A1827" wp14:editId="2F1D5DDF">
            <wp:simplePos x="0" y="0"/>
            <wp:positionH relativeFrom="column">
              <wp:posOffset>-495300</wp:posOffset>
            </wp:positionH>
            <wp:positionV relativeFrom="paragraph">
              <wp:posOffset>4243705</wp:posOffset>
            </wp:positionV>
            <wp:extent cx="5970270" cy="2339975"/>
            <wp:effectExtent l="0" t="0" r="0" b="3175"/>
            <wp:wrapTopAndBottom/>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14:sizeRelH relativeFrom="margin">
              <wp14:pctWidth>0</wp14:pctWidth>
            </wp14:sizeRelH>
            <wp14:sizeRelV relativeFrom="margin">
              <wp14:pctHeight>0</wp14:pctHeight>
            </wp14:sizeRelV>
          </wp:anchor>
        </w:drawing>
      </w:r>
      <w:r w:rsidR="00B44501">
        <w:t xml:space="preserve">Al cierre </w:t>
      </w:r>
      <w:r w:rsidR="00B44501" w:rsidRPr="00191F0C">
        <w:rPr>
          <w:color w:val="auto"/>
        </w:rPr>
        <w:t>de</w:t>
      </w:r>
      <w:r w:rsidR="00BF3B6F" w:rsidRPr="00191F0C">
        <w:rPr>
          <w:color w:val="auto"/>
        </w:rPr>
        <w:t xml:space="preserve"> noviembre del 2019</w:t>
      </w:r>
      <w:r w:rsidR="00B44501" w:rsidRPr="00191F0C">
        <w:rPr>
          <w:color w:val="auto"/>
        </w:rPr>
        <w:t xml:space="preserve">, </w:t>
      </w:r>
      <w:r w:rsidR="00B44501">
        <w:t xml:space="preserve">la base de datos del Registro muestra que del total </w:t>
      </w:r>
      <w:r w:rsidR="00B44501" w:rsidRPr="00BF3B6F">
        <w:rPr>
          <w:color w:val="auto"/>
        </w:rPr>
        <w:t>de proveedores activos corresponde a personas físicas, MIPYME certificadas</w:t>
      </w:r>
      <w:r w:rsidR="00BF3B6F" w:rsidRPr="00BF3B6F">
        <w:rPr>
          <w:color w:val="auto"/>
        </w:rPr>
        <w:t xml:space="preserve"> por el MICM</w:t>
      </w:r>
      <w:r w:rsidR="00B44501" w:rsidRPr="00BF3B6F">
        <w:rPr>
          <w:color w:val="auto"/>
        </w:rPr>
        <w:t xml:space="preserve">, empresas no certificadas con vocación MIPYME, las cuales representan un </w:t>
      </w:r>
      <w:r w:rsidR="00BF3B6F" w:rsidRPr="00BF3B6F">
        <w:rPr>
          <w:color w:val="auto"/>
        </w:rPr>
        <w:t>64.94%, 8.72% y 34</w:t>
      </w:r>
      <w:r w:rsidR="00B44501" w:rsidRPr="00BF3B6F">
        <w:rPr>
          <w:color w:val="auto"/>
        </w:rPr>
        <w:t>.</w:t>
      </w:r>
      <w:r w:rsidR="00BF3B6F" w:rsidRPr="00BF3B6F">
        <w:rPr>
          <w:color w:val="auto"/>
        </w:rPr>
        <w:t>3</w:t>
      </w:r>
      <w:r w:rsidR="00B44501" w:rsidRPr="00BF3B6F">
        <w:rPr>
          <w:color w:val="auto"/>
        </w:rPr>
        <w:t>5% respectivamente, para un total de 35,1</w:t>
      </w:r>
      <w:r w:rsidR="00BF3B6F" w:rsidRPr="00BF3B6F">
        <w:rPr>
          <w:color w:val="auto"/>
        </w:rPr>
        <w:t>8</w:t>
      </w:r>
      <w:r w:rsidR="00B44501" w:rsidRPr="00BF3B6F">
        <w:rPr>
          <w:color w:val="auto"/>
        </w:rPr>
        <w:t>0 personas físicas activas, 4,7</w:t>
      </w:r>
      <w:r w:rsidR="00BF3B6F" w:rsidRPr="00BF3B6F">
        <w:rPr>
          <w:color w:val="auto"/>
        </w:rPr>
        <w:t>23</w:t>
      </w:r>
      <w:r w:rsidR="00B44501" w:rsidRPr="00BF3B6F">
        <w:rPr>
          <w:color w:val="auto"/>
        </w:rPr>
        <w:t xml:space="preserve"> empresas certificadas y 18,</w:t>
      </w:r>
      <w:r w:rsidR="00BF3B6F" w:rsidRPr="00BF3B6F">
        <w:rPr>
          <w:color w:val="auto"/>
        </w:rPr>
        <w:t>606</w:t>
      </w:r>
      <w:r w:rsidR="00B44501" w:rsidRPr="00BF3B6F">
        <w:rPr>
          <w:color w:val="auto"/>
        </w:rPr>
        <w:t xml:space="preserve"> </w:t>
      </w:r>
      <w:r w:rsidR="00B44501">
        <w:t xml:space="preserve">empresas con vocación MIPYME, mientras que las empresas clasificadas como “Gran empresa” solo reflejan el  </w:t>
      </w:r>
      <w:r w:rsidR="00B44501" w:rsidRPr="00DE2895">
        <w:t>0.</w:t>
      </w:r>
      <w:r w:rsidR="00BF3B6F">
        <w:t>71</w:t>
      </w:r>
      <w:r w:rsidR="00B44501" w:rsidRPr="00DE2895">
        <w:t>% para un total de 38</w:t>
      </w:r>
      <w:r w:rsidR="00BF3B6F">
        <w:t>7</w:t>
      </w:r>
      <w:r w:rsidR="00B44501" w:rsidRPr="00DE2895">
        <w:t xml:space="preserve"> </w:t>
      </w:r>
      <w:r w:rsidR="00B44501">
        <w:t>grandes empresas activas en el Registro.</w:t>
      </w:r>
    </w:p>
    <w:p w:rsidR="00B44501" w:rsidRPr="008C5836" w:rsidRDefault="00A622D0" w:rsidP="000E1D92">
      <w:pPr>
        <w:rPr>
          <w:color w:val="auto"/>
        </w:rPr>
      </w:pPr>
      <w:r w:rsidRPr="00DE2895">
        <w:rPr>
          <w:noProof/>
          <w:lang w:val="es-DO" w:eastAsia="es-DO"/>
        </w:rPr>
        <w:drawing>
          <wp:anchor distT="0" distB="0" distL="114300" distR="114300" simplePos="0" relativeHeight="251704320" behindDoc="0" locked="0" layoutInCell="1" allowOverlap="1" wp14:anchorId="3C6EE48E" wp14:editId="0542E8D7">
            <wp:simplePos x="0" y="0"/>
            <wp:positionH relativeFrom="column">
              <wp:posOffset>-438150</wp:posOffset>
            </wp:positionH>
            <wp:positionV relativeFrom="paragraph">
              <wp:posOffset>3125470</wp:posOffset>
            </wp:positionV>
            <wp:extent cx="6008370" cy="2286635"/>
            <wp:effectExtent l="0" t="0" r="0" b="0"/>
            <wp:wrapSquare wrapText="bothSides"/>
            <wp:docPr id="25" name="Gráfico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14:sizeRelH relativeFrom="margin">
              <wp14:pctWidth>0</wp14:pctWidth>
            </wp14:sizeRelH>
            <wp14:sizeRelV relativeFrom="margin">
              <wp14:pctHeight>0</wp14:pctHeight>
            </wp14:sizeRelV>
          </wp:anchor>
        </w:drawing>
      </w:r>
      <w:r w:rsidR="00B44501">
        <w:t xml:space="preserve">Desde el 2012 la Dirección General de Contrataciones Públicas, realiza actividades permanentes para desconcentrar la contratación pública, es decir, regionalizar las compras a proveedores, dentro de estas actividades se encuentra contar con informaciones detallada sobre la ubicación de los proveedores, en este </w:t>
      </w:r>
      <w:r w:rsidR="00B44501" w:rsidRPr="00191F0C">
        <w:rPr>
          <w:color w:val="auto"/>
        </w:rPr>
        <w:t xml:space="preserve">sentido a septiembre 2019 las </w:t>
      </w:r>
      <w:r w:rsidR="00B44501">
        <w:t xml:space="preserve">diez provincias </w:t>
      </w:r>
      <w:r w:rsidR="00B44501" w:rsidRPr="00C7185C">
        <w:t xml:space="preserve">que presentan mayor cantidad de proveedores registrados son </w:t>
      </w:r>
      <w:r w:rsidR="00B44501" w:rsidRPr="008C5836">
        <w:rPr>
          <w:color w:val="auto"/>
        </w:rPr>
        <w:t>el Distrito Nacional (44.88%), Santo Domingo (22.40%), Santiago (7.19%), San Cristóbal (2.86%), La Vega (2.64%), Duarte (1.87%), San Pedro de Macorís (1.71%), San Juan de la Maguana (1.42%), Puerto Plata (1.33%) y La Romana (1.24%)</w:t>
      </w:r>
      <w:r w:rsidR="006765CC" w:rsidRPr="008C5836">
        <w:rPr>
          <w:color w:val="auto"/>
        </w:rPr>
        <w:t>.</w:t>
      </w:r>
    </w:p>
    <w:p w:rsidR="000A224D" w:rsidRDefault="000A224D" w:rsidP="00A622D0"/>
    <w:p w:rsidR="00A622D0" w:rsidRPr="00DE2895" w:rsidRDefault="00A622D0" w:rsidP="00A622D0">
      <w:r w:rsidRPr="00DE2895">
        <w:t xml:space="preserve">Durante el 2019 la inscripción del género femenino en el Registro de Proveedores del </w:t>
      </w:r>
      <w:r w:rsidRPr="00BF3B6F">
        <w:rPr>
          <w:color w:val="auto"/>
        </w:rPr>
        <w:t>Estado ascendió a 1,2</w:t>
      </w:r>
      <w:r w:rsidR="00BF3B6F" w:rsidRPr="00BF3B6F">
        <w:rPr>
          <w:color w:val="auto"/>
        </w:rPr>
        <w:t>72</w:t>
      </w:r>
      <w:r w:rsidRPr="00BF3B6F">
        <w:rPr>
          <w:color w:val="auto"/>
        </w:rPr>
        <w:t xml:space="preserve"> para un total de 19,0</w:t>
      </w:r>
      <w:r w:rsidR="00BF3B6F" w:rsidRPr="00BF3B6F">
        <w:rPr>
          <w:color w:val="auto"/>
        </w:rPr>
        <w:t>82</w:t>
      </w:r>
      <w:r w:rsidRPr="00BF3B6F">
        <w:rPr>
          <w:color w:val="auto"/>
        </w:rPr>
        <w:t xml:space="preserve"> mujeres inscrita</w:t>
      </w:r>
      <w:r w:rsidRPr="00DE2895">
        <w:t xml:space="preserve">, lo que se traduce en un incremento del </w:t>
      </w:r>
      <w:r w:rsidR="00BF3B6F">
        <w:t>14</w:t>
      </w:r>
      <w:r w:rsidRPr="00DE2895">
        <w:t>% con relación al año 2018.</w:t>
      </w:r>
    </w:p>
    <w:p w:rsidR="00A622D0" w:rsidRDefault="00A622D0" w:rsidP="00A622D0">
      <w:pPr>
        <w:rPr>
          <w:color w:val="auto"/>
          <w:lang w:eastAsia="es-DO"/>
        </w:rPr>
      </w:pPr>
      <w:r w:rsidRPr="008C5836">
        <w:rPr>
          <w:color w:val="auto"/>
          <w:lang w:eastAsia="es-DO"/>
        </w:rPr>
        <w:t xml:space="preserve">De estas </w:t>
      </w:r>
      <w:r w:rsidR="00BF3B6F" w:rsidRPr="008C5836">
        <w:rPr>
          <w:color w:val="auto"/>
        </w:rPr>
        <w:t xml:space="preserve">19,082 </w:t>
      </w:r>
      <w:r w:rsidRPr="008C5836">
        <w:rPr>
          <w:color w:val="auto"/>
          <w:lang w:eastAsia="es-DO"/>
        </w:rPr>
        <w:t xml:space="preserve">mujeres el </w:t>
      </w:r>
      <w:r w:rsidR="00BF3B6F" w:rsidRPr="008C5836">
        <w:rPr>
          <w:color w:val="auto"/>
          <w:lang w:eastAsia="es-DO"/>
        </w:rPr>
        <w:t>59.71</w:t>
      </w:r>
      <w:r w:rsidRPr="008C5836">
        <w:rPr>
          <w:color w:val="auto"/>
          <w:lang w:eastAsia="es-DO"/>
        </w:rPr>
        <w:t>% son person</w:t>
      </w:r>
      <w:r w:rsidR="008C5836" w:rsidRPr="008C5836">
        <w:rPr>
          <w:color w:val="auto"/>
          <w:lang w:eastAsia="es-DO"/>
        </w:rPr>
        <w:t>as naturales con un total de 11,</w:t>
      </w:r>
      <w:r w:rsidRPr="008C5836">
        <w:rPr>
          <w:color w:val="auto"/>
          <w:lang w:eastAsia="es-DO"/>
        </w:rPr>
        <w:t>3</w:t>
      </w:r>
      <w:r w:rsidR="008C5836" w:rsidRPr="008C5836">
        <w:rPr>
          <w:color w:val="auto"/>
          <w:lang w:eastAsia="es-DO"/>
        </w:rPr>
        <w:t>94, el 38.54</w:t>
      </w:r>
      <w:r w:rsidRPr="008C5836">
        <w:rPr>
          <w:color w:val="auto"/>
          <w:lang w:eastAsia="es-DO"/>
        </w:rPr>
        <w:t>% son personas jurídicas con un total de 7,3</w:t>
      </w:r>
      <w:r w:rsidR="008C5836" w:rsidRPr="008C5836">
        <w:rPr>
          <w:color w:val="auto"/>
          <w:lang w:eastAsia="es-DO"/>
        </w:rPr>
        <w:t>55</w:t>
      </w:r>
      <w:r w:rsidRPr="008C5836">
        <w:rPr>
          <w:color w:val="auto"/>
          <w:lang w:eastAsia="es-DO"/>
        </w:rPr>
        <w:t>, las asociaciones sin fines de lucro representada por mujeres representan el 1.6</w:t>
      </w:r>
      <w:r w:rsidR="008C5836" w:rsidRPr="008C5836">
        <w:rPr>
          <w:color w:val="auto"/>
          <w:lang w:eastAsia="es-DO"/>
        </w:rPr>
        <w:t>6</w:t>
      </w:r>
      <w:r w:rsidRPr="008C5836">
        <w:rPr>
          <w:color w:val="auto"/>
          <w:lang w:eastAsia="es-DO"/>
        </w:rPr>
        <w:t xml:space="preserve">% </w:t>
      </w:r>
      <w:r w:rsidR="008C5836" w:rsidRPr="008C5836">
        <w:rPr>
          <w:color w:val="auto"/>
          <w:lang w:eastAsia="es-DO"/>
        </w:rPr>
        <w:t>con un total de 316</w:t>
      </w:r>
      <w:r w:rsidRPr="008C5836">
        <w:rPr>
          <w:color w:val="auto"/>
          <w:lang w:eastAsia="es-DO"/>
        </w:rPr>
        <w:t xml:space="preserve"> ASFL, 16 cooperativas que representan el </w:t>
      </w:r>
      <w:r w:rsidR="008C5836" w:rsidRPr="008C5836">
        <w:rPr>
          <w:color w:val="auto"/>
          <w:lang w:eastAsia="es-DO"/>
        </w:rPr>
        <w:t>0.08</w:t>
      </w:r>
      <w:r w:rsidRPr="008C5836">
        <w:rPr>
          <w:color w:val="auto"/>
          <w:lang w:eastAsia="es-DO"/>
        </w:rPr>
        <w:t>% del total de empresas femeninas registradas.</w:t>
      </w:r>
    </w:p>
    <w:p w:rsidR="008C5836" w:rsidRPr="008C5836" w:rsidRDefault="008C5836" w:rsidP="00A622D0">
      <w:pPr>
        <w:rPr>
          <w:color w:val="auto"/>
          <w:lang w:eastAsia="es-DO"/>
        </w:rPr>
      </w:pPr>
      <w:r w:rsidRPr="008C5836">
        <w:rPr>
          <w:color w:val="auto"/>
          <w:lang w:eastAsia="es-DO"/>
        </w:rPr>
        <w:t>De las mujeres activas en el Registro de Proveedor</w:t>
      </w:r>
      <w:r>
        <w:rPr>
          <w:color w:val="auto"/>
          <w:lang w:eastAsia="es-DO"/>
        </w:rPr>
        <w:t>es</w:t>
      </w:r>
      <w:r w:rsidRPr="008C5836">
        <w:rPr>
          <w:color w:val="auto"/>
          <w:lang w:eastAsia="es-DO"/>
        </w:rPr>
        <w:t xml:space="preserve"> 1,160 están certificadas como MIPYME, de estas el 63.71% son Micro, el 25.60% Pequeña y el 10.69% Mediana. Las demás mujeres del Registro se encuentran clasificadas como personas naturales con un 64.10% para un total de 10,331 mujeres y empresas no certificadas con vocación MIPYME.</w:t>
      </w:r>
    </w:p>
    <w:p w:rsidR="00A622D0" w:rsidRPr="00191F0C" w:rsidRDefault="00A622D0" w:rsidP="00191F0C">
      <w:pPr>
        <w:rPr>
          <w:b/>
          <w:color w:val="auto"/>
        </w:rPr>
      </w:pPr>
      <w:bookmarkStart w:id="17" w:name="_Toc21440221"/>
      <w:r w:rsidRPr="002B3A35">
        <w:rPr>
          <w:b/>
          <w:color w:val="auto"/>
        </w:rPr>
        <w:t>Registro de Proveedores MIPYME:</w:t>
      </w:r>
      <w:bookmarkEnd w:id="17"/>
      <w:r w:rsidRPr="002B3A35">
        <w:rPr>
          <w:b/>
          <w:color w:val="auto"/>
        </w:rPr>
        <w:t xml:space="preserve"> </w:t>
      </w:r>
      <w:r w:rsidRPr="002B3A35">
        <w:rPr>
          <w:color w:val="auto"/>
        </w:rPr>
        <w:t>Del total de</w:t>
      </w:r>
      <w:r w:rsidRPr="008C5836">
        <w:rPr>
          <w:color w:val="auto"/>
        </w:rPr>
        <w:t xml:space="preserve"> proveedores inscritos, 7,1</w:t>
      </w:r>
      <w:r w:rsidR="008C5836" w:rsidRPr="008C5836">
        <w:rPr>
          <w:color w:val="auto"/>
        </w:rPr>
        <w:t>63</w:t>
      </w:r>
      <w:r w:rsidRPr="008C5836">
        <w:rPr>
          <w:color w:val="auto"/>
        </w:rPr>
        <w:t xml:space="preserve"> son empresas certificadas MIPYME, de las cuales 4,7</w:t>
      </w:r>
      <w:r w:rsidR="008C5836" w:rsidRPr="008C5836">
        <w:rPr>
          <w:color w:val="auto"/>
        </w:rPr>
        <w:t>23</w:t>
      </w:r>
      <w:r w:rsidRPr="008C5836">
        <w:rPr>
          <w:color w:val="auto"/>
        </w:rPr>
        <w:t xml:space="preserve"> se encuentran en estado activo, representando el 65.</w:t>
      </w:r>
      <w:r w:rsidR="008C5836" w:rsidRPr="008C5836">
        <w:rPr>
          <w:color w:val="auto"/>
        </w:rPr>
        <w:t>94</w:t>
      </w:r>
      <w:r w:rsidRPr="008C5836">
        <w:rPr>
          <w:color w:val="auto"/>
        </w:rPr>
        <w:t>% del total de MIPYME inscritas. El 3</w:t>
      </w:r>
      <w:r w:rsidR="008C5836" w:rsidRPr="008C5836">
        <w:rPr>
          <w:color w:val="auto"/>
        </w:rPr>
        <w:t>3</w:t>
      </w:r>
      <w:r w:rsidRPr="008C5836">
        <w:rPr>
          <w:color w:val="auto"/>
        </w:rPr>
        <w:t>.</w:t>
      </w:r>
      <w:r w:rsidR="008C5836" w:rsidRPr="008C5836">
        <w:rPr>
          <w:color w:val="auto"/>
        </w:rPr>
        <w:t>98</w:t>
      </w:r>
      <w:r w:rsidRPr="008C5836">
        <w:rPr>
          <w:color w:val="auto"/>
        </w:rPr>
        <w:t>% se encuentra en Estado desactualizado, totalizando 2,</w:t>
      </w:r>
      <w:r w:rsidR="008C5836" w:rsidRPr="008C5836">
        <w:rPr>
          <w:color w:val="auto"/>
        </w:rPr>
        <w:t>434</w:t>
      </w:r>
      <w:r w:rsidRPr="008C5836">
        <w:rPr>
          <w:color w:val="auto"/>
        </w:rPr>
        <w:t xml:space="preserve"> empresas MIPYME</w:t>
      </w:r>
      <w:r>
        <w:rPr>
          <w:color w:val="auto"/>
        </w:rPr>
        <w:t xml:space="preserve">, </w:t>
      </w:r>
      <w:r w:rsidRPr="00191F0C">
        <w:rPr>
          <w:color w:val="auto"/>
        </w:rPr>
        <w:t xml:space="preserve">al </w:t>
      </w:r>
      <w:r w:rsidR="008C5836" w:rsidRPr="00191F0C">
        <w:rPr>
          <w:color w:val="auto"/>
        </w:rPr>
        <w:t>30 de noviembre</w:t>
      </w:r>
      <w:r w:rsidRPr="00191F0C">
        <w:rPr>
          <w:color w:val="auto"/>
        </w:rPr>
        <w:t xml:space="preserve"> 2019</w:t>
      </w:r>
      <w:r>
        <w:rPr>
          <w:color w:val="auto"/>
        </w:rPr>
        <w:t>. Mientras que</w:t>
      </w:r>
      <w:r w:rsidRPr="002B3A35">
        <w:rPr>
          <w:color w:val="auto"/>
        </w:rPr>
        <w:t xml:space="preserve"> solo se </w:t>
      </w:r>
      <w:r w:rsidRPr="008C5836">
        <w:rPr>
          <w:color w:val="auto"/>
        </w:rPr>
        <w:t xml:space="preserve">encuentran 6 MIPYME inhabilitadas por el Órgano Rector, o un 0.08% del total </w:t>
      </w:r>
      <w:r w:rsidRPr="002B3A35">
        <w:rPr>
          <w:color w:val="auto"/>
        </w:rPr>
        <w:t>de empresas certificadas en el Registro.</w:t>
      </w:r>
      <w:r w:rsidRPr="002B3A35">
        <w:rPr>
          <w:b/>
          <w:color w:val="auto"/>
        </w:rPr>
        <w:t xml:space="preserve"> </w:t>
      </w:r>
    </w:p>
    <w:p w:rsidR="00D64E79" w:rsidRDefault="00A622D0" w:rsidP="00A622D0">
      <w:pPr>
        <w:rPr>
          <w:color w:val="FF0000"/>
        </w:rPr>
      </w:pPr>
      <w:r w:rsidRPr="008C5836">
        <w:rPr>
          <w:color w:val="auto"/>
          <w:lang w:eastAsia="es-DO"/>
        </w:rPr>
        <w:t>De las 4,7</w:t>
      </w:r>
      <w:r w:rsidR="008C5836" w:rsidRPr="008C5836">
        <w:rPr>
          <w:color w:val="auto"/>
          <w:lang w:eastAsia="es-DO"/>
        </w:rPr>
        <w:t>23</w:t>
      </w:r>
      <w:r w:rsidRPr="008C5836">
        <w:rPr>
          <w:color w:val="auto"/>
          <w:lang w:eastAsia="es-DO"/>
        </w:rPr>
        <w:t xml:space="preserve"> empresas MIPYME activas el 86.</w:t>
      </w:r>
      <w:r w:rsidR="008C5836" w:rsidRPr="008C5836">
        <w:rPr>
          <w:color w:val="auto"/>
          <w:lang w:eastAsia="es-DO"/>
        </w:rPr>
        <w:t>43</w:t>
      </w:r>
      <w:r w:rsidRPr="008C5836">
        <w:rPr>
          <w:color w:val="auto"/>
          <w:lang w:eastAsia="es-DO"/>
        </w:rPr>
        <w:t>% son empresas</w:t>
      </w:r>
      <w:r w:rsidR="008C5836" w:rsidRPr="008C5836">
        <w:rPr>
          <w:color w:val="auto"/>
          <w:lang w:eastAsia="es-DO"/>
        </w:rPr>
        <w:t xml:space="preserve"> para un total de 4,082</w:t>
      </w:r>
      <w:r w:rsidRPr="008C5836">
        <w:rPr>
          <w:color w:val="auto"/>
          <w:lang w:eastAsia="es-DO"/>
        </w:rPr>
        <w:t>, las personas físicas certificadas representan un</w:t>
      </w:r>
      <w:r w:rsidR="008C5836" w:rsidRPr="008C5836">
        <w:rPr>
          <w:color w:val="auto"/>
          <w:lang w:eastAsia="es-DO"/>
        </w:rPr>
        <w:t xml:space="preserve"> </w:t>
      </w:r>
      <w:r w:rsidRPr="008C5836">
        <w:rPr>
          <w:color w:val="auto"/>
          <w:lang w:eastAsia="es-DO"/>
        </w:rPr>
        <w:t>13.</w:t>
      </w:r>
      <w:r w:rsidR="008C5836" w:rsidRPr="008C5836">
        <w:rPr>
          <w:color w:val="auto"/>
          <w:lang w:eastAsia="es-DO"/>
        </w:rPr>
        <w:t>57% para un total de 641</w:t>
      </w:r>
      <w:r w:rsidRPr="008C5836">
        <w:rPr>
          <w:color w:val="auto"/>
          <w:lang w:eastAsia="es-DO"/>
        </w:rPr>
        <w:t xml:space="preserve"> personas, como se muestra en el siguiente gráfic</w:t>
      </w:r>
      <w:r w:rsidRPr="005E3FEF">
        <w:rPr>
          <w:color w:val="auto"/>
          <w:lang w:eastAsia="es-DO"/>
        </w:rPr>
        <w:t>o</w:t>
      </w:r>
      <w:r w:rsidR="008C5836" w:rsidRPr="005E3FEF">
        <w:rPr>
          <w:color w:val="auto"/>
          <w:lang w:eastAsia="es-DO"/>
        </w:rPr>
        <w:t>.</w:t>
      </w:r>
      <w:r w:rsidR="008C5836">
        <w:rPr>
          <w:lang w:eastAsia="es-DO"/>
        </w:rPr>
        <w:t xml:space="preserve"> </w:t>
      </w:r>
    </w:p>
    <w:p w:rsidR="00A622D0" w:rsidRPr="000A224D" w:rsidRDefault="00A622D0" w:rsidP="000A224D">
      <w:pPr>
        <w:rPr>
          <w:color w:val="auto"/>
          <w:lang w:eastAsia="es-DO"/>
        </w:rPr>
      </w:pPr>
      <w:r w:rsidRPr="008C5836">
        <w:rPr>
          <w:color w:val="auto"/>
          <w:lang w:eastAsia="es-DO"/>
        </w:rPr>
        <w:t xml:space="preserve">De igual modo, en el Registro de Proveedores del Estado el </w:t>
      </w:r>
      <w:r w:rsidR="008C5836" w:rsidRPr="008C5836">
        <w:rPr>
          <w:color w:val="auto"/>
          <w:lang w:eastAsia="es-DO"/>
        </w:rPr>
        <w:t>64.83</w:t>
      </w:r>
      <w:r w:rsidRPr="008C5836">
        <w:rPr>
          <w:color w:val="auto"/>
          <w:lang w:eastAsia="es-DO"/>
        </w:rPr>
        <w:t xml:space="preserve">% de las empresas MIPYME activas son Micro empresas con un total de </w:t>
      </w:r>
      <w:r w:rsidR="008C5836" w:rsidRPr="008C5836">
        <w:rPr>
          <w:color w:val="auto"/>
          <w:lang w:eastAsia="es-DO"/>
        </w:rPr>
        <w:t>4,645</w:t>
      </w:r>
      <w:r w:rsidRPr="008C5836">
        <w:rPr>
          <w:color w:val="auto"/>
          <w:lang w:eastAsia="es-DO"/>
        </w:rPr>
        <w:t xml:space="preserve">, las empresas pequeñas representan el </w:t>
      </w:r>
      <w:r w:rsidR="008C5836" w:rsidRPr="008C5836">
        <w:rPr>
          <w:color w:val="auto"/>
          <w:lang w:eastAsia="es-DO"/>
        </w:rPr>
        <w:t>24.36</w:t>
      </w:r>
      <w:r w:rsidRPr="008C5836">
        <w:rPr>
          <w:color w:val="auto"/>
          <w:lang w:eastAsia="es-DO"/>
        </w:rPr>
        <w:t xml:space="preserve">% con un total de </w:t>
      </w:r>
      <w:r w:rsidR="008C5836" w:rsidRPr="008C5836">
        <w:rPr>
          <w:color w:val="auto"/>
          <w:lang w:eastAsia="es-DO"/>
        </w:rPr>
        <w:t>1,</w:t>
      </w:r>
      <w:r w:rsidRPr="008C5836">
        <w:rPr>
          <w:color w:val="auto"/>
          <w:lang w:eastAsia="es-DO"/>
        </w:rPr>
        <w:t>7</w:t>
      </w:r>
      <w:r w:rsidR="008C5836" w:rsidRPr="008C5836">
        <w:rPr>
          <w:color w:val="auto"/>
          <w:lang w:eastAsia="es-DO"/>
        </w:rPr>
        <w:t>45 empresas y las medianas un 10.79</w:t>
      </w:r>
      <w:r w:rsidRPr="008C5836">
        <w:rPr>
          <w:color w:val="auto"/>
          <w:lang w:eastAsia="es-DO"/>
        </w:rPr>
        <w:t xml:space="preserve">% para un total de </w:t>
      </w:r>
      <w:r w:rsidR="008C5836" w:rsidRPr="008C5836">
        <w:rPr>
          <w:color w:val="auto"/>
          <w:lang w:eastAsia="es-DO"/>
        </w:rPr>
        <w:t>763</w:t>
      </w:r>
      <w:r w:rsidR="00D64E79">
        <w:rPr>
          <w:color w:val="auto"/>
          <w:lang w:eastAsia="es-DO"/>
        </w:rPr>
        <w:t>.</w:t>
      </w:r>
    </w:p>
    <w:p w:rsidR="00A622D0" w:rsidRPr="000A224D" w:rsidRDefault="00A622D0" w:rsidP="000A224D">
      <w:pPr>
        <w:rPr>
          <w:color w:val="auto"/>
        </w:rPr>
      </w:pPr>
      <w:r w:rsidRPr="005E3FEF">
        <w:rPr>
          <w:b/>
          <w:color w:val="auto"/>
        </w:rPr>
        <w:t>Sistema de Reclamos, Investigaciones e Impugnaciones</w:t>
      </w:r>
      <w:r w:rsidRPr="000A224D">
        <w:rPr>
          <w:b/>
          <w:color w:val="auto"/>
        </w:rPr>
        <w:t xml:space="preserve">: </w:t>
      </w:r>
      <w:r w:rsidRPr="000A224D">
        <w:rPr>
          <w:color w:val="auto"/>
        </w:rPr>
        <w:t>La Dirección General de Contrataciones Públicas, como Órgano Rector del Sistema Nacional de Compras y Contrataciones Públicas (SNCCP) debe ejercer las funciones y facultades previstas en los artículos 36, 67, 71 y 72 de la Ley Núm. 340-06 y su modificación, relativas a verificar que los entes y órganos de la Administración Pública apliquen la normativa nacional en los procedimientos de adquisición y decidir sobre las controversias que en el marco de éstas puedan generarse. Durante el 2019, fueron emitidos 42 dictámenes jurídicos resolutivos de conflictos. En dicho período, los casos de reclamaciones ante la Dirección General de Contrataciones Públicas fueron los siguientes:</w:t>
      </w:r>
    </w:p>
    <w:p w:rsidR="00A622D0" w:rsidRPr="006C5F08" w:rsidRDefault="00A622D0" w:rsidP="00A622D0">
      <w:pPr>
        <w:pStyle w:val="Textoindependiente"/>
        <w:spacing w:before="2"/>
        <w:rPr>
          <w:sz w:val="10"/>
        </w:rPr>
      </w:pPr>
    </w:p>
    <w:tbl>
      <w:tblPr>
        <w:tblStyle w:val="TableNormal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45"/>
        <w:gridCol w:w="3155"/>
      </w:tblGrid>
      <w:tr w:rsidR="00A622D0" w:rsidRPr="006C5F08" w:rsidTr="000A224D">
        <w:trPr>
          <w:trHeight w:val="649"/>
          <w:jc w:val="center"/>
        </w:trPr>
        <w:tc>
          <w:tcPr>
            <w:tcW w:w="7900" w:type="dxa"/>
            <w:gridSpan w:val="2"/>
            <w:shd w:val="clear" w:color="auto" w:fill="4472C4" w:themeFill="accent5"/>
          </w:tcPr>
          <w:p w:rsidR="00A622D0" w:rsidRDefault="00A622D0" w:rsidP="009E0A31">
            <w:pPr>
              <w:pStyle w:val="TableParagraph"/>
              <w:spacing w:before="0" w:line="276" w:lineRule="exact"/>
              <w:ind w:right="1454"/>
              <w:jc w:val="center"/>
              <w:rPr>
                <w:b/>
                <w:color w:val="FFFFFF"/>
              </w:rPr>
            </w:pPr>
            <w:r>
              <w:rPr>
                <w:b/>
                <w:color w:val="FFFFFF"/>
              </w:rPr>
              <w:t xml:space="preserve">                        </w:t>
            </w:r>
            <w:r w:rsidRPr="006C5F08">
              <w:rPr>
                <w:b/>
                <w:color w:val="FFFFFF"/>
              </w:rPr>
              <w:t xml:space="preserve">Dictámenes o </w:t>
            </w:r>
            <w:r>
              <w:rPr>
                <w:b/>
                <w:color w:val="FFFFFF"/>
              </w:rPr>
              <w:t>Resoluciones Emitidas</w:t>
            </w:r>
          </w:p>
          <w:p w:rsidR="00A622D0" w:rsidRPr="006C5F08" w:rsidRDefault="00A622D0" w:rsidP="009E0A31">
            <w:pPr>
              <w:pStyle w:val="TableParagraph"/>
              <w:spacing w:before="0" w:line="276" w:lineRule="exact"/>
              <w:ind w:right="1454"/>
              <w:jc w:val="center"/>
              <w:rPr>
                <w:b/>
              </w:rPr>
            </w:pPr>
            <w:r>
              <w:rPr>
                <w:b/>
                <w:color w:val="FFFFFF"/>
              </w:rPr>
              <w:t xml:space="preserve">                       Enero-Noviembre 2019</w:t>
            </w:r>
          </w:p>
        </w:tc>
      </w:tr>
      <w:tr w:rsidR="00A622D0" w:rsidRPr="006C5F08" w:rsidTr="000A224D">
        <w:trPr>
          <w:trHeight w:val="270"/>
          <w:jc w:val="center"/>
        </w:trPr>
        <w:tc>
          <w:tcPr>
            <w:tcW w:w="4745" w:type="dxa"/>
            <w:shd w:val="clear" w:color="auto" w:fill="4472C4" w:themeFill="accent5"/>
          </w:tcPr>
          <w:p w:rsidR="00A622D0" w:rsidRPr="006C5F08" w:rsidRDefault="00A622D0" w:rsidP="009E0A31">
            <w:pPr>
              <w:pStyle w:val="TableParagraph"/>
              <w:spacing w:before="0" w:line="256" w:lineRule="exact"/>
              <w:ind w:left="1442"/>
              <w:rPr>
                <w:b/>
              </w:rPr>
            </w:pPr>
            <w:r w:rsidRPr="006C5F08">
              <w:rPr>
                <w:b/>
                <w:color w:val="FFFFFF"/>
              </w:rPr>
              <w:t>Tipo de resolución</w:t>
            </w:r>
          </w:p>
        </w:tc>
        <w:tc>
          <w:tcPr>
            <w:tcW w:w="3155" w:type="dxa"/>
            <w:shd w:val="clear" w:color="auto" w:fill="4472C4" w:themeFill="accent5"/>
          </w:tcPr>
          <w:p w:rsidR="00A622D0" w:rsidRPr="006C5F08" w:rsidRDefault="00A622D0" w:rsidP="009E0A31">
            <w:pPr>
              <w:pStyle w:val="TableParagraph"/>
              <w:spacing w:before="0"/>
              <w:ind w:firstLine="19"/>
              <w:jc w:val="center"/>
              <w:rPr>
                <w:b/>
              </w:rPr>
            </w:pPr>
            <w:r w:rsidRPr="006C5F08">
              <w:rPr>
                <w:b/>
                <w:color w:val="FFFFFF"/>
              </w:rPr>
              <w:t>Cantidad</w:t>
            </w:r>
          </w:p>
        </w:tc>
      </w:tr>
      <w:tr w:rsidR="00A622D0" w:rsidRPr="006C5F08" w:rsidTr="000A224D">
        <w:trPr>
          <w:trHeight w:val="270"/>
          <w:jc w:val="center"/>
        </w:trPr>
        <w:tc>
          <w:tcPr>
            <w:tcW w:w="4745" w:type="dxa"/>
          </w:tcPr>
          <w:p w:rsidR="00A622D0" w:rsidRPr="004D2C0F" w:rsidRDefault="00A622D0" w:rsidP="009E0A31">
            <w:pPr>
              <w:pStyle w:val="TableParagraph"/>
              <w:spacing w:before="0" w:line="259" w:lineRule="exact"/>
              <w:ind w:left="108"/>
            </w:pPr>
            <w:r>
              <w:t>Recursos J</w:t>
            </w:r>
            <w:r w:rsidRPr="004D2C0F">
              <w:t>erárquicos</w:t>
            </w:r>
          </w:p>
        </w:tc>
        <w:tc>
          <w:tcPr>
            <w:tcW w:w="3155" w:type="dxa"/>
          </w:tcPr>
          <w:p w:rsidR="00A622D0" w:rsidRPr="004D2C0F" w:rsidRDefault="00A622D0" w:rsidP="009E0A31">
            <w:pPr>
              <w:pStyle w:val="TableParagraph"/>
              <w:spacing w:before="0" w:line="259" w:lineRule="exact"/>
              <w:ind w:left="19" w:right="9" w:firstLine="0"/>
              <w:jc w:val="center"/>
            </w:pPr>
            <w:r w:rsidRPr="004D2C0F">
              <w:t>16</w:t>
            </w:r>
          </w:p>
        </w:tc>
      </w:tr>
      <w:tr w:rsidR="00A622D0" w:rsidRPr="006C5F08" w:rsidTr="000A224D">
        <w:trPr>
          <w:trHeight w:val="274"/>
          <w:jc w:val="center"/>
        </w:trPr>
        <w:tc>
          <w:tcPr>
            <w:tcW w:w="4745" w:type="dxa"/>
          </w:tcPr>
          <w:p w:rsidR="00A622D0" w:rsidRPr="006C5F08" w:rsidRDefault="00A622D0" w:rsidP="009E0A31">
            <w:pPr>
              <w:pStyle w:val="TableParagraph"/>
              <w:spacing w:before="0" w:line="249" w:lineRule="exact"/>
              <w:ind w:left="108"/>
            </w:pPr>
            <w:r>
              <w:t>Medidas C</w:t>
            </w:r>
            <w:r w:rsidRPr="006C5F08">
              <w:t>autelares</w:t>
            </w:r>
          </w:p>
        </w:tc>
        <w:tc>
          <w:tcPr>
            <w:tcW w:w="3155" w:type="dxa"/>
          </w:tcPr>
          <w:p w:rsidR="00A622D0" w:rsidRPr="006C5F08" w:rsidRDefault="00A622D0" w:rsidP="009E0A31">
            <w:pPr>
              <w:pStyle w:val="TableParagraph"/>
              <w:spacing w:before="0" w:line="249" w:lineRule="exact"/>
              <w:ind w:left="19" w:right="9" w:firstLine="0"/>
              <w:jc w:val="center"/>
            </w:pPr>
            <w:r>
              <w:t>11</w:t>
            </w:r>
          </w:p>
        </w:tc>
      </w:tr>
      <w:tr w:rsidR="00A622D0" w:rsidRPr="006C5F08" w:rsidTr="000A224D">
        <w:trPr>
          <w:trHeight w:val="274"/>
          <w:jc w:val="center"/>
        </w:trPr>
        <w:tc>
          <w:tcPr>
            <w:tcW w:w="4745" w:type="dxa"/>
          </w:tcPr>
          <w:p w:rsidR="00A622D0" w:rsidRPr="006C5F08" w:rsidRDefault="00A622D0" w:rsidP="009E0A31">
            <w:pPr>
              <w:pStyle w:val="TableParagraph"/>
              <w:spacing w:before="0" w:line="249" w:lineRule="exact"/>
              <w:ind w:left="108"/>
            </w:pPr>
            <w:r w:rsidRPr="00021F5E">
              <w:t>Medida Cautelar de Oficio</w:t>
            </w:r>
          </w:p>
        </w:tc>
        <w:tc>
          <w:tcPr>
            <w:tcW w:w="3155" w:type="dxa"/>
          </w:tcPr>
          <w:p w:rsidR="00A622D0" w:rsidRDefault="00A622D0" w:rsidP="009E0A31">
            <w:pPr>
              <w:pStyle w:val="TableParagraph"/>
              <w:spacing w:before="0" w:line="249" w:lineRule="exact"/>
              <w:ind w:left="19" w:right="9" w:firstLine="0"/>
              <w:jc w:val="center"/>
            </w:pPr>
            <w:r>
              <w:t>1</w:t>
            </w:r>
          </w:p>
        </w:tc>
      </w:tr>
      <w:tr w:rsidR="00A622D0" w:rsidRPr="006C5F08" w:rsidTr="000A224D">
        <w:trPr>
          <w:trHeight w:val="274"/>
          <w:jc w:val="center"/>
        </w:trPr>
        <w:tc>
          <w:tcPr>
            <w:tcW w:w="4745" w:type="dxa"/>
          </w:tcPr>
          <w:p w:rsidR="00A622D0" w:rsidRPr="00021F5E" w:rsidRDefault="00A622D0" w:rsidP="009E0A31">
            <w:pPr>
              <w:pStyle w:val="TableParagraph"/>
              <w:spacing w:before="0" w:line="256" w:lineRule="exact"/>
              <w:ind w:left="108"/>
            </w:pPr>
            <w:r w:rsidRPr="00021F5E">
              <w:t xml:space="preserve">Investigaciones de </w:t>
            </w:r>
            <w:r>
              <w:t>O</w:t>
            </w:r>
            <w:r w:rsidRPr="00021F5E">
              <w:t>ficio</w:t>
            </w:r>
          </w:p>
        </w:tc>
        <w:tc>
          <w:tcPr>
            <w:tcW w:w="3155" w:type="dxa"/>
          </w:tcPr>
          <w:p w:rsidR="00A622D0" w:rsidRPr="00021F5E" w:rsidRDefault="00A622D0" w:rsidP="009E0A31">
            <w:pPr>
              <w:pStyle w:val="TableParagraph"/>
              <w:spacing w:before="0" w:line="256" w:lineRule="exact"/>
              <w:ind w:left="19" w:firstLine="0"/>
              <w:jc w:val="center"/>
            </w:pPr>
            <w:r w:rsidRPr="00021F5E">
              <w:t>2</w:t>
            </w:r>
          </w:p>
        </w:tc>
      </w:tr>
      <w:tr w:rsidR="00A622D0" w:rsidRPr="006C5F08" w:rsidTr="000A224D">
        <w:trPr>
          <w:trHeight w:val="282"/>
          <w:jc w:val="center"/>
        </w:trPr>
        <w:tc>
          <w:tcPr>
            <w:tcW w:w="4745" w:type="dxa"/>
          </w:tcPr>
          <w:p w:rsidR="00A622D0" w:rsidRPr="008308AB" w:rsidRDefault="00A622D0" w:rsidP="009E0A31">
            <w:pPr>
              <w:pStyle w:val="TableParagraph"/>
              <w:spacing w:before="0" w:line="262" w:lineRule="exact"/>
              <w:ind w:left="108"/>
            </w:pPr>
            <w:r w:rsidRPr="008308AB">
              <w:t xml:space="preserve">Solicitudes de </w:t>
            </w:r>
            <w:r>
              <w:t>I</w:t>
            </w:r>
            <w:r w:rsidRPr="008308AB">
              <w:t>nvestigación</w:t>
            </w:r>
          </w:p>
        </w:tc>
        <w:tc>
          <w:tcPr>
            <w:tcW w:w="3155" w:type="dxa"/>
          </w:tcPr>
          <w:p w:rsidR="00A622D0" w:rsidRPr="008308AB" w:rsidRDefault="00A622D0" w:rsidP="009E0A31">
            <w:pPr>
              <w:pStyle w:val="TableParagraph"/>
              <w:spacing w:before="0" w:line="262" w:lineRule="exact"/>
              <w:ind w:left="19" w:firstLine="0"/>
              <w:jc w:val="center"/>
            </w:pPr>
            <w:r w:rsidRPr="008308AB">
              <w:t>5</w:t>
            </w:r>
          </w:p>
        </w:tc>
      </w:tr>
      <w:tr w:rsidR="00A622D0" w:rsidRPr="006C5F08" w:rsidTr="000A224D">
        <w:trPr>
          <w:trHeight w:val="282"/>
          <w:jc w:val="center"/>
        </w:trPr>
        <w:tc>
          <w:tcPr>
            <w:tcW w:w="4745" w:type="dxa"/>
          </w:tcPr>
          <w:p w:rsidR="00A622D0" w:rsidRPr="008308AB" w:rsidRDefault="00A622D0" w:rsidP="009E0A31">
            <w:pPr>
              <w:pStyle w:val="TableParagraph"/>
              <w:spacing w:before="0" w:line="262" w:lineRule="exact"/>
              <w:ind w:left="108"/>
            </w:pPr>
            <w:r>
              <w:t>Rectificación</w:t>
            </w:r>
          </w:p>
        </w:tc>
        <w:tc>
          <w:tcPr>
            <w:tcW w:w="3155" w:type="dxa"/>
          </w:tcPr>
          <w:p w:rsidR="00A622D0" w:rsidRPr="008308AB" w:rsidRDefault="00A622D0" w:rsidP="009E0A31">
            <w:pPr>
              <w:pStyle w:val="TableParagraph"/>
              <w:spacing w:before="0" w:line="262" w:lineRule="exact"/>
              <w:ind w:left="19" w:firstLine="0"/>
              <w:jc w:val="center"/>
            </w:pPr>
            <w:r>
              <w:t>1</w:t>
            </w:r>
          </w:p>
        </w:tc>
      </w:tr>
      <w:tr w:rsidR="00A622D0" w:rsidRPr="006C5F08" w:rsidTr="000A224D">
        <w:trPr>
          <w:trHeight w:val="274"/>
          <w:jc w:val="center"/>
        </w:trPr>
        <w:tc>
          <w:tcPr>
            <w:tcW w:w="4745" w:type="dxa"/>
          </w:tcPr>
          <w:p w:rsidR="00A622D0" w:rsidRPr="004D2C0F" w:rsidRDefault="00A622D0" w:rsidP="009E0A31">
            <w:pPr>
              <w:pStyle w:val="TableParagraph"/>
              <w:spacing w:before="0" w:line="255" w:lineRule="exact"/>
              <w:ind w:left="108"/>
            </w:pPr>
            <w:r w:rsidRPr="004D2C0F">
              <w:t>Solicitudes de inhabilitación de RPE</w:t>
            </w:r>
          </w:p>
        </w:tc>
        <w:tc>
          <w:tcPr>
            <w:tcW w:w="3155" w:type="dxa"/>
          </w:tcPr>
          <w:p w:rsidR="00A622D0" w:rsidRPr="004D2C0F" w:rsidRDefault="00A622D0" w:rsidP="009E0A31">
            <w:pPr>
              <w:pStyle w:val="TableParagraph"/>
              <w:spacing w:before="0" w:line="255" w:lineRule="exact"/>
              <w:ind w:left="19" w:firstLine="0"/>
              <w:jc w:val="center"/>
            </w:pPr>
            <w:r w:rsidRPr="004D2C0F">
              <w:t>6</w:t>
            </w:r>
          </w:p>
        </w:tc>
      </w:tr>
      <w:tr w:rsidR="00A622D0" w:rsidRPr="006C5F08" w:rsidTr="000A224D">
        <w:trPr>
          <w:trHeight w:val="275"/>
          <w:jc w:val="center"/>
        </w:trPr>
        <w:tc>
          <w:tcPr>
            <w:tcW w:w="4745" w:type="dxa"/>
          </w:tcPr>
          <w:p w:rsidR="00A622D0" w:rsidRPr="004D2C0F" w:rsidRDefault="00A622D0" w:rsidP="009E0A31">
            <w:pPr>
              <w:pStyle w:val="TableParagraph"/>
              <w:spacing w:before="0" w:line="256" w:lineRule="exact"/>
              <w:ind w:left="108"/>
            </w:pPr>
            <w:r w:rsidRPr="004D2C0F">
              <w:t>Reconsideración</w:t>
            </w:r>
          </w:p>
        </w:tc>
        <w:tc>
          <w:tcPr>
            <w:tcW w:w="3155" w:type="dxa"/>
          </w:tcPr>
          <w:p w:rsidR="00A622D0" w:rsidRPr="004D2C0F" w:rsidRDefault="00A622D0" w:rsidP="009E0A31">
            <w:pPr>
              <w:pStyle w:val="TableParagraph"/>
              <w:spacing w:before="0" w:line="256" w:lineRule="exact"/>
              <w:ind w:left="19" w:firstLine="0"/>
              <w:jc w:val="center"/>
            </w:pPr>
            <w:r w:rsidRPr="004D2C0F">
              <w:t>1</w:t>
            </w:r>
          </w:p>
        </w:tc>
      </w:tr>
      <w:tr w:rsidR="00A622D0" w:rsidRPr="006C5F08" w:rsidTr="000A224D">
        <w:trPr>
          <w:trHeight w:val="275"/>
          <w:jc w:val="center"/>
        </w:trPr>
        <w:tc>
          <w:tcPr>
            <w:tcW w:w="4745" w:type="dxa"/>
          </w:tcPr>
          <w:p w:rsidR="00A622D0" w:rsidRPr="004D2C0F" w:rsidRDefault="00A622D0" w:rsidP="009E0A31">
            <w:pPr>
              <w:pStyle w:val="TableParagraph"/>
              <w:spacing w:before="0" w:line="256" w:lineRule="exact"/>
              <w:ind w:left="108"/>
            </w:pPr>
            <w:r w:rsidRPr="004D2C0F">
              <w:t>Aprobación de concesiones</w:t>
            </w:r>
          </w:p>
        </w:tc>
        <w:tc>
          <w:tcPr>
            <w:tcW w:w="3155" w:type="dxa"/>
          </w:tcPr>
          <w:p w:rsidR="00A622D0" w:rsidRPr="004D2C0F" w:rsidRDefault="00A622D0" w:rsidP="009E0A31">
            <w:pPr>
              <w:pStyle w:val="TableParagraph"/>
              <w:spacing w:before="0" w:line="256" w:lineRule="exact"/>
              <w:ind w:left="19" w:firstLine="0"/>
              <w:jc w:val="center"/>
            </w:pPr>
            <w:r>
              <w:t>0</w:t>
            </w:r>
          </w:p>
        </w:tc>
      </w:tr>
      <w:tr w:rsidR="00A622D0" w:rsidRPr="006C5F08" w:rsidTr="000A224D">
        <w:trPr>
          <w:trHeight w:val="282"/>
          <w:jc w:val="center"/>
        </w:trPr>
        <w:tc>
          <w:tcPr>
            <w:tcW w:w="4745" w:type="dxa"/>
          </w:tcPr>
          <w:p w:rsidR="00A622D0" w:rsidRPr="004D2C0F" w:rsidRDefault="00A622D0" w:rsidP="009E0A31">
            <w:pPr>
              <w:pStyle w:val="TableParagraph"/>
              <w:spacing w:before="0" w:line="272" w:lineRule="exact"/>
              <w:ind w:left="108"/>
            </w:pPr>
            <w:r w:rsidRPr="004D2C0F">
              <w:t>Variación de medida cautelar</w:t>
            </w:r>
          </w:p>
        </w:tc>
        <w:tc>
          <w:tcPr>
            <w:tcW w:w="3155" w:type="dxa"/>
          </w:tcPr>
          <w:p w:rsidR="00A622D0" w:rsidRPr="004D2C0F" w:rsidRDefault="00A622D0" w:rsidP="009E0A31">
            <w:pPr>
              <w:pStyle w:val="TableParagraph"/>
              <w:spacing w:before="0" w:line="272" w:lineRule="exact"/>
              <w:ind w:left="19" w:firstLine="0"/>
              <w:jc w:val="center"/>
            </w:pPr>
            <w:r w:rsidRPr="004D2C0F">
              <w:t>0</w:t>
            </w:r>
          </w:p>
        </w:tc>
      </w:tr>
      <w:tr w:rsidR="00A622D0" w:rsidRPr="006C5F08" w:rsidTr="000A224D">
        <w:trPr>
          <w:trHeight w:val="285"/>
          <w:jc w:val="center"/>
        </w:trPr>
        <w:tc>
          <w:tcPr>
            <w:tcW w:w="4745" w:type="dxa"/>
            <w:shd w:val="clear" w:color="auto" w:fill="4472C4" w:themeFill="accent5"/>
          </w:tcPr>
          <w:p w:rsidR="00A622D0" w:rsidRPr="006C5F08" w:rsidRDefault="00A622D0" w:rsidP="009E0A31">
            <w:pPr>
              <w:pStyle w:val="TableParagraph"/>
              <w:spacing w:before="0" w:line="256" w:lineRule="exact"/>
              <w:ind w:left="1350" w:right="2063"/>
              <w:jc w:val="center"/>
              <w:rPr>
                <w:b/>
              </w:rPr>
            </w:pPr>
            <w:r w:rsidRPr="006C5F08">
              <w:rPr>
                <w:b/>
                <w:color w:val="FFFFFF"/>
              </w:rPr>
              <w:t>Total</w:t>
            </w:r>
          </w:p>
        </w:tc>
        <w:tc>
          <w:tcPr>
            <w:tcW w:w="3155" w:type="dxa"/>
            <w:shd w:val="clear" w:color="auto" w:fill="4472C4" w:themeFill="accent5"/>
          </w:tcPr>
          <w:p w:rsidR="00A622D0" w:rsidRPr="006C5F08" w:rsidRDefault="00A622D0" w:rsidP="009E0A31">
            <w:pPr>
              <w:pStyle w:val="TableParagraph"/>
              <w:spacing w:before="0" w:line="256" w:lineRule="exact"/>
              <w:ind w:right="9" w:firstLine="0"/>
              <w:jc w:val="center"/>
              <w:rPr>
                <w:b/>
              </w:rPr>
            </w:pPr>
            <w:r>
              <w:rPr>
                <w:b/>
                <w:color w:val="FFFFFF"/>
              </w:rPr>
              <w:t>42</w:t>
            </w:r>
          </w:p>
        </w:tc>
      </w:tr>
    </w:tbl>
    <w:p w:rsidR="00A622D0" w:rsidRPr="004D2C0F" w:rsidRDefault="00A622D0" w:rsidP="00A622D0">
      <w:pPr>
        <w:pStyle w:val="Textoindependiente"/>
        <w:spacing w:before="60"/>
        <w:rPr>
          <w:sz w:val="20"/>
        </w:rPr>
      </w:pPr>
      <w:r w:rsidRPr="00D428CC">
        <w:rPr>
          <w:sz w:val="20"/>
        </w:rPr>
        <w:t>Tabla:</w:t>
      </w:r>
      <w:r w:rsidRPr="004D2C0F">
        <w:rPr>
          <w:sz w:val="20"/>
        </w:rPr>
        <w:t xml:space="preserve"> Dictámenes o resoluciones emitidas</w:t>
      </w:r>
    </w:p>
    <w:p w:rsidR="00A622D0" w:rsidRPr="005E3FEF" w:rsidRDefault="00A622D0" w:rsidP="000A224D">
      <w:pPr>
        <w:rPr>
          <w:lang w:eastAsia="es-DO"/>
        </w:rPr>
      </w:pPr>
      <w:r w:rsidRPr="005E3FEF">
        <w:rPr>
          <w:lang w:eastAsia="es-DO"/>
        </w:rPr>
        <w:t>En cuanto a la representación de la Dirección General de Contrataciones Públicas ante la jurisdicción contenciosa, en la cual se emplaza a la Dirección, ya sea por alguna decisión emitida (resolución) respecto a las reclamaciones e investigaciones que recibe o en su calidad de Órgano Rector del SNCCP, la Dirección presentó su defensa u opinión jurídica sobre los procedimientos de contratación sujetos a la Ley.</w:t>
      </w:r>
    </w:p>
    <w:p w:rsidR="00A622D0" w:rsidRPr="006C5F08" w:rsidRDefault="00A622D0" w:rsidP="00A622D0">
      <w:pPr>
        <w:pStyle w:val="Textoindependiente"/>
        <w:spacing w:before="4" w:after="1"/>
        <w:rPr>
          <w:sz w:val="10"/>
        </w:rPr>
      </w:pPr>
    </w:p>
    <w:tbl>
      <w:tblPr>
        <w:tblStyle w:val="TableNormal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24"/>
        <w:gridCol w:w="1560"/>
      </w:tblGrid>
      <w:tr w:rsidR="00A622D0" w:rsidRPr="006C5F08" w:rsidTr="000A224D">
        <w:trPr>
          <w:trHeight w:val="292"/>
          <w:jc w:val="center"/>
        </w:trPr>
        <w:tc>
          <w:tcPr>
            <w:tcW w:w="6324" w:type="dxa"/>
            <w:shd w:val="clear" w:color="auto" w:fill="4472C4" w:themeFill="accent5"/>
            <w:vAlign w:val="center"/>
          </w:tcPr>
          <w:p w:rsidR="00A622D0" w:rsidRDefault="00A622D0" w:rsidP="009E0A31">
            <w:pPr>
              <w:pStyle w:val="TableParagraph"/>
              <w:spacing w:before="0" w:line="270" w:lineRule="exact"/>
              <w:ind w:firstLine="0"/>
              <w:jc w:val="center"/>
              <w:rPr>
                <w:b/>
                <w:color w:val="FFFFFF"/>
              </w:rPr>
            </w:pPr>
            <w:r w:rsidRPr="006C5F08">
              <w:rPr>
                <w:b/>
                <w:color w:val="FFFFFF"/>
              </w:rPr>
              <w:t>Defensas u opiniones jurídicas emitidas</w:t>
            </w:r>
          </w:p>
          <w:p w:rsidR="00A622D0" w:rsidRPr="006C5F08" w:rsidRDefault="00A622D0" w:rsidP="009E0A31">
            <w:pPr>
              <w:pStyle w:val="TableParagraph"/>
              <w:spacing w:before="0" w:line="270" w:lineRule="exact"/>
              <w:ind w:firstLine="0"/>
              <w:jc w:val="center"/>
              <w:rPr>
                <w:b/>
              </w:rPr>
            </w:pPr>
            <w:r>
              <w:rPr>
                <w:b/>
                <w:color w:val="FFFFFF"/>
              </w:rPr>
              <w:t>E</w:t>
            </w:r>
            <w:r w:rsidRPr="006C5F08">
              <w:rPr>
                <w:b/>
                <w:color w:val="FFFFFF"/>
              </w:rPr>
              <w:t>nero-</w:t>
            </w:r>
            <w:r>
              <w:rPr>
                <w:b/>
                <w:color w:val="FFFFFF"/>
              </w:rPr>
              <w:t>Noviembre 2019</w:t>
            </w:r>
          </w:p>
        </w:tc>
        <w:tc>
          <w:tcPr>
            <w:tcW w:w="1560" w:type="dxa"/>
            <w:shd w:val="clear" w:color="auto" w:fill="4472C4" w:themeFill="accent5"/>
            <w:vAlign w:val="center"/>
          </w:tcPr>
          <w:p w:rsidR="00A622D0" w:rsidRPr="006C5F08" w:rsidRDefault="00A622D0" w:rsidP="009E0A31">
            <w:pPr>
              <w:pStyle w:val="TableParagraph"/>
              <w:spacing w:before="0" w:line="270" w:lineRule="exact"/>
              <w:ind w:left="-136" w:right="124" w:firstLine="136"/>
              <w:jc w:val="center"/>
              <w:rPr>
                <w:b/>
              </w:rPr>
            </w:pPr>
            <w:r w:rsidRPr="006C5F08">
              <w:rPr>
                <w:b/>
                <w:color w:val="FFFFFF"/>
              </w:rPr>
              <w:t>Cantidad</w:t>
            </w:r>
          </w:p>
        </w:tc>
      </w:tr>
      <w:tr w:rsidR="00A622D0" w:rsidRPr="006C5F08" w:rsidTr="000A224D">
        <w:trPr>
          <w:trHeight w:val="275"/>
          <w:jc w:val="center"/>
        </w:trPr>
        <w:tc>
          <w:tcPr>
            <w:tcW w:w="6324" w:type="dxa"/>
            <w:shd w:val="clear" w:color="auto" w:fill="auto"/>
            <w:vAlign w:val="center"/>
          </w:tcPr>
          <w:p w:rsidR="00A622D0" w:rsidRPr="000658E9" w:rsidRDefault="00A622D0" w:rsidP="009E0A31">
            <w:pPr>
              <w:spacing w:before="0" w:line="240" w:lineRule="auto"/>
              <w:ind w:firstLine="90"/>
              <w:rPr>
                <w:rFonts w:eastAsia="Times New Roman"/>
                <w:color w:val="000000"/>
                <w:lang w:val="es-MX" w:eastAsia="es-MX"/>
              </w:rPr>
            </w:pPr>
            <w:r w:rsidRPr="000658E9">
              <w:rPr>
                <w:rFonts w:eastAsia="Times New Roman"/>
                <w:color w:val="000000"/>
                <w:lang w:eastAsia="es-MX"/>
              </w:rPr>
              <w:t>Casos nuevos en sede judicial</w:t>
            </w:r>
          </w:p>
        </w:tc>
        <w:tc>
          <w:tcPr>
            <w:tcW w:w="1560" w:type="dxa"/>
            <w:shd w:val="clear" w:color="auto" w:fill="auto"/>
            <w:vAlign w:val="center"/>
          </w:tcPr>
          <w:p w:rsidR="00A622D0" w:rsidRPr="000658E9" w:rsidRDefault="00A622D0" w:rsidP="009E0A31">
            <w:pPr>
              <w:spacing w:before="0" w:line="240" w:lineRule="auto"/>
              <w:ind w:firstLine="5"/>
              <w:jc w:val="center"/>
              <w:rPr>
                <w:rFonts w:eastAsia="Times New Roman"/>
                <w:color w:val="000000"/>
                <w:lang w:val="es-MX" w:eastAsia="es-MX"/>
              </w:rPr>
            </w:pPr>
            <w:r w:rsidRPr="000658E9">
              <w:rPr>
                <w:rFonts w:eastAsia="Times New Roman"/>
                <w:color w:val="000000"/>
                <w:lang w:eastAsia="es-MX"/>
              </w:rPr>
              <w:t>16</w:t>
            </w:r>
          </w:p>
        </w:tc>
      </w:tr>
      <w:tr w:rsidR="00A622D0" w:rsidRPr="006C5F08" w:rsidTr="000A224D">
        <w:trPr>
          <w:trHeight w:val="274"/>
          <w:jc w:val="center"/>
        </w:trPr>
        <w:tc>
          <w:tcPr>
            <w:tcW w:w="6324" w:type="dxa"/>
            <w:shd w:val="clear" w:color="auto" w:fill="auto"/>
            <w:vAlign w:val="center"/>
          </w:tcPr>
          <w:p w:rsidR="00A622D0" w:rsidRPr="000658E9" w:rsidRDefault="00A622D0" w:rsidP="009E0A31">
            <w:pPr>
              <w:spacing w:before="0" w:line="240" w:lineRule="auto"/>
              <w:ind w:firstLine="90"/>
              <w:rPr>
                <w:rFonts w:eastAsia="Times New Roman"/>
                <w:color w:val="000000"/>
                <w:lang w:val="es-MX" w:eastAsia="es-MX"/>
              </w:rPr>
            </w:pPr>
            <w:r w:rsidRPr="000658E9">
              <w:rPr>
                <w:rFonts w:eastAsia="Times New Roman"/>
                <w:color w:val="000000"/>
                <w:lang w:eastAsia="es-MX"/>
              </w:rPr>
              <w:t>Audiencias asistidas</w:t>
            </w:r>
          </w:p>
        </w:tc>
        <w:tc>
          <w:tcPr>
            <w:tcW w:w="1560" w:type="dxa"/>
            <w:shd w:val="clear" w:color="auto" w:fill="auto"/>
            <w:vAlign w:val="center"/>
          </w:tcPr>
          <w:p w:rsidR="00A622D0" w:rsidRPr="000658E9" w:rsidRDefault="00A622D0" w:rsidP="009E0A31">
            <w:pPr>
              <w:spacing w:before="0" w:line="240" w:lineRule="auto"/>
              <w:ind w:firstLine="5"/>
              <w:jc w:val="center"/>
              <w:rPr>
                <w:rFonts w:eastAsia="Times New Roman"/>
                <w:color w:val="000000"/>
                <w:lang w:val="es-MX" w:eastAsia="es-MX"/>
              </w:rPr>
            </w:pPr>
            <w:r w:rsidRPr="000658E9">
              <w:rPr>
                <w:rFonts w:eastAsia="Times New Roman"/>
                <w:color w:val="000000"/>
                <w:lang w:eastAsia="es-MX"/>
              </w:rPr>
              <w:t>27</w:t>
            </w:r>
          </w:p>
        </w:tc>
      </w:tr>
      <w:tr w:rsidR="00A622D0" w:rsidRPr="006C5F08" w:rsidTr="000A224D">
        <w:trPr>
          <w:trHeight w:val="273"/>
          <w:jc w:val="center"/>
        </w:trPr>
        <w:tc>
          <w:tcPr>
            <w:tcW w:w="6324" w:type="dxa"/>
            <w:shd w:val="clear" w:color="auto" w:fill="auto"/>
            <w:vAlign w:val="center"/>
          </w:tcPr>
          <w:p w:rsidR="00A622D0" w:rsidRPr="000658E9" w:rsidRDefault="00A622D0" w:rsidP="009E0A31">
            <w:pPr>
              <w:spacing w:before="0" w:line="240" w:lineRule="auto"/>
              <w:ind w:firstLine="90"/>
              <w:rPr>
                <w:rFonts w:eastAsia="Times New Roman"/>
                <w:color w:val="000000"/>
                <w:lang w:val="es-MX" w:eastAsia="es-MX"/>
              </w:rPr>
            </w:pPr>
            <w:r w:rsidRPr="000658E9">
              <w:rPr>
                <w:rFonts w:eastAsia="Times New Roman"/>
                <w:color w:val="000000"/>
                <w:lang w:eastAsia="es-MX"/>
              </w:rPr>
              <w:t>Escritos presentados en los tribunales</w:t>
            </w:r>
          </w:p>
        </w:tc>
        <w:tc>
          <w:tcPr>
            <w:tcW w:w="1560" w:type="dxa"/>
            <w:shd w:val="clear" w:color="auto" w:fill="auto"/>
            <w:vAlign w:val="center"/>
          </w:tcPr>
          <w:p w:rsidR="00A622D0" w:rsidRPr="000658E9" w:rsidRDefault="00A622D0" w:rsidP="009E0A31">
            <w:pPr>
              <w:spacing w:before="0" w:line="240" w:lineRule="auto"/>
              <w:ind w:firstLine="5"/>
              <w:jc w:val="center"/>
              <w:rPr>
                <w:rFonts w:eastAsia="Times New Roman"/>
                <w:color w:val="000000"/>
                <w:lang w:val="es-MX" w:eastAsia="es-MX"/>
              </w:rPr>
            </w:pPr>
            <w:r w:rsidRPr="000658E9">
              <w:rPr>
                <w:rFonts w:eastAsia="Times New Roman"/>
                <w:color w:val="000000"/>
                <w:lang w:eastAsia="es-MX"/>
              </w:rPr>
              <w:t>20</w:t>
            </w:r>
          </w:p>
        </w:tc>
      </w:tr>
      <w:tr w:rsidR="00A622D0" w:rsidRPr="006C5F08" w:rsidTr="000A224D">
        <w:trPr>
          <w:trHeight w:val="268"/>
          <w:jc w:val="center"/>
        </w:trPr>
        <w:tc>
          <w:tcPr>
            <w:tcW w:w="6324" w:type="dxa"/>
            <w:shd w:val="clear" w:color="auto" w:fill="auto"/>
            <w:vAlign w:val="center"/>
          </w:tcPr>
          <w:p w:rsidR="00A622D0" w:rsidRPr="000658E9" w:rsidRDefault="00A622D0" w:rsidP="009E0A31">
            <w:pPr>
              <w:spacing w:before="0" w:line="240" w:lineRule="auto"/>
              <w:ind w:firstLine="90"/>
              <w:rPr>
                <w:rFonts w:eastAsia="Times New Roman"/>
                <w:color w:val="000000"/>
                <w:lang w:eastAsia="es-MX"/>
              </w:rPr>
            </w:pPr>
            <w:r w:rsidRPr="000658E9">
              <w:rPr>
                <w:rFonts w:eastAsia="Times New Roman"/>
                <w:color w:val="000000"/>
                <w:lang w:eastAsia="es-MX"/>
              </w:rPr>
              <w:t>Escritos de réplica</w:t>
            </w:r>
          </w:p>
        </w:tc>
        <w:tc>
          <w:tcPr>
            <w:tcW w:w="1560" w:type="dxa"/>
            <w:shd w:val="clear" w:color="auto" w:fill="auto"/>
            <w:vAlign w:val="center"/>
          </w:tcPr>
          <w:p w:rsidR="00A622D0" w:rsidRPr="000658E9" w:rsidRDefault="00A622D0" w:rsidP="009E0A31">
            <w:pPr>
              <w:spacing w:before="0" w:line="240" w:lineRule="auto"/>
              <w:ind w:firstLine="5"/>
              <w:jc w:val="center"/>
              <w:rPr>
                <w:rFonts w:eastAsia="Times New Roman"/>
                <w:color w:val="000000"/>
                <w:lang w:eastAsia="es-MX"/>
              </w:rPr>
            </w:pPr>
            <w:r w:rsidRPr="000658E9">
              <w:rPr>
                <w:rFonts w:eastAsia="Times New Roman"/>
                <w:color w:val="000000"/>
                <w:lang w:eastAsia="es-MX"/>
              </w:rPr>
              <w:t>2</w:t>
            </w:r>
          </w:p>
        </w:tc>
      </w:tr>
      <w:tr w:rsidR="00A622D0" w:rsidRPr="006C5F08" w:rsidTr="000A224D">
        <w:trPr>
          <w:trHeight w:val="268"/>
          <w:jc w:val="center"/>
        </w:trPr>
        <w:tc>
          <w:tcPr>
            <w:tcW w:w="6324" w:type="dxa"/>
            <w:shd w:val="clear" w:color="auto" w:fill="auto"/>
            <w:vAlign w:val="center"/>
          </w:tcPr>
          <w:p w:rsidR="00A622D0" w:rsidRPr="000658E9" w:rsidRDefault="00A622D0" w:rsidP="009E0A31">
            <w:pPr>
              <w:spacing w:before="0" w:line="240" w:lineRule="auto"/>
              <w:ind w:firstLine="90"/>
              <w:rPr>
                <w:rFonts w:eastAsia="Times New Roman"/>
                <w:color w:val="000000"/>
                <w:lang w:eastAsia="es-MX"/>
              </w:rPr>
            </w:pPr>
            <w:r w:rsidRPr="000658E9">
              <w:rPr>
                <w:rFonts w:eastAsia="Times New Roman"/>
                <w:color w:val="000000"/>
                <w:lang w:eastAsia="es-MX"/>
              </w:rPr>
              <w:t>Comunicaciones/depósitos Tribunales</w:t>
            </w:r>
          </w:p>
        </w:tc>
        <w:tc>
          <w:tcPr>
            <w:tcW w:w="1560" w:type="dxa"/>
            <w:shd w:val="clear" w:color="auto" w:fill="auto"/>
            <w:vAlign w:val="center"/>
          </w:tcPr>
          <w:p w:rsidR="00A622D0" w:rsidRPr="000658E9" w:rsidRDefault="00A622D0" w:rsidP="009E0A31">
            <w:pPr>
              <w:spacing w:before="0" w:line="240" w:lineRule="auto"/>
              <w:ind w:firstLine="5"/>
              <w:jc w:val="center"/>
              <w:rPr>
                <w:rFonts w:eastAsia="Times New Roman"/>
                <w:color w:val="000000"/>
                <w:lang w:eastAsia="es-MX"/>
              </w:rPr>
            </w:pPr>
            <w:r w:rsidRPr="000658E9">
              <w:rPr>
                <w:rFonts w:eastAsia="Times New Roman"/>
                <w:color w:val="000000"/>
                <w:lang w:eastAsia="es-MX"/>
              </w:rPr>
              <w:t>8</w:t>
            </w:r>
          </w:p>
        </w:tc>
      </w:tr>
      <w:tr w:rsidR="00A622D0" w:rsidRPr="006C5F08" w:rsidTr="000A224D">
        <w:trPr>
          <w:trHeight w:val="268"/>
          <w:jc w:val="center"/>
        </w:trPr>
        <w:tc>
          <w:tcPr>
            <w:tcW w:w="6324" w:type="dxa"/>
            <w:shd w:val="clear" w:color="auto" w:fill="auto"/>
            <w:vAlign w:val="center"/>
          </w:tcPr>
          <w:p w:rsidR="00A622D0" w:rsidRPr="000658E9" w:rsidRDefault="00A622D0" w:rsidP="009E0A31">
            <w:pPr>
              <w:spacing w:before="0" w:line="240" w:lineRule="auto"/>
              <w:ind w:firstLine="90"/>
              <w:rPr>
                <w:rFonts w:eastAsia="Times New Roman"/>
                <w:color w:val="000000"/>
                <w:lang w:val="es-MX" w:eastAsia="es-MX"/>
              </w:rPr>
            </w:pPr>
            <w:r w:rsidRPr="000658E9">
              <w:rPr>
                <w:rFonts w:eastAsia="Times New Roman"/>
                <w:color w:val="000000"/>
                <w:lang w:eastAsia="es-MX"/>
              </w:rPr>
              <w:t>Casos pendientes de Sentencia</w:t>
            </w:r>
          </w:p>
        </w:tc>
        <w:tc>
          <w:tcPr>
            <w:tcW w:w="1560" w:type="dxa"/>
            <w:shd w:val="clear" w:color="auto" w:fill="auto"/>
            <w:vAlign w:val="center"/>
          </w:tcPr>
          <w:p w:rsidR="00A622D0" w:rsidRPr="000658E9" w:rsidRDefault="00A622D0" w:rsidP="009E0A31">
            <w:pPr>
              <w:spacing w:before="0" w:line="240" w:lineRule="auto"/>
              <w:ind w:firstLine="5"/>
              <w:jc w:val="center"/>
              <w:rPr>
                <w:rFonts w:eastAsia="Times New Roman"/>
                <w:color w:val="000000"/>
                <w:lang w:val="es-MX" w:eastAsia="es-MX"/>
              </w:rPr>
            </w:pPr>
            <w:r w:rsidRPr="000658E9">
              <w:rPr>
                <w:rFonts w:eastAsia="Times New Roman"/>
                <w:color w:val="000000"/>
                <w:lang w:eastAsia="es-MX"/>
              </w:rPr>
              <w:t>46 </w:t>
            </w:r>
          </w:p>
        </w:tc>
      </w:tr>
      <w:tr w:rsidR="00A622D0" w:rsidRPr="006C5F08" w:rsidTr="000A224D">
        <w:trPr>
          <w:trHeight w:val="268"/>
          <w:jc w:val="center"/>
        </w:trPr>
        <w:tc>
          <w:tcPr>
            <w:tcW w:w="6324" w:type="dxa"/>
            <w:shd w:val="clear" w:color="auto" w:fill="auto"/>
            <w:vAlign w:val="center"/>
          </w:tcPr>
          <w:p w:rsidR="00A622D0" w:rsidRPr="000658E9" w:rsidRDefault="00A622D0" w:rsidP="009E0A31">
            <w:pPr>
              <w:spacing w:before="0" w:line="240" w:lineRule="auto"/>
              <w:ind w:firstLine="90"/>
              <w:rPr>
                <w:rFonts w:eastAsia="Times New Roman"/>
                <w:color w:val="000000"/>
                <w:lang w:val="es-MX" w:eastAsia="es-MX"/>
              </w:rPr>
            </w:pPr>
            <w:r w:rsidRPr="000658E9">
              <w:rPr>
                <w:rFonts w:eastAsia="Times New Roman"/>
                <w:color w:val="000000"/>
                <w:lang w:eastAsia="es-MX"/>
              </w:rPr>
              <w:t>Sentencias recibidas de los Tribunales</w:t>
            </w:r>
          </w:p>
        </w:tc>
        <w:tc>
          <w:tcPr>
            <w:tcW w:w="1560" w:type="dxa"/>
            <w:shd w:val="clear" w:color="auto" w:fill="auto"/>
            <w:vAlign w:val="center"/>
          </w:tcPr>
          <w:p w:rsidR="00A622D0" w:rsidRPr="000658E9" w:rsidRDefault="00A622D0" w:rsidP="009E0A31">
            <w:pPr>
              <w:spacing w:before="0" w:line="240" w:lineRule="auto"/>
              <w:ind w:firstLine="5"/>
              <w:jc w:val="center"/>
              <w:rPr>
                <w:rFonts w:eastAsia="Times New Roman"/>
                <w:color w:val="000000"/>
                <w:lang w:val="es-MX" w:eastAsia="es-MX"/>
              </w:rPr>
            </w:pPr>
            <w:r w:rsidRPr="000658E9">
              <w:rPr>
                <w:rFonts w:eastAsia="Times New Roman"/>
                <w:color w:val="000000"/>
                <w:lang w:eastAsia="es-MX"/>
              </w:rPr>
              <w:t>22</w:t>
            </w:r>
          </w:p>
        </w:tc>
      </w:tr>
    </w:tbl>
    <w:p w:rsidR="00A622D0" w:rsidRPr="00411DD3" w:rsidRDefault="00A622D0" w:rsidP="00A622D0">
      <w:pPr>
        <w:pStyle w:val="Textoindependiente"/>
        <w:spacing w:before="60"/>
        <w:rPr>
          <w:sz w:val="20"/>
          <w:szCs w:val="20"/>
        </w:rPr>
      </w:pPr>
      <w:r w:rsidRPr="00D428CC">
        <w:rPr>
          <w:sz w:val="20"/>
          <w:szCs w:val="20"/>
        </w:rPr>
        <w:t>Tabla: Procesos</w:t>
      </w:r>
      <w:r w:rsidRPr="00411DD3">
        <w:rPr>
          <w:sz w:val="20"/>
          <w:szCs w:val="20"/>
        </w:rPr>
        <w:t xml:space="preserve"> Operativos</w:t>
      </w:r>
    </w:p>
    <w:p w:rsidR="00A622D0" w:rsidRPr="005E3FEF" w:rsidRDefault="000A224D" w:rsidP="000A224D">
      <w:pPr>
        <w:rPr>
          <w:lang w:eastAsia="es-DO"/>
        </w:rPr>
      </w:pPr>
      <w:r w:rsidRPr="00D64E79">
        <w:rPr>
          <w:noProof/>
          <w:lang w:val="es-DO" w:eastAsia="es-DO"/>
        </w:rPr>
        <w:drawing>
          <wp:anchor distT="0" distB="0" distL="114300" distR="114300" simplePos="0" relativeHeight="251721728" behindDoc="0" locked="0" layoutInCell="1" allowOverlap="1">
            <wp:simplePos x="0" y="0"/>
            <wp:positionH relativeFrom="margin">
              <wp:posOffset>1876425</wp:posOffset>
            </wp:positionH>
            <wp:positionV relativeFrom="margin">
              <wp:posOffset>4971415</wp:posOffset>
            </wp:positionV>
            <wp:extent cx="2943225" cy="819150"/>
            <wp:effectExtent l="0" t="0" r="9525" b="0"/>
            <wp:wrapSquare wrapText="bothSides"/>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49">
                      <a:extLst>
                        <a:ext uri="{28A0092B-C50C-407E-A947-70E740481C1C}">
                          <a14:useLocalDpi xmlns:a14="http://schemas.microsoft.com/office/drawing/2010/main" val="0"/>
                        </a:ext>
                      </a:extLst>
                    </a:blip>
                    <a:srcRect t="14166" b="14166"/>
                    <a:stretch/>
                  </pic:blipFill>
                  <pic:spPr bwMode="auto">
                    <a:xfrm>
                      <a:off x="0" y="0"/>
                      <a:ext cx="2943225" cy="8191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64E79" w:rsidRPr="00D64E79">
        <w:t xml:space="preserve"> </w:t>
      </w:r>
      <w:r w:rsidR="00A622D0" w:rsidRPr="005E3FEF">
        <w:rPr>
          <w:b/>
          <w:lang w:eastAsia="es-DO"/>
        </w:rPr>
        <w:t>Cantidad de procedimientos de contratación anulados y montos</w:t>
      </w:r>
      <w:r w:rsidR="00A622D0" w:rsidRPr="005E3FEF">
        <w:rPr>
          <w:lang w:eastAsia="es-DO"/>
        </w:rPr>
        <w:t>: de los dictámenes jurídicos resolutivos de conflictos, tres anularon procedimientos de contratación por un monto de RD$</w:t>
      </w:r>
      <w:r w:rsidR="008C5836" w:rsidRPr="005E3FEF">
        <w:rPr>
          <w:lang w:eastAsia="es-DO"/>
        </w:rPr>
        <w:t>36</w:t>
      </w:r>
      <w:r w:rsidR="00A622D0" w:rsidRPr="005E3FEF">
        <w:rPr>
          <w:lang w:eastAsia="es-DO"/>
        </w:rPr>
        <w:t>,05</w:t>
      </w:r>
      <w:r w:rsidR="008C5836" w:rsidRPr="005E3FEF">
        <w:rPr>
          <w:lang w:eastAsia="es-DO"/>
        </w:rPr>
        <w:t>9</w:t>
      </w:r>
      <w:r w:rsidR="00A622D0" w:rsidRPr="005E3FEF">
        <w:rPr>
          <w:lang w:eastAsia="es-DO"/>
        </w:rPr>
        <w:t>,000.26, al identificarse errores y violaciones graves que los invalidan, conforme al artículo 14 de la Ley No. 107-13, sobre Derechos de las Personas en sus Relaciones con la Administración Pública y de Derecho Administrativo y el artículo 68 del Reglamento de Aplicación No. 543- 12.</w:t>
      </w:r>
    </w:p>
    <w:p w:rsidR="00A622D0" w:rsidRPr="005E3FEF" w:rsidRDefault="00A622D0" w:rsidP="000A224D">
      <w:pPr>
        <w:rPr>
          <w:lang w:eastAsia="es-DO"/>
        </w:rPr>
      </w:pPr>
      <w:r w:rsidRPr="005E3FEF">
        <w:rPr>
          <w:lang w:eastAsia="es-DO"/>
        </w:rPr>
        <w:t>La Dirección General de Contrataciones Públicas emitió las resoluciones que se detallan más abajo, cumpliendo la formalidad que exige el numeral 6 del artículo 15 de la Ley No. 340-06 y su modificación, de emitir un acto administrativo, en este caso una resolución, para dejar sin efecto o anular un procedimiento de contratación.</w:t>
      </w:r>
    </w:p>
    <w:tbl>
      <w:tblPr>
        <w:tblStyle w:val="TableNormal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2"/>
        <w:gridCol w:w="4239"/>
      </w:tblGrid>
      <w:tr w:rsidR="00A622D0" w:rsidRPr="006C5F08" w:rsidTr="00D64E79">
        <w:trPr>
          <w:trHeight w:val="716"/>
          <w:jc w:val="center"/>
        </w:trPr>
        <w:tc>
          <w:tcPr>
            <w:tcW w:w="7921" w:type="dxa"/>
            <w:gridSpan w:val="2"/>
            <w:shd w:val="clear" w:color="auto" w:fill="4472C4" w:themeFill="accent5"/>
          </w:tcPr>
          <w:p w:rsidR="00A622D0" w:rsidRPr="006C5F08" w:rsidRDefault="00A622D0" w:rsidP="009E0A31">
            <w:pPr>
              <w:pStyle w:val="TableParagraph"/>
              <w:spacing w:before="0" w:line="276" w:lineRule="exact"/>
              <w:ind w:left="2770" w:right="2164" w:hanging="454"/>
              <w:rPr>
                <w:b/>
              </w:rPr>
            </w:pPr>
            <w:r w:rsidRPr="006C5F08">
              <w:rPr>
                <w:b/>
                <w:color w:val="FFFFFF"/>
              </w:rPr>
              <w:t>Montos anulados por re</w:t>
            </w:r>
            <w:r>
              <w:rPr>
                <w:b/>
                <w:color w:val="FFFFFF"/>
              </w:rPr>
              <w:t>solución Enero-noviembre 2019</w:t>
            </w:r>
          </w:p>
        </w:tc>
      </w:tr>
      <w:tr w:rsidR="00A622D0" w:rsidRPr="006C5F08" w:rsidTr="00D64E79">
        <w:trPr>
          <w:trHeight w:val="264"/>
          <w:jc w:val="center"/>
        </w:trPr>
        <w:tc>
          <w:tcPr>
            <w:tcW w:w="3682" w:type="dxa"/>
            <w:shd w:val="clear" w:color="auto" w:fill="4472C4" w:themeFill="accent5"/>
          </w:tcPr>
          <w:p w:rsidR="00A622D0" w:rsidRPr="006C5F08" w:rsidRDefault="00A622D0" w:rsidP="009E0A31">
            <w:pPr>
              <w:pStyle w:val="TableParagraph"/>
              <w:spacing w:before="0" w:line="256" w:lineRule="exact"/>
              <w:ind w:firstLine="0"/>
              <w:rPr>
                <w:b/>
              </w:rPr>
            </w:pPr>
            <w:r>
              <w:rPr>
                <w:b/>
                <w:color w:val="FFFFFF"/>
              </w:rPr>
              <w:t xml:space="preserve">                    </w:t>
            </w:r>
            <w:r w:rsidRPr="006C5F08">
              <w:rPr>
                <w:b/>
                <w:color w:val="FFFFFF"/>
              </w:rPr>
              <w:t>Resolución</w:t>
            </w:r>
          </w:p>
        </w:tc>
        <w:tc>
          <w:tcPr>
            <w:tcW w:w="4239" w:type="dxa"/>
            <w:shd w:val="clear" w:color="auto" w:fill="4472C4" w:themeFill="accent5"/>
          </w:tcPr>
          <w:p w:rsidR="00A622D0" w:rsidRPr="006C5F08" w:rsidRDefault="00A622D0" w:rsidP="009E0A31">
            <w:pPr>
              <w:pStyle w:val="TableParagraph"/>
              <w:spacing w:before="0" w:line="256" w:lineRule="exact"/>
              <w:ind w:firstLine="0"/>
              <w:jc w:val="center"/>
              <w:rPr>
                <w:b/>
              </w:rPr>
            </w:pPr>
            <w:r w:rsidRPr="006C5F08">
              <w:rPr>
                <w:b/>
                <w:color w:val="FFFFFF"/>
              </w:rPr>
              <w:t>Monto anulado</w:t>
            </w:r>
          </w:p>
        </w:tc>
      </w:tr>
      <w:tr w:rsidR="00A622D0" w:rsidRPr="006C5F08" w:rsidTr="00D64E79">
        <w:trPr>
          <w:trHeight w:val="281"/>
          <w:jc w:val="center"/>
        </w:trPr>
        <w:tc>
          <w:tcPr>
            <w:tcW w:w="3682" w:type="dxa"/>
          </w:tcPr>
          <w:p w:rsidR="00A622D0" w:rsidRDefault="00A622D0" w:rsidP="009E0A31">
            <w:pPr>
              <w:pStyle w:val="TableParagraph"/>
              <w:spacing w:before="0" w:line="271" w:lineRule="exact"/>
              <w:ind w:firstLine="0"/>
              <w:jc w:val="center"/>
            </w:pPr>
            <w:r w:rsidRPr="00FC7A6E">
              <w:t>Resolución RIC-13-2019</w:t>
            </w:r>
          </w:p>
        </w:tc>
        <w:tc>
          <w:tcPr>
            <w:tcW w:w="4239" w:type="dxa"/>
          </w:tcPr>
          <w:p w:rsidR="00A622D0" w:rsidRDefault="00A622D0" w:rsidP="009E0A31">
            <w:pPr>
              <w:pStyle w:val="TableParagraph"/>
              <w:spacing w:before="0" w:line="271" w:lineRule="exact"/>
              <w:ind w:firstLine="0"/>
              <w:jc w:val="center"/>
            </w:pPr>
            <w:r w:rsidRPr="00FC7A6E">
              <w:rPr>
                <w:bCs/>
                <w:lang w:eastAsia="es-DO"/>
              </w:rPr>
              <w:t>RD$ 16,0000.00</w:t>
            </w:r>
          </w:p>
        </w:tc>
      </w:tr>
      <w:tr w:rsidR="00A622D0" w:rsidRPr="006C5F08" w:rsidTr="00D64E79">
        <w:trPr>
          <w:trHeight w:val="281"/>
          <w:jc w:val="center"/>
        </w:trPr>
        <w:tc>
          <w:tcPr>
            <w:tcW w:w="3682" w:type="dxa"/>
          </w:tcPr>
          <w:p w:rsidR="00A622D0" w:rsidRDefault="00A622D0" w:rsidP="009E0A31">
            <w:pPr>
              <w:pStyle w:val="TableParagraph"/>
              <w:spacing w:before="0" w:line="271" w:lineRule="exact"/>
              <w:ind w:firstLine="0"/>
              <w:jc w:val="center"/>
            </w:pPr>
            <w:r w:rsidRPr="00FC7A6E">
              <w:t>Resolución RIC-34-2019</w:t>
            </w:r>
          </w:p>
        </w:tc>
        <w:tc>
          <w:tcPr>
            <w:tcW w:w="4239" w:type="dxa"/>
          </w:tcPr>
          <w:p w:rsidR="00A622D0" w:rsidRDefault="00A622D0" w:rsidP="009E0A31">
            <w:pPr>
              <w:pStyle w:val="TableParagraph"/>
              <w:spacing w:before="0" w:line="271" w:lineRule="exact"/>
              <w:ind w:hanging="47"/>
              <w:jc w:val="center"/>
            </w:pPr>
            <w:r w:rsidRPr="00FC7A6E">
              <w:rPr>
                <w:bCs/>
                <w:lang w:eastAsia="es-DO"/>
              </w:rPr>
              <w:t>RD$ 20,000,000.00</w:t>
            </w:r>
          </w:p>
        </w:tc>
      </w:tr>
      <w:tr w:rsidR="00A622D0" w:rsidRPr="006C5F08" w:rsidTr="00D64E79">
        <w:trPr>
          <w:trHeight w:val="281"/>
          <w:jc w:val="center"/>
        </w:trPr>
        <w:tc>
          <w:tcPr>
            <w:tcW w:w="3682" w:type="dxa"/>
          </w:tcPr>
          <w:p w:rsidR="00A622D0" w:rsidRDefault="00A622D0" w:rsidP="009E0A31">
            <w:pPr>
              <w:pStyle w:val="TableParagraph"/>
              <w:spacing w:before="0" w:line="271" w:lineRule="exact"/>
              <w:ind w:firstLine="0"/>
              <w:jc w:val="center"/>
            </w:pPr>
            <w:r w:rsidRPr="00FC7A6E">
              <w:t>Resolución RIC-39-2019</w:t>
            </w:r>
          </w:p>
        </w:tc>
        <w:tc>
          <w:tcPr>
            <w:tcW w:w="4239" w:type="dxa"/>
          </w:tcPr>
          <w:p w:rsidR="00A622D0" w:rsidRDefault="00A622D0" w:rsidP="009E0A31">
            <w:pPr>
              <w:pStyle w:val="TableParagraph"/>
              <w:spacing w:before="0" w:line="271" w:lineRule="exact"/>
              <w:ind w:hanging="47"/>
              <w:jc w:val="center"/>
            </w:pPr>
            <w:r w:rsidRPr="00FC7A6E">
              <w:rPr>
                <w:bCs/>
                <w:lang w:eastAsia="es-DO"/>
              </w:rPr>
              <w:t>RD$59, 000.26.00</w:t>
            </w:r>
          </w:p>
        </w:tc>
      </w:tr>
      <w:tr w:rsidR="00A622D0" w:rsidRPr="006C5F08" w:rsidTr="00D64E79">
        <w:trPr>
          <w:trHeight w:val="285"/>
          <w:jc w:val="center"/>
        </w:trPr>
        <w:tc>
          <w:tcPr>
            <w:tcW w:w="3682" w:type="dxa"/>
            <w:shd w:val="clear" w:color="auto" w:fill="4472C4" w:themeFill="accent5"/>
          </w:tcPr>
          <w:p w:rsidR="00A622D0" w:rsidRPr="006C5F08" w:rsidRDefault="00A622D0" w:rsidP="009E0A31">
            <w:pPr>
              <w:pStyle w:val="TableParagraph"/>
              <w:spacing w:before="0" w:line="256" w:lineRule="exact"/>
              <w:ind w:firstLine="0"/>
              <w:jc w:val="center"/>
              <w:rPr>
                <w:b/>
              </w:rPr>
            </w:pPr>
            <w:r w:rsidRPr="006C5F08">
              <w:rPr>
                <w:b/>
                <w:color w:val="FFFFFF"/>
              </w:rPr>
              <w:t>Total</w:t>
            </w:r>
          </w:p>
        </w:tc>
        <w:tc>
          <w:tcPr>
            <w:tcW w:w="4239" w:type="dxa"/>
            <w:shd w:val="clear" w:color="auto" w:fill="4472C4" w:themeFill="accent5"/>
          </w:tcPr>
          <w:p w:rsidR="00A622D0" w:rsidRPr="008C5836" w:rsidRDefault="00A622D0" w:rsidP="009E0A31">
            <w:pPr>
              <w:pStyle w:val="TableParagraph"/>
              <w:spacing w:before="0" w:line="256" w:lineRule="exact"/>
              <w:ind w:firstLine="0"/>
              <w:jc w:val="center"/>
              <w:rPr>
                <w:b/>
              </w:rPr>
            </w:pPr>
            <w:r w:rsidRPr="008C5836">
              <w:rPr>
                <w:b/>
                <w:color w:val="FFFFFF" w:themeColor="background1"/>
              </w:rPr>
              <w:t>RD$</w:t>
            </w:r>
            <w:r w:rsidR="008C5836" w:rsidRPr="008C5836">
              <w:rPr>
                <w:b/>
                <w:color w:val="FFFFFF" w:themeColor="background1"/>
              </w:rPr>
              <w:t>36,059,000</w:t>
            </w:r>
            <w:r w:rsidRPr="008C5836">
              <w:rPr>
                <w:b/>
                <w:color w:val="FFFFFF" w:themeColor="background1"/>
              </w:rPr>
              <w:t>.26</w:t>
            </w:r>
          </w:p>
        </w:tc>
      </w:tr>
    </w:tbl>
    <w:p w:rsidR="00A622D0" w:rsidRPr="00FC7A6E" w:rsidRDefault="00A622D0" w:rsidP="00A622D0">
      <w:pPr>
        <w:pStyle w:val="Textoindependiente"/>
        <w:spacing w:before="60"/>
        <w:rPr>
          <w:sz w:val="20"/>
        </w:rPr>
      </w:pPr>
      <w:r w:rsidRPr="00D428CC">
        <w:rPr>
          <w:sz w:val="20"/>
        </w:rPr>
        <w:t>Tabla:</w:t>
      </w:r>
      <w:r w:rsidRPr="00FC7A6E">
        <w:rPr>
          <w:sz w:val="20"/>
        </w:rPr>
        <w:t xml:space="preserve"> Procedimientos de contratación anulados y montos.</w:t>
      </w:r>
    </w:p>
    <w:p w:rsidR="00A622D0" w:rsidRPr="005E3FEF" w:rsidRDefault="00A622D0" w:rsidP="000A224D">
      <w:pPr>
        <w:rPr>
          <w:lang w:eastAsia="es-DO"/>
        </w:rPr>
      </w:pPr>
      <w:r w:rsidRPr="005E3FEF">
        <w:rPr>
          <w:b/>
          <w:lang w:eastAsia="es-DO"/>
        </w:rPr>
        <w:t>Emisión de Resoluciones Normativas de Procedimientos de Compras de Bienes, Servicios y Obras</w:t>
      </w:r>
      <w:r w:rsidRPr="005E3FEF">
        <w:rPr>
          <w:lang w:eastAsia="es-DO"/>
        </w:rPr>
        <w:t xml:space="preserve">: durante el período </w:t>
      </w:r>
      <w:r w:rsidRPr="00D64E79">
        <w:rPr>
          <w:lang w:eastAsia="es-DO"/>
        </w:rPr>
        <w:t xml:space="preserve">enero-noviembre 2019, elaboró la propuesta del Decreto No. 168-19, emitido en fecha 6 de mayo </w:t>
      </w:r>
      <w:r w:rsidRPr="005E3FEF">
        <w:rPr>
          <w:lang w:eastAsia="es-DO"/>
        </w:rPr>
        <w:t>de 2019 por el Poder Ejecutivo, el cual tiene como objetivo apoyar a la producción nacional, eliminar la intermediación, regionalizar las compras, contribuir al desarrollo económico, generar empleos en el territorio, disminuir el impacto ambiental, elevar la capacidad competitiva de los productores nacionales y fomentar la innovación tecnológica, este Decreto pone en manos de la Dirección General de Contrataciones Públicas establecer las políticas necesarias para hacer operativas dichas disposiciones.</w:t>
      </w:r>
    </w:p>
    <w:p w:rsidR="00A622D0" w:rsidRDefault="00A622D0" w:rsidP="000A224D">
      <w:pPr>
        <w:rPr>
          <w:color w:val="auto"/>
          <w:lang w:eastAsia="es-DO"/>
        </w:rPr>
      </w:pPr>
      <w:r w:rsidRPr="00CE199D">
        <w:rPr>
          <w:color w:val="auto"/>
          <w:lang w:eastAsia="es-DO"/>
        </w:rPr>
        <w:t>De igual forma</w:t>
      </w:r>
      <w:r w:rsidR="00AF0476">
        <w:rPr>
          <w:color w:val="auto"/>
          <w:lang w:eastAsia="es-DO"/>
        </w:rPr>
        <w:t>,</w:t>
      </w:r>
      <w:r w:rsidRPr="00CE199D">
        <w:rPr>
          <w:color w:val="auto"/>
          <w:lang w:eastAsia="es-DO"/>
        </w:rPr>
        <w:t xml:space="preserve"> fueron emitidas (4) cuatro Resoluciones de Políticas y una (1) Guía, a los fines de complementar la normativa que regula los procedimientos de contratación pública, a saber: 1) Resolución PNP-01-2019, de fecha 8 de enero de 2019, que actualiza los umbrales para la selección de los procedimientos establecidos en la Ley No. 340-06 de Compras y Contrataciones Públicas y su modificación, vigente para el año 2019; 2) Resolución No. PNP-02-2019 de fecha 8 de abril de 2019, que desactiva varias actividades comerciales del Registro de Proveedores del Estado y rubro de fecha 29 de abril 2016; 3) Resolución No. PNP-03-2019 de fecha 7 julio de 2019, sobre la incorporación de los criterios de accesibilidad universal en el sistema nacional de compras y contrataciones públicas de </w:t>
      </w:r>
      <w:r w:rsidR="000D5E2C">
        <w:rPr>
          <w:color w:val="auto"/>
          <w:lang w:eastAsia="es-DO"/>
        </w:rPr>
        <w:t>la R</w:t>
      </w:r>
      <w:r w:rsidRPr="00CE199D">
        <w:rPr>
          <w:color w:val="auto"/>
          <w:lang w:eastAsia="es-DO"/>
        </w:rPr>
        <w:t xml:space="preserve">epública </w:t>
      </w:r>
      <w:r w:rsidR="000D5E2C">
        <w:rPr>
          <w:color w:val="auto"/>
          <w:lang w:eastAsia="es-DO"/>
        </w:rPr>
        <w:t>D</w:t>
      </w:r>
      <w:r w:rsidRPr="00CE199D">
        <w:rPr>
          <w:color w:val="auto"/>
          <w:lang w:eastAsia="es-DO"/>
        </w:rPr>
        <w:t>ominicana; 4) Guía práctica de</w:t>
      </w:r>
      <w:r w:rsidR="000D5E2C">
        <w:rPr>
          <w:color w:val="auto"/>
          <w:lang w:eastAsia="es-DO"/>
        </w:rPr>
        <w:t xml:space="preserve"> compras accesibles versión 1.0</w:t>
      </w:r>
      <w:r w:rsidRPr="00CE199D">
        <w:rPr>
          <w:color w:val="auto"/>
          <w:lang w:eastAsia="es-DO"/>
        </w:rPr>
        <w:t xml:space="preserve"> para la implementación de la Resolución No. PNP-03-2019; 5) Resolución No. PNP-04-2019, de fecha 18 de julio de 2019, que tiene por finalidad hacer operativo el Decreto No. 168-19, en lo referente al sector agropecuario.</w:t>
      </w:r>
    </w:p>
    <w:p w:rsidR="00A622D0" w:rsidRPr="00253481" w:rsidRDefault="00A622D0" w:rsidP="000A224D">
      <w:pPr>
        <w:rPr>
          <w:color w:val="auto"/>
          <w:lang w:eastAsia="es-DO"/>
        </w:rPr>
      </w:pPr>
      <w:r w:rsidRPr="000A7CDB">
        <w:rPr>
          <w:b/>
          <w:color w:val="auto"/>
          <w:lang w:eastAsia="es-DO"/>
        </w:rPr>
        <w:t>Desarrollo de estadísticas sobre el SNCCP</w:t>
      </w:r>
      <w:r w:rsidRPr="005E3FEF">
        <w:rPr>
          <w:color w:val="auto"/>
          <w:lang w:eastAsia="es-DO"/>
        </w:rPr>
        <w:t xml:space="preserve">: </w:t>
      </w:r>
      <w:r w:rsidRPr="00253481">
        <w:rPr>
          <w:color w:val="auto"/>
          <w:lang w:eastAsia="es-DO"/>
        </w:rPr>
        <w:t xml:space="preserve">De acuerdo a las nuevas informaciones que pueden obtenerse </w:t>
      </w:r>
      <w:r>
        <w:rPr>
          <w:color w:val="auto"/>
          <w:lang w:eastAsia="es-DO"/>
        </w:rPr>
        <w:t>desde el Portal Transaccional, durante 2019</w:t>
      </w:r>
      <w:r w:rsidR="000D5E2C">
        <w:rPr>
          <w:color w:val="auto"/>
          <w:lang w:eastAsia="es-DO"/>
        </w:rPr>
        <w:t>,</w:t>
      </w:r>
      <w:r>
        <w:rPr>
          <w:color w:val="auto"/>
          <w:lang w:eastAsia="es-DO"/>
        </w:rPr>
        <w:t xml:space="preserve"> la Dirección General de Contrataciones Públicas </w:t>
      </w:r>
      <w:r w:rsidRPr="00253481">
        <w:rPr>
          <w:color w:val="auto"/>
          <w:lang w:eastAsia="es-DO"/>
        </w:rPr>
        <w:t xml:space="preserve">ha diseñado indicadores estratégicos </w:t>
      </w:r>
      <w:r>
        <w:rPr>
          <w:color w:val="auto"/>
          <w:lang w:eastAsia="es-DO"/>
        </w:rPr>
        <w:t xml:space="preserve">adicionales </w:t>
      </w:r>
      <w:r w:rsidRPr="00253481">
        <w:rPr>
          <w:color w:val="auto"/>
          <w:lang w:eastAsia="es-DO"/>
        </w:rPr>
        <w:t>que permiten conocer lo siguiente:</w:t>
      </w:r>
    </w:p>
    <w:p w:rsidR="00A622D0" w:rsidRPr="000A7CDB" w:rsidRDefault="00A622D0" w:rsidP="000A224D">
      <w:pPr>
        <w:pStyle w:val="Prrafodelista"/>
        <w:numPr>
          <w:ilvl w:val="0"/>
          <w:numId w:val="19"/>
        </w:numPr>
        <w:ind w:left="567" w:hanging="548"/>
      </w:pPr>
      <w:r w:rsidRPr="000A7CDB">
        <w:t>La desagregación de las ofertas digitales de acuerdo a las características del proveedor (clasificación empresarial, género y ubicación geográfica)</w:t>
      </w:r>
    </w:p>
    <w:p w:rsidR="00A622D0" w:rsidRPr="000A7CDB" w:rsidRDefault="00A622D0" w:rsidP="000A224D">
      <w:pPr>
        <w:pStyle w:val="Prrafodelista"/>
        <w:numPr>
          <w:ilvl w:val="0"/>
          <w:numId w:val="19"/>
        </w:numPr>
        <w:ind w:left="567" w:hanging="548"/>
      </w:pPr>
      <w:r w:rsidRPr="000A7CDB">
        <w:t>La cantidad de proveedores distintos adjudicados de acuerdo a las características del proveedor (clasificación empresarial, género y ubicación geográfica)</w:t>
      </w:r>
    </w:p>
    <w:p w:rsidR="00A622D0" w:rsidRPr="000A7CDB" w:rsidRDefault="00A622D0" w:rsidP="000A7CDB">
      <w:pPr>
        <w:pStyle w:val="Prrafodelista"/>
        <w:numPr>
          <w:ilvl w:val="0"/>
          <w:numId w:val="19"/>
        </w:numPr>
        <w:ind w:left="567" w:hanging="548"/>
      </w:pPr>
      <w:r w:rsidRPr="000A7CDB">
        <w:t>Nuevos proveedores adjudicados de acuerdo a las características del proveedor (clasificación empresarial, género y ubicación geográfica)</w:t>
      </w:r>
    </w:p>
    <w:p w:rsidR="00A622D0" w:rsidRPr="000A7CDB" w:rsidRDefault="00A622D0" w:rsidP="000A7CDB">
      <w:pPr>
        <w:pStyle w:val="Prrafodelista"/>
        <w:numPr>
          <w:ilvl w:val="0"/>
          <w:numId w:val="19"/>
        </w:numPr>
        <w:ind w:left="567" w:hanging="548"/>
      </w:pPr>
      <w:r w:rsidRPr="000A7CDB">
        <w:t>Ratio de posibilidades de adjudicación de acuerdo a las características del proveedor (clasificación empresarial, género y ubicación geográfica)</w:t>
      </w:r>
    </w:p>
    <w:p w:rsidR="00A622D0" w:rsidRPr="000A7CDB" w:rsidRDefault="00A622D0" w:rsidP="000A7CDB">
      <w:pPr>
        <w:pStyle w:val="Prrafodelista"/>
        <w:numPr>
          <w:ilvl w:val="0"/>
          <w:numId w:val="19"/>
        </w:numPr>
        <w:ind w:left="567" w:hanging="548"/>
      </w:pPr>
      <w:r w:rsidRPr="000A7CDB">
        <w:t xml:space="preserve">Desconcentración de las compras a nivel de las instituciones estatales </w:t>
      </w:r>
    </w:p>
    <w:p w:rsidR="00A622D0" w:rsidRPr="000A7CDB" w:rsidRDefault="00A622D0" w:rsidP="000A7CDB">
      <w:pPr>
        <w:pStyle w:val="Prrafodelista"/>
        <w:numPr>
          <w:ilvl w:val="0"/>
          <w:numId w:val="19"/>
        </w:numPr>
        <w:ind w:left="567" w:hanging="548"/>
      </w:pPr>
      <w:r w:rsidRPr="000A7CDB">
        <w:t>Cantidad de ofertas promedio por modalidad de acuerdo a las características del proveedor (clasificación empresarial, género y ubicación geográfica)</w:t>
      </w:r>
    </w:p>
    <w:p w:rsidR="00901323" w:rsidRPr="000A7CDB" w:rsidRDefault="00A622D0" w:rsidP="000A224D">
      <w:pPr>
        <w:rPr>
          <w:lang w:eastAsia="es-DO"/>
        </w:rPr>
      </w:pPr>
      <w:r w:rsidRPr="00253481">
        <w:rPr>
          <w:lang w:eastAsia="es-DO"/>
        </w:rPr>
        <w:t xml:space="preserve">Se </w:t>
      </w:r>
      <w:r w:rsidR="00AF0476">
        <w:rPr>
          <w:lang w:eastAsia="es-DO"/>
        </w:rPr>
        <w:t>trabajó</w:t>
      </w:r>
      <w:r w:rsidRPr="00253481">
        <w:rPr>
          <w:lang w:eastAsia="es-DO"/>
        </w:rPr>
        <w:t xml:space="preserve"> también en una clasificación por sectores productivos conforme al nivel cuatro del catálogo UNSPSC y se han adecuado las informaciones con esta clasificación. </w:t>
      </w:r>
    </w:p>
    <w:p w:rsidR="000A7CDB" w:rsidRDefault="000A7CDB">
      <w:pPr>
        <w:keepNext w:val="0"/>
        <w:keepLines w:val="0"/>
        <w:spacing w:before="0" w:after="160" w:line="259" w:lineRule="auto"/>
        <w:ind w:firstLine="0"/>
        <w:jc w:val="left"/>
        <w:outlineLvl w:val="9"/>
        <w:rPr>
          <w:rFonts w:asciiTheme="majorHAnsi" w:hAnsiTheme="majorHAnsi" w:cstheme="majorBidi"/>
          <w:b/>
          <w:iCs/>
          <w:color w:val="2E74B5" w:themeColor="accent1" w:themeShade="BF"/>
        </w:rPr>
      </w:pPr>
      <w:r>
        <w:rPr>
          <w:b/>
          <w:i/>
        </w:rPr>
        <w:br w:type="page"/>
      </w:r>
    </w:p>
    <w:p w:rsidR="000E1D92" w:rsidRPr="006033B9" w:rsidRDefault="006033B9" w:rsidP="006033B9">
      <w:pPr>
        <w:pStyle w:val="Ttulo4"/>
        <w:rPr>
          <w:b/>
          <w:i w:val="0"/>
        </w:rPr>
      </w:pPr>
      <w:r w:rsidRPr="006033B9">
        <w:rPr>
          <w:b/>
          <w:i w:val="0"/>
        </w:rPr>
        <w:t>EJE ESTRATÉGICO II – FOMENTO Y DESARROLLO DEL MERCADO DE COMPRAS PÚBLICAS</w:t>
      </w:r>
    </w:p>
    <w:p w:rsidR="00901323" w:rsidRPr="003A66C7" w:rsidRDefault="00901323" w:rsidP="000A224D">
      <w:pPr>
        <w:rPr>
          <w:lang w:eastAsia="es-DO"/>
        </w:rPr>
      </w:pPr>
      <w:r w:rsidRPr="003A66C7">
        <w:rPr>
          <w:lang w:eastAsia="es-DO"/>
        </w:rPr>
        <w:t>El Eje Estratégico sobre Fomento al Mercado de Compras Públicas Inclusivas y Sostenibles facilita el desarrollo a través de mecanismos que aseguran la equidad y la participación de los sectores productivos nacionales, en especial las MIPYME y las mujeres, para su empoderamiento económico y al mismo tiempo contribuye al fortalecimiento de sus capacidades y competencias, con el fin de que puedan suplir al Estado productos y servicios de calidad. De igual modo, para aumentar los niveles de equidad y distribución del ingreso en el mercado de compras públicas, se considera de manera transversal la cohesión territorial para generar una mejor distribución del gasto en el territorio.</w:t>
      </w:r>
    </w:p>
    <w:p w:rsidR="00901323" w:rsidRPr="000A7CDB" w:rsidRDefault="00901323" w:rsidP="000A224D">
      <w:pPr>
        <w:rPr>
          <w:lang w:eastAsia="es-DO"/>
        </w:rPr>
      </w:pPr>
      <w:r w:rsidRPr="000A7CDB">
        <w:rPr>
          <w:lang w:eastAsia="es-DO"/>
        </w:rPr>
        <w:t xml:space="preserve">En ese sentido,  en el 2019 la Dirección General continuó el enfoque de sus acciones en 3 áreas: </w:t>
      </w:r>
      <w:r w:rsidRPr="003A66C7">
        <w:rPr>
          <w:b/>
          <w:lang w:eastAsia="es-DO"/>
        </w:rPr>
        <w:t>1) Compras Públicas Inclusivas</w:t>
      </w:r>
      <w:r w:rsidRPr="000A7CDB">
        <w:rPr>
          <w:lang w:eastAsia="es-DO"/>
        </w:rPr>
        <w:t xml:space="preserve"> con actividades que tienden a vincular la demanda pública con los sectores productivos nacionales y priorizan la inclusión de las MIPYME; </w:t>
      </w:r>
      <w:r w:rsidRPr="003A66C7">
        <w:rPr>
          <w:b/>
          <w:lang w:eastAsia="es-DO"/>
        </w:rPr>
        <w:t>2) Compras Públicas Territoriales (Compras@territorio)</w:t>
      </w:r>
      <w:r w:rsidRPr="000A7CDB">
        <w:rPr>
          <w:lang w:eastAsia="es-DO"/>
        </w:rPr>
        <w:t xml:space="preserve"> a través del fortalecimiento en materia de compras y contrataciones públicas de los gobiernos locales; y </w:t>
      </w:r>
      <w:r w:rsidRPr="003A66C7">
        <w:rPr>
          <w:lang w:eastAsia="es-DO"/>
        </w:rPr>
        <w:t>3) Compras Públicas Sostenibles</w:t>
      </w:r>
      <w:r w:rsidRPr="000A7CDB">
        <w:rPr>
          <w:lang w:eastAsia="es-DO"/>
        </w:rPr>
        <w:t>, mediante el establecimiento de condiciones para la formulación de políticas para la implementación de criterios de sostenibilidad ambiental en las contrataciones de bienes, servicios, obras y concesiones.</w:t>
      </w:r>
    </w:p>
    <w:p w:rsidR="001B1D2E" w:rsidRDefault="001B1D2E" w:rsidP="000A224D">
      <w:r>
        <w:br w:type="page"/>
      </w:r>
    </w:p>
    <w:p w:rsidR="00901323" w:rsidRPr="000A7CDB" w:rsidRDefault="00901323" w:rsidP="000A224D">
      <w:pPr>
        <w:rPr>
          <w:lang w:eastAsia="es-DO"/>
        </w:rPr>
      </w:pPr>
      <w:r w:rsidRPr="000A7CDB">
        <w:rPr>
          <w:lang w:eastAsia="es-DO"/>
        </w:rPr>
        <w:t>Entre las acciones relevantes ejecutadas para este eje estratégico se destacan:</w:t>
      </w:r>
    </w:p>
    <w:p w:rsidR="00901323" w:rsidRPr="000A7CDB" w:rsidRDefault="00901323" w:rsidP="000A224D">
      <w:pPr>
        <w:rPr>
          <w:lang w:eastAsia="es-DO"/>
        </w:rPr>
      </w:pPr>
      <w:r w:rsidRPr="003A66C7">
        <w:rPr>
          <w:b/>
          <w:lang w:eastAsia="es-DO"/>
        </w:rPr>
        <w:t>Implementación del Modelo Domini</w:t>
      </w:r>
      <w:r w:rsidR="000A7CDB" w:rsidRPr="003A66C7">
        <w:rPr>
          <w:b/>
          <w:lang w:eastAsia="es-DO"/>
        </w:rPr>
        <w:t>cano de Compras Públicas en el T</w:t>
      </w:r>
      <w:r w:rsidRPr="003A66C7">
        <w:rPr>
          <w:b/>
          <w:lang w:eastAsia="es-DO"/>
        </w:rPr>
        <w:t>erritorio</w:t>
      </w:r>
      <w:r w:rsidRPr="000A7CDB">
        <w:rPr>
          <w:lang w:eastAsia="es-DO"/>
        </w:rPr>
        <w:t xml:space="preserve">: bajo la metodología de trabajo Compras@territorio, para 2019 fueron intervenidas las Regiones Este, Nordeste, Noroeste y la Provincia de San José de Ocoa, generando los siguientes resultados: </w:t>
      </w:r>
    </w:p>
    <w:tbl>
      <w:tblPr>
        <w:tblStyle w:val="Tablaconcuadrcula"/>
        <w:tblW w:w="0" w:type="auto"/>
        <w:jc w:val="center"/>
        <w:tblLook w:val="04A0" w:firstRow="1" w:lastRow="0" w:firstColumn="1" w:lastColumn="0" w:noHBand="0" w:noVBand="1"/>
      </w:tblPr>
      <w:tblGrid>
        <w:gridCol w:w="2348"/>
        <w:gridCol w:w="2924"/>
        <w:gridCol w:w="2308"/>
      </w:tblGrid>
      <w:tr w:rsidR="00901323" w:rsidRPr="005031EA" w:rsidTr="00DF73BE">
        <w:trPr>
          <w:jc w:val="center"/>
        </w:trPr>
        <w:tc>
          <w:tcPr>
            <w:tcW w:w="2946" w:type="dxa"/>
            <w:shd w:val="clear" w:color="auto" w:fill="4472C4" w:themeFill="accent5"/>
            <w:vAlign w:val="center"/>
          </w:tcPr>
          <w:p w:rsidR="00901323" w:rsidRPr="00EA1ECF" w:rsidRDefault="00901323" w:rsidP="009E0A31">
            <w:pPr>
              <w:pStyle w:val="Prrafodelista"/>
              <w:tabs>
                <w:tab w:val="left" w:pos="270"/>
              </w:tabs>
              <w:spacing w:line="240" w:lineRule="auto"/>
              <w:ind w:left="-112" w:right="-166" w:firstLine="0"/>
              <w:jc w:val="center"/>
              <w:rPr>
                <w:b/>
                <w:color w:val="FFFFFF" w:themeColor="background1"/>
              </w:rPr>
            </w:pPr>
            <w:r w:rsidRPr="00EA1ECF">
              <w:rPr>
                <w:b/>
                <w:color w:val="FFFFFF" w:themeColor="background1"/>
              </w:rPr>
              <w:t>Regiones / provincia</w:t>
            </w:r>
          </w:p>
        </w:tc>
        <w:tc>
          <w:tcPr>
            <w:tcW w:w="2946" w:type="dxa"/>
            <w:shd w:val="clear" w:color="auto" w:fill="4472C4" w:themeFill="accent5"/>
            <w:vAlign w:val="center"/>
          </w:tcPr>
          <w:p w:rsidR="00901323" w:rsidRPr="00EA1ECF" w:rsidRDefault="00901323" w:rsidP="009E0A31">
            <w:pPr>
              <w:pStyle w:val="Prrafodelista"/>
              <w:tabs>
                <w:tab w:val="left" w:pos="270"/>
              </w:tabs>
              <w:spacing w:line="240" w:lineRule="auto"/>
              <w:ind w:left="-112" w:right="-166" w:firstLine="0"/>
              <w:jc w:val="center"/>
              <w:rPr>
                <w:b/>
                <w:color w:val="FFFFFF" w:themeColor="background1"/>
              </w:rPr>
            </w:pPr>
            <w:r w:rsidRPr="00EA1ECF">
              <w:rPr>
                <w:b/>
                <w:color w:val="FFFFFF" w:themeColor="background1"/>
              </w:rPr>
              <w:t>Total de Capacitados/Sensibilizados</w:t>
            </w:r>
          </w:p>
        </w:tc>
        <w:tc>
          <w:tcPr>
            <w:tcW w:w="2946" w:type="dxa"/>
            <w:shd w:val="clear" w:color="auto" w:fill="4472C4" w:themeFill="accent5"/>
            <w:vAlign w:val="center"/>
          </w:tcPr>
          <w:p w:rsidR="00901323" w:rsidRPr="00EA1ECF" w:rsidRDefault="00901323" w:rsidP="009E0A31">
            <w:pPr>
              <w:pStyle w:val="Prrafodelista"/>
              <w:tabs>
                <w:tab w:val="left" w:pos="270"/>
              </w:tabs>
              <w:spacing w:line="240" w:lineRule="auto"/>
              <w:ind w:left="-112" w:right="-166" w:firstLine="0"/>
              <w:jc w:val="center"/>
              <w:rPr>
                <w:b/>
                <w:color w:val="FFFFFF" w:themeColor="background1"/>
              </w:rPr>
            </w:pPr>
            <w:r w:rsidRPr="00EA1ECF">
              <w:rPr>
                <w:b/>
                <w:color w:val="FFFFFF" w:themeColor="background1"/>
              </w:rPr>
              <w:t>Total Mujeres</w:t>
            </w:r>
          </w:p>
        </w:tc>
      </w:tr>
      <w:tr w:rsidR="00901323" w:rsidRPr="005031EA" w:rsidTr="00DF73BE">
        <w:trPr>
          <w:jc w:val="center"/>
        </w:trPr>
        <w:tc>
          <w:tcPr>
            <w:tcW w:w="2946" w:type="dxa"/>
            <w:vAlign w:val="center"/>
          </w:tcPr>
          <w:p w:rsidR="00901323" w:rsidRPr="00EA1ECF" w:rsidRDefault="00901323" w:rsidP="009E0A31">
            <w:pPr>
              <w:pStyle w:val="Prrafodelista"/>
              <w:tabs>
                <w:tab w:val="left" w:pos="270"/>
              </w:tabs>
              <w:spacing w:before="0" w:line="240" w:lineRule="auto"/>
              <w:ind w:left="0" w:firstLine="0"/>
              <w:jc w:val="center"/>
            </w:pPr>
            <w:r w:rsidRPr="00EA1ECF">
              <w:t>Nordeste</w:t>
            </w:r>
          </w:p>
        </w:tc>
        <w:tc>
          <w:tcPr>
            <w:tcW w:w="2946" w:type="dxa"/>
            <w:vAlign w:val="center"/>
          </w:tcPr>
          <w:p w:rsidR="00901323" w:rsidRPr="00EA1ECF" w:rsidRDefault="00901323" w:rsidP="009E0A31">
            <w:pPr>
              <w:pStyle w:val="Prrafodelista"/>
              <w:tabs>
                <w:tab w:val="left" w:pos="270"/>
              </w:tabs>
              <w:spacing w:before="0" w:line="240" w:lineRule="auto"/>
              <w:ind w:left="0" w:firstLine="0"/>
              <w:jc w:val="center"/>
            </w:pPr>
            <w:r w:rsidRPr="00EA1ECF">
              <w:t>106</w:t>
            </w:r>
          </w:p>
        </w:tc>
        <w:tc>
          <w:tcPr>
            <w:tcW w:w="2946" w:type="dxa"/>
            <w:vAlign w:val="center"/>
          </w:tcPr>
          <w:p w:rsidR="00901323" w:rsidRPr="00EA1ECF" w:rsidRDefault="00901323" w:rsidP="009E0A31">
            <w:pPr>
              <w:pStyle w:val="Prrafodelista"/>
              <w:tabs>
                <w:tab w:val="left" w:pos="270"/>
              </w:tabs>
              <w:spacing w:before="0" w:line="240" w:lineRule="auto"/>
              <w:ind w:left="0" w:firstLine="0"/>
              <w:jc w:val="center"/>
            </w:pPr>
            <w:r w:rsidRPr="00EA1ECF">
              <w:t>63</w:t>
            </w:r>
          </w:p>
        </w:tc>
      </w:tr>
      <w:tr w:rsidR="00901323" w:rsidRPr="005031EA" w:rsidTr="00DF73BE">
        <w:trPr>
          <w:jc w:val="center"/>
        </w:trPr>
        <w:tc>
          <w:tcPr>
            <w:tcW w:w="2946" w:type="dxa"/>
            <w:vAlign w:val="center"/>
          </w:tcPr>
          <w:p w:rsidR="00901323" w:rsidRPr="00EA1ECF" w:rsidRDefault="00901323" w:rsidP="009E0A31">
            <w:pPr>
              <w:pStyle w:val="Prrafodelista"/>
              <w:tabs>
                <w:tab w:val="left" w:pos="270"/>
              </w:tabs>
              <w:spacing w:before="0" w:line="240" w:lineRule="auto"/>
              <w:ind w:left="0" w:firstLine="0"/>
              <w:jc w:val="center"/>
            </w:pPr>
            <w:r w:rsidRPr="00EA1ECF">
              <w:t>San José de Ocoa</w:t>
            </w:r>
          </w:p>
        </w:tc>
        <w:tc>
          <w:tcPr>
            <w:tcW w:w="2946" w:type="dxa"/>
            <w:vAlign w:val="center"/>
          </w:tcPr>
          <w:p w:rsidR="00901323" w:rsidRPr="00EA1ECF" w:rsidRDefault="00901323" w:rsidP="009E0A31">
            <w:pPr>
              <w:pStyle w:val="Prrafodelista"/>
              <w:tabs>
                <w:tab w:val="left" w:pos="270"/>
              </w:tabs>
              <w:spacing w:before="0" w:line="240" w:lineRule="auto"/>
              <w:ind w:left="0" w:firstLine="0"/>
              <w:jc w:val="center"/>
            </w:pPr>
            <w:r w:rsidRPr="00EA1ECF">
              <w:t>181</w:t>
            </w:r>
          </w:p>
        </w:tc>
        <w:tc>
          <w:tcPr>
            <w:tcW w:w="2946" w:type="dxa"/>
            <w:vAlign w:val="center"/>
          </w:tcPr>
          <w:p w:rsidR="00901323" w:rsidRPr="00EA1ECF" w:rsidRDefault="00901323" w:rsidP="009E0A31">
            <w:pPr>
              <w:pStyle w:val="Prrafodelista"/>
              <w:tabs>
                <w:tab w:val="left" w:pos="270"/>
              </w:tabs>
              <w:spacing w:before="0" w:line="240" w:lineRule="auto"/>
              <w:ind w:left="0" w:firstLine="0"/>
              <w:jc w:val="center"/>
            </w:pPr>
            <w:r w:rsidRPr="00EA1ECF">
              <w:t>40</w:t>
            </w:r>
          </w:p>
        </w:tc>
      </w:tr>
      <w:tr w:rsidR="00901323" w:rsidRPr="005031EA" w:rsidTr="00DF73BE">
        <w:trPr>
          <w:jc w:val="center"/>
        </w:trPr>
        <w:tc>
          <w:tcPr>
            <w:tcW w:w="2946" w:type="dxa"/>
            <w:shd w:val="clear" w:color="auto" w:fill="4472C4" w:themeFill="accent5"/>
            <w:vAlign w:val="center"/>
          </w:tcPr>
          <w:p w:rsidR="00901323" w:rsidRPr="00EA1ECF" w:rsidRDefault="00901323" w:rsidP="009E0A31">
            <w:pPr>
              <w:pStyle w:val="Prrafodelista"/>
              <w:tabs>
                <w:tab w:val="left" w:pos="270"/>
              </w:tabs>
              <w:spacing w:before="0" w:line="240" w:lineRule="auto"/>
              <w:ind w:left="0" w:firstLine="0"/>
              <w:jc w:val="center"/>
              <w:rPr>
                <w:b/>
                <w:color w:val="FFFFFF" w:themeColor="background1"/>
              </w:rPr>
            </w:pPr>
            <w:r w:rsidRPr="00EA1ECF">
              <w:rPr>
                <w:b/>
                <w:color w:val="FFFFFF" w:themeColor="background1"/>
              </w:rPr>
              <w:t>Total</w:t>
            </w:r>
          </w:p>
        </w:tc>
        <w:tc>
          <w:tcPr>
            <w:tcW w:w="2946" w:type="dxa"/>
            <w:shd w:val="clear" w:color="auto" w:fill="4472C4" w:themeFill="accent5"/>
            <w:vAlign w:val="center"/>
          </w:tcPr>
          <w:p w:rsidR="00901323" w:rsidRPr="00EA1ECF" w:rsidRDefault="00901323" w:rsidP="009E0A31">
            <w:pPr>
              <w:pStyle w:val="Prrafodelista"/>
              <w:tabs>
                <w:tab w:val="left" w:pos="270"/>
              </w:tabs>
              <w:spacing w:before="0" w:line="240" w:lineRule="auto"/>
              <w:ind w:left="0" w:firstLine="0"/>
              <w:jc w:val="center"/>
              <w:rPr>
                <w:b/>
                <w:color w:val="FFFFFF" w:themeColor="background1"/>
              </w:rPr>
            </w:pPr>
            <w:r w:rsidRPr="00EA1ECF">
              <w:rPr>
                <w:b/>
                <w:color w:val="FFFFFF" w:themeColor="background1"/>
              </w:rPr>
              <w:t>287</w:t>
            </w:r>
          </w:p>
        </w:tc>
        <w:tc>
          <w:tcPr>
            <w:tcW w:w="2946" w:type="dxa"/>
            <w:shd w:val="clear" w:color="auto" w:fill="4472C4" w:themeFill="accent5"/>
            <w:vAlign w:val="center"/>
          </w:tcPr>
          <w:p w:rsidR="00901323" w:rsidRPr="00EA1ECF" w:rsidRDefault="00901323" w:rsidP="009E0A31">
            <w:pPr>
              <w:pStyle w:val="Prrafodelista"/>
              <w:tabs>
                <w:tab w:val="left" w:pos="270"/>
              </w:tabs>
              <w:spacing w:before="0" w:line="240" w:lineRule="auto"/>
              <w:ind w:left="0" w:firstLine="0"/>
              <w:jc w:val="center"/>
              <w:rPr>
                <w:b/>
                <w:color w:val="FFFFFF" w:themeColor="background1"/>
              </w:rPr>
            </w:pPr>
            <w:r w:rsidRPr="00EA1ECF">
              <w:rPr>
                <w:b/>
                <w:color w:val="FFFFFF" w:themeColor="background1"/>
              </w:rPr>
              <w:t>103</w:t>
            </w:r>
          </w:p>
        </w:tc>
      </w:tr>
    </w:tbl>
    <w:p w:rsidR="00901323" w:rsidRPr="000A7CDB" w:rsidRDefault="00901323" w:rsidP="000A224D">
      <w:pPr>
        <w:rPr>
          <w:lang w:eastAsia="es-DO"/>
        </w:rPr>
      </w:pPr>
    </w:p>
    <w:p w:rsidR="00901323" w:rsidRPr="000A7CDB" w:rsidRDefault="00901323" w:rsidP="000A224D">
      <w:pPr>
        <w:rPr>
          <w:lang w:eastAsia="es-DO"/>
        </w:rPr>
      </w:pPr>
      <w:r w:rsidRPr="000A7CDB">
        <w:rPr>
          <w:lang w:eastAsia="es-DO"/>
        </w:rPr>
        <w:t>En el marco de la implementación del modelo en estos territorios, se mancomunaron esfuerzos con organizaciones locales, a través de las cuales se puede socializar, sensibilizar y capacitar sobre las normativas relacionadas a las Compras Públicas y las herramientas de acceso al mercado público.</w:t>
      </w:r>
    </w:p>
    <w:p w:rsidR="00901323" w:rsidRPr="000A7CDB" w:rsidRDefault="00901323" w:rsidP="000A224D">
      <w:pPr>
        <w:rPr>
          <w:lang w:eastAsia="es-DO"/>
        </w:rPr>
      </w:pPr>
      <w:r w:rsidRPr="000A7CDB">
        <w:rPr>
          <w:lang w:eastAsia="es-DO"/>
        </w:rPr>
        <w:t>En este proceso de acercar nuevos actores al Sistema de Contrataciones Públicas, en San José de Ocoa, a través de la Asociación para el Desarrollo de San José de Ocoa, ADESJO, fueron sensibilizados 100 potenciales nuevos proveedores, de los cuales 40 eran mujeres, los mismos fueron capacitados sobre las herramientas del Sistema de Compras y el Registro de Proveedores del Estado; de igual manera 81 Pequeños Productores Agropecuarios de las provincias Azua, Ocoa y Peravia fueron instruidos sobre las normativas de compras y la implementación del Decreto 168-19, a favor de la producción nacional.</w:t>
      </w:r>
    </w:p>
    <w:p w:rsidR="00901323" w:rsidRPr="000A7CDB" w:rsidRDefault="00901323" w:rsidP="00640607">
      <w:pPr>
        <w:rPr>
          <w:lang w:eastAsia="es-DO"/>
        </w:rPr>
      </w:pPr>
      <w:r w:rsidRPr="000A7CDB">
        <w:rPr>
          <w:lang w:eastAsia="es-DO"/>
        </w:rPr>
        <w:t>En San Francisco de Macorís, de la mano con el Centro Universitario Regional de la UASD, CURNE, la Asociación de Municipios de la Región Nordeste y el Ayuntamientos, el proceso se inició con una Sensibilización sobre el Empoderamiento Económico de la Mujer y las Compras Públicas a cargo de la Directora General Dra. Yokasta Guzmán, con una participación de 60 asistentes. Se continuó con un proceso de capacitación normativa a 46 funcionarios y técnicos de las Unidades de Compras de los Gobiernos Locales de las provincias Duarte, Hermanas Mirabal, María Trinidad Sánchez y Samaná. A su vez fueron instruidos 100 Pequeños productores agropecuarios de la provincia sobre la aplicación del Decreto 168-19 y su vinculación con la Ley No. 340-06 sobre Contrataciones Públicas.</w:t>
      </w:r>
    </w:p>
    <w:p w:rsidR="00901323" w:rsidRPr="000A7CDB" w:rsidRDefault="00901323" w:rsidP="00640607">
      <w:pPr>
        <w:rPr>
          <w:lang w:eastAsia="es-DO"/>
        </w:rPr>
      </w:pPr>
      <w:r w:rsidRPr="000A7CDB">
        <w:rPr>
          <w:lang w:eastAsia="es-DO"/>
        </w:rPr>
        <w:t xml:space="preserve">En 2019, como parte de los resultados de las Compras Públicas territoriales, se formuló la Estrategia de Abordaje y Plan de Acción para la intervención en los Gobiernos Locales. Incluyendo el levantamiento de Información sobre el estado de implementación del Sistema Nacional de Compras y Contrataciones en los municipios y distritos municipales, así como la elaboración de </w:t>
      </w:r>
      <w:r w:rsidR="007F52EA">
        <w:rPr>
          <w:lang w:eastAsia="es-DO"/>
        </w:rPr>
        <w:t xml:space="preserve">una </w:t>
      </w:r>
      <w:r w:rsidRPr="000A7CDB">
        <w:rPr>
          <w:lang w:eastAsia="es-DO"/>
        </w:rPr>
        <w:t>Matriz de Consolidación de Información de interacción de la Dirección con los 50 gobiernos locales incluidos inicialmente en el SISMAP municipal.</w:t>
      </w:r>
    </w:p>
    <w:p w:rsidR="00901323" w:rsidRPr="000A7CDB" w:rsidRDefault="00901323" w:rsidP="00640607">
      <w:pPr>
        <w:rPr>
          <w:color w:val="auto"/>
          <w:lang w:eastAsia="es-DO"/>
        </w:rPr>
      </w:pPr>
      <w:r w:rsidRPr="000A7CDB">
        <w:rPr>
          <w:color w:val="auto"/>
          <w:lang w:eastAsia="es-DO"/>
        </w:rPr>
        <w:t>Entre los resultados de esta estrategia se destaca el incremento del número de Ayuntamientos y Juntas de Distritos, monitoreados en el Sistema de Monitoreo Municipal (SISMAP Municipal), de 96 a 127 ayuntamientos y 30 juntas de distritos, monitoreados en los 03 IBOG´s de “Gestión de Compras y Contrataciones”; en junio de 2019, fueron incorporados 31 nuevos ayuntamientos y 17 juntas de distritos, totalizando 158 y 47, respectivamente, los que se están monitoreando actualmente mediante ese sistema. Observándose que el promedio para las 8 Área</w:t>
      </w:r>
      <w:r w:rsidR="007F52EA">
        <w:rPr>
          <w:color w:val="auto"/>
          <w:lang w:eastAsia="es-DO"/>
        </w:rPr>
        <w:t>s</w:t>
      </w:r>
      <w:r w:rsidRPr="000A7CDB">
        <w:rPr>
          <w:color w:val="auto"/>
          <w:lang w:eastAsia="es-DO"/>
        </w:rPr>
        <w:t xml:space="preserve"> de Gestión de los 158 ayuntamientos monitoreados es de 47.99%, para los indicadores de Compras es de un 39.41%; mientras que, en el caso de los distritos municipales, el promedio para las 6 Áreas de Gestión que se evalúan es de 37.72%, el de Compras es del 28.70%.</w:t>
      </w:r>
    </w:p>
    <w:p w:rsidR="00901323" w:rsidRPr="000A7CDB" w:rsidRDefault="00901323" w:rsidP="00640607">
      <w:pPr>
        <w:rPr>
          <w:lang w:eastAsia="es-DO"/>
        </w:rPr>
      </w:pPr>
      <w:r w:rsidRPr="000A7CDB">
        <w:rPr>
          <w:lang w:eastAsia="es-DO"/>
        </w:rPr>
        <w:t>Aumentó de 127 a 158 ayuntamientos y de 30 a 47 juntas de distritos municipales monitoreados en los 03 IBOG´s de “Gestión de Compras y Contrataciones”, a través del Sistema de Montero de a la Administración Pública Municipal (SISMAP Municipal).</w:t>
      </w:r>
    </w:p>
    <w:p w:rsidR="00901323" w:rsidRPr="000A7CDB" w:rsidRDefault="00901323" w:rsidP="00640607">
      <w:pPr>
        <w:rPr>
          <w:lang w:eastAsia="es-DO"/>
        </w:rPr>
      </w:pPr>
      <w:r w:rsidRPr="000A7CDB">
        <w:rPr>
          <w:b/>
          <w:lang w:eastAsia="es-DO"/>
        </w:rPr>
        <w:t>Ejecución de las Ruedas de Negocio</w:t>
      </w:r>
      <w:r w:rsidRPr="000A7CDB">
        <w:rPr>
          <w:lang w:eastAsia="es-DO"/>
        </w:rPr>
        <w:t>: La aplicación del Modelo de Compras Públicas Inclusivas mediante la implementación de Compras@Territorio, en las regiones y provincias planificadas, culminó con la ejecución de siete (7)</w:t>
      </w:r>
      <w:r w:rsidR="007F52EA">
        <w:rPr>
          <w:lang w:eastAsia="es-DO"/>
        </w:rPr>
        <w:t xml:space="preserve"> Ruedas de Negocios en Barahona</w:t>
      </w:r>
      <w:r w:rsidRPr="000A7CDB">
        <w:rPr>
          <w:lang w:eastAsia="es-DO"/>
        </w:rPr>
        <w:t xml:space="preserve">, San Francisco de Macorís, San José de Ocoa, Monticristi y tres (3) en Santo Domingo; las que contaron con la participación de 126 Unidades de Compras de las Instituciones Públicas, 494 MIPYMES, 212 de las cuales están lideradas por Mujeres; en las que se sostuvo un total de 2,360 Entrevistas de Negocios.  </w:t>
      </w:r>
    </w:p>
    <w:tbl>
      <w:tblPr>
        <w:tblStyle w:val="Tablaconcuadrcula"/>
        <w:tblW w:w="0" w:type="auto"/>
        <w:tblLook w:val="04A0" w:firstRow="1" w:lastRow="0" w:firstColumn="1" w:lastColumn="0" w:noHBand="0" w:noVBand="1"/>
      </w:tblPr>
      <w:tblGrid>
        <w:gridCol w:w="2386"/>
        <w:gridCol w:w="1260"/>
        <w:gridCol w:w="1391"/>
        <w:gridCol w:w="1093"/>
        <w:gridCol w:w="1450"/>
      </w:tblGrid>
      <w:tr w:rsidR="00901323" w:rsidRPr="001B1D2E" w:rsidTr="009E0A31">
        <w:tc>
          <w:tcPr>
            <w:tcW w:w="4225" w:type="dxa"/>
            <w:shd w:val="clear" w:color="auto" w:fill="4472C4" w:themeFill="accent5"/>
            <w:vAlign w:val="center"/>
          </w:tcPr>
          <w:p w:rsidR="00901323" w:rsidRPr="001B1D2E" w:rsidRDefault="00901323" w:rsidP="009E0A31">
            <w:pPr>
              <w:tabs>
                <w:tab w:val="left" w:pos="270"/>
              </w:tabs>
              <w:spacing w:before="0" w:line="240" w:lineRule="auto"/>
              <w:ind w:firstLine="0"/>
              <w:jc w:val="center"/>
              <w:rPr>
                <w:b/>
                <w:color w:val="FFFFFF" w:themeColor="background1"/>
                <w:lang w:val="en-US"/>
              </w:rPr>
            </w:pPr>
            <w:r w:rsidRPr="001B1D2E">
              <w:rPr>
                <w:b/>
                <w:color w:val="FFFFFF" w:themeColor="background1"/>
              </w:rPr>
              <w:t>Rueda de Negocio</w:t>
            </w:r>
            <w:r w:rsidRPr="001B1D2E">
              <w:rPr>
                <w:b/>
                <w:color w:val="FFFFFF" w:themeColor="background1"/>
                <w:lang w:val="en-US"/>
              </w:rPr>
              <w:t>/ Lugar</w:t>
            </w:r>
          </w:p>
        </w:tc>
        <w:tc>
          <w:tcPr>
            <w:tcW w:w="1530" w:type="dxa"/>
            <w:shd w:val="clear" w:color="auto" w:fill="4472C4" w:themeFill="accent5"/>
            <w:vAlign w:val="center"/>
          </w:tcPr>
          <w:p w:rsidR="00901323" w:rsidRPr="001B1D2E" w:rsidRDefault="00901323" w:rsidP="009E0A31">
            <w:pPr>
              <w:tabs>
                <w:tab w:val="left" w:pos="270"/>
              </w:tabs>
              <w:spacing w:before="0" w:line="240" w:lineRule="auto"/>
              <w:ind w:firstLine="0"/>
              <w:jc w:val="center"/>
              <w:rPr>
                <w:b/>
                <w:color w:val="FFFFFF" w:themeColor="background1"/>
              </w:rPr>
            </w:pPr>
            <w:r w:rsidRPr="001B1D2E">
              <w:rPr>
                <w:b/>
                <w:color w:val="FFFFFF" w:themeColor="background1"/>
              </w:rPr>
              <w:t>Unidades de Compras</w:t>
            </w:r>
          </w:p>
        </w:tc>
        <w:tc>
          <w:tcPr>
            <w:tcW w:w="1440" w:type="dxa"/>
            <w:shd w:val="clear" w:color="auto" w:fill="4472C4" w:themeFill="accent5"/>
            <w:vAlign w:val="center"/>
          </w:tcPr>
          <w:p w:rsidR="00901323" w:rsidRPr="001B1D2E" w:rsidRDefault="00901323" w:rsidP="009E0A31">
            <w:pPr>
              <w:tabs>
                <w:tab w:val="left" w:pos="270"/>
              </w:tabs>
              <w:spacing w:before="0" w:line="240" w:lineRule="auto"/>
              <w:ind w:firstLine="0"/>
              <w:jc w:val="center"/>
              <w:rPr>
                <w:b/>
                <w:color w:val="FFFFFF" w:themeColor="background1"/>
              </w:rPr>
            </w:pPr>
            <w:r w:rsidRPr="001B1D2E">
              <w:rPr>
                <w:b/>
                <w:color w:val="FFFFFF" w:themeColor="background1"/>
              </w:rPr>
              <w:t>MIPYMES</w:t>
            </w:r>
          </w:p>
        </w:tc>
        <w:tc>
          <w:tcPr>
            <w:tcW w:w="1170" w:type="dxa"/>
            <w:shd w:val="clear" w:color="auto" w:fill="4472C4" w:themeFill="accent5"/>
            <w:vAlign w:val="center"/>
          </w:tcPr>
          <w:p w:rsidR="00901323" w:rsidRPr="001B1D2E" w:rsidRDefault="00901323" w:rsidP="009E0A31">
            <w:pPr>
              <w:tabs>
                <w:tab w:val="left" w:pos="270"/>
              </w:tabs>
              <w:spacing w:before="0" w:line="240" w:lineRule="auto"/>
              <w:ind w:firstLine="0"/>
              <w:jc w:val="center"/>
              <w:rPr>
                <w:b/>
                <w:color w:val="FFFFFF" w:themeColor="background1"/>
              </w:rPr>
            </w:pPr>
            <w:r w:rsidRPr="001B1D2E">
              <w:rPr>
                <w:b/>
                <w:color w:val="FFFFFF" w:themeColor="background1"/>
              </w:rPr>
              <w:t>Mujeres</w:t>
            </w:r>
          </w:p>
        </w:tc>
        <w:tc>
          <w:tcPr>
            <w:tcW w:w="1689" w:type="dxa"/>
            <w:shd w:val="clear" w:color="auto" w:fill="4472C4" w:themeFill="accent5"/>
            <w:vAlign w:val="center"/>
          </w:tcPr>
          <w:p w:rsidR="00901323" w:rsidRPr="001B1D2E" w:rsidRDefault="00901323" w:rsidP="009E0A31">
            <w:pPr>
              <w:tabs>
                <w:tab w:val="left" w:pos="270"/>
              </w:tabs>
              <w:spacing w:before="0" w:line="240" w:lineRule="auto"/>
              <w:ind w:firstLine="0"/>
              <w:jc w:val="center"/>
              <w:rPr>
                <w:b/>
                <w:color w:val="FFFFFF" w:themeColor="background1"/>
              </w:rPr>
            </w:pPr>
            <w:r w:rsidRPr="001B1D2E">
              <w:rPr>
                <w:b/>
                <w:color w:val="FFFFFF" w:themeColor="background1"/>
              </w:rPr>
              <w:t>Entrevistas de Negocio</w:t>
            </w:r>
          </w:p>
        </w:tc>
      </w:tr>
      <w:tr w:rsidR="00901323" w:rsidRPr="001B1D2E" w:rsidTr="009E0A31">
        <w:tc>
          <w:tcPr>
            <w:tcW w:w="4225" w:type="dxa"/>
            <w:vAlign w:val="center"/>
          </w:tcPr>
          <w:p w:rsidR="00901323" w:rsidRPr="001B1D2E" w:rsidRDefault="00901323" w:rsidP="009E0A31">
            <w:pPr>
              <w:tabs>
                <w:tab w:val="left" w:pos="270"/>
              </w:tabs>
              <w:spacing w:before="0" w:line="240" w:lineRule="auto"/>
              <w:ind w:firstLine="0"/>
              <w:jc w:val="left"/>
            </w:pPr>
            <w:r w:rsidRPr="001B1D2E">
              <w:t>Barahona</w:t>
            </w:r>
          </w:p>
        </w:tc>
        <w:tc>
          <w:tcPr>
            <w:tcW w:w="1530" w:type="dxa"/>
            <w:vAlign w:val="center"/>
          </w:tcPr>
          <w:p w:rsidR="00901323" w:rsidRPr="001B1D2E" w:rsidRDefault="00901323" w:rsidP="009E0A31">
            <w:pPr>
              <w:tabs>
                <w:tab w:val="left" w:pos="270"/>
              </w:tabs>
              <w:spacing w:before="0" w:line="240" w:lineRule="auto"/>
              <w:ind w:firstLine="0"/>
              <w:jc w:val="center"/>
            </w:pPr>
            <w:r w:rsidRPr="001B1D2E">
              <w:t>10</w:t>
            </w:r>
          </w:p>
        </w:tc>
        <w:tc>
          <w:tcPr>
            <w:tcW w:w="1440" w:type="dxa"/>
            <w:vAlign w:val="center"/>
          </w:tcPr>
          <w:p w:rsidR="00901323" w:rsidRPr="001B1D2E" w:rsidRDefault="00901323" w:rsidP="009E0A31">
            <w:pPr>
              <w:tabs>
                <w:tab w:val="left" w:pos="270"/>
              </w:tabs>
              <w:spacing w:before="0" w:line="240" w:lineRule="auto"/>
              <w:ind w:firstLine="0"/>
              <w:jc w:val="center"/>
            </w:pPr>
            <w:r w:rsidRPr="001B1D2E">
              <w:t>50</w:t>
            </w:r>
          </w:p>
        </w:tc>
        <w:tc>
          <w:tcPr>
            <w:tcW w:w="1170" w:type="dxa"/>
            <w:vAlign w:val="center"/>
          </w:tcPr>
          <w:p w:rsidR="00901323" w:rsidRPr="001B1D2E" w:rsidRDefault="00901323" w:rsidP="009E0A31">
            <w:pPr>
              <w:tabs>
                <w:tab w:val="left" w:pos="270"/>
              </w:tabs>
              <w:spacing w:before="0" w:line="240" w:lineRule="auto"/>
              <w:ind w:firstLine="0"/>
              <w:jc w:val="center"/>
            </w:pPr>
            <w:r w:rsidRPr="001B1D2E">
              <w:t>11</w:t>
            </w:r>
          </w:p>
        </w:tc>
        <w:tc>
          <w:tcPr>
            <w:tcW w:w="1689" w:type="dxa"/>
            <w:vAlign w:val="center"/>
          </w:tcPr>
          <w:p w:rsidR="00901323" w:rsidRPr="001B1D2E" w:rsidRDefault="00901323" w:rsidP="009E0A31">
            <w:pPr>
              <w:tabs>
                <w:tab w:val="left" w:pos="270"/>
              </w:tabs>
              <w:spacing w:before="0" w:line="240" w:lineRule="auto"/>
              <w:ind w:firstLine="0"/>
              <w:jc w:val="center"/>
            </w:pPr>
            <w:r w:rsidRPr="001B1D2E">
              <w:t>125</w:t>
            </w:r>
          </w:p>
        </w:tc>
      </w:tr>
      <w:tr w:rsidR="00901323" w:rsidRPr="001B1D2E" w:rsidTr="009E0A31">
        <w:tc>
          <w:tcPr>
            <w:tcW w:w="4225" w:type="dxa"/>
            <w:vAlign w:val="center"/>
          </w:tcPr>
          <w:p w:rsidR="00901323" w:rsidRPr="001B1D2E" w:rsidRDefault="00901323" w:rsidP="009E0A31">
            <w:pPr>
              <w:tabs>
                <w:tab w:val="left" w:pos="270"/>
              </w:tabs>
              <w:spacing w:before="0" w:line="240" w:lineRule="auto"/>
              <w:ind w:firstLine="0"/>
              <w:jc w:val="left"/>
            </w:pPr>
            <w:r w:rsidRPr="001B1D2E">
              <w:t>Exclusiva Mujeres / Santo Domingo</w:t>
            </w:r>
          </w:p>
        </w:tc>
        <w:tc>
          <w:tcPr>
            <w:tcW w:w="1530" w:type="dxa"/>
            <w:vAlign w:val="center"/>
          </w:tcPr>
          <w:p w:rsidR="00901323" w:rsidRPr="001B1D2E" w:rsidRDefault="00901323" w:rsidP="009E0A31">
            <w:pPr>
              <w:tabs>
                <w:tab w:val="left" w:pos="270"/>
              </w:tabs>
              <w:spacing w:before="0" w:line="240" w:lineRule="auto"/>
              <w:ind w:firstLine="0"/>
              <w:jc w:val="center"/>
            </w:pPr>
            <w:r w:rsidRPr="001B1D2E">
              <w:t>41</w:t>
            </w:r>
          </w:p>
        </w:tc>
        <w:tc>
          <w:tcPr>
            <w:tcW w:w="1440" w:type="dxa"/>
            <w:vAlign w:val="center"/>
          </w:tcPr>
          <w:p w:rsidR="00901323" w:rsidRPr="001B1D2E" w:rsidRDefault="00901323" w:rsidP="009E0A31">
            <w:pPr>
              <w:tabs>
                <w:tab w:val="left" w:pos="270"/>
              </w:tabs>
              <w:spacing w:before="0" w:line="240" w:lineRule="auto"/>
              <w:ind w:firstLine="0"/>
              <w:jc w:val="center"/>
            </w:pPr>
            <w:r w:rsidRPr="001B1D2E">
              <w:t>158</w:t>
            </w:r>
          </w:p>
        </w:tc>
        <w:tc>
          <w:tcPr>
            <w:tcW w:w="1170" w:type="dxa"/>
            <w:vAlign w:val="center"/>
          </w:tcPr>
          <w:p w:rsidR="00901323" w:rsidRPr="001B1D2E" w:rsidRDefault="00901323" w:rsidP="009E0A31">
            <w:pPr>
              <w:tabs>
                <w:tab w:val="left" w:pos="270"/>
              </w:tabs>
              <w:spacing w:before="0" w:line="240" w:lineRule="auto"/>
              <w:ind w:firstLine="0"/>
              <w:jc w:val="center"/>
            </w:pPr>
            <w:r w:rsidRPr="001B1D2E">
              <w:t>140</w:t>
            </w:r>
          </w:p>
        </w:tc>
        <w:tc>
          <w:tcPr>
            <w:tcW w:w="1689" w:type="dxa"/>
            <w:vAlign w:val="center"/>
          </w:tcPr>
          <w:p w:rsidR="00901323" w:rsidRPr="001B1D2E" w:rsidRDefault="00901323" w:rsidP="009E0A31">
            <w:pPr>
              <w:tabs>
                <w:tab w:val="left" w:pos="270"/>
              </w:tabs>
              <w:spacing w:before="0" w:line="240" w:lineRule="auto"/>
              <w:ind w:firstLine="0"/>
              <w:jc w:val="center"/>
            </w:pPr>
            <w:r w:rsidRPr="001B1D2E">
              <w:t>950</w:t>
            </w:r>
          </w:p>
        </w:tc>
      </w:tr>
      <w:tr w:rsidR="00901323" w:rsidRPr="001B1D2E" w:rsidTr="009E0A31">
        <w:tc>
          <w:tcPr>
            <w:tcW w:w="4225" w:type="dxa"/>
            <w:vAlign w:val="center"/>
          </w:tcPr>
          <w:p w:rsidR="00901323" w:rsidRPr="001B1D2E" w:rsidRDefault="00901323" w:rsidP="009E0A31">
            <w:pPr>
              <w:tabs>
                <w:tab w:val="left" w:pos="270"/>
              </w:tabs>
              <w:spacing w:before="0" w:line="240" w:lineRule="auto"/>
              <w:ind w:firstLine="0"/>
              <w:jc w:val="left"/>
            </w:pPr>
            <w:r w:rsidRPr="001B1D2E">
              <w:t>Pequeños Productores Agropecuarios / Santo Domingo</w:t>
            </w:r>
          </w:p>
        </w:tc>
        <w:tc>
          <w:tcPr>
            <w:tcW w:w="1530" w:type="dxa"/>
            <w:vAlign w:val="center"/>
          </w:tcPr>
          <w:p w:rsidR="00901323" w:rsidRPr="001B1D2E" w:rsidRDefault="00901323" w:rsidP="009E0A31">
            <w:pPr>
              <w:tabs>
                <w:tab w:val="left" w:pos="270"/>
              </w:tabs>
              <w:spacing w:before="0" w:line="240" w:lineRule="auto"/>
              <w:ind w:firstLine="0"/>
              <w:jc w:val="center"/>
            </w:pPr>
            <w:r w:rsidRPr="001B1D2E">
              <w:t>19</w:t>
            </w:r>
          </w:p>
        </w:tc>
        <w:tc>
          <w:tcPr>
            <w:tcW w:w="1440" w:type="dxa"/>
            <w:vAlign w:val="center"/>
          </w:tcPr>
          <w:p w:rsidR="00901323" w:rsidRPr="001B1D2E" w:rsidRDefault="00901323" w:rsidP="009E0A31">
            <w:pPr>
              <w:tabs>
                <w:tab w:val="left" w:pos="270"/>
              </w:tabs>
              <w:spacing w:before="0" w:line="240" w:lineRule="auto"/>
              <w:ind w:firstLine="0"/>
              <w:jc w:val="center"/>
            </w:pPr>
            <w:r w:rsidRPr="001B1D2E">
              <w:t>73</w:t>
            </w:r>
          </w:p>
        </w:tc>
        <w:tc>
          <w:tcPr>
            <w:tcW w:w="1170" w:type="dxa"/>
            <w:vAlign w:val="center"/>
          </w:tcPr>
          <w:p w:rsidR="00901323" w:rsidRPr="001B1D2E" w:rsidRDefault="00901323" w:rsidP="009E0A31">
            <w:pPr>
              <w:tabs>
                <w:tab w:val="left" w:pos="270"/>
              </w:tabs>
              <w:spacing w:before="0" w:line="240" w:lineRule="auto"/>
              <w:ind w:firstLine="0"/>
              <w:jc w:val="center"/>
            </w:pPr>
            <w:r w:rsidRPr="001B1D2E">
              <w:t>16</w:t>
            </w:r>
          </w:p>
        </w:tc>
        <w:tc>
          <w:tcPr>
            <w:tcW w:w="1689" w:type="dxa"/>
            <w:vAlign w:val="center"/>
          </w:tcPr>
          <w:p w:rsidR="00901323" w:rsidRPr="001B1D2E" w:rsidRDefault="00901323" w:rsidP="009E0A31">
            <w:pPr>
              <w:tabs>
                <w:tab w:val="left" w:pos="270"/>
              </w:tabs>
              <w:spacing w:before="0" w:line="240" w:lineRule="auto"/>
              <w:ind w:firstLine="0"/>
              <w:jc w:val="center"/>
            </w:pPr>
            <w:r w:rsidRPr="001B1D2E">
              <w:t>438</w:t>
            </w:r>
          </w:p>
        </w:tc>
      </w:tr>
      <w:tr w:rsidR="00901323" w:rsidRPr="001B1D2E" w:rsidTr="009E0A31">
        <w:tc>
          <w:tcPr>
            <w:tcW w:w="4225" w:type="dxa"/>
            <w:vAlign w:val="center"/>
          </w:tcPr>
          <w:p w:rsidR="00901323" w:rsidRPr="001B1D2E" w:rsidRDefault="00901323" w:rsidP="009E0A31">
            <w:pPr>
              <w:tabs>
                <w:tab w:val="left" w:pos="270"/>
              </w:tabs>
              <w:spacing w:before="0" w:line="240" w:lineRule="auto"/>
              <w:ind w:firstLine="0"/>
              <w:jc w:val="left"/>
            </w:pPr>
            <w:r w:rsidRPr="001B1D2E">
              <w:t>Compras Sostenibles y Tecnologías de la Comunicaciones / Santo Domingo</w:t>
            </w:r>
          </w:p>
        </w:tc>
        <w:tc>
          <w:tcPr>
            <w:tcW w:w="1530" w:type="dxa"/>
            <w:vAlign w:val="center"/>
          </w:tcPr>
          <w:p w:rsidR="00901323" w:rsidRPr="001B1D2E" w:rsidRDefault="00901323" w:rsidP="009E0A31">
            <w:pPr>
              <w:tabs>
                <w:tab w:val="left" w:pos="270"/>
              </w:tabs>
              <w:spacing w:before="0" w:line="240" w:lineRule="auto"/>
              <w:ind w:firstLine="0"/>
              <w:jc w:val="center"/>
            </w:pPr>
            <w:r w:rsidRPr="001B1D2E">
              <w:t>26</w:t>
            </w:r>
          </w:p>
        </w:tc>
        <w:tc>
          <w:tcPr>
            <w:tcW w:w="1440" w:type="dxa"/>
            <w:vAlign w:val="center"/>
          </w:tcPr>
          <w:p w:rsidR="00901323" w:rsidRPr="001B1D2E" w:rsidRDefault="00901323" w:rsidP="009E0A31">
            <w:pPr>
              <w:tabs>
                <w:tab w:val="left" w:pos="270"/>
              </w:tabs>
              <w:spacing w:before="0" w:line="240" w:lineRule="auto"/>
              <w:ind w:firstLine="0"/>
              <w:jc w:val="center"/>
            </w:pPr>
            <w:r w:rsidRPr="001B1D2E">
              <w:t>69</w:t>
            </w:r>
          </w:p>
        </w:tc>
        <w:tc>
          <w:tcPr>
            <w:tcW w:w="1170" w:type="dxa"/>
            <w:vAlign w:val="center"/>
          </w:tcPr>
          <w:p w:rsidR="00901323" w:rsidRPr="001B1D2E" w:rsidRDefault="00901323" w:rsidP="009E0A31">
            <w:pPr>
              <w:tabs>
                <w:tab w:val="left" w:pos="270"/>
              </w:tabs>
              <w:spacing w:before="0" w:line="240" w:lineRule="auto"/>
              <w:ind w:firstLine="0"/>
              <w:jc w:val="center"/>
            </w:pPr>
            <w:r w:rsidRPr="001B1D2E">
              <w:t>20</w:t>
            </w:r>
          </w:p>
        </w:tc>
        <w:tc>
          <w:tcPr>
            <w:tcW w:w="1689" w:type="dxa"/>
            <w:vAlign w:val="center"/>
          </w:tcPr>
          <w:p w:rsidR="00901323" w:rsidRPr="001B1D2E" w:rsidRDefault="00901323" w:rsidP="009E0A31">
            <w:pPr>
              <w:tabs>
                <w:tab w:val="left" w:pos="270"/>
              </w:tabs>
              <w:spacing w:before="0" w:line="240" w:lineRule="auto"/>
              <w:ind w:firstLine="0"/>
              <w:jc w:val="center"/>
            </w:pPr>
            <w:r w:rsidRPr="001B1D2E">
              <w:t>526</w:t>
            </w:r>
          </w:p>
        </w:tc>
      </w:tr>
      <w:tr w:rsidR="00901323" w:rsidRPr="001B1D2E" w:rsidTr="009E0A31">
        <w:tc>
          <w:tcPr>
            <w:tcW w:w="4225" w:type="dxa"/>
            <w:vAlign w:val="center"/>
          </w:tcPr>
          <w:p w:rsidR="00901323" w:rsidRPr="001B1D2E" w:rsidRDefault="00901323" w:rsidP="009E0A31">
            <w:pPr>
              <w:tabs>
                <w:tab w:val="left" w:pos="270"/>
              </w:tabs>
              <w:spacing w:before="0" w:line="240" w:lineRule="auto"/>
              <w:ind w:firstLine="0"/>
              <w:jc w:val="left"/>
              <w:rPr>
                <w:lang w:val="en-US"/>
              </w:rPr>
            </w:pPr>
            <w:r w:rsidRPr="001B1D2E">
              <w:t>San Francisco de Macor</w:t>
            </w:r>
            <w:r w:rsidRPr="001B1D2E">
              <w:rPr>
                <w:lang w:val="en-US"/>
              </w:rPr>
              <w:t>ís</w:t>
            </w:r>
          </w:p>
        </w:tc>
        <w:tc>
          <w:tcPr>
            <w:tcW w:w="1530" w:type="dxa"/>
            <w:vAlign w:val="center"/>
          </w:tcPr>
          <w:p w:rsidR="00901323" w:rsidRPr="001B1D2E" w:rsidRDefault="00901323" w:rsidP="009E0A31">
            <w:pPr>
              <w:tabs>
                <w:tab w:val="left" w:pos="270"/>
              </w:tabs>
              <w:spacing w:before="0" w:line="240" w:lineRule="auto"/>
              <w:ind w:firstLine="0"/>
              <w:jc w:val="center"/>
            </w:pPr>
            <w:r w:rsidRPr="001B1D2E">
              <w:t>12</w:t>
            </w:r>
          </w:p>
        </w:tc>
        <w:tc>
          <w:tcPr>
            <w:tcW w:w="1440" w:type="dxa"/>
            <w:vAlign w:val="center"/>
          </w:tcPr>
          <w:p w:rsidR="00901323" w:rsidRPr="001B1D2E" w:rsidRDefault="00901323" w:rsidP="009E0A31">
            <w:pPr>
              <w:tabs>
                <w:tab w:val="left" w:pos="270"/>
              </w:tabs>
              <w:spacing w:before="0" w:line="240" w:lineRule="auto"/>
              <w:ind w:firstLine="0"/>
              <w:jc w:val="center"/>
            </w:pPr>
            <w:r w:rsidRPr="001B1D2E">
              <w:t>49</w:t>
            </w:r>
          </w:p>
        </w:tc>
        <w:tc>
          <w:tcPr>
            <w:tcW w:w="1170" w:type="dxa"/>
            <w:vAlign w:val="center"/>
          </w:tcPr>
          <w:p w:rsidR="00901323" w:rsidRPr="001B1D2E" w:rsidRDefault="00901323" w:rsidP="009E0A31">
            <w:pPr>
              <w:tabs>
                <w:tab w:val="left" w:pos="270"/>
              </w:tabs>
              <w:spacing w:before="0" w:line="240" w:lineRule="auto"/>
              <w:ind w:firstLine="0"/>
              <w:jc w:val="center"/>
            </w:pPr>
            <w:r w:rsidRPr="001B1D2E">
              <w:t>8</w:t>
            </w:r>
          </w:p>
        </w:tc>
        <w:tc>
          <w:tcPr>
            <w:tcW w:w="1689" w:type="dxa"/>
            <w:vAlign w:val="center"/>
          </w:tcPr>
          <w:p w:rsidR="00901323" w:rsidRPr="001B1D2E" w:rsidRDefault="00901323" w:rsidP="009E0A31">
            <w:pPr>
              <w:tabs>
                <w:tab w:val="left" w:pos="270"/>
              </w:tabs>
              <w:spacing w:before="0" w:line="240" w:lineRule="auto"/>
              <w:ind w:firstLine="0"/>
              <w:jc w:val="center"/>
            </w:pPr>
            <w:r w:rsidRPr="001B1D2E">
              <w:t>132</w:t>
            </w:r>
          </w:p>
        </w:tc>
      </w:tr>
      <w:tr w:rsidR="00901323" w:rsidRPr="001B1D2E" w:rsidTr="009E0A31">
        <w:tc>
          <w:tcPr>
            <w:tcW w:w="4225" w:type="dxa"/>
            <w:vAlign w:val="center"/>
          </w:tcPr>
          <w:p w:rsidR="00901323" w:rsidRPr="001B1D2E" w:rsidRDefault="00901323" w:rsidP="009E0A31">
            <w:pPr>
              <w:tabs>
                <w:tab w:val="left" w:pos="270"/>
              </w:tabs>
              <w:spacing w:before="0" w:line="240" w:lineRule="auto"/>
              <w:ind w:firstLine="0"/>
              <w:jc w:val="left"/>
            </w:pPr>
            <w:r w:rsidRPr="001B1D2E">
              <w:t>San José de Ocoa</w:t>
            </w:r>
          </w:p>
        </w:tc>
        <w:tc>
          <w:tcPr>
            <w:tcW w:w="1530" w:type="dxa"/>
            <w:vAlign w:val="center"/>
          </w:tcPr>
          <w:p w:rsidR="00901323" w:rsidRPr="001B1D2E" w:rsidRDefault="00901323" w:rsidP="009E0A31">
            <w:pPr>
              <w:tabs>
                <w:tab w:val="left" w:pos="270"/>
              </w:tabs>
              <w:spacing w:before="0" w:line="240" w:lineRule="auto"/>
              <w:ind w:firstLine="0"/>
              <w:jc w:val="center"/>
            </w:pPr>
            <w:r w:rsidRPr="001B1D2E">
              <w:t>6</w:t>
            </w:r>
          </w:p>
        </w:tc>
        <w:tc>
          <w:tcPr>
            <w:tcW w:w="1440" w:type="dxa"/>
            <w:vAlign w:val="center"/>
          </w:tcPr>
          <w:p w:rsidR="00901323" w:rsidRPr="001B1D2E" w:rsidRDefault="00901323" w:rsidP="009E0A31">
            <w:pPr>
              <w:tabs>
                <w:tab w:val="left" w:pos="270"/>
              </w:tabs>
              <w:spacing w:before="0" w:line="240" w:lineRule="auto"/>
              <w:ind w:firstLine="0"/>
              <w:jc w:val="center"/>
            </w:pPr>
            <w:r w:rsidRPr="001B1D2E">
              <w:t>24</w:t>
            </w:r>
          </w:p>
        </w:tc>
        <w:tc>
          <w:tcPr>
            <w:tcW w:w="1170" w:type="dxa"/>
            <w:vAlign w:val="center"/>
          </w:tcPr>
          <w:p w:rsidR="00901323" w:rsidRPr="001B1D2E" w:rsidRDefault="00901323" w:rsidP="009E0A31">
            <w:pPr>
              <w:tabs>
                <w:tab w:val="left" w:pos="270"/>
              </w:tabs>
              <w:spacing w:before="0" w:line="240" w:lineRule="auto"/>
              <w:ind w:firstLine="0"/>
              <w:jc w:val="center"/>
              <w:rPr>
                <w:lang w:val="en-US"/>
              </w:rPr>
            </w:pPr>
            <w:r w:rsidRPr="001B1D2E">
              <w:t>6</w:t>
            </w:r>
          </w:p>
        </w:tc>
        <w:tc>
          <w:tcPr>
            <w:tcW w:w="1689" w:type="dxa"/>
            <w:vAlign w:val="center"/>
          </w:tcPr>
          <w:p w:rsidR="00901323" w:rsidRPr="001B1D2E" w:rsidRDefault="00901323" w:rsidP="009E0A31">
            <w:pPr>
              <w:tabs>
                <w:tab w:val="left" w:pos="270"/>
              </w:tabs>
              <w:spacing w:before="0" w:line="240" w:lineRule="auto"/>
              <w:ind w:firstLine="0"/>
              <w:jc w:val="center"/>
            </w:pPr>
            <w:r w:rsidRPr="001B1D2E">
              <w:t>61</w:t>
            </w:r>
          </w:p>
        </w:tc>
      </w:tr>
      <w:tr w:rsidR="00901323" w:rsidRPr="001B1D2E" w:rsidTr="009E0A31">
        <w:tc>
          <w:tcPr>
            <w:tcW w:w="4225" w:type="dxa"/>
            <w:vAlign w:val="center"/>
          </w:tcPr>
          <w:p w:rsidR="00901323" w:rsidRPr="001B1D2E" w:rsidRDefault="00901323" w:rsidP="009E0A31">
            <w:pPr>
              <w:tabs>
                <w:tab w:val="left" w:pos="270"/>
              </w:tabs>
              <w:spacing w:before="0" w:line="240" w:lineRule="auto"/>
              <w:ind w:firstLine="0"/>
              <w:jc w:val="left"/>
            </w:pPr>
            <w:r w:rsidRPr="001B1D2E">
              <w:t>Montecristi</w:t>
            </w:r>
          </w:p>
        </w:tc>
        <w:tc>
          <w:tcPr>
            <w:tcW w:w="1530" w:type="dxa"/>
            <w:vAlign w:val="center"/>
          </w:tcPr>
          <w:p w:rsidR="00901323" w:rsidRPr="001B1D2E" w:rsidRDefault="00901323" w:rsidP="009E0A31">
            <w:pPr>
              <w:tabs>
                <w:tab w:val="left" w:pos="270"/>
              </w:tabs>
              <w:spacing w:before="0" w:line="240" w:lineRule="auto"/>
              <w:ind w:firstLine="0"/>
              <w:jc w:val="center"/>
            </w:pPr>
            <w:r w:rsidRPr="001B1D2E">
              <w:t>12</w:t>
            </w:r>
          </w:p>
        </w:tc>
        <w:tc>
          <w:tcPr>
            <w:tcW w:w="1440" w:type="dxa"/>
            <w:vAlign w:val="center"/>
          </w:tcPr>
          <w:p w:rsidR="00901323" w:rsidRPr="001B1D2E" w:rsidRDefault="00901323" w:rsidP="009E0A31">
            <w:pPr>
              <w:tabs>
                <w:tab w:val="left" w:pos="270"/>
              </w:tabs>
              <w:spacing w:before="0" w:line="240" w:lineRule="auto"/>
              <w:ind w:firstLine="0"/>
              <w:jc w:val="center"/>
            </w:pPr>
            <w:r w:rsidRPr="001B1D2E">
              <w:t>71</w:t>
            </w:r>
          </w:p>
        </w:tc>
        <w:tc>
          <w:tcPr>
            <w:tcW w:w="1170" w:type="dxa"/>
            <w:vAlign w:val="center"/>
          </w:tcPr>
          <w:p w:rsidR="00901323" w:rsidRPr="001B1D2E" w:rsidRDefault="00901323" w:rsidP="009E0A31">
            <w:pPr>
              <w:tabs>
                <w:tab w:val="left" w:pos="270"/>
              </w:tabs>
              <w:spacing w:before="0" w:line="240" w:lineRule="auto"/>
              <w:ind w:firstLine="0"/>
              <w:jc w:val="center"/>
            </w:pPr>
            <w:r w:rsidRPr="001B1D2E">
              <w:t>11</w:t>
            </w:r>
          </w:p>
        </w:tc>
        <w:tc>
          <w:tcPr>
            <w:tcW w:w="1689" w:type="dxa"/>
            <w:vAlign w:val="center"/>
          </w:tcPr>
          <w:p w:rsidR="00901323" w:rsidRPr="001B1D2E" w:rsidRDefault="00901323" w:rsidP="009E0A31">
            <w:pPr>
              <w:tabs>
                <w:tab w:val="left" w:pos="270"/>
              </w:tabs>
              <w:spacing w:before="0" w:line="240" w:lineRule="auto"/>
              <w:ind w:firstLine="0"/>
              <w:jc w:val="center"/>
            </w:pPr>
            <w:r w:rsidRPr="001B1D2E">
              <w:t>128</w:t>
            </w:r>
          </w:p>
        </w:tc>
      </w:tr>
      <w:tr w:rsidR="00901323" w:rsidRPr="001B1D2E" w:rsidTr="009E0A31">
        <w:tc>
          <w:tcPr>
            <w:tcW w:w="4225" w:type="dxa"/>
            <w:shd w:val="clear" w:color="auto" w:fill="4472C4" w:themeFill="accent5"/>
            <w:vAlign w:val="center"/>
          </w:tcPr>
          <w:p w:rsidR="00901323" w:rsidRPr="001B1D2E" w:rsidRDefault="00901323" w:rsidP="009E0A31">
            <w:pPr>
              <w:tabs>
                <w:tab w:val="left" w:pos="270"/>
              </w:tabs>
              <w:spacing w:before="0" w:line="240" w:lineRule="auto"/>
              <w:ind w:firstLine="0"/>
              <w:jc w:val="center"/>
              <w:rPr>
                <w:b/>
                <w:color w:val="FFFFFF" w:themeColor="background1"/>
              </w:rPr>
            </w:pPr>
            <w:r w:rsidRPr="001B1D2E">
              <w:rPr>
                <w:b/>
                <w:color w:val="FFFFFF" w:themeColor="background1"/>
              </w:rPr>
              <w:t>TOTALES</w:t>
            </w:r>
          </w:p>
        </w:tc>
        <w:tc>
          <w:tcPr>
            <w:tcW w:w="1530" w:type="dxa"/>
            <w:shd w:val="clear" w:color="auto" w:fill="4472C4" w:themeFill="accent5"/>
            <w:vAlign w:val="center"/>
          </w:tcPr>
          <w:p w:rsidR="00901323" w:rsidRPr="001B1D2E" w:rsidRDefault="00901323" w:rsidP="009E0A31">
            <w:pPr>
              <w:tabs>
                <w:tab w:val="left" w:pos="270"/>
              </w:tabs>
              <w:spacing w:before="0" w:line="240" w:lineRule="auto"/>
              <w:ind w:firstLine="0"/>
              <w:jc w:val="center"/>
              <w:rPr>
                <w:b/>
                <w:color w:val="FFFFFF" w:themeColor="background1"/>
              </w:rPr>
            </w:pPr>
            <w:r w:rsidRPr="001B1D2E">
              <w:rPr>
                <w:b/>
                <w:color w:val="FFFFFF" w:themeColor="background1"/>
              </w:rPr>
              <w:t>126</w:t>
            </w:r>
          </w:p>
        </w:tc>
        <w:tc>
          <w:tcPr>
            <w:tcW w:w="1440" w:type="dxa"/>
            <w:shd w:val="clear" w:color="auto" w:fill="4472C4" w:themeFill="accent5"/>
            <w:vAlign w:val="center"/>
          </w:tcPr>
          <w:p w:rsidR="00901323" w:rsidRPr="001B1D2E" w:rsidRDefault="00901323" w:rsidP="009E0A31">
            <w:pPr>
              <w:tabs>
                <w:tab w:val="left" w:pos="270"/>
              </w:tabs>
              <w:spacing w:before="0" w:line="240" w:lineRule="auto"/>
              <w:ind w:firstLine="0"/>
              <w:jc w:val="center"/>
              <w:rPr>
                <w:b/>
                <w:color w:val="FFFFFF" w:themeColor="background1"/>
              </w:rPr>
            </w:pPr>
            <w:r w:rsidRPr="001B1D2E">
              <w:rPr>
                <w:b/>
                <w:color w:val="FFFFFF" w:themeColor="background1"/>
              </w:rPr>
              <w:t>494</w:t>
            </w:r>
          </w:p>
        </w:tc>
        <w:tc>
          <w:tcPr>
            <w:tcW w:w="1170" w:type="dxa"/>
            <w:shd w:val="clear" w:color="auto" w:fill="4472C4" w:themeFill="accent5"/>
            <w:vAlign w:val="center"/>
          </w:tcPr>
          <w:p w:rsidR="00901323" w:rsidRPr="001B1D2E" w:rsidRDefault="00901323" w:rsidP="009E0A31">
            <w:pPr>
              <w:tabs>
                <w:tab w:val="left" w:pos="270"/>
              </w:tabs>
              <w:spacing w:before="0" w:line="240" w:lineRule="auto"/>
              <w:ind w:firstLine="0"/>
              <w:jc w:val="center"/>
              <w:rPr>
                <w:b/>
                <w:color w:val="FFFFFF" w:themeColor="background1"/>
              </w:rPr>
            </w:pPr>
            <w:r w:rsidRPr="001B1D2E">
              <w:rPr>
                <w:b/>
                <w:color w:val="FFFFFF" w:themeColor="background1"/>
              </w:rPr>
              <w:t>212</w:t>
            </w:r>
          </w:p>
        </w:tc>
        <w:tc>
          <w:tcPr>
            <w:tcW w:w="1689" w:type="dxa"/>
            <w:shd w:val="clear" w:color="auto" w:fill="4472C4" w:themeFill="accent5"/>
            <w:vAlign w:val="center"/>
          </w:tcPr>
          <w:p w:rsidR="00901323" w:rsidRPr="001B1D2E" w:rsidRDefault="00901323" w:rsidP="009E0A31">
            <w:pPr>
              <w:tabs>
                <w:tab w:val="left" w:pos="270"/>
              </w:tabs>
              <w:spacing w:before="0" w:line="240" w:lineRule="auto"/>
              <w:ind w:firstLine="0"/>
              <w:jc w:val="center"/>
              <w:rPr>
                <w:b/>
                <w:color w:val="FFFFFF" w:themeColor="background1"/>
              </w:rPr>
            </w:pPr>
            <w:r w:rsidRPr="001B1D2E">
              <w:rPr>
                <w:b/>
                <w:color w:val="FFFFFF" w:themeColor="background1"/>
              </w:rPr>
              <w:t>2,360</w:t>
            </w:r>
          </w:p>
        </w:tc>
      </w:tr>
    </w:tbl>
    <w:p w:rsidR="00901323" w:rsidRDefault="00901323" w:rsidP="00640607"/>
    <w:p w:rsidR="00901323" w:rsidRPr="000A7CDB" w:rsidRDefault="00901323" w:rsidP="00640607">
      <w:pPr>
        <w:rPr>
          <w:lang w:eastAsia="es-DO"/>
        </w:rPr>
      </w:pPr>
      <w:r w:rsidRPr="000A7CDB">
        <w:rPr>
          <w:b/>
          <w:lang w:eastAsia="es-DO"/>
        </w:rPr>
        <w:t>Transferencia del Modelo Dominicano de Compras Públicas Inclusivas y Sostenibles</w:t>
      </w:r>
      <w:r w:rsidRPr="000A7CDB">
        <w:rPr>
          <w:lang w:eastAsia="es-DO"/>
        </w:rPr>
        <w:t>: la Dirección General de Contrataciones Públicas ha continuado con el Intercambio de Mejores prácticas en Contrataciones Públicas, en el marco del convenio suscrito entre la Dirección General de Contrataciones Públicas y el Centro Regional para la Promoción de la MIPYME (CEMPROMYPE), para el intercambio de experiencias y transferencias de buenas prácticas en materia de compras públicas y acceso a la MIPYME, implement</w:t>
      </w:r>
      <w:r w:rsidR="007F52EA">
        <w:rPr>
          <w:lang w:eastAsia="es-DO"/>
        </w:rPr>
        <w:t>adas por el Gobierno Dominicano,</w:t>
      </w:r>
      <w:r w:rsidRPr="000A7CDB">
        <w:rPr>
          <w:lang w:eastAsia="es-DO"/>
        </w:rPr>
        <w:t xml:space="preserve"> hacia varios países miembros del Sistema de Integración Centroamericano, SICA. </w:t>
      </w:r>
    </w:p>
    <w:p w:rsidR="00EC1E75" w:rsidRPr="000A7CDB" w:rsidRDefault="000A7CDB" w:rsidP="00640607">
      <w:pPr>
        <w:rPr>
          <w:lang w:eastAsia="es-DO"/>
        </w:rPr>
      </w:pPr>
      <w:r w:rsidRPr="000A7CDB">
        <w:rPr>
          <w:lang w:eastAsia="es-DO"/>
        </w:rPr>
        <w:t>Dicha iniciativa que h</w:t>
      </w:r>
      <w:r>
        <w:rPr>
          <w:lang w:eastAsia="es-DO"/>
        </w:rPr>
        <w:t>a sido realizada en varias fases, c</w:t>
      </w:r>
      <w:r w:rsidR="00EC1E75" w:rsidRPr="000A7CDB">
        <w:rPr>
          <w:lang w:eastAsia="es-DO"/>
        </w:rPr>
        <w:t>ontinuando los esfuerzos iniciados en el</w:t>
      </w:r>
      <w:r w:rsidR="00901323" w:rsidRPr="000A7CDB">
        <w:rPr>
          <w:lang w:eastAsia="es-DO"/>
        </w:rPr>
        <w:t xml:space="preserve"> 2018, </w:t>
      </w:r>
      <w:r w:rsidR="00EC1E75" w:rsidRPr="000A7CDB">
        <w:rPr>
          <w:lang w:eastAsia="es-DO"/>
        </w:rPr>
        <w:t xml:space="preserve">cuando </w:t>
      </w:r>
      <w:r w:rsidR="00901323" w:rsidRPr="000A7CDB">
        <w:rPr>
          <w:lang w:eastAsia="es-DO"/>
        </w:rPr>
        <w:t>se recibieron delegaciones de Costa Rica, P</w:t>
      </w:r>
      <w:r w:rsidR="00EC1E75" w:rsidRPr="000A7CDB">
        <w:rPr>
          <w:lang w:eastAsia="es-DO"/>
        </w:rPr>
        <w:t xml:space="preserve">anamá, El Salvador y Guatemala; y delegaciones dominicanas visitaron </w:t>
      </w:r>
      <w:r w:rsidR="00901323" w:rsidRPr="000A7CDB">
        <w:rPr>
          <w:lang w:eastAsia="es-DO"/>
        </w:rPr>
        <w:t>Honduras, El Sa</w:t>
      </w:r>
      <w:r w:rsidR="00EC1E75" w:rsidRPr="000A7CDB">
        <w:rPr>
          <w:lang w:eastAsia="es-DO"/>
        </w:rPr>
        <w:t>lvado</w:t>
      </w:r>
      <w:r w:rsidRPr="000A7CDB">
        <w:rPr>
          <w:lang w:eastAsia="es-DO"/>
        </w:rPr>
        <w:t xml:space="preserve">r, Panamá; </w:t>
      </w:r>
      <w:r w:rsidR="007F52EA">
        <w:rPr>
          <w:lang w:eastAsia="es-DO"/>
        </w:rPr>
        <w:t>realizó</w:t>
      </w:r>
      <w:r w:rsidRPr="000A7CDB">
        <w:rPr>
          <w:lang w:eastAsia="es-DO"/>
        </w:rPr>
        <w:t xml:space="preserve"> visitas e</w:t>
      </w:r>
      <w:r w:rsidR="00EC1E75" w:rsidRPr="000A7CDB">
        <w:rPr>
          <w:lang w:eastAsia="es-DO"/>
        </w:rPr>
        <w:t xml:space="preserve">n el 2019 </w:t>
      </w:r>
      <w:r w:rsidRPr="000A7CDB">
        <w:rPr>
          <w:lang w:eastAsia="es-DO"/>
        </w:rPr>
        <w:t>a</w:t>
      </w:r>
      <w:r w:rsidR="00EC1E75" w:rsidRPr="000A7CDB">
        <w:rPr>
          <w:lang w:eastAsia="es-DO"/>
        </w:rPr>
        <w:t xml:space="preserve"> </w:t>
      </w:r>
      <w:r w:rsidR="00901323" w:rsidRPr="000A7CDB">
        <w:rPr>
          <w:lang w:eastAsia="es-DO"/>
        </w:rPr>
        <w:t>Guatemala</w:t>
      </w:r>
      <w:r w:rsidR="00EC1E75" w:rsidRPr="000A7CDB">
        <w:rPr>
          <w:lang w:eastAsia="es-DO"/>
        </w:rPr>
        <w:t xml:space="preserve">, y se cumplió con lo establecido en los planes de trabajo definidos en la primera fase de la iniciativa, en la cual se </w:t>
      </w:r>
      <w:r w:rsidR="00901323" w:rsidRPr="000A7CDB">
        <w:rPr>
          <w:lang w:eastAsia="es-DO"/>
        </w:rPr>
        <w:t>realizaron los “</w:t>
      </w:r>
      <w:r w:rsidR="00901323" w:rsidRPr="000A7CDB">
        <w:rPr>
          <w:i/>
          <w:lang w:eastAsia="es-DO"/>
        </w:rPr>
        <w:t>Talleres de Transferencia de las Herramientas de Acceso a Mercado del Modelo Dominicano de Compras Públicas Sostenibles e Inclusivas</w:t>
      </w:r>
      <w:r w:rsidR="00901323" w:rsidRPr="000A7CDB">
        <w:rPr>
          <w:lang w:eastAsia="es-DO"/>
        </w:rPr>
        <w:t xml:space="preserve">”. </w:t>
      </w:r>
    </w:p>
    <w:p w:rsidR="00EC1E75" w:rsidRPr="000A7CDB" w:rsidRDefault="00901323" w:rsidP="00640607">
      <w:pPr>
        <w:rPr>
          <w:lang w:eastAsia="es-DO"/>
        </w:rPr>
      </w:pPr>
      <w:r w:rsidRPr="000A7CDB">
        <w:rPr>
          <w:lang w:eastAsia="es-DO"/>
        </w:rPr>
        <w:t xml:space="preserve">En estos encuentros presenciales, los </w:t>
      </w:r>
      <w:r w:rsidR="00EC1E75" w:rsidRPr="000A7CDB">
        <w:rPr>
          <w:lang w:eastAsia="es-DO"/>
        </w:rPr>
        <w:t>a</w:t>
      </w:r>
      <w:r w:rsidRPr="000A7CDB">
        <w:rPr>
          <w:lang w:eastAsia="es-DO"/>
        </w:rPr>
        <w:t>nalistas de Compras de la República Dominicana presentaron y adaptaron las herramientas de acceso al mercado público, a los funcionarios de los Órganos Rectores de Compras, así como a los Asesores de los Centros de Atención a las MIPYMES (CAM), de los respectivos países. También se tuvo la oportunidad de conocer las peculiaridades de los países, sus metodologías y herramientas de trabajo, que puedan reforzar nuestro sistema.</w:t>
      </w:r>
      <w:r w:rsidR="00EC1E75" w:rsidRPr="00EC1E75">
        <w:rPr>
          <w:lang w:eastAsia="es-DO"/>
        </w:rPr>
        <w:t xml:space="preserve"> </w:t>
      </w:r>
      <w:r w:rsidR="00EC1E75">
        <w:rPr>
          <w:lang w:eastAsia="es-DO"/>
        </w:rPr>
        <w:t>Para este próximo año e</w:t>
      </w:r>
      <w:r w:rsidR="00EC1E75" w:rsidRPr="00751DFE">
        <w:rPr>
          <w:lang w:eastAsia="es-DO"/>
        </w:rPr>
        <w:t>stá pendiente agendar las fechas de las próximas misiones, en la que la misión dominicana visitará los países para la co</w:t>
      </w:r>
      <w:bookmarkStart w:id="18" w:name="_GoBack"/>
      <w:bookmarkEnd w:id="18"/>
      <w:r w:rsidR="00EC1E75" w:rsidRPr="00751DFE">
        <w:rPr>
          <w:lang w:eastAsia="es-DO"/>
        </w:rPr>
        <w:t>ntinuación de la transferencia</w:t>
      </w:r>
      <w:r w:rsidR="005B102D">
        <w:rPr>
          <w:lang w:eastAsia="es-DO"/>
        </w:rPr>
        <w:t>.</w:t>
      </w:r>
    </w:p>
    <w:p w:rsidR="000A7CDB" w:rsidRDefault="00901323" w:rsidP="00640607">
      <w:pPr>
        <w:rPr>
          <w:lang w:eastAsia="es-DO"/>
        </w:rPr>
      </w:pPr>
      <w:r w:rsidRPr="000A7CDB">
        <w:rPr>
          <w:lang w:eastAsia="es-DO"/>
        </w:rPr>
        <w:t xml:space="preserve">Por otro lado, </w:t>
      </w:r>
      <w:r w:rsidR="00EC1E75" w:rsidRPr="000A7CDB">
        <w:rPr>
          <w:lang w:eastAsia="es-DO"/>
        </w:rPr>
        <w:t>hemos suscrito, junto</w:t>
      </w:r>
      <w:r w:rsidRPr="000A7CDB">
        <w:rPr>
          <w:lang w:eastAsia="es-DO"/>
        </w:rPr>
        <w:t xml:space="preserve"> al Ministerio de Economía, Planificación y Desarrollo (MEPYD)</w:t>
      </w:r>
      <w:r w:rsidR="00EC1E75" w:rsidRPr="000A7CDB">
        <w:rPr>
          <w:lang w:eastAsia="es-DO"/>
        </w:rPr>
        <w:t>,</w:t>
      </w:r>
      <w:r w:rsidRPr="000A7CDB">
        <w:rPr>
          <w:lang w:eastAsia="es-DO"/>
        </w:rPr>
        <w:t xml:space="preserve"> una iniciativa de Cooperación Triangular (Cooperación Sur-Sur), apoyada por la Agencia Española de Cooperación, que es la primera iniciativa de la oferta de cooperación técnica para el desarrollo de la República Dominicana, y que basado en la experiencia anterior, busca desarrollar un proyecto piloto de apoyo a los sistemas de compras públicas de El Salvador y Costa Rica con el apoyo de</w:t>
      </w:r>
      <w:r w:rsidR="00EC1E75" w:rsidRPr="000A7CDB">
        <w:rPr>
          <w:lang w:eastAsia="es-DO"/>
        </w:rPr>
        <w:t xml:space="preserve"> la Dirección General de Contrataciones</w:t>
      </w:r>
      <w:r w:rsidRPr="000A7CDB">
        <w:rPr>
          <w:lang w:eastAsia="es-DO"/>
        </w:rPr>
        <w:t xml:space="preserve"> Públic</w:t>
      </w:r>
      <w:r w:rsidR="000A7CDB">
        <w:rPr>
          <w:lang w:eastAsia="es-DO"/>
        </w:rPr>
        <w:t xml:space="preserve">as de la República Dominicana.  </w:t>
      </w:r>
    </w:p>
    <w:p w:rsidR="000A7CDB" w:rsidRDefault="000A7CDB" w:rsidP="00640607">
      <w:pPr>
        <w:rPr>
          <w:color w:val="auto"/>
          <w:lang w:eastAsia="es-DO"/>
        </w:rPr>
      </w:pPr>
      <w:r w:rsidRPr="000A7CDB">
        <w:rPr>
          <w:color w:val="auto"/>
          <w:lang w:eastAsia="es-DO"/>
        </w:rPr>
        <w:t xml:space="preserve">La Agencia Española de Cooperación Internacional para el Desarrollo (AECID), y la constitución del Fondo de Cooperación Internacional, se han puesto </w:t>
      </w:r>
      <w:r w:rsidR="007F52EA">
        <w:rPr>
          <w:color w:val="auto"/>
          <w:lang w:eastAsia="es-DO"/>
        </w:rPr>
        <w:t>en</w:t>
      </w:r>
      <w:r w:rsidRPr="000A7CDB">
        <w:rPr>
          <w:color w:val="auto"/>
          <w:lang w:eastAsia="es-DO"/>
        </w:rPr>
        <w:t xml:space="preserve"> la disposición de </w:t>
      </w:r>
      <w:r w:rsidR="007F52EA">
        <w:rPr>
          <w:color w:val="auto"/>
          <w:lang w:eastAsia="es-DO"/>
        </w:rPr>
        <w:t>favorecer</w:t>
      </w:r>
      <w:r w:rsidRPr="000A7CDB">
        <w:rPr>
          <w:color w:val="auto"/>
          <w:lang w:eastAsia="es-DO"/>
        </w:rPr>
        <w:t xml:space="preserve"> la implementación de la Iniciativa Piloto de Cooperación Triangular de la República Dominicana como Oferente para Apoyar los Sistemas de Compras Públicas Nacionales de El Salvador y Costa Rica, siendo aprobada mediante la Resolución de Concesión de Subvención No. 2018/SPE/0000400145, de fecha 10 octubre de 2018. La Iniciativa tiene por objetivo ejecutar y sistematizar el primer proyecto de cooperación triangular de República Dominicana como oferente de asistencia técnica en el marco de su Política de Cooperación Internacional para el Desarrollo.  </w:t>
      </w:r>
    </w:p>
    <w:p w:rsidR="000A7CDB" w:rsidRDefault="000A7CDB" w:rsidP="00640607">
      <w:pPr>
        <w:rPr>
          <w:color w:val="auto"/>
          <w:lang w:eastAsia="es-DO"/>
        </w:rPr>
      </w:pPr>
      <w:r>
        <w:rPr>
          <w:color w:val="auto"/>
          <w:lang w:eastAsia="es-DO"/>
        </w:rPr>
        <w:br w:type="page"/>
      </w:r>
    </w:p>
    <w:p w:rsidR="000A7CDB" w:rsidRDefault="000A7CDB" w:rsidP="00640607">
      <w:pPr>
        <w:rPr>
          <w:color w:val="auto"/>
          <w:lang w:eastAsia="es-DO"/>
        </w:rPr>
      </w:pPr>
      <w:r w:rsidRPr="000A7CDB">
        <w:rPr>
          <w:b/>
          <w:color w:val="auto"/>
          <w:lang w:eastAsia="es-DO"/>
        </w:rPr>
        <w:t>XV Conferencia Anual de la Red Interamericana de Compras Gubernamentales (RICG): Las contrataciones Públicas como Estrategia para alcanzar los Objetivos de Desarrollo Sostenible</w:t>
      </w:r>
      <w:r w:rsidRPr="000A7CDB">
        <w:rPr>
          <w:color w:val="auto"/>
          <w:lang w:eastAsia="es-DO"/>
        </w:rPr>
        <w:t>.</w:t>
      </w:r>
    </w:p>
    <w:p w:rsidR="000A7CDB" w:rsidRDefault="000A7CDB" w:rsidP="00640607">
      <w:pPr>
        <w:rPr>
          <w:color w:val="auto"/>
          <w:lang w:eastAsia="es-DO"/>
        </w:rPr>
      </w:pPr>
      <w:r w:rsidRPr="000A7CDB">
        <w:rPr>
          <w:color w:val="auto"/>
          <w:lang w:eastAsia="es-DO"/>
        </w:rPr>
        <w:t>La Dirección de General de Contrataciones Públicas fungió en este año 2019, durante los días miércoles 28 hasta el viernes 30 de octubre, como sede de la XV Conferencia Anual de la Red Interamericana de Compras Gubernamentales (RICG), celebrada en el en el Hotel Embajador Royal Hideaway, con el auspicio de la Dirección de General de Contrataciones Públicas y la Unión Europea, el apoyo de la Organización de los Estados Americanos (OEA), el BID y el Centro Internacional de Investigación para el Desarrollo (IDRC).</w:t>
      </w:r>
    </w:p>
    <w:p w:rsidR="000A7CDB" w:rsidRPr="000A7CDB" w:rsidRDefault="000A7CDB" w:rsidP="00640607">
      <w:pPr>
        <w:rPr>
          <w:lang w:eastAsia="es-DO"/>
        </w:rPr>
      </w:pPr>
      <w:r w:rsidRPr="000A7CDB">
        <w:rPr>
          <w:lang w:eastAsia="es-DO"/>
        </w:rPr>
        <w:t>La misma contó con la participación de representantes de los 33 países miembros, alrededor de 63 expertos de 40 países de las Américas y el Caribe como conferencistas, y la asistencia de más de 543 participantes, tales como funcionarios del sector público, empresarios, organismos internacionales, organizaciones no gubernamentales, representantes de la sociedad civil y del mundo académico; con el objetivo de compartir buenas prácticas, lecciones aprendidas, soluciones novedosas y enfoques innovadores para abordar los avances en el desarrollo de las compras gubernamentales de las Américas y el Caribe.</w:t>
      </w:r>
    </w:p>
    <w:p w:rsidR="000A7CDB" w:rsidRPr="000A7CDB" w:rsidRDefault="000A7CDB" w:rsidP="00640607">
      <w:pPr>
        <w:rPr>
          <w:lang w:eastAsia="es-DO"/>
        </w:rPr>
      </w:pPr>
      <w:r w:rsidRPr="000A7CDB">
        <w:rPr>
          <w:lang w:eastAsia="es-DO"/>
        </w:rPr>
        <w:t>La Red Interamericana de Compras Gubernamentales (RICG) es una iniciativa de los países de las Américas, constituida como un mecanismo de cooperación técnica horizontal por cuyo medio se promueven, multiplican, fortalecen y dinamizan los intercambios dirigidos a difundir e implementar las mejores prácticas sobre compras públicas en la región. Está integrada por las instituciones gubernamentales, representadas por sus directores nacionales que tienen la máxima responsabilidad relacionada con la regulación, gestión y modernización de las compras públicas en 33 países de América Latina y el Caribe.</w:t>
      </w:r>
    </w:p>
    <w:p w:rsidR="000A7CDB" w:rsidRPr="000A7CDB" w:rsidRDefault="000A7CDB" w:rsidP="00640607">
      <w:pPr>
        <w:rPr>
          <w:lang w:eastAsia="es-DO"/>
        </w:rPr>
      </w:pPr>
      <w:r w:rsidRPr="000A7CDB">
        <w:rPr>
          <w:lang w:eastAsia="es-DO"/>
        </w:rPr>
        <w:t>Para la sesión inaugural de esta Conferencia, se contó con la participación del Sr. Gustavo Montalvo, Ministro de la Presidencia; el Sr. James Lambert, Secretario de Asuntos Hemisféricos de la Organización de los Estados Americanos (OEA); Miguel Coronado Hunter, representante del Banco Interamericano de Desarrollo (BID); Gianluca Grippa, Embajador de la Delegación de la Unión Europea; Robin Bernstein, Embajadora de los Esta</w:t>
      </w:r>
      <w:r w:rsidR="007F52EA">
        <w:rPr>
          <w:lang w:eastAsia="es-DO"/>
        </w:rPr>
        <w:t>dos Unidos de América en la Repú</w:t>
      </w:r>
      <w:r w:rsidRPr="000A7CDB">
        <w:rPr>
          <w:lang w:eastAsia="es-DO"/>
        </w:rPr>
        <w:t>blica Dominicana; Shauna Hemingway, Embajadora de Canadá en el país; Douglas Fraser, Jefe de Adquisiciones del Banco de Desarrollo del Caribe (CDB); y Andrei Bennett, actual Presidente de la RICG. Los mismos, dentro de sus discursos, destacaron la importancia del desarrollo y buen manejo de las compras y contrataciones públicas, basado</w:t>
      </w:r>
      <w:r w:rsidR="007F52EA">
        <w:rPr>
          <w:lang w:eastAsia="es-DO"/>
        </w:rPr>
        <w:t>s</w:t>
      </w:r>
      <w:r w:rsidRPr="000A7CDB">
        <w:rPr>
          <w:lang w:eastAsia="es-DO"/>
        </w:rPr>
        <w:t xml:space="preserve"> en el hecho de que el Estado es el mayor comprador de cualquier país del mundo, movilizando e impulsando así, mejoras en la economía nacional y mayores oportunidades comerciales a los productores, especialmente para las micro, pequeñas y medianas empresas (MIPYME) y las mujeres.</w:t>
      </w:r>
    </w:p>
    <w:p w:rsidR="000A7CDB" w:rsidRPr="000A7CDB" w:rsidRDefault="000A7CDB" w:rsidP="00640607">
      <w:pPr>
        <w:rPr>
          <w:lang w:eastAsia="es-DO"/>
        </w:rPr>
      </w:pPr>
      <w:r w:rsidRPr="000A7CDB">
        <w:rPr>
          <w:lang w:eastAsia="es-DO"/>
        </w:rPr>
        <w:t>A lo largo de esta XV Conferencia, y en los 14 paneles presentados, se realizaron intercambios de experiencias, propuestas e ideas que sirven, no solo para mejorar los Sistemas de Compras de América Latina, sino para seguir consolidándolos como una herramienta útil para el desarrollo y la inclusión. Estas ponencias fueron:</w:t>
      </w:r>
    </w:p>
    <w:p w:rsidR="000A7CDB" w:rsidRPr="000A7CDB" w:rsidRDefault="000A7CDB" w:rsidP="000A7CDB">
      <w:pPr>
        <w:pStyle w:val="Prrafodelista"/>
        <w:numPr>
          <w:ilvl w:val="0"/>
          <w:numId w:val="19"/>
        </w:numPr>
        <w:ind w:left="567" w:hanging="548"/>
      </w:pPr>
      <w:r w:rsidRPr="000A7CDB">
        <w:t>Las Contrataciones Públicas como herramienta fundamental para alcanzar los Objetivos</w:t>
      </w:r>
      <w:r w:rsidR="007F52EA">
        <w:t xml:space="preserve"> de Desarrollo Sostenible (ODS).</w:t>
      </w:r>
    </w:p>
    <w:p w:rsidR="000A7CDB" w:rsidRPr="000A7CDB" w:rsidRDefault="000A7CDB" w:rsidP="000A7CDB">
      <w:pPr>
        <w:pStyle w:val="Prrafodelista"/>
        <w:numPr>
          <w:ilvl w:val="0"/>
          <w:numId w:val="19"/>
        </w:numPr>
        <w:ind w:left="567" w:hanging="548"/>
      </w:pPr>
      <w:r w:rsidRPr="000A7CDB">
        <w:t>Razones, mecanismos y herramientas para incor</w:t>
      </w:r>
      <w:r w:rsidR="007F52EA">
        <w:t>porar a la mujer en la Economía.</w:t>
      </w:r>
    </w:p>
    <w:p w:rsidR="000A7CDB" w:rsidRPr="000A7CDB" w:rsidRDefault="000A7CDB" w:rsidP="000A7CDB">
      <w:pPr>
        <w:pStyle w:val="Prrafodelista"/>
        <w:numPr>
          <w:ilvl w:val="0"/>
          <w:numId w:val="19"/>
        </w:numPr>
        <w:ind w:left="567" w:hanging="548"/>
      </w:pPr>
      <w:r w:rsidRPr="000A7CDB">
        <w:t>Compras Públicas Sostenibles – Perspectivas desde los si</w:t>
      </w:r>
      <w:r w:rsidR="007F52EA">
        <w:t>stemas de compras y del mercado.</w:t>
      </w:r>
    </w:p>
    <w:p w:rsidR="000A7CDB" w:rsidRPr="000A7CDB" w:rsidRDefault="000A7CDB" w:rsidP="000A7CDB">
      <w:pPr>
        <w:pStyle w:val="Prrafodelista"/>
        <w:numPr>
          <w:ilvl w:val="0"/>
          <w:numId w:val="19"/>
        </w:numPr>
        <w:ind w:left="567" w:hanging="548"/>
      </w:pPr>
      <w:r w:rsidRPr="000A7CDB">
        <w:t>Promoviendo la innovación social y tecnológica a través de las compras públicas</w:t>
      </w:r>
      <w:r w:rsidR="007F52EA">
        <w:t>.</w:t>
      </w:r>
    </w:p>
    <w:p w:rsidR="000A7CDB" w:rsidRPr="000A7CDB" w:rsidRDefault="000A7CDB" w:rsidP="000A7CDB">
      <w:pPr>
        <w:pStyle w:val="Prrafodelista"/>
        <w:numPr>
          <w:ilvl w:val="0"/>
          <w:numId w:val="19"/>
        </w:numPr>
        <w:ind w:left="567" w:hanging="548"/>
      </w:pPr>
      <w:r w:rsidRPr="000A7CDB">
        <w:t>Inclusión de las micro, pequeñas y medianas empresas (MIPYME) en la economía nacional</w:t>
      </w:r>
      <w:r w:rsidR="007F52EA">
        <w:t>.</w:t>
      </w:r>
    </w:p>
    <w:p w:rsidR="000A7CDB" w:rsidRPr="000A7CDB" w:rsidRDefault="000A7CDB" w:rsidP="000A7CDB">
      <w:pPr>
        <w:pStyle w:val="Prrafodelista"/>
        <w:numPr>
          <w:ilvl w:val="0"/>
          <w:numId w:val="19"/>
        </w:numPr>
        <w:ind w:left="567" w:hanging="548"/>
      </w:pPr>
      <w:r w:rsidRPr="000A7CDB">
        <w:t>Calificación y desempeño de proveedores y contratistas</w:t>
      </w:r>
      <w:r w:rsidR="007F52EA">
        <w:t>.</w:t>
      </w:r>
    </w:p>
    <w:p w:rsidR="000A7CDB" w:rsidRPr="000A7CDB" w:rsidRDefault="000A7CDB" w:rsidP="000A7CDB">
      <w:pPr>
        <w:pStyle w:val="Prrafodelista"/>
        <w:numPr>
          <w:ilvl w:val="0"/>
          <w:numId w:val="19"/>
        </w:numPr>
        <w:ind w:left="567" w:hanging="548"/>
      </w:pPr>
      <w:r w:rsidRPr="000A7CDB">
        <w:t>Estrategias para la explotación de datos en compras públicas</w:t>
      </w:r>
      <w:r w:rsidR="007F52EA">
        <w:t>.</w:t>
      </w:r>
      <w:r w:rsidRPr="000A7CDB">
        <w:t xml:space="preserve"> </w:t>
      </w:r>
    </w:p>
    <w:p w:rsidR="000A7CDB" w:rsidRPr="000A7CDB" w:rsidRDefault="000A7CDB" w:rsidP="000A7CDB">
      <w:pPr>
        <w:pStyle w:val="Prrafodelista"/>
        <w:numPr>
          <w:ilvl w:val="0"/>
          <w:numId w:val="19"/>
        </w:numPr>
        <w:ind w:left="567" w:hanging="548"/>
      </w:pPr>
      <w:r w:rsidRPr="000A7CDB">
        <w:t>Incidencia de la inversión y el presupuesto en las compras públicas</w:t>
      </w:r>
      <w:r w:rsidR="007F52EA">
        <w:t>.</w:t>
      </w:r>
    </w:p>
    <w:p w:rsidR="000A7CDB" w:rsidRPr="000A7CDB" w:rsidRDefault="000A7CDB" w:rsidP="000A7CDB">
      <w:pPr>
        <w:pStyle w:val="Prrafodelista"/>
        <w:numPr>
          <w:ilvl w:val="0"/>
          <w:numId w:val="19"/>
        </w:numPr>
        <w:ind w:left="567" w:hanging="548"/>
      </w:pPr>
      <w:r w:rsidRPr="000A7CDB">
        <w:t>Hacia la transformación digital e implementación de nuevas tecnologías en las contrataciones públicas</w:t>
      </w:r>
      <w:r w:rsidR="007F52EA">
        <w:t>.</w:t>
      </w:r>
    </w:p>
    <w:p w:rsidR="000A7CDB" w:rsidRPr="000A7CDB" w:rsidRDefault="000A7CDB" w:rsidP="000A7CDB">
      <w:pPr>
        <w:pStyle w:val="Prrafodelista"/>
        <w:numPr>
          <w:ilvl w:val="0"/>
          <w:numId w:val="19"/>
        </w:numPr>
        <w:ind w:left="567" w:hanging="548"/>
      </w:pPr>
      <w:r w:rsidRPr="000A7CDB">
        <w:t>La integridad como generador de valor público en los procesos de contratación estatal</w:t>
      </w:r>
      <w:r w:rsidR="007F52EA">
        <w:t>.</w:t>
      </w:r>
    </w:p>
    <w:p w:rsidR="000A7CDB" w:rsidRPr="000A7CDB" w:rsidRDefault="000A7CDB" w:rsidP="000A7CDB">
      <w:pPr>
        <w:pStyle w:val="Prrafodelista"/>
        <w:numPr>
          <w:ilvl w:val="0"/>
          <w:numId w:val="19"/>
        </w:numPr>
        <w:ind w:left="567" w:hanging="548"/>
      </w:pPr>
      <w:r w:rsidRPr="000A7CDB">
        <w:t>Reformas Legislativas en los Sistemas de Compras Públicas en la Región</w:t>
      </w:r>
      <w:r w:rsidR="007F52EA">
        <w:t>.</w:t>
      </w:r>
    </w:p>
    <w:p w:rsidR="000A7CDB" w:rsidRPr="000A7CDB" w:rsidRDefault="000A7CDB" w:rsidP="000A7CDB">
      <w:pPr>
        <w:pStyle w:val="Prrafodelista"/>
        <w:numPr>
          <w:ilvl w:val="0"/>
          <w:numId w:val="19"/>
        </w:numPr>
        <w:ind w:left="567" w:hanging="548"/>
      </w:pPr>
      <w:r w:rsidRPr="000A7CDB">
        <w:t xml:space="preserve">Buenas prácticas en la </w:t>
      </w:r>
      <w:r w:rsidR="007F52EA">
        <w:t>contratación de infraestructura.</w:t>
      </w:r>
    </w:p>
    <w:p w:rsidR="000A7CDB" w:rsidRPr="000A7CDB" w:rsidRDefault="000A7CDB" w:rsidP="000A7CDB">
      <w:pPr>
        <w:pStyle w:val="Prrafodelista"/>
        <w:numPr>
          <w:ilvl w:val="0"/>
          <w:numId w:val="19"/>
        </w:numPr>
        <w:ind w:left="567" w:hanging="548"/>
      </w:pPr>
      <w:r w:rsidRPr="000A7CDB">
        <w:t>La comunicación efectiva como estrategia para lograr mejores resultados en las contrataciones públicas</w:t>
      </w:r>
      <w:r w:rsidR="007F52EA">
        <w:t>.</w:t>
      </w:r>
    </w:p>
    <w:p w:rsidR="000A7CDB" w:rsidRPr="000A7CDB" w:rsidRDefault="000A7CDB" w:rsidP="00640607">
      <w:pPr>
        <w:rPr>
          <w:lang w:eastAsia="es-DO"/>
        </w:rPr>
      </w:pPr>
      <w:r w:rsidRPr="000A7CDB">
        <w:rPr>
          <w:lang w:eastAsia="es-DO"/>
        </w:rPr>
        <w:t>En la sección de anexos</w:t>
      </w:r>
      <w:r w:rsidR="007F52EA">
        <w:rPr>
          <w:lang w:eastAsia="es-DO"/>
        </w:rPr>
        <w:t>,</w:t>
      </w:r>
      <w:r w:rsidRPr="000A7CDB">
        <w:rPr>
          <w:lang w:eastAsia="es-DO"/>
        </w:rPr>
        <w:t xml:space="preserve"> presentamos de manera extendida una tabla informativa con el resumen de las ideas más relevantes expuestas en cada panel; sin embargo, hay coincidencias en las conclusiones de los distintos paneles, que son importantes destacar:</w:t>
      </w:r>
    </w:p>
    <w:p w:rsidR="000A7CDB" w:rsidRPr="000A7CDB" w:rsidRDefault="000A7CDB" w:rsidP="000A7CDB">
      <w:pPr>
        <w:pStyle w:val="Prrafodelista"/>
        <w:numPr>
          <w:ilvl w:val="0"/>
          <w:numId w:val="19"/>
        </w:numPr>
        <w:ind w:left="567" w:hanging="548"/>
      </w:pPr>
      <w:r w:rsidRPr="000A7CDB">
        <w:t>Debe darse un giro a las políticas de compras y contrataciones públicas, para convertirlas en un instrumento de cambio y transformación social para el cumplimiento de los Objetivos de Desarrollo Sostenible (ODS), implementando buenas prácticas y estrategias que promuevan el acceso y la participación de todos los sectores y grupos al mercado público.</w:t>
      </w:r>
    </w:p>
    <w:p w:rsidR="000A7CDB" w:rsidRDefault="000A7CDB" w:rsidP="000A7CDB">
      <w:pPr>
        <w:pStyle w:val="Prrafodelista"/>
        <w:numPr>
          <w:ilvl w:val="0"/>
          <w:numId w:val="19"/>
        </w:numPr>
        <w:ind w:left="567" w:hanging="548"/>
      </w:pPr>
      <w:r w:rsidRPr="000A7CDB">
        <w:t>Los sistemas de contrataciones públicas deben apoyarse en el uso de nuevas tecnologías de procesamiento de datos bajo un enfoque de accesibilidad y usabilidad, como mecanismo de transparencia, y que permitan la toma de decisiones acertadas que apunten a la transformación de modelos, la integración regional, y al desar</w:t>
      </w:r>
      <w:r w:rsidR="003A66C7">
        <w:t>rollo sostenible de los pueblos.</w:t>
      </w:r>
    </w:p>
    <w:p w:rsidR="003A66C7" w:rsidRDefault="003A66C7" w:rsidP="003A66C7"/>
    <w:p w:rsidR="00901323" w:rsidRPr="000A7CDB" w:rsidRDefault="007F52EA" w:rsidP="00640607">
      <w:pPr>
        <w:rPr>
          <w:lang w:eastAsia="es-DO"/>
        </w:rPr>
      </w:pPr>
      <w:r>
        <w:rPr>
          <w:b/>
          <w:lang w:eastAsia="es-DO"/>
        </w:rPr>
        <w:t>T</w:t>
      </w:r>
      <w:r w:rsidRPr="007F52EA">
        <w:rPr>
          <w:b/>
          <w:lang w:eastAsia="es-DO"/>
        </w:rPr>
        <w:t>aller de formulación de la iniciativa piloto</w:t>
      </w:r>
      <w:r>
        <w:rPr>
          <w:b/>
          <w:lang w:eastAsia="es-DO"/>
        </w:rPr>
        <w:t xml:space="preserve"> “M</w:t>
      </w:r>
      <w:r w:rsidRPr="007F52EA">
        <w:rPr>
          <w:b/>
          <w:lang w:eastAsia="es-DO"/>
        </w:rPr>
        <w:t xml:space="preserve">odelo </w:t>
      </w:r>
      <w:r>
        <w:rPr>
          <w:b/>
          <w:lang w:eastAsia="es-DO"/>
        </w:rPr>
        <w:t>D</w:t>
      </w:r>
      <w:r w:rsidRPr="007F52EA">
        <w:rPr>
          <w:b/>
          <w:lang w:eastAsia="es-DO"/>
        </w:rPr>
        <w:t xml:space="preserve">ominicano de </w:t>
      </w:r>
      <w:r>
        <w:rPr>
          <w:b/>
          <w:lang w:eastAsia="es-DO"/>
        </w:rPr>
        <w:t>C</w:t>
      </w:r>
      <w:r w:rsidRPr="007F52EA">
        <w:rPr>
          <w:b/>
          <w:lang w:eastAsia="es-DO"/>
        </w:rPr>
        <w:t xml:space="preserve">ompras </w:t>
      </w:r>
      <w:r>
        <w:rPr>
          <w:b/>
          <w:lang w:eastAsia="es-DO"/>
        </w:rPr>
        <w:t>P</w:t>
      </w:r>
      <w:r w:rsidRPr="007F52EA">
        <w:rPr>
          <w:b/>
          <w:lang w:eastAsia="es-DO"/>
        </w:rPr>
        <w:t xml:space="preserve">úblicas </w:t>
      </w:r>
      <w:r>
        <w:rPr>
          <w:b/>
          <w:lang w:eastAsia="es-DO"/>
        </w:rPr>
        <w:t>I</w:t>
      </w:r>
      <w:r w:rsidRPr="007F52EA">
        <w:rPr>
          <w:b/>
          <w:lang w:eastAsia="es-DO"/>
        </w:rPr>
        <w:t xml:space="preserve">nclusivas y </w:t>
      </w:r>
      <w:r>
        <w:rPr>
          <w:b/>
          <w:lang w:eastAsia="es-DO"/>
        </w:rPr>
        <w:t>S</w:t>
      </w:r>
      <w:r w:rsidRPr="007F52EA">
        <w:rPr>
          <w:b/>
          <w:lang w:eastAsia="es-DO"/>
        </w:rPr>
        <w:t>ostenibles para MIPYMES, mujeres y sectores productivos</w:t>
      </w:r>
      <w:r>
        <w:rPr>
          <w:b/>
          <w:lang w:eastAsia="es-DO"/>
        </w:rPr>
        <w:t>”:</w:t>
      </w:r>
      <w:r w:rsidRPr="007F52EA">
        <w:rPr>
          <w:lang w:eastAsia="es-DO"/>
        </w:rPr>
        <w:t xml:space="preserve"> </w:t>
      </w:r>
      <w:r w:rsidR="00901323" w:rsidRPr="000A7CDB">
        <w:rPr>
          <w:lang w:eastAsia="es-DO"/>
        </w:rPr>
        <w:t>Luego de varias reuniones y talleres de trabajo entre personal técnico del Viceministerio de Cooperación Internacional del MEPYD y de la Dirección de Compras y de manera virtual con personal de los países receptores, durante los días 03 al 06 de septiembre 2019, fue celebrado en la República Dominicana, el taller de formulación de la iniciativa piloto. Este taller cumplió con los siguientes objetivos: puesta en común del modelo dominicano de compras públicas inclusivas y sostenibles para MIPYMES, mujeres y sectores productivos; avances del modelo dominicano posteriores a la pasantía de abril de 2018; acciones de la transferencia del modelo llevadas adelante en 2018; puesta en contexto de la pasantía en República Dominicana y transferencia al Salvador; conocimiento de las condiciones previas para la transferencia a Costa Rica; conocer los requisitos de la República Dominicana para implementar la transferencia: acuerdos, visibilidad, involucramiento de autoridades nacionales, medición de impacto; definición de mecanismos de acompañamiento virtual posterior a la implementación del servicio, coordinación interinstitucional entre MEPYD, AECID y DGCP; relevamiento de necesidades sobre donde profundizar la transferencia; identificación de los objetivos de las nuevas autoridades del poder ejecutivo de CONAMYPE y de la UNAC; definición del cronograma de actividades, indicadores y responsables de las acciones; análisis de los resultados de las secciones de trabajo con los equipos de Costa Rica y El Salvador; elaboración el marco lógico de la intervención.</w:t>
      </w:r>
    </w:p>
    <w:p w:rsidR="00901323" w:rsidRPr="00B25611" w:rsidRDefault="00901323" w:rsidP="00640607">
      <w:pPr>
        <w:rPr>
          <w:lang w:eastAsia="es-DO"/>
        </w:rPr>
      </w:pPr>
      <w:r w:rsidRPr="00B25611">
        <w:rPr>
          <w:lang w:eastAsia="es-DO"/>
        </w:rPr>
        <w:t>Posteriormente, los equipos técnicos del VIMICI y la DGCP, desarrollaron sesiones de trabajo, para ajustar algunos de los resultados, actividades, indicadores y plazos del ML y se compartió con los equipos técnicos de Costa Rica y Salvador, para su validación.</w:t>
      </w:r>
    </w:p>
    <w:p w:rsidR="00901323" w:rsidRPr="00B25611" w:rsidRDefault="00901323" w:rsidP="00640607">
      <w:pPr>
        <w:rPr>
          <w:lang w:eastAsia="es-DO"/>
        </w:rPr>
      </w:pPr>
      <w:r w:rsidRPr="00B25611">
        <w:rPr>
          <w:b/>
          <w:lang w:eastAsia="es-DO"/>
        </w:rPr>
        <w:t>Concurso Nacional “Navidad Artesanal”:</w:t>
      </w:r>
      <w:r w:rsidRPr="00B25611">
        <w:rPr>
          <w:lang w:eastAsia="es-DO"/>
        </w:rPr>
        <w:t xml:space="preserve"> Por tercer año consecutivo se r</w:t>
      </w:r>
      <w:r w:rsidR="00B25611">
        <w:rPr>
          <w:lang w:eastAsia="es-DO"/>
        </w:rPr>
        <w:t>ealizó la Tercera Edición del “</w:t>
      </w:r>
      <w:r w:rsidRPr="00B25611">
        <w:rPr>
          <w:i/>
          <w:lang w:eastAsia="es-DO"/>
        </w:rPr>
        <w:t>Concurso Nacional de Arte</w:t>
      </w:r>
      <w:r w:rsidR="00B25611" w:rsidRPr="00B25611">
        <w:rPr>
          <w:i/>
          <w:lang w:eastAsia="es-DO"/>
        </w:rPr>
        <w:t>sanías para Árboles de Navidad</w:t>
      </w:r>
      <w:r w:rsidR="00B25611">
        <w:rPr>
          <w:lang w:eastAsia="es-DO"/>
        </w:rPr>
        <w:t>”</w:t>
      </w:r>
      <w:r w:rsidRPr="00B25611">
        <w:rPr>
          <w:lang w:eastAsia="es-DO"/>
        </w:rPr>
        <w:t xml:space="preserve">, siguiendo con las acciones para impulsar la compra de los productos de fabricación nacional en el mercado público, </w:t>
      </w:r>
      <w:r w:rsidR="00B25611" w:rsidRPr="00B25611">
        <w:rPr>
          <w:lang w:eastAsia="es-DO"/>
        </w:rPr>
        <w:t>brinda</w:t>
      </w:r>
      <w:r w:rsidR="00B25611">
        <w:rPr>
          <w:lang w:eastAsia="es-DO"/>
        </w:rPr>
        <w:t>r</w:t>
      </w:r>
      <w:r w:rsidR="00B25611" w:rsidRPr="00B25611">
        <w:rPr>
          <w:lang w:eastAsia="es-DO"/>
        </w:rPr>
        <w:t xml:space="preserve"> asistencias técnicas para todos los actores que desean vincularse al Sistema Nacional de Compras y Contrataciones Públicas</w:t>
      </w:r>
      <w:r w:rsidR="00B25611">
        <w:rPr>
          <w:lang w:eastAsia="es-DO"/>
        </w:rPr>
        <w:t>,</w:t>
      </w:r>
      <w:r w:rsidR="00B25611" w:rsidRPr="00B25611">
        <w:rPr>
          <w:lang w:eastAsia="es-DO"/>
        </w:rPr>
        <w:t xml:space="preserve"> y los artesanos y artesanas dominicanos</w:t>
      </w:r>
      <w:r w:rsidR="00B25611">
        <w:rPr>
          <w:lang w:eastAsia="es-DO"/>
        </w:rPr>
        <w:t>;</w:t>
      </w:r>
      <w:r w:rsidR="00B25611" w:rsidRPr="00B25611">
        <w:rPr>
          <w:lang w:eastAsia="es-DO"/>
        </w:rPr>
        <w:t xml:space="preserve"> </w:t>
      </w:r>
      <w:r w:rsidRPr="00B25611">
        <w:rPr>
          <w:lang w:eastAsia="es-DO"/>
        </w:rPr>
        <w:t xml:space="preserve">y con el objetivo </w:t>
      </w:r>
      <w:r w:rsidR="00B25611">
        <w:rPr>
          <w:lang w:eastAsia="es-DO"/>
        </w:rPr>
        <w:t xml:space="preserve">de </w:t>
      </w:r>
      <w:r w:rsidRPr="00B25611">
        <w:rPr>
          <w:lang w:eastAsia="es-DO"/>
        </w:rPr>
        <w:t>continuar eliminado las barreras de entrada que pued</w:t>
      </w:r>
      <w:r w:rsidR="00B25611">
        <w:rPr>
          <w:lang w:eastAsia="es-DO"/>
        </w:rPr>
        <w:t>e presentar el mercado público.</w:t>
      </w:r>
    </w:p>
    <w:p w:rsidR="00901323" w:rsidRPr="00B25611" w:rsidRDefault="00901323" w:rsidP="00640607">
      <w:pPr>
        <w:rPr>
          <w:lang w:eastAsia="es-DO"/>
        </w:rPr>
      </w:pPr>
      <w:r w:rsidRPr="00B25611">
        <w:rPr>
          <w:lang w:eastAsia="es-DO"/>
        </w:rPr>
        <w:t>Es un proyecto que</w:t>
      </w:r>
      <w:r w:rsidR="00B25611">
        <w:rPr>
          <w:lang w:eastAsia="es-DO"/>
        </w:rPr>
        <w:t>,</w:t>
      </w:r>
      <w:r w:rsidRPr="00B25611">
        <w:rPr>
          <w:lang w:eastAsia="es-DO"/>
        </w:rPr>
        <w:t xml:space="preserve"> más allá de un impacto económico para un reducido grupo, puede </w:t>
      </w:r>
      <w:r w:rsidR="00B25611">
        <w:rPr>
          <w:lang w:eastAsia="es-DO"/>
        </w:rPr>
        <w:t>generar</w:t>
      </w:r>
      <w:r w:rsidRPr="00B25611">
        <w:rPr>
          <w:lang w:eastAsia="es-DO"/>
        </w:rPr>
        <w:t xml:space="preserve"> un cambio socio cultural considerable, vinculando de nuevo esta época de celebraciones con nuestras raíces</w:t>
      </w:r>
      <w:r w:rsidR="00B25611">
        <w:rPr>
          <w:lang w:eastAsia="es-DO"/>
        </w:rPr>
        <w:t>;</w:t>
      </w:r>
      <w:r w:rsidRPr="00B25611">
        <w:rPr>
          <w:lang w:eastAsia="es-DO"/>
        </w:rPr>
        <w:t xml:space="preserve"> </w:t>
      </w:r>
      <w:r w:rsidR="00B25611">
        <w:rPr>
          <w:lang w:eastAsia="es-DO"/>
        </w:rPr>
        <w:t>y</w:t>
      </w:r>
      <w:r w:rsidRPr="00B25611">
        <w:rPr>
          <w:lang w:eastAsia="es-DO"/>
        </w:rPr>
        <w:t xml:space="preserve"> de paso, contribu</w:t>
      </w:r>
      <w:r w:rsidR="00E06468">
        <w:rPr>
          <w:lang w:eastAsia="es-DO"/>
        </w:rPr>
        <w:t>ir</w:t>
      </w:r>
      <w:r w:rsidRPr="00B25611">
        <w:rPr>
          <w:lang w:eastAsia="es-DO"/>
        </w:rPr>
        <w:t xml:space="preserve"> a alcanzar uno de los objetivos de la Dirección General de Contrataciones Públicas que es vincular la oferta con la demanda de manera sostenible o amigable con el ambiente. </w:t>
      </w:r>
    </w:p>
    <w:p w:rsidR="00B25611" w:rsidRDefault="00901323" w:rsidP="00640607">
      <w:pPr>
        <w:rPr>
          <w:lang w:eastAsia="es-DO"/>
        </w:rPr>
      </w:pPr>
      <w:r w:rsidRPr="00B25611">
        <w:rPr>
          <w:lang w:eastAsia="es-DO"/>
        </w:rPr>
        <w:t xml:space="preserve">Para esta edición </w:t>
      </w:r>
      <w:r w:rsidR="00B25611" w:rsidRPr="00B25611">
        <w:rPr>
          <w:lang w:eastAsia="es-DO"/>
        </w:rPr>
        <w:t>2019</w:t>
      </w:r>
      <w:r w:rsidR="00B25611">
        <w:rPr>
          <w:lang w:eastAsia="es-DO"/>
        </w:rPr>
        <w:t xml:space="preserve"> </w:t>
      </w:r>
      <w:r w:rsidRPr="00B25611">
        <w:rPr>
          <w:lang w:eastAsia="es-DO"/>
        </w:rPr>
        <w:t>se contó con una participación de 418 artesanos de toda la geografía nacional, 259 mujeres y 159 hombres, de los cuales fueron seleccionados un total de 70 art</w:t>
      </w:r>
      <w:r w:rsidR="00B25611">
        <w:rPr>
          <w:lang w:eastAsia="es-DO"/>
        </w:rPr>
        <w:t xml:space="preserve">esanos, 39 hombres y 31 mujeres; y </w:t>
      </w:r>
      <w:r w:rsidR="00B25611" w:rsidRPr="00B25611">
        <w:rPr>
          <w:lang w:eastAsia="es-DO"/>
        </w:rPr>
        <w:t>participar</w:t>
      </w:r>
      <w:r w:rsidR="00B25611">
        <w:rPr>
          <w:lang w:eastAsia="es-DO"/>
        </w:rPr>
        <w:t>on</w:t>
      </w:r>
      <w:r w:rsidR="00B25611" w:rsidRPr="00B25611">
        <w:rPr>
          <w:lang w:eastAsia="es-DO"/>
        </w:rPr>
        <w:t xml:space="preserve"> por primera vez, los internos del Nuevo Sistema Penitenciario que implementa la Procuraduría General de República, PGRD, con un total de 58 inscritos (17 mujeres, 41 hombres), siendo seleccionados 5 (2 mujeres y 3 hombres), con lo cual se reafirma la voluntad de impulsa</w:t>
      </w:r>
      <w:r w:rsidR="00E06468">
        <w:rPr>
          <w:lang w:eastAsia="es-DO"/>
        </w:rPr>
        <w:t>r</w:t>
      </w:r>
      <w:r w:rsidR="00B25611" w:rsidRPr="00B25611">
        <w:rPr>
          <w:lang w:eastAsia="es-DO"/>
        </w:rPr>
        <w:t xml:space="preserve"> las compras hacia los sectores más desprotegidos.  </w:t>
      </w:r>
    </w:p>
    <w:p w:rsidR="00B25611" w:rsidRDefault="00901323" w:rsidP="00640607">
      <w:pPr>
        <w:rPr>
          <w:color w:val="auto"/>
          <w:lang w:eastAsia="es-DO"/>
        </w:rPr>
      </w:pPr>
      <w:r w:rsidRPr="00B25611">
        <w:rPr>
          <w:color w:val="auto"/>
          <w:lang w:eastAsia="es-DO"/>
        </w:rPr>
        <w:t>Cabe resaltar que más de 20 instituciones del Gobierno</w:t>
      </w:r>
      <w:r w:rsidR="00B25611">
        <w:rPr>
          <w:color w:val="auto"/>
          <w:lang w:eastAsia="es-DO"/>
        </w:rPr>
        <w:t>,</w:t>
      </w:r>
      <w:r w:rsidRPr="00B25611">
        <w:rPr>
          <w:color w:val="auto"/>
          <w:lang w:eastAsia="es-DO"/>
        </w:rPr>
        <w:t xml:space="preserve"> incluido el Ministerio de la Presidencia</w:t>
      </w:r>
      <w:r w:rsidR="00B25611">
        <w:rPr>
          <w:color w:val="auto"/>
          <w:lang w:eastAsia="es-DO"/>
        </w:rPr>
        <w:t>,</w:t>
      </w:r>
      <w:r w:rsidRPr="00B25611">
        <w:rPr>
          <w:color w:val="auto"/>
          <w:lang w:eastAsia="es-DO"/>
        </w:rPr>
        <w:t xml:space="preserve"> apoyaron la iniciativa </w:t>
      </w:r>
      <w:r w:rsidR="00B25611">
        <w:rPr>
          <w:color w:val="auto"/>
          <w:lang w:eastAsia="es-DO"/>
        </w:rPr>
        <w:t>en este año</w:t>
      </w:r>
      <w:r w:rsidRPr="00B25611">
        <w:rPr>
          <w:color w:val="auto"/>
          <w:lang w:eastAsia="es-DO"/>
        </w:rPr>
        <w:t>, con adjudicaciones por un valo</w:t>
      </w:r>
      <w:r w:rsidR="00B25611">
        <w:rPr>
          <w:color w:val="auto"/>
          <w:lang w:eastAsia="es-DO"/>
        </w:rPr>
        <w:t>r total de RDS 17,098,200.00.</w:t>
      </w:r>
      <w:r w:rsidR="00B25611" w:rsidRPr="00B25611">
        <w:rPr>
          <w:color w:val="auto"/>
          <w:lang w:eastAsia="es-DO"/>
        </w:rPr>
        <w:t xml:space="preserve"> Adicionalmente, fueron celebrados cuatro Bazares promocionales, en igual número de instituciones públicas con una participación de 62 artesanos y seis talleres promocionales en comunidades repartidas en </w:t>
      </w:r>
      <w:r w:rsidR="00E06468">
        <w:rPr>
          <w:color w:val="auto"/>
          <w:lang w:eastAsia="es-DO"/>
        </w:rPr>
        <w:t xml:space="preserve">el </w:t>
      </w:r>
      <w:r w:rsidR="00B25611" w:rsidRPr="00B25611">
        <w:rPr>
          <w:color w:val="auto"/>
          <w:lang w:eastAsia="es-DO"/>
        </w:rPr>
        <w:t>Sur, Este, Nordeste, Norte del país; con una participación de 94 artesanos.</w:t>
      </w:r>
    </w:p>
    <w:p w:rsidR="00901323" w:rsidRDefault="00901323" w:rsidP="00640607">
      <w:pPr>
        <w:rPr>
          <w:color w:val="auto"/>
          <w:lang w:eastAsia="es-DO"/>
        </w:rPr>
      </w:pPr>
      <w:r w:rsidRPr="00B25611">
        <w:rPr>
          <w:b/>
          <w:color w:val="auto"/>
          <w:lang w:eastAsia="es-DO"/>
        </w:rPr>
        <w:t>Participación de las Mujeres en las Compras Públicas</w:t>
      </w:r>
      <w:r w:rsidRPr="00B25611">
        <w:rPr>
          <w:color w:val="auto"/>
          <w:lang w:eastAsia="es-DO"/>
        </w:rPr>
        <w:t>: la Dirección General continúa trabajando en asegurar las cuotas para mujeres establecidas en la normativa, al 30 de noviembre del año en curso el SNCCP cuenta con un total de 17,620 mujeres inscritas como proveedoras del Estado, un incremento interanual de un 13%.</w:t>
      </w:r>
      <w:r w:rsidR="00B25611">
        <w:rPr>
          <w:color w:val="auto"/>
          <w:lang w:eastAsia="es-DO"/>
        </w:rPr>
        <w:t xml:space="preserve"> </w:t>
      </w:r>
      <w:r w:rsidRPr="000D782C">
        <w:rPr>
          <w:color w:val="auto"/>
          <w:lang w:eastAsia="es-DO"/>
        </w:rPr>
        <w:t>Como parte del fomento y empoderamiento económico de la mujer, a través de las compras públicas, en el último tri</w:t>
      </w:r>
      <w:r w:rsidR="00E06468">
        <w:rPr>
          <w:color w:val="auto"/>
          <w:lang w:eastAsia="es-DO"/>
        </w:rPr>
        <w:t>mestre de 2019 fue lanzada la 3r</w:t>
      </w:r>
      <w:r w:rsidRPr="000D782C">
        <w:rPr>
          <w:color w:val="auto"/>
          <w:lang w:eastAsia="es-DO"/>
        </w:rPr>
        <w:t>a. Edición de la Encuesta sobre el Sistema Nacional de Compras y Contrataciones Públicas, dirigida a Mujeres Proveedoras del Estado, con el objetivo de evaluar la evolución de las Compras Públicas desde la perspectiva de la Mujer Proveedora del Estado e identificar medidas que impulsen su participación en las compras públicas. En la misma participaron más de 370 mujeres empresaria</w:t>
      </w:r>
      <w:r w:rsidR="00E06468">
        <w:rPr>
          <w:color w:val="auto"/>
          <w:lang w:eastAsia="es-DO"/>
        </w:rPr>
        <w:t>s</w:t>
      </w:r>
      <w:r w:rsidRPr="000D782C">
        <w:rPr>
          <w:color w:val="auto"/>
          <w:lang w:eastAsia="es-DO"/>
        </w:rPr>
        <w:t>.</w:t>
      </w:r>
    </w:p>
    <w:p w:rsidR="00901323" w:rsidRPr="00B25611" w:rsidRDefault="00901323" w:rsidP="00640607">
      <w:pPr>
        <w:rPr>
          <w:color w:val="auto"/>
          <w:lang w:eastAsia="es-DO"/>
        </w:rPr>
      </w:pPr>
      <w:bookmarkStart w:id="19" w:name="_Toc534871686"/>
      <w:bookmarkStart w:id="20" w:name="_Toc534872133"/>
      <w:r w:rsidRPr="00B25611">
        <w:rPr>
          <w:b/>
          <w:color w:val="auto"/>
          <w:lang w:eastAsia="es-DO"/>
        </w:rPr>
        <w:t>Compras Públicas Sostenibles</w:t>
      </w:r>
      <w:bookmarkEnd w:id="19"/>
      <w:bookmarkEnd w:id="20"/>
      <w:r w:rsidRPr="00B25611">
        <w:rPr>
          <w:color w:val="auto"/>
          <w:lang w:eastAsia="es-DO"/>
        </w:rPr>
        <w:t xml:space="preserve">: Con el objetivo de generar conocimientos básicos sobre compras públicas sostenibles y su uso como herramienta que permite impulsar los 17 Objetivos de Desarrollo Sostenible y la coherencia de la política de gasto del Estado, se llevó a cabo el Primer Encuentro sobre Compras Sostenibles dirigido a las Unidades de Compra junto al Ministerio de Ambiente y Recursos Naturales. En la actividad participaron 52 instituciones y 130 técnicos de compras o de áreas afines al proceso de contratación. El programa de la actividad incluyó un cine fórum sobre el impacto climático en el planeta, y las charlas sobre compras públicas y ODS, el impacto de los residuos generados por instituciones públicas, un taller sobre especificaciones técnicas sostenibles experiencia comparada de Brasil, y la socialización de las guías de compra de combustible y de mantenimiento de vehículos de la Dirección General de Contrataciones Públicas. </w:t>
      </w:r>
    </w:p>
    <w:p w:rsidR="00901323" w:rsidRPr="00B25611" w:rsidRDefault="00901323" w:rsidP="00640607">
      <w:pPr>
        <w:rPr>
          <w:color w:val="auto"/>
          <w:lang w:eastAsia="es-DO"/>
        </w:rPr>
      </w:pPr>
      <w:r w:rsidRPr="00B25611">
        <w:rPr>
          <w:color w:val="auto"/>
          <w:lang w:eastAsia="es-DO"/>
        </w:rPr>
        <w:t>También, se elaboró un blog de compras sostenibles dirigido a las unidades de compras públicas del Estado, en el que se colocan buenas prácticas, videos e informaciones educativas y noticias sobre el impacto del consumo y cómo puede afectar el medio ambiente. Se ha dado asistencia técnica y acompañamiento al INDOTEL y al Ministerio de Agricultura, en procesos de contrataciones que incluyen los criterios de sostenibilidad, así también se han realizado procesos de compras con criterios de sostenibilidad dentro de la misma Dirección:</w:t>
      </w:r>
    </w:p>
    <w:tbl>
      <w:tblPr>
        <w:tblpPr w:leftFromText="141" w:rightFromText="141" w:vertAnchor="text" w:horzAnchor="margin" w:tblpY="5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45"/>
        <w:gridCol w:w="2381"/>
        <w:gridCol w:w="1654"/>
      </w:tblGrid>
      <w:tr w:rsidR="00D428CC" w:rsidRPr="002E1B96" w:rsidTr="00D428CC">
        <w:tc>
          <w:tcPr>
            <w:tcW w:w="3591" w:type="dxa"/>
            <w:shd w:val="clear" w:color="auto" w:fill="4472C4" w:themeFill="accent5"/>
            <w:tcMar>
              <w:top w:w="0" w:type="dxa"/>
              <w:left w:w="108" w:type="dxa"/>
              <w:bottom w:w="0" w:type="dxa"/>
              <w:right w:w="108" w:type="dxa"/>
            </w:tcMar>
            <w:vAlign w:val="center"/>
            <w:hideMark/>
          </w:tcPr>
          <w:p w:rsidR="00D428CC" w:rsidRPr="002E1B96" w:rsidRDefault="00D428CC" w:rsidP="00D428CC">
            <w:pPr>
              <w:spacing w:before="0" w:line="240" w:lineRule="auto"/>
              <w:ind w:firstLine="0"/>
              <w:jc w:val="center"/>
              <w:rPr>
                <w:rFonts w:eastAsiaTheme="minorHAnsi"/>
                <w:b/>
                <w:bCs/>
                <w:color w:val="FFFFFF" w:themeColor="background1"/>
              </w:rPr>
            </w:pPr>
            <w:r w:rsidRPr="002E1B96">
              <w:rPr>
                <w:rFonts w:eastAsiaTheme="minorHAnsi"/>
                <w:b/>
                <w:bCs/>
                <w:color w:val="FFFFFF" w:themeColor="background1"/>
              </w:rPr>
              <w:t>Objeto y proveedor adjudicado</w:t>
            </w:r>
          </w:p>
        </w:tc>
        <w:tc>
          <w:tcPr>
            <w:tcW w:w="2444" w:type="dxa"/>
            <w:shd w:val="clear" w:color="auto" w:fill="4472C4" w:themeFill="accent5"/>
            <w:tcMar>
              <w:top w:w="0" w:type="dxa"/>
              <w:left w:w="108" w:type="dxa"/>
              <w:bottom w:w="0" w:type="dxa"/>
              <w:right w:w="108" w:type="dxa"/>
            </w:tcMar>
            <w:vAlign w:val="center"/>
            <w:hideMark/>
          </w:tcPr>
          <w:p w:rsidR="00D428CC" w:rsidRPr="002E1B96" w:rsidRDefault="00D428CC" w:rsidP="00D428CC">
            <w:pPr>
              <w:spacing w:before="0" w:line="240" w:lineRule="auto"/>
              <w:ind w:firstLine="0"/>
              <w:jc w:val="center"/>
              <w:rPr>
                <w:rFonts w:eastAsiaTheme="minorHAnsi"/>
                <w:b/>
                <w:bCs/>
                <w:color w:val="FFFFFF" w:themeColor="background1"/>
              </w:rPr>
            </w:pPr>
            <w:r w:rsidRPr="002E1B96">
              <w:rPr>
                <w:rFonts w:eastAsiaTheme="minorHAnsi"/>
                <w:b/>
                <w:bCs/>
                <w:color w:val="FFFFFF" w:themeColor="background1"/>
              </w:rPr>
              <w:t>Código Proceso</w:t>
            </w:r>
          </w:p>
        </w:tc>
        <w:tc>
          <w:tcPr>
            <w:tcW w:w="1545" w:type="dxa"/>
            <w:shd w:val="clear" w:color="auto" w:fill="4472C4" w:themeFill="accent5"/>
            <w:tcMar>
              <w:top w:w="0" w:type="dxa"/>
              <w:left w:w="108" w:type="dxa"/>
              <w:bottom w:w="0" w:type="dxa"/>
              <w:right w:w="108" w:type="dxa"/>
            </w:tcMar>
            <w:vAlign w:val="center"/>
            <w:hideMark/>
          </w:tcPr>
          <w:p w:rsidR="00D428CC" w:rsidRPr="002E1B96" w:rsidRDefault="00D428CC" w:rsidP="00D428CC">
            <w:pPr>
              <w:spacing w:before="0" w:line="240" w:lineRule="auto"/>
              <w:ind w:firstLine="0"/>
              <w:jc w:val="center"/>
              <w:rPr>
                <w:rFonts w:eastAsiaTheme="minorHAnsi"/>
                <w:b/>
                <w:bCs/>
                <w:color w:val="FFFFFF" w:themeColor="background1"/>
              </w:rPr>
            </w:pPr>
            <w:r w:rsidRPr="002E1B96">
              <w:rPr>
                <w:rFonts w:eastAsiaTheme="minorHAnsi"/>
                <w:b/>
                <w:bCs/>
                <w:color w:val="FFFFFF" w:themeColor="background1"/>
              </w:rPr>
              <w:t>Monto</w:t>
            </w:r>
          </w:p>
        </w:tc>
      </w:tr>
      <w:tr w:rsidR="00D428CC" w:rsidRPr="002E1B96" w:rsidTr="00D428CC">
        <w:tc>
          <w:tcPr>
            <w:tcW w:w="3591" w:type="dxa"/>
            <w:tcMar>
              <w:top w:w="0" w:type="dxa"/>
              <w:left w:w="108" w:type="dxa"/>
              <w:bottom w:w="0" w:type="dxa"/>
              <w:right w:w="108" w:type="dxa"/>
            </w:tcMar>
            <w:vAlign w:val="center"/>
            <w:hideMark/>
          </w:tcPr>
          <w:p w:rsidR="00D428CC" w:rsidRPr="00D428CC" w:rsidRDefault="00D428CC" w:rsidP="00D428CC">
            <w:pPr>
              <w:spacing w:before="0" w:line="240" w:lineRule="auto"/>
              <w:ind w:firstLine="30"/>
              <w:jc w:val="left"/>
              <w:rPr>
                <w:rFonts w:eastAsiaTheme="minorHAnsi"/>
                <w:color w:val="000000"/>
              </w:rPr>
            </w:pPr>
            <w:r w:rsidRPr="00D428CC">
              <w:rPr>
                <w:rFonts w:eastAsiaTheme="minorHAnsi"/>
                <w:color w:val="000000"/>
              </w:rPr>
              <w:t>Adquisición de café: Criterio CPS favorecer a pequeños productores:</w:t>
            </w:r>
          </w:p>
          <w:p w:rsidR="00D428CC" w:rsidRPr="00D428CC" w:rsidRDefault="00D428CC" w:rsidP="00D428CC">
            <w:pPr>
              <w:pStyle w:val="Prrafodelista"/>
              <w:numPr>
                <w:ilvl w:val="0"/>
                <w:numId w:val="24"/>
              </w:numPr>
              <w:spacing w:before="0" w:line="240" w:lineRule="auto"/>
              <w:jc w:val="left"/>
              <w:rPr>
                <w:rFonts w:eastAsiaTheme="minorHAnsi"/>
                <w:color w:val="000000"/>
              </w:rPr>
            </w:pPr>
            <w:r w:rsidRPr="00D428CC">
              <w:rPr>
                <w:rFonts w:eastAsiaTheme="minorHAnsi"/>
                <w:color w:val="000000"/>
              </w:rPr>
              <w:t>Asociación de Productores de Café Especial ASOPROCAES, Inc.</w:t>
            </w:r>
          </w:p>
        </w:tc>
        <w:tc>
          <w:tcPr>
            <w:tcW w:w="2444" w:type="dxa"/>
            <w:tcMar>
              <w:top w:w="0" w:type="dxa"/>
              <w:left w:w="108" w:type="dxa"/>
              <w:bottom w:w="0" w:type="dxa"/>
              <w:right w:w="108" w:type="dxa"/>
            </w:tcMar>
            <w:vAlign w:val="center"/>
          </w:tcPr>
          <w:p w:rsidR="00D428CC" w:rsidRPr="00D428CC" w:rsidRDefault="00D428CC" w:rsidP="00D428CC">
            <w:pPr>
              <w:spacing w:before="0" w:line="240" w:lineRule="auto"/>
              <w:jc w:val="center"/>
              <w:rPr>
                <w:rFonts w:eastAsiaTheme="minorHAnsi"/>
                <w:color w:val="000000"/>
              </w:rPr>
            </w:pPr>
          </w:p>
          <w:p w:rsidR="00D428CC" w:rsidRPr="00D428CC" w:rsidRDefault="00D428CC" w:rsidP="00D428CC">
            <w:pPr>
              <w:spacing w:before="0" w:line="240" w:lineRule="auto"/>
              <w:ind w:firstLine="0"/>
              <w:jc w:val="center"/>
              <w:rPr>
                <w:rFonts w:eastAsiaTheme="minorHAnsi"/>
                <w:color w:val="000000"/>
              </w:rPr>
            </w:pPr>
            <w:r w:rsidRPr="00D428CC">
              <w:rPr>
                <w:rFonts w:eastAsiaTheme="minorHAnsi"/>
                <w:color w:val="000000"/>
              </w:rPr>
              <w:t>DGCP-UC-CD-2019-0049</w:t>
            </w:r>
          </w:p>
          <w:p w:rsidR="00D428CC" w:rsidRPr="00D428CC" w:rsidRDefault="00D428CC" w:rsidP="00D428CC">
            <w:pPr>
              <w:spacing w:before="0" w:line="240" w:lineRule="auto"/>
              <w:jc w:val="center"/>
              <w:rPr>
                <w:rFonts w:eastAsiaTheme="minorHAnsi"/>
                <w:color w:val="000000"/>
              </w:rPr>
            </w:pPr>
          </w:p>
        </w:tc>
        <w:tc>
          <w:tcPr>
            <w:tcW w:w="1545" w:type="dxa"/>
            <w:tcMar>
              <w:top w:w="0" w:type="dxa"/>
              <w:left w:w="108" w:type="dxa"/>
              <w:bottom w:w="0" w:type="dxa"/>
              <w:right w:w="108" w:type="dxa"/>
            </w:tcMar>
            <w:vAlign w:val="center"/>
          </w:tcPr>
          <w:p w:rsidR="00D428CC" w:rsidRPr="00D428CC" w:rsidRDefault="00D428CC" w:rsidP="00D428CC">
            <w:pPr>
              <w:spacing w:before="0" w:line="240" w:lineRule="auto"/>
              <w:ind w:left="-96" w:firstLine="0"/>
              <w:jc w:val="center"/>
              <w:rPr>
                <w:rFonts w:eastAsiaTheme="minorHAnsi"/>
                <w:color w:val="000000"/>
              </w:rPr>
            </w:pPr>
          </w:p>
          <w:p w:rsidR="00D428CC" w:rsidRPr="00D428CC" w:rsidRDefault="00D428CC" w:rsidP="00D428CC">
            <w:pPr>
              <w:spacing w:before="0" w:line="240" w:lineRule="auto"/>
              <w:ind w:left="-96" w:firstLine="0"/>
              <w:jc w:val="center"/>
              <w:rPr>
                <w:rFonts w:eastAsiaTheme="minorHAnsi"/>
                <w:color w:val="000000"/>
              </w:rPr>
            </w:pPr>
            <w:r w:rsidRPr="00D428CC">
              <w:rPr>
                <w:rFonts w:eastAsiaTheme="minorHAnsi"/>
                <w:color w:val="000000"/>
              </w:rPr>
              <w:t>RD$ 50,000.06</w:t>
            </w:r>
          </w:p>
          <w:p w:rsidR="00D428CC" w:rsidRPr="00D428CC" w:rsidRDefault="00D428CC" w:rsidP="00D428CC">
            <w:pPr>
              <w:spacing w:before="0" w:line="240" w:lineRule="auto"/>
              <w:ind w:left="-96" w:firstLine="0"/>
              <w:jc w:val="center"/>
              <w:rPr>
                <w:rFonts w:eastAsiaTheme="minorHAnsi"/>
                <w:color w:val="000000"/>
              </w:rPr>
            </w:pPr>
          </w:p>
        </w:tc>
      </w:tr>
      <w:tr w:rsidR="00D428CC" w:rsidRPr="002E1B96" w:rsidTr="00D428CC">
        <w:tc>
          <w:tcPr>
            <w:tcW w:w="3591" w:type="dxa"/>
            <w:tcMar>
              <w:top w:w="0" w:type="dxa"/>
              <w:left w:w="108" w:type="dxa"/>
              <w:bottom w:w="0" w:type="dxa"/>
              <w:right w:w="108" w:type="dxa"/>
            </w:tcMar>
            <w:vAlign w:val="center"/>
          </w:tcPr>
          <w:p w:rsidR="00D428CC" w:rsidRPr="00D428CC" w:rsidRDefault="00D428CC" w:rsidP="00D428CC">
            <w:pPr>
              <w:spacing w:before="0" w:line="240" w:lineRule="auto"/>
              <w:ind w:firstLine="0"/>
              <w:jc w:val="left"/>
              <w:rPr>
                <w:rFonts w:eastAsiaTheme="minorHAnsi"/>
                <w:bCs/>
                <w:color w:val="000000"/>
              </w:rPr>
            </w:pPr>
            <w:r w:rsidRPr="00D428CC">
              <w:rPr>
                <w:rFonts w:eastAsiaTheme="minorHAnsi"/>
                <w:bCs/>
                <w:color w:val="000000"/>
              </w:rPr>
              <w:t>Federación De Caficultores Y Agricultores Para El desarrollo de San Juan, Inc.</w:t>
            </w:r>
          </w:p>
          <w:p w:rsidR="00D428CC" w:rsidRPr="00D428CC" w:rsidRDefault="00D428CC" w:rsidP="00D428CC">
            <w:pPr>
              <w:pStyle w:val="Prrafodelista"/>
              <w:numPr>
                <w:ilvl w:val="0"/>
                <w:numId w:val="24"/>
              </w:numPr>
              <w:spacing w:before="0" w:line="240" w:lineRule="auto"/>
              <w:jc w:val="left"/>
              <w:rPr>
                <w:rFonts w:eastAsiaTheme="minorHAnsi"/>
                <w:color w:val="000000"/>
              </w:rPr>
            </w:pPr>
            <w:r w:rsidRPr="00D428CC">
              <w:rPr>
                <w:rFonts w:eastAsiaTheme="minorHAnsi"/>
                <w:bCs/>
                <w:color w:val="000000"/>
              </w:rPr>
              <w:t>Contratación de montaje: Criterio de CPS eventos libres de plástico desechable: Brimela Event S.R.L.</w:t>
            </w:r>
          </w:p>
        </w:tc>
        <w:tc>
          <w:tcPr>
            <w:tcW w:w="2444" w:type="dxa"/>
            <w:tcMar>
              <w:top w:w="0" w:type="dxa"/>
              <w:left w:w="108" w:type="dxa"/>
              <w:bottom w:w="0" w:type="dxa"/>
              <w:right w:w="108" w:type="dxa"/>
            </w:tcMar>
            <w:vAlign w:val="center"/>
          </w:tcPr>
          <w:p w:rsidR="00D428CC" w:rsidRPr="00D428CC" w:rsidRDefault="00D428CC" w:rsidP="00D428CC">
            <w:pPr>
              <w:spacing w:before="0" w:line="240" w:lineRule="auto"/>
              <w:ind w:firstLine="0"/>
              <w:jc w:val="center"/>
              <w:rPr>
                <w:rFonts w:eastAsiaTheme="minorHAnsi"/>
                <w:bCs/>
                <w:color w:val="000000"/>
                <w:lang w:val="en-US"/>
              </w:rPr>
            </w:pPr>
            <w:hyperlink r:id="rId50" w:tooltip="DGCP-UC-CD-2019-0100" w:history="1">
              <w:r w:rsidRPr="00D428CC">
                <w:rPr>
                  <w:rFonts w:eastAsiaTheme="minorHAnsi"/>
                  <w:bCs/>
                  <w:color w:val="000000"/>
                  <w:lang w:val="en-US"/>
                </w:rPr>
                <w:t>DGCP-UC-CD-2019-0100</w:t>
              </w:r>
            </w:hyperlink>
          </w:p>
          <w:p w:rsidR="00D428CC" w:rsidRPr="00D428CC" w:rsidRDefault="00D428CC" w:rsidP="00D428CC">
            <w:pPr>
              <w:spacing w:before="0" w:line="240" w:lineRule="auto"/>
              <w:ind w:firstLine="0"/>
              <w:jc w:val="center"/>
              <w:rPr>
                <w:rFonts w:eastAsiaTheme="minorHAnsi"/>
                <w:bCs/>
                <w:color w:val="000000"/>
                <w:lang w:val="en-US"/>
              </w:rPr>
            </w:pPr>
          </w:p>
          <w:p w:rsidR="00D428CC" w:rsidRPr="00D428CC" w:rsidRDefault="00D428CC" w:rsidP="00D428CC">
            <w:pPr>
              <w:spacing w:before="0" w:line="240" w:lineRule="auto"/>
              <w:ind w:firstLine="0"/>
              <w:jc w:val="center"/>
              <w:rPr>
                <w:rFonts w:eastAsiaTheme="minorHAnsi"/>
                <w:color w:val="000000"/>
                <w:lang w:val="en-US"/>
              </w:rPr>
            </w:pPr>
            <w:r w:rsidRPr="00D428CC">
              <w:rPr>
                <w:rFonts w:eastAsiaTheme="minorHAnsi"/>
                <w:bCs/>
                <w:color w:val="000000"/>
                <w:lang w:val="en-US"/>
              </w:rPr>
              <w:t>DGCP-DAF-CM-2019-0031</w:t>
            </w:r>
          </w:p>
        </w:tc>
        <w:tc>
          <w:tcPr>
            <w:tcW w:w="1545" w:type="dxa"/>
            <w:tcMar>
              <w:top w:w="0" w:type="dxa"/>
              <w:left w:w="108" w:type="dxa"/>
              <w:bottom w:w="0" w:type="dxa"/>
              <w:right w:w="108" w:type="dxa"/>
            </w:tcMar>
            <w:vAlign w:val="center"/>
          </w:tcPr>
          <w:p w:rsidR="00D428CC" w:rsidRPr="00D428CC" w:rsidRDefault="00D428CC" w:rsidP="00D428CC">
            <w:pPr>
              <w:spacing w:before="0" w:line="240" w:lineRule="auto"/>
              <w:ind w:left="-96" w:firstLine="0"/>
              <w:jc w:val="center"/>
              <w:rPr>
                <w:rFonts w:eastAsiaTheme="minorHAnsi"/>
                <w:bCs/>
                <w:color w:val="000000"/>
              </w:rPr>
            </w:pPr>
            <w:r w:rsidRPr="00D428CC">
              <w:rPr>
                <w:rFonts w:eastAsiaTheme="minorHAnsi"/>
                <w:bCs/>
                <w:color w:val="000000"/>
              </w:rPr>
              <w:t>RD$ 48,024</w:t>
            </w:r>
          </w:p>
          <w:p w:rsidR="00D428CC" w:rsidRPr="00D428CC" w:rsidRDefault="00D428CC" w:rsidP="00D428CC">
            <w:pPr>
              <w:spacing w:before="0" w:line="240" w:lineRule="auto"/>
              <w:ind w:left="-96" w:firstLine="0"/>
              <w:jc w:val="center"/>
              <w:rPr>
                <w:rFonts w:eastAsiaTheme="minorHAnsi"/>
                <w:bCs/>
                <w:color w:val="000000"/>
              </w:rPr>
            </w:pPr>
          </w:p>
          <w:p w:rsidR="00D428CC" w:rsidRPr="00D428CC" w:rsidRDefault="00D428CC" w:rsidP="00D428CC">
            <w:pPr>
              <w:spacing w:before="0" w:line="240" w:lineRule="auto"/>
              <w:ind w:left="-96" w:firstLine="0"/>
              <w:jc w:val="center"/>
              <w:rPr>
                <w:rFonts w:eastAsiaTheme="minorHAnsi"/>
                <w:bCs/>
                <w:color w:val="000000"/>
              </w:rPr>
            </w:pPr>
          </w:p>
          <w:p w:rsidR="00D428CC" w:rsidRPr="00D428CC" w:rsidRDefault="00D428CC" w:rsidP="00D428CC">
            <w:pPr>
              <w:spacing w:before="0" w:line="240" w:lineRule="auto"/>
              <w:ind w:left="-96" w:firstLine="0"/>
              <w:jc w:val="center"/>
              <w:rPr>
                <w:rFonts w:eastAsiaTheme="minorHAnsi"/>
                <w:color w:val="000000"/>
              </w:rPr>
            </w:pPr>
            <w:r w:rsidRPr="00D428CC">
              <w:rPr>
                <w:rFonts w:eastAsiaTheme="minorHAnsi"/>
                <w:bCs/>
                <w:color w:val="000000"/>
              </w:rPr>
              <w:t>RD$568,931.10</w:t>
            </w:r>
          </w:p>
        </w:tc>
      </w:tr>
    </w:tbl>
    <w:p w:rsidR="00D428CC" w:rsidRDefault="00640607">
      <w:pPr>
        <w:keepNext w:val="0"/>
        <w:keepLines w:val="0"/>
        <w:spacing w:before="0" w:after="160" w:line="259" w:lineRule="auto"/>
        <w:ind w:firstLine="0"/>
        <w:jc w:val="left"/>
        <w:outlineLvl w:val="9"/>
      </w:pPr>
      <w:r>
        <w:br w:type="page"/>
      </w:r>
    </w:p>
    <w:p w:rsidR="00901323" w:rsidRPr="00B25611" w:rsidRDefault="00901323" w:rsidP="00D428CC">
      <w:pPr>
        <w:ind w:firstLine="708"/>
        <w:rPr>
          <w:lang w:eastAsia="es-DO"/>
        </w:rPr>
      </w:pPr>
      <w:r w:rsidRPr="00B25611">
        <w:rPr>
          <w:lang w:eastAsia="es-DO"/>
        </w:rPr>
        <w:t>Para reforzar la política 3R (reducir, reutilizar y reciclar), se implementó como parte de la inducción del personal de nuevo ingreso</w:t>
      </w:r>
      <w:r w:rsidR="00E06468">
        <w:rPr>
          <w:lang w:eastAsia="es-DO"/>
        </w:rPr>
        <w:t>,</w:t>
      </w:r>
      <w:r w:rsidRPr="00B25611">
        <w:rPr>
          <w:lang w:eastAsia="es-DO"/>
        </w:rPr>
        <w:t xml:space="preserve"> una charla sobre cuidado al medio ambiente y consumo para que estos asuman</w:t>
      </w:r>
      <w:r w:rsidR="00E06468">
        <w:rPr>
          <w:lang w:eastAsia="es-DO"/>
        </w:rPr>
        <w:t>,</w:t>
      </w:r>
      <w:r w:rsidRPr="00B25611">
        <w:rPr>
          <w:lang w:eastAsia="es-DO"/>
        </w:rPr>
        <w:t xml:space="preserve"> de cara a los compromisos institucionales</w:t>
      </w:r>
      <w:r w:rsidR="00E06468">
        <w:rPr>
          <w:lang w:eastAsia="es-DO"/>
        </w:rPr>
        <w:t>,</w:t>
      </w:r>
      <w:r w:rsidRPr="00B25611">
        <w:rPr>
          <w:lang w:eastAsia="es-DO"/>
        </w:rPr>
        <w:t xml:space="preserve"> los valores de respetar y cuidar el medio ambiente. También se planificaron y ejecutaron acciones de reforzamiento para cada trimestre del año en materia de sostenibilidad ambiental, cines fórum, limpiezas de playas entre otras.</w:t>
      </w:r>
    </w:p>
    <w:p w:rsidR="00640607" w:rsidRDefault="00901323" w:rsidP="00640607">
      <w:pPr>
        <w:rPr>
          <w:lang w:eastAsia="es-DO"/>
        </w:rPr>
      </w:pPr>
      <w:r w:rsidRPr="00B25611">
        <w:rPr>
          <w:lang w:eastAsia="es-DO"/>
        </w:rPr>
        <w:t>Con la finalidad de sensibilizar y generar capacidades sobre producción y gestión sostenible en proveedores (as) del Estado se realizaron las siguientes actividades:</w:t>
      </w:r>
      <w:r w:rsidR="00C86371">
        <w:rPr>
          <w:lang w:eastAsia="es-DO"/>
        </w:rPr>
        <w:t xml:space="preserve"> </w:t>
      </w:r>
      <w:r w:rsidRPr="00B25611">
        <w:rPr>
          <w:lang w:eastAsia="es-DO"/>
        </w:rPr>
        <w:t>(1) el primer piloto INDICARSE-PYME</w:t>
      </w:r>
      <w:r w:rsidR="00D428CC" w:rsidRPr="00B25611">
        <w:rPr>
          <w:lang w:eastAsia="es-DO"/>
        </w:rPr>
        <w:t xml:space="preserve"> </w:t>
      </w:r>
      <w:r w:rsidRPr="00B25611">
        <w:rPr>
          <w:lang w:eastAsia="es-DO"/>
        </w:rPr>
        <w:t>junto a ECORED, cuyo objetivo general fue fortalecer las pequeñas empresas proveedoras del estado</w:t>
      </w:r>
      <w:r w:rsidR="00E06468">
        <w:rPr>
          <w:lang w:eastAsia="es-DO"/>
        </w:rPr>
        <w:t>,</w:t>
      </w:r>
      <w:r w:rsidRPr="00B25611">
        <w:rPr>
          <w:lang w:eastAsia="es-DO"/>
        </w:rPr>
        <w:t xml:space="preserve"> aumentando su competitividad y oferta de valor al incorporar en sus modelos de negocio conceptos de sostenibilidad alineados a los ODS. Bajo este piloto durante 2.5 meses, 9 MIPYME realizaron su proceso de autoevaluación para el diagnóstico de Responsabilidad Social Empresarial, el cual sirve de base para la ISO 26000 de Responsabilidad Social que impulsa los ODS y recibieron una consultoría para aplicar mejoras en sus negocios por parte de ECORED. (2). Sensibilizaciones sobre Compras Públicas a proveedores (as) del Estado: se llevaron a cabo 3 sensibilizaciones especiales, Barahona con 28 asistentes, Polo Barahona con 69 asistentes y un Panel sobre emprendimientos sostenibles en el marco de la XV Rueda de Negocios del Sector Público dir</w:t>
      </w:r>
      <w:r w:rsidR="00E06468">
        <w:rPr>
          <w:lang w:eastAsia="es-DO"/>
        </w:rPr>
        <w:t>igida a innovación y tecnología.</w:t>
      </w:r>
      <w:r w:rsidRPr="00B25611">
        <w:rPr>
          <w:lang w:eastAsia="es-DO"/>
        </w:rPr>
        <w:t xml:space="preserve"> </w:t>
      </w:r>
      <w:r w:rsidR="00E06468">
        <w:rPr>
          <w:lang w:eastAsia="es-DO"/>
        </w:rPr>
        <w:t>E</w:t>
      </w:r>
      <w:r w:rsidRPr="00B25611">
        <w:rPr>
          <w:lang w:eastAsia="es-DO"/>
        </w:rPr>
        <w:t xml:space="preserve">n estos eventos los participantes conocieron sobre las oportunidades de contratar con el Estado y el nicho de mercado existente para productos sostenibles. </w:t>
      </w:r>
    </w:p>
    <w:p w:rsidR="00901323" w:rsidRPr="00B25611" w:rsidRDefault="00901323" w:rsidP="00640607">
      <w:pPr>
        <w:rPr>
          <w:lang w:eastAsia="es-DO"/>
        </w:rPr>
      </w:pPr>
      <w:r w:rsidRPr="00B25611">
        <w:rPr>
          <w:lang w:eastAsia="es-DO"/>
        </w:rPr>
        <w:t>De igual modo, durante el 2019, la dirección participó en diferentes mesas de trabajo de diferentes instituciones públicas que tienen proyectos o desarrollan agendas vinculados a ODS y contratación o consumo sostenible</w:t>
      </w:r>
      <w:r w:rsidR="00E06468">
        <w:rPr>
          <w:lang w:eastAsia="es-DO"/>
        </w:rPr>
        <w:t>,</w:t>
      </w:r>
      <w:r w:rsidRPr="00B25611">
        <w:rPr>
          <w:lang w:eastAsia="es-DO"/>
        </w:rPr>
        <w:t xml:space="preserve"> cabe destacar: Mesas de di</w:t>
      </w:r>
      <w:r w:rsidR="00E06468">
        <w:rPr>
          <w:lang w:eastAsia="es-DO"/>
        </w:rPr>
        <w:t>á</w:t>
      </w:r>
      <w:r w:rsidRPr="00B25611">
        <w:rPr>
          <w:lang w:eastAsia="es-DO"/>
        </w:rPr>
        <w:t>logo de la FAO para desarrollar una política de seguridad alimentaria para el Estado; Incorporación a la mesa técnica del Consejo de Soberanía y Seguridad Alimentaria y Nutricional (SSAN)</w:t>
      </w:r>
      <w:r w:rsidR="00E06468">
        <w:rPr>
          <w:lang w:eastAsia="es-DO"/>
        </w:rPr>
        <w:t>,</w:t>
      </w:r>
      <w:r w:rsidRPr="00B25611">
        <w:rPr>
          <w:lang w:eastAsia="es-DO"/>
        </w:rPr>
        <w:t xml:space="preserve"> participación y apoyo técnico en la redacción de la norma sobre gestión de residuos de aparatos eléctricos y electrónicos “NORTIC-A8”, incorporación a la mesa de revisores de la propuesta de Política Nacional de Consumo y Producción Más Limpia coordinada por el Ministerio de Medio Ambiente y PNUD e integración a la sub-comisión de ODS solidaridad para el desarrollo de los “ODS  7 al 13” .</w:t>
      </w:r>
    </w:p>
    <w:p w:rsidR="00961033" w:rsidRDefault="008C26F5" w:rsidP="00640607">
      <w:pPr>
        <w:rPr>
          <w:lang w:eastAsia="es-DO"/>
        </w:rPr>
      </w:pPr>
      <w:r>
        <w:rPr>
          <w:lang w:eastAsia="es-DO"/>
        </w:rPr>
        <w:t>La DGCP contrató</w:t>
      </w:r>
      <w:r w:rsidR="00901323" w:rsidRPr="00B25611">
        <w:rPr>
          <w:lang w:eastAsia="es-DO"/>
        </w:rPr>
        <w:t xml:space="preserve"> un (a) consultor (a) experto (a) en consumo público sostenible y herramientas tecnológicas de contratación pública; el objetivo de la consultoría fue contribuir con el desarrollo de estrategias de transparencia que incentiven la participación en un marco de contratación pública sostenible en el área ambiental. Además, de la creación de una política pública que promueva la consolidación de las MIPYME en el Sistema, así como, la aplicación de herramientas de tecnología de la información en las contrataciones públicas.</w:t>
      </w:r>
      <w:r w:rsidR="00961033">
        <w:rPr>
          <w:lang w:eastAsia="es-DO"/>
        </w:rPr>
        <w:t xml:space="preserve"> </w:t>
      </w:r>
    </w:p>
    <w:p w:rsidR="00901323" w:rsidRPr="00B25611" w:rsidRDefault="00901323" w:rsidP="00640607">
      <w:pPr>
        <w:rPr>
          <w:lang w:eastAsia="es-DO"/>
        </w:rPr>
      </w:pPr>
      <w:r w:rsidRPr="00B25611">
        <w:rPr>
          <w:lang w:eastAsia="es-DO"/>
        </w:rPr>
        <w:t>Los productos de la consultoría fueron los siguientes: “Propuesta de un Plan Estratégico para las Compras Públicas Sostenibles”; “Guías de contrataciones públicas sostenibles para contratar bienes y servicios, en consonancia con la normativa vigente y las normas particulares aplicables a los procedimientos de selección llevados a cabo por las instituciones contratantes en la plataforma administrativa de este órgano rector”; “Propuestas de guías sobre cómo vender al Estado dominicano, dirigida a Mipymes”. Otro producto de la consultoría es un informe sobre las especificaciones de requisitos para el Portal Transaccional sobre la contratación electrónica de menor cuantía.</w:t>
      </w:r>
    </w:p>
    <w:p w:rsidR="00901323" w:rsidRPr="00B25611" w:rsidRDefault="00901323" w:rsidP="00640607">
      <w:pPr>
        <w:rPr>
          <w:lang w:eastAsia="es-DO"/>
        </w:rPr>
      </w:pPr>
      <w:r w:rsidRPr="00961033">
        <w:rPr>
          <w:b/>
          <w:lang w:eastAsia="es-DO"/>
        </w:rPr>
        <w:t>Rueda de negocio Compras Sostenibles y Tecnologías de la Información y las Comunicaciones</w:t>
      </w:r>
      <w:r w:rsidRPr="00B25611">
        <w:rPr>
          <w:lang w:eastAsia="es-DO"/>
        </w:rPr>
        <w:t>: como parte de las actividades de vinculación implementadas en el marco de la estrategia de Compras@Inclusivas, desarrolladas para el fomento del mercado de las compras públicas, el viernes 06 de septiembre fue desarrollada la XIV Rueda de Negocios, la cual contó con una participación de 26 Unidades de Compras, la asistencia de 69 MIPYME y proveedores, de los cuáles 20 fueron Mujeres, y se desarrollaron 526 entrevistas de negocios.  En esta Rueda los asistentes tuvieron la oportunidad de participar en un panel sobre Buenas Prácticas ambientales y sostenibles en los procesos de compras y en negocios innovadores; así como conocer sobre los Avances del programa República Digital. También se desarrolló una capacitación sobre el uso del Portal Transaccional.</w:t>
      </w:r>
    </w:p>
    <w:p w:rsidR="00901323" w:rsidRPr="00B25611" w:rsidRDefault="00901323" w:rsidP="00640607">
      <w:pPr>
        <w:rPr>
          <w:lang w:eastAsia="es-DO"/>
        </w:rPr>
      </w:pPr>
      <w:r w:rsidRPr="00B25611">
        <w:rPr>
          <w:lang w:eastAsia="es-DO"/>
        </w:rPr>
        <w:t>Cabe destacar que las Ruedas de Negocio realizadas en 2019 han sido desarrolladas en un ambiente libre de plástico, en el que se ahorró el consumo de aproximadamente 1,377 botellas plásticas de agua, artículos y desechables de plástico y/o foam.</w:t>
      </w:r>
    </w:p>
    <w:p w:rsidR="00640607" w:rsidRDefault="00640607">
      <w:pPr>
        <w:keepNext w:val="0"/>
        <w:keepLines w:val="0"/>
        <w:spacing w:before="0" w:after="160" w:line="259" w:lineRule="auto"/>
        <w:ind w:firstLine="0"/>
        <w:jc w:val="left"/>
        <w:outlineLvl w:val="9"/>
        <w:rPr>
          <w:rFonts w:asciiTheme="majorHAnsi" w:hAnsiTheme="majorHAnsi" w:cstheme="majorBidi"/>
          <w:b/>
          <w:iCs/>
          <w:color w:val="2E74B5" w:themeColor="accent1" w:themeShade="BF"/>
        </w:rPr>
      </w:pPr>
      <w:r>
        <w:rPr>
          <w:b/>
          <w:i/>
        </w:rPr>
        <w:br w:type="page"/>
      </w:r>
    </w:p>
    <w:p w:rsidR="00E13048" w:rsidRPr="00E13048" w:rsidRDefault="00E13048" w:rsidP="00E13048">
      <w:pPr>
        <w:pStyle w:val="Ttulo4"/>
        <w:rPr>
          <w:b/>
          <w:i w:val="0"/>
        </w:rPr>
      </w:pPr>
      <w:r w:rsidRPr="005E6BE7">
        <w:rPr>
          <w:b/>
          <w:i w:val="0"/>
        </w:rPr>
        <w:t>EJE ESTRATÉGICO I</w:t>
      </w:r>
      <w:r>
        <w:rPr>
          <w:b/>
          <w:i w:val="0"/>
        </w:rPr>
        <w:t>II</w:t>
      </w:r>
      <w:r w:rsidRPr="005E6BE7">
        <w:rPr>
          <w:b/>
          <w:i w:val="0"/>
        </w:rPr>
        <w:t xml:space="preserve"> - </w:t>
      </w:r>
      <w:r w:rsidRPr="00EA26F6">
        <w:rPr>
          <w:b/>
          <w:i w:val="0"/>
        </w:rPr>
        <w:t>FORTALECIMIENTO INSTITUCIONAL: órgano rector con las capacidades para la gestión del SNCCP.</w:t>
      </w:r>
    </w:p>
    <w:p w:rsidR="00E13048" w:rsidRPr="00961033" w:rsidRDefault="00E13048" w:rsidP="00640607">
      <w:pPr>
        <w:rPr>
          <w:lang w:eastAsia="es-DO"/>
        </w:rPr>
      </w:pPr>
      <w:r w:rsidRPr="00961033">
        <w:rPr>
          <w:lang w:eastAsia="es-DO"/>
        </w:rPr>
        <w:t>Este Eje comprende el accionar de las unidades asesoras y transversales de la institución, las cuales tienen el fin de proveer los servicios técnicos y de apoyo institucional requeridos en términos de planificación por resultados, estructura, procesos, personal, tecnologías, y de comunicación, de forma tal que se asegure el cumplimiento de la misión institucional, a través del desarrollo de competencias, infraestructuras y sistemas. Con el propósito de fomentar la gestión orientada por resultados, para el 2019 fueron trabajados los siguientes productos, según lo expresado en el PEI para dicho período.</w:t>
      </w:r>
    </w:p>
    <w:p w:rsidR="00E13048" w:rsidRPr="00961033" w:rsidRDefault="00E13048" w:rsidP="00640607">
      <w:pPr>
        <w:rPr>
          <w:lang w:eastAsia="es-DO"/>
        </w:rPr>
      </w:pPr>
      <w:r w:rsidRPr="00961033">
        <w:rPr>
          <w:b/>
          <w:lang w:eastAsia="es-DO"/>
        </w:rPr>
        <w:t>Cumplimiento de Indicadores de Gestión Humana del SISMAP</w:t>
      </w:r>
      <w:r w:rsidRPr="00961033">
        <w:rPr>
          <w:lang w:eastAsia="es-DO"/>
        </w:rPr>
        <w:t>: Durante el año 2019, la institución mantuvo un proceso de mejora continua, mediante el cumplimiento de los indicadores establecidos por el Sistema de Monitoreo de la Administración Pública en lo referente a la gestión de Recursos Humanos. Como parte de las estrategias implementadas en este año, nos enfocamos en elevar la satisfacción de nuestros equipos de trabajo, con acompañamiento del Ministerio de Administración Pública (MAP), en compartir mejores prácticas de gestión humana en nuestro</w:t>
      </w:r>
      <w:r w:rsidR="00C86371">
        <w:rPr>
          <w:lang w:eastAsia="es-DO"/>
        </w:rPr>
        <w:t xml:space="preserve"> sector hacendario, entre otras.</w:t>
      </w:r>
    </w:p>
    <w:p w:rsidR="00E13048" w:rsidRPr="00961033" w:rsidRDefault="00E13048" w:rsidP="00640607">
      <w:pPr>
        <w:rPr>
          <w:color w:val="auto"/>
          <w:lang w:eastAsia="es-DO"/>
        </w:rPr>
      </w:pPr>
      <w:r w:rsidRPr="00961033">
        <w:rPr>
          <w:b/>
          <w:color w:val="auto"/>
          <w:lang w:eastAsia="es-DO"/>
        </w:rPr>
        <w:t>Organización de la Función de Recursos Humanos</w:t>
      </w:r>
      <w:r w:rsidRPr="00961033">
        <w:rPr>
          <w:color w:val="auto"/>
          <w:lang w:eastAsia="es-DO"/>
        </w:rPr>
        <w:t>: La principal función del departamento de Recursos Humanos es transmitir a los colaboradores la estrategia de la organización y mediante su contribución, darle fiel cumplimiento, todo esto bajo la rectoría del Ministerio de Administración Pública. En la Dirección General de Contrataciones Públicas el departamento de Recursos Humanos lleva a cabo la gestión de los principales subsistemas que apoyan este objetivo, de cara a la aprobación de la estructura organizativa de la Institución mediante la Resolución No. 189-2018 del MAP, alineando el área de recursos humanos a criterios transversales definidos por la Resolución No. 068-2015 que hace referencia a los modelos de las oficinas de recursos humanos del sector público. Para tales fines, se encuentran cargadas las evidencias correspondientes al diagnóstico de la función de recursos humanos y coordinación de talleres sobre la ley No. 41-08 de Función Pública, con el acompañamiento del MAP.</w:t>
      </w:r>
    </w:p>
    <w:p w:rsidR="00E13048" w:rsidRPr="00961033" w:rsidRDefault="00E13048" w:rsidP="00640607">
      <w:pPr>
        <w:rPr>
          <w:color w:val="auto"/>
          <w:lang w:eastAsia="es-DO"/>
        </w:rPr>
      </w:pPr>
      <w:r w:rsidRPr="00961033">
        <w:rPr>
          <w:b/>
          <w:color w:val="auto"/>
          <w:lang w:eastAsia="es-DO"/>
        </w:rPr>
        <w:t>Planificación de los Recursos Humanos</w:t>
      </w:r>
      <w:r w:rsidRPr="00961033">
        <w:rPr>
          <w:color w:val="auto"/>
          <w:lang w:eastAsia="es-DO"/>
        </w:rPr>
        <w:t xml:space="preserve">:  La planificación de los RRHH es el proceso mediante el cual vinculamos la consecución de las metas institucionales con el personal necesario para alcanzarlas. Refleja la proyección de la cantidad de cargos que se crearán y vacantes a ser cubiertas por áreas, en un periodo de tiempo que normalmente es de un año. Durante el 2019, la Dirección General de Contrataciones Públicas ha llevado a cabo un proceso de dotación inicial de recursos humanos, de acuerdo a la demanda exigida por la nueva estructura organizativa de sus principales áreas misionales. De igual manera, y con el propósito de generar bienestar laboral y mayor estabilidad, se continuó con el cambio de estatus de los empleados, pasándolos de la modalidad de contratados a la modalidad de fijos. </w:t>
      </w:r>
    </w:p>
    <w:p w:rsidR="00E13048" w:rsidRPr="00961033" w:rsidRDefault="00E13048" w:rsidP="00640607">
      <w:pPr>
        <w:rPr>
          <w:color w:val="auto"/>
          <w:lang w:eastAsia="es-DO"/>
        </w:rPr>
      </w:pPr>
      <w:r w:rsidRPr="00961033">
        <w:rPr>
          <w:color w:val="auto"/>
          <w:lang w:eastAsia="es-DO"/>
        </w:rPr>
        <w:t xml:space="preserve">Al mes de noviembre de 2019, la nómina de personal fijo asciende a ciento ochenta y seis (186) empleados por un monto de RD$11,236,907.41, la nómina de personal contratado asciende a treinta y tres (33) empleados por un monto de RD$1,850,841.67. Por su parte, la nómina del personal de vigilancia está conformada por nueve (9) militares con un monto de RD$127,500.00, mientras que la nómina del personal en trámite de pensión está conformada por un (1) empleado con un monto de RD$26,620.00 para un total de doscientos treinta (230) servidores públicos en general, con un monto total de RD$13,241,869.08. </w:t>
      </w:r>
    </w:p>
    <w:p w:rsidR="00E13048" w:rsidRPr="00961033" w:rsidRDefault="00E13048" w:rsidP="00640607">
      <w:pPr>
        <w:rPr>
          <w:color w:val="auto"/>
          <w:lang w:eastAsia="es-DO"/>
        </w:rPr>
      </w:pPr>
      <w:r w:rsidRPr="00961033">
        <w:rPr>
          <w:color w:val="auto"/>
          <w:lang w:eastAsia="es-DO"/>
        </w:rPr>
        <w:t>La nómina de consultores estuvo integrada hasta el mes de agosto, por dieciocho (18) colaboradores que laboraron bajo el Proyecto de Habilitación del Sistema de Compras y Contrataciones - SNIP 13455, lo que representaba un monto mensual de RD$2,105,915.17. En tal sentido, en el mes de octubre de 2019 se hizo efectivo el cambio de estatus a personal fijo, de los colaboradores del proyecto referido anteriormente, a fin de continuar mejorando las condiciones del personal.</w:t>
      </w:r>
    </w:p>
    <w:p w:rsidR="000E1D92" w:rsidRPr="00961033" w:rsidRDefault="00E13048" w:rsidP="00640607">
      <w:pPr>
        <w:rPr>
          <w:color w:val="auto"/>
          <w:lang w:eastAsia="es-DO"/>
        </w:rPr>
      </w:pPr>
      <w:r w:rsidRPr="00961033">
        <w:rPr>
          <w:color w:val="auto"/>
          <w:lang w:eastAsia="es-DO"/>
        </w:rPr>
        <w:t>Respecto a la proporción de género, actualmente el personal masculino lo conforman 102 servidores lo que representa un 44% y 128 colaboradoras de género femenino las cuales constituyen el 56%.</w:t>
      </w:r>
    </w:p>
    <w:tbl>
      <w:tblPr>
        <w:tblW w:w="8577" w:type="dxa"/>
        <w:tblCellMar>
          <w:left w:w="70" w:type="dxa"/>
          <w:right w:w="70" w:type="dxa"/>
        </w:tblCellMar>
        <w:tblLook w:val="04A0" w:firstRow="1" w:lastRow="0" w:firstColumn="1" w:lastColumn="0" w:noHBand="0" w:noVBand="1"/>
      </w:tblPr>
      <w:tblGrid>
        <w:gridCol w:w="3923"/>
        <w:gridCol w:w="1154"/>
        <w:gridCol w:w="620"/>
        <w:gridCol w:w="1207"/>
        <w:gridCol w:w="620"/>
        <w:gridCol w:w="1053"/>
      </w:tblGrid>
      <w:tr w:rsidR="00E13048" w:rsidRPr="00836613" w:rsidTr="00E13048">
        <w:trPr>
          <w:trHeight w:val="300"/>
        </w:trPr>
        <w:tc>
          <w:tcPr>
            <w:tcW w:w="3923" w:type="dxa"/>
            <w:tcBorders>
              <w:top w:val="single" w:sz="4" w:space="0" w:color="auto"/>
              <w:left w:val="single" w:sz="4" w:space="0" w:color="auto"/>
              <w:bottom w:val="single" w:sz="4" w:space="0" w:color="auto"/>
              <w:right w:val="single" w:sz="4" w:space="0" w:color="auto"/>
            </w:tcBorders>
            <w:shd w:val="clear" w:color="auto" w:fill="4472C4" w:themeFill="accent5"/>
            <w:noWrap/>
            <w:vAlign w:val="center"/>
            <w:hideMark/>
          </w:tcPr>
          <w:p w:rsidR="00E13048" w:rsidRPr="00BE4AF6" w:rsidRDefault="00E13048" w:rsidP="00140F45">
            <w:pPr>
              <w:spacing w:before="120" w:after="120" w:line="240" w:lineRule="auto"/>
              <w:ind w:firstLine="0"/>
              <w:jc w:val="center"/>
              <w:rPr>
                <w:rFonts w:eastAsia="Times New Roman"/>
                <w:b/>
                <w:bCs/>
                <w:color w:val="FFFFFF" w:themeColor="background1"/>
                <w:lang w:val="es-DO" w:eastAsia="ja-JP"/>
              </w:rPr>
            </w:pPr>
            <w:r w:rsidRPr="00BE4AF6">
              <w:rPr>
                <w:rFonts w:eastAsia="Times New Roman"/>
                <w:b/>
                <w:bCs/>
                <w:color w:val="FFFFFF" w:themeColor="background1"/>
                <w:lang w:val="es-DO" w:eastAsia="ja-JP"/>
              </w:rPr>
              <w:t>Grupo Ocupacional</w:t>
            </w:r>
          </w:p>
        </w:tc>
        <w:tc>
          <w:tcPr>
            <w:tcW w:w="1154" w:type="dxa"/>
            <w:tcBorders>
              <w:top w:val="single" w:sz="4" w:space="0" w:color="auto"/>
              <w:left w:val="nil"/>
              <w:bottom w:val="single" w:sz="4" w:space="0" w:color="auto"/>
              <w:right w:val="single" w:sz="4" w:space="0" w:color="auto"/>
            </w:tcBorders>
            <w:shd w:val="clear" w:color="auto" w:fill="4472C4" w:themeFill="accent5"/>
            <w:noWrap/>
            <w:vAlign w:val="center"/>
            <w:hideMark/>
          </w:tcPr>
          <w:p w:rsidR="00E13048" w:rsidRPr="00BE4AF6" w:rsidRDefault="00E13048" w:rsidP="00140F45">
            <w:pPr>
              <w:spacing w:before="120" w:after="120" w:line="240" w:lineRule="auto"/>
              <w:ind w:firstLine="0"/>
              <w:jc w:val="center"/>
              <w:rPr>
                <w:rFonts w:eastAsia="Times New Roman"/>
                <w:b/>
                <w:bCs/>
                <w:color w:val="FFFFFF" w:themeColor="background1"/>
                <w:lang w:val="es-DO" w:eastAsia="ja-JP"/>
              </w:rPr>
            </w:pPr>
            <w:r w:rsidRPr="00BE4AF6">
              <w:rPr>
                <w:rFonts w:eastAsia="Times New Roman"/>
                <w:b/>
                <w:bCs/>
                <w:color w:val="FFFFFF" w:themeColor="background1"/>
                <w:lang w:val="es-DO" w:eastAsia="ja-JP"/>
              </w:rPr>
              <w:t>Femenino</w:t>
            </w:r>
          </w:p>
        </w:tc>
        <w:tc>
          <w:tcPr>
            <w:tcW w:w="620" w:type="dxa"/>
            <w:tcBorders>
              <w:top w:val="single" w:sz="4" w:space="0" w:color="auto"/>
              <w:left w:val="nil"/>
              <w:bottom w:val="single" w:sz="4" w:space="0" w:color="auto"/>
              <w:right w:val="single" w:sz="4" w:space="0" w:color="auto"/>
            </w:tcBorders>
            <w:shd w:val="clear" w:color="auto" w:fill="4472C4" w:themeFill="accent5"/>
            <w:noWrap/>
            <w:vAlign w:val="center"/>
            <w:hideMark/>
          </w:tcPr>
          <w:p w:rsidR="00E13048" w:rsidRPr="00BE4AF6" w:rsidRDefault="00E13048" w:rsidP="00140F45">
            <w:pPr>
              <w:spacing w:before="120" w:after="120" w:line="240" w:lineRule="auto"/>
              <w:ind w:firstLine="0"/>
              <w:jc w:val="center"/>
              <w:rPr>
                <w:rFonts w:eastAsia="Times New Roman"/>
                <w:b/>
                <w:bCs/>
                <w:color w:val="FFFFFF" w:themeColor="background1"/>
                <w:lang w:val="es-DO" w:eastAsia="ja-JP"/>
              </w:rPr>
            </w:pPr>
            <w:r w:rsidRPr="00BE4AF6">
              <w:rPr>
                <w:rFonts w:eastAsia="Times New Roman"/>
                <w:b/>
                <w:bCs/>
                <w:color w:val="FFFFFF" w:themeColor="background1"/>
                <w:lang w:val="es-DO" w:eastAsia="ja-JP"/>
              </w:rPr>
              <w:t>%</w:t>
            </w:r>
          </w:p>
        </w:tc>
        <w:tc>
          <w:tcPr>
            <w:tcW w:w="1207" w:type="dxa"/>
            <w:tcBorders>
              <w:top w:val="single" w:sz="4" w:space="0" w:color="auto"/>
              <w:left w:val="nil"/>
              <w:bottom w:val="single" w:sz="4" w:space="0" w:color="auto"/>
              <w:right w:val="single" w:sz="4" w:space="0" w:color="auto"/>
            </w:tcBorders>
            <w:shd w:val="clear" w:color="auto" w:fill="4472C4" w:themeFill="accent5"/>
            <w:noWrap/>
            <w:vAlign w:val="center"/>
            <w:hideMark/>
          </w:tcPr>
          <w:p w:rsidR="00E13048" w:rsidRPr="00BE4AF6" w:rsidRDefault="00E13048" w:rsidP="00140F45">
            <w:pPr>
              <w:spacing w:before="120" w:after="120" w:line="240" w:lineRule="auto"/>
              <w:ind w:firstLine="0"/>
              <w:jc w:val="center"/>
              <w:rPr>
                <w:rFonts w:eastAsia="Times New Roman"/>
                <w:b/>
                <w:bCs/>
                <w:color w:val="FFFFFF" w:themeColor="background1"/>
                <w:lang w:val="es-DO" w:eastAsia="ja-JP"/>
              </w:rPr>
            </w:pPr>
            <w:r w:rsidRPr="00BE4AF6">
              <w:rPr>
                <w:rFonts w:eastAsia="Times New Roman"/>
                <w:b/>
                <w:bCs/>
                <w:color w:val="FFFFFF" w:themeColor="background1"/>
                <w:lang w:val="es-DO" w:eastAsia="ja-JP"/>
              </w:rPr>
              <w:t>Masculino</w:t>
            </w:r>
          </w:p>
        </w:tc>
        <w:tc>
          <w:tcPr>
            <w:tcW w:w="620" w:type="dxa"/>
            <w:tcBorders>
              <w:top w:val="single" w:sz="4" w:space="0" w:color="auto"/>
              <w:left w:val="nil"/>
              <w:bottom w:val="single" w:sz="4" w:space="0" w:color="auto"/>
              <w:right w:val="single" w:sz="4" w:space="0" w:color="auto"/>
            </w:tcBorders>
            <w:shd w:val="clear" w:color="auto" w:fill="4472C4" w:themeFill="accent5"/>
            <w:noWrap/>
            <w:vAlign w:val="center"/>
            <w:hideMark/>
          </w:tcPr>
          <w:p w:rsidR="00E13048" w:rsidRPr="00BE4AF6" w:rsidRDefault="00E13048" w:rsidP="00140F45">
            <w:pPr>
              <w:spacing w:before="120" w:after="120" w:line="240" w:lineRule="auto"/>
              <w:ind w:firstLine="0"/>
              <w:jc w:val="center"/>
              <w:rPr>
                <w:rFonts w:eastAsia="Times New Roman"/>
                <w:b/>
                <w:bCs/>
                <w:color w:val="FFFFFF" w:themeColor="background1"/>
                <w:lang w:val="es-DO" w:eastAsia="ja-JP"/>
              </w:rPr>
            </w:pPr>
            <w:r w:rsidRPr="00BE4AF6">
              <w:rPr>
                <w:rFonts w:eastAsia="Times New Roman"/>
                <w:b/>
                <w:bCs/>
                <w:color w:val="FFFFFF" w:themeColor="background1"/>
                <w:lang w:val="es-DO" w:eastAsia="ja-JP"/>
              </w:rPr>
              <w:t>%</w:t>
            </w:r>
          </w:p>
        </w:tc>
        <w:tc>
          <w:tcPr>
            <w:tcW w:w="1053" w:type="dxa"/>
            <w:tcBorders>
              <w:top w:val="single" w:sz="4" w:space="0" w:color="auto"/>
              <w:left w:val="nil"/>
              <w:bottom w:val="single" w:sz="4" w:space="0" w:color="auto"/>
              <w:right w:val="single" w:sz="4" w:space="0" w:color="auto"/>
            </w:tcBorders>
            <w:shd w:val="clear" w:color="auto" w:fill="4472C4" w:themeFill="accent5"/>
            <w:noWrap/>
            <w:vAlign w:val="center"/>
            <w:hideMark/>
          </w:tcPr>
          <w:p w:rsidR="00E13048" w:rsidRPr="00BE4AF6" w:rsidRDefault="00E13048" w:rsidP="00140F45">
            <w:pPr>
              <w:spacing w:before="120" w:after="120" w:line="240" w:lineRule="auto"/>
              <w:ind w:firstLine="0"/>
              <w:jc w:val="center"/>
              <w:rPr>
                <w:rFonts w:eastAsia="Times New Roman"/>
                <w:b/>
                <w:bCs/>
                <w:color w:val="FFFFFF" w:themeColor="background1"/>
                <w:lang w:val="es-DO" w:eastAsia="ja-JP"/>
              </w:rPr>
            </w:pPr>
            <w:r w:rsidRPr="00BE4AF6">
              <w:rPr>
                <w:rFonts w:eastAsia="Times New Roman"/>
                <w:b/>
                <w:bCs/>
                <w:color w:val="FFFFFF" w:themeColor="background1"/>
                <w:lang w:val="es-DO" w:eastAsia="ja-JP"/>
              </w:rPr>
              <w:t>TOTAL</w:t>
            </w:r>
          </w:p>
        </w:tc>
      </w:tr>
      <w:tr w:rsidR="00E13048" w:rsidRPr="00836613" w:rsidTr="00E13048">
        <w:trPr>
          <w:trHeight w:val="1235"/>
        </w:trPr>
        <w:tc>
          <w:tcPr>
            <w:tcW w:w="3923" w:type="dxa"/>
            <w:tcBorders>
              <w:top w:val="nil"/>
              <w:left w:val="single" w:sz="4" w:space="0" w:color="auto"/>
              <w:bottom w:val="single" w:sz="8" w:space="0" w:color="auto"/>
              <w:right w:val="single" w:sz="4" w:space="0" w:color="auto"/>
            </w:tcBorders>
            <w:shd w:val="clear" w:color="auto" w:fill="auto"/>
            <w:vAlign w:val="center"/>
            <w:hideMark/>
          </w:tcPr>
          <w:p w:rsidR="00E13048" w:rsidRPr="00836613" w:rsidRDefault="00E13048" w:rsidP="00140F45">
            <w:pPr>
              <w:spacing w:before="0" w:line="240" w:lineRule="auto"/>
              <w:ind w:firstLine="0"/>
              <w:rPr>
                <w:rFonts w:eastAsia="Times New Roman"/>
                <w:lang w:val="es-DO" w:eastAsia="ja-JP"/>
              </w:rPr>
            </w:pPr>
            <w:r w:rsidRPr="00836613">
              <w:rPr>
                <w:rFonts w:eastAsia="Times New Roman"/>
                <w:b/>
                <w:bCs/>
                <w:lang w:val="es-DO" w:eastAsia="ja-JP"/>
              </w:rPr>
              <w:t xml:space="preserve">Grupo Ocupacional I </w:t>
            </w:r>
            <w:r w:rsidRPr="00836613">
              <w:rPr>
                <w:rFonts w:eastAsia="Times New Roman"/>
                <w:lang w:val="es-DO" w:eastAsia="ja-JP"/>
              </w:rPr>
              <w:t>- Servicios Generales</w:t>
            </w:r>
            <w:r>
              <w:rPr>
                <w:rFonts w:eastAsia="Times New Roman"/>
                <w:lang w:val="es-DO" w:eastAsia="ja-JP"/>
              </w:rPr>
              <w:t xml:space="preserve">. </w:t>
            </w:r>
            <w:r w:rsidRPr="00836613">
              <w:rPr>
                <w:rFonts w:eastAsia="Times New Roman"/>
                <w:lang w:val="es-DO" w:eastAsia="ja-JP"/>
              </w:rPr>
              <w:t>Cargos afines: Conserjes, mensajeros, personal de mantenimiento, vigilancia, etc.</w:t>
            </w:r>
          </w:p>
        </w:tc>
        <w:tc>
          <w:tcPr>
            <w:tcW w:w="1154" w:type="dxa"/>
            <w:tcBorders>
              <w:top w:val="nil"/>
              <w:left w:val="nil"/>
              <w:bottom w:val="single" w:sz="8" w:space="0" w:color="auto"/>
              <w:right w:val="single" w:sz="4" w:space="0" w:color="auto"/>
            </w:tcBorders>
            <w:shd w:val="clear" w:color="auto" w:fill="auto"/>
            <w:noWrap/>
            <w:vAlign w:val="center"/>
            <w:hideMark/>
          </w:tcPr>
          <w:p w:rsidR="00E13048" w:rsidRPr="00836613" w:rsidRDefault="00E13048" w:rsidP="00140F45">
            <w:pPr>
              <w:spacing w:before="0" w:line="240" w:lineRule="auto"/>
              <w:ind w:firstLine="0"/>
              <w:jc w:val="center"/>
              <w:rPr>
                <w:rFonts w:eastAsia="Times New Roman"/>
                <w:lang w:val="es-DO" w:eastAsia="ja-JP"/>
              </w:rPr>
            </w:pPr>
            <w:r w:rsidRPr="00836613">
              <w:rPr>
                <w:rFonts w:eastAsia="Times New Roman"/>
                <w:lang w:val="es-DO" w:eastAsia="ja-JP"/>
              </w:rPr>
              <w:t>8</w:t>
            </w:r>
          </w:p>
        </w:tc>
        <w:tc>
          <w:tcPr>
            <w:tcW w:w="620" w:type="dxa"/>
            <w:tcBorders>
              <w:top w:val="nil"/>
              <w:left w:val="nil"/>
              <w:bottom w:val="single" w:sz="8" w:space="0" w:color="auto"/>
              <w:right w:val="single" w:sz="4" w:space="0" w:color="auto"/>
            </w:tcBorders>
            <w:shd w:val="clear" w:color="auto" w:fill="auto"/>
            <w:noWrap/>
            <w:vAlign w:val="center"/>
            <w:hideMark/>
          </w:tcPr>
          <w:p w:rsidR="00E13048" w:rsidRPr="00836613" w:rsidRDefault="00E13048" w:rsidP="00140F45">
            <w:pPr>
              <w:spacing w:before="0" w:line="240" w:lineRule="auto"/>
              <w:ind w:firstLine="0"/>
              <w:jc w:val="center"/>
              <w:rPr>
                <w:rFonts w:eastAsia="Times New Roman"/>
                <w:lang w:val="es-DO" w:eastAsia="ja-JP"/>
              </w:rPr>
            </w:pPr>
            <w:r w:rsidRPr="00836613">
              <w:rPr>
                <w:rFonts w:eastAsia="Times New Roman"/>
                <w:lang w:val="es-DO" w:eastAsia="ja-JP"/>
              </w:rPr>
              <w:t>32%</w:t>
            </w:r>
          </w:p>
        </w:tc>
        <w:tc>
          <w:tcPr>
            <w:tcW w:w="1207" w:type="dxa"/>
            <w:tcBorders>
              <w:top w:val="nil"/>
              <w:left w:val="nil"/>
              <w:bottom w:val="single" w:sz="8" w:space="0" w:color="auto"/>
              <w:right w:val="single" w:sz="4" w:space="0" w:color="auto"/>
            </w:tcBorders>
            <w:shd w:val="clear" w:color="auto" w:fill="auto"/>
            <w:noWrap/>
            <w:vAlign w:val="center"/>
            <w:hideMark/>
          </w:tcPr>
          <w:p w:rsidR="00E13048" w:rsidRPr="00836613" w:rsidRDefault="00E13048" w:rsidP="00140F45">
            <w:pPr>
              <w:spacing w:before="0" w:line="240" w:lineRule="auto"/>
              <w:ind w:firstLine="0"/>
              <w:jc w:val="center"/>
              <w:rPr>
                <w:rFonts w:eastAsia="Times New Roman"/>
                <w:lang w:val="es-DO" w:eastAsia="ja-JP"/>
              </w:rPr>
            </w:pPr>
            <w:r w:rsidRPr="00836613">
              <w:rPr>
                <w:rFonts w:eastAsia="Times New Roman"/>
                <w:lang w:val="es-DO" w:eastAsia="ja-JP"/>
              </w:rPr>
              <w:t>17</w:t>
            </w:r>
          </w:p>
        </w:tc>
        <w:tc>
          <w:tcPr>
            <w:tcW w:w="620" w:type="dxa"/>
            <w:tcBorders>
              <w:top w:val="nil"/>
              <w:left w:val="nil"/>
              <w:bottom w:val="single" w:sz="8" w:space="0" w:color="auto"/>
              <w:right w:val="single" w:sz="4" w:space="0" w:color="auto"/>
            </w:tcBorders>
            <w:shd w:val="clear" w:color="auto" w:fill="auto"/>
            <w:noWrap/>
            <w:vAlign w:val="center"/>
            <w:hideMark/>
          </w:tcPr>
          <w:p w:rsidR="00E13048" w:rsidRPr="00836613" w:rsidRDefault="00E13048" w:rsidP="00140F45">
            <w:pPr>
              <w:spacing w:before="0" w:line="240" w:lineRule="auto"/>
              <w:ind w:firstLine="0"/>
              <w:jc w:val="center"/>
              <w:rPr>
                <w:rFonts w:eastAsia="Times New Roman"/>
                <w:lang w:val="es-DO" w:eastAsia="ja-JP"/>
              </w:rPr>
            </w:pPr>
            <w:r w:rsidRPr="00836613">
              <w:rPr>
                <w:rFonts w:eastAsia="Times New Roman"/>
                <w:lang w:val="es-DO" w:eastAsia="ja-JP"/>
              </w:rPr>
              <w:t>68%</w:t>
            </w:r>
          </w:p>
        </w:tc>
        <w:tc>
          <w:tcPr>
            <w:tcW w:w="1053" w:type="dxa"/>
            <w:tcBorders>
              <w:top w:val="nil"/>
              <w:left w:val="nil"/>
              <w:bottom w:val="single" w:sz="8" w:space="0" w:color="auto"/>
              <w:right w:val="single" w:sz="4" w:space="0" w:color="auto"/>
            </w:tcBorders>
            <w:shd w:val="clear" w:color="auto" w:fill="auto"/>
            <w:noWrap/>
            <w:vAlign w:val="center"/>
            <w:hideMark/>
          </w:tcPr>
          <w:p w:rsidR="00E13048" w:rsidRPr="00836613" w:rsidRDefault="00E13048" w:rsidP="00140F45">
            <w:pPr>
              <w:spacing w:before="0" w:line="240" w:lineRule="auto"/>
              <w:ind w:firstLine="0"/>
              <w:jc w:val="center"/>
              <w:rPr>
                <w:rFonts w:eastAsia="Times New Roman"/>
                <w:lang w:val="es-DO" w:eastAsia="ja-JP"/>
              </w:rPr>
            </w:pPr>
            <w:r w:rsidRPr="00836613">
              <w:rPr>
                <w:rFonts w:eastAsia="Times New Roman"/>
                <w:lang w:val="es-DO" w:eastAsia="ja-JP"/>
              </w:rPr>
              <w:t>25</w:t>
            </w:r>
          </w:p>
        </w:tc>
      </w:tr>
      <w:tr w:rsidR="00E13048" w:rsidRPr="00836613" w:rsidTr="00E13048">
        <w:trPr>
          <w:trHeight w:val="1242"/>
        </w:trPr>
        <w:tc>
          <w:tcPr>
            <w:tcW w:w="3923" w:type="dxa"/>
            <w:tcBorders>
              <w:top w:val="nil"/>
              <w:left w:val="single" w:sz="4" w:space="0" w:color="auto"/>
              <w:bottom w:val="single" w:sz="8" w:space="0" w:color="auto"/>
              <w:right w:val="single" w:sz="4" w:space="0" w:color="auto"/>
            </w:tcBorders>
            <w:shd w:val="clear" w:color="auto" w:fill="auto"/>
            <w:vAlign w:val="center"/>
            <w:hideMark/>
          </w:tcPr>
          <w:p w:rsidR="00E13048" w:rsidRPr="00836613" w:rsidRDefault="00E13048" w:rsidP="00140F45">
            <w:pPr>
              <w:spacing w:before="0" w:line="240" w:lineRule="auto"/>
              <w:ind w:firstLine="0"/>
              <w:rPr>
                <w:rFonts w:eastAsia="Times New Roman"/>
                <w:lang w:val="es-DO" w:eastAsia="ja-JP"/>
              </w:rPr>
            </w:pPr>
            <w:r w:rsidRPr="00836613">
              <w:rPr>
                <w:rFonts w:eastAsia="Times New Roman"/>
                <w:b/>
                <w:bCs/>
                <w:lang w:val="es-DO" w:eastAsia="ja-JP"/>
              </w:rPr>
              <w:t>Grupo Ocupacional II</w:t>
            </w:r>
            <w:r>
              <w:rPr>
                <w:rFonts w:eastAsia="Times New Roman"/>
                <w:lang w:val="es-DO" w:eastAsia="ja-JP"/>
              </w:rPr>
              <w:t xml:space="preserve"> - Apoyo Administrativo. </w:t>
            </w:r>
            <w:r w:rsidRPr="00836613">
              <w:rPr>
                <w:rFonts w:eastAsia="Times New Roman"/>
                <w:lang w:val="es-DO" w:eastAsia="ja-JP"/>
              </w:rPr>
              <w:t>Cargos afines: Secretarias, asistentes, auxiliares y personal de apoyo.</w:t>
            </w:r>
          </w:p>
        </w:tc>
        <w:tc>
          <w:tcPr>
            <w:tcW w:w="1154" w:type="dxa"/>
            <w:tcBorders>
              <w:top w:val="nil"/>
              <w:left w:val="nil"/>
              <w:bottom w:val="single" w:sz="8" w:space="0" w:color="auto"/>
              <w:right w:val="single" w:sz="4" w:space="0" w:color="auto"/>
            </w:tcBorders>
            <w:shd w:val="clear" w:color="auto" w:fill="auto"/>
            <w:noWrap/>
            <w:vAlign w:val="center"/>
            <w:hideMark/>
          </w:tcPr>
          <w:p w:rsidR="00E13048" w:rsidRPr="00836613" w:rsidRDefault="00E13048" w:rsidP="00140F45">
            <w:pPr>
              <w:spacing w:before="0" w:line="240" w:lineRule="auto"/>
              <w:ind w:firstLine="0"/>
              <w:jc w:val="center"/>
              <w:rPr>
                <w:rFonts w:eastAsia="Times New Roman"/>
                <w:lang w:val="es-DO" w:eastAsia="ja-JP"/>
              </w:rPr>
            </w:pPr>
            <w:r w:rsidRPr="00836613">
              <w:rPr>
                <w:rFonts w:eastAsia="Times New Roman"/>
                <w:lang w:val="es-DO" w:eastAsia="ja-JP"/>
              </w:rPr>
              <w:t>16</w:t>
            </w:r>
          </w:p>
        </w:tc>
        <w:tc>
          <w:tcPr>
            <w:tcW w:w="620" w:type="dxa"/>
            <w:tcBorders>
              <w:top w:val="nil"/>
              <w:left w:val="nil"/>
              <w:bottom w:val="single" w:sz="8" w:space="0" w:color="auto"/>
              <w:right w:val="single" w:sz="4" w:space="0" w:color="auto"/>
            </w:tcBorders>
            <w:shd w:val="clear" w:color="auto" w:fill="auto"/>
            <w:noWrap/>
            <w:vAlign w:val="center"/>
            <w:hideMark/>
          </w:tcPr>
          <w:p w:rsidR="00E13048" w:rsidRPr="00836613" w:rsidRDefault="00E13048" w:rsidP="00140F45">
            <w:pPr>
              <w:spacing w:before="0" w:line="240" w:lineRule="auto"/>
              <w:ind w:firstLine="0"/>
              <w:jc w:val="center"/>
              <w:rPr>
                <w:rFonts w:eastAsia="Times New Roman"/>
                <w:lang w:val="es-DO" w:eastAsia="ja-JP"/>
              </w:rPr>
            </w:pPr>
            <w:r w:rsidRPr="00836613">
              <w:rPr>
                <w:rFonts w:eastAsia="Times New Roman"/>
                <w:lang w:val="es-DO" w:eastAsia="ja-JP"/>
              </w:rPr>
              <w:t>94%</w:t>
            </w:r>
          </w:p>
        </w:tc>
        <w:tc>
          <w:tcPr>
            <w:tcW w:w="1207" w:type="dxa"/>
            <w:tcBorders>
              <w:top w:val="nil"/>
              <w:left w:val="nil"/>
              <w:bottom w:val="single" w:sz="8" w:space="0" w:color="auto"/>
              <w:right w:val="single" w:sz="4" w:space="0" w:color="auto"/>
            </w:tcBorders>
            <w:shd w:val="clear" w:color="auto" w:fill="auto"/>
            <w:noWrap/>
            <w:vAlign w:val="center"/>
            <w:hideMark/>
          </w:tcPr>
          <w:p w:rsidR="00E13048" w:rsidRPr="00836613" w:rsidRDefault="00E13048" w:rsidP="00140F45">
            <w:pPr>
              <w:spacing w:before="0" w:line="240" w:lineRule="auto"/>
              <w:ind w:firstLine="0"/>
              <w:jc w:val="center"/>
              <w:rPr>
                <w:rFonts w:eastAsia="Times New Roman"/>
                <w:lang w:val="es-DO" w:eastAsia="ja-JP"/>
              </w:rPr>
            </w:pPr>
            <w:r w:rsidRPr="00836613">
              <w:rPr>
                <w:rFonts w:eastAsia="Times New Roman"/>
                <w:lang w:val="es-DO" w:eastAsia="ja-JP"/>
              </w:rPr>
              <w:t>1</w:t>
            </w:r>
          </w:p>
        </w:tc>
        <w:tc>
          <w:tcPr>
            <w:tcW w:w="620" w:type="dxa"/>
            <w:tcBorders>
              <w:top w:val="nil"/>
              <w:left w:val="nil"/>
              <w:bottom w:val="single" w:sz="8" w:space="0" w:color="auto"/>
              <w:right w:val="single" w:sz="4" w:space="0" w:color="auto"/>
            </w:tcBorders>
            <w:shd w:val="clear" w:color="auto" w:fill="auto"/>
            <w:noWrap/>
            <w:vAlign w:val="center"/>
            <w:hideMark/>
          </w:tcPr>
          <w:p w:rsidR="00E13048" w:rsidRPr="00836613" w:rsidRDefault="00E13048" w:rsidP="00140F45">
            <w:pPr>
              <w:spacing w:before="0" w:line="240" w:lineRule="auto"/>
              <w:ind w:firstLine="0"/>
              <w:jc w:val="center"/>
              <w:rPr>
                <w:rFonts w:eastAsia="Times New Roman"/>
                <w:lang w:val="es-DO" w:eastAsia="ja-JP"/>
              </w:rPr>
            </w:pPr>
            <w:r w:rsidRPr="00836613">
              <w:rPr>
                <w:rFonts w:eastAsia="Times New Roman"/>
                <w:lang w:val="es-DO" w:eastAsia="ja-JP"/>
              </w:rPr>
              <w:t>6%</w:t>
            </w:r>
          </w:p>
        </w:tc>
        <w:tc>
          <w:tcPr>
            <w:tcW w:w="1053" w:type="dxa"/>
            <w:tcBorders>
              <w:top w:val="nil"/>
              <w:left w:val="nil"/>
              <w:bottom w:val="single" w:sz="8" w:space="0" w:color="auto"/>
              <w:right w:val="single" w:sz="4" w:space="0" w:color="auto"/>
            </w:tcBorders>
            <w:shd w:val="clear" w:color="auto" w:fill="auto"/>
            <w:noWrap/>
            <w:vAlign w:val="center"/>
            <w:hideMark/>
          </w:tcPr>
          <w:p w:rsidR="00E13048" w:rsidRPr="00836613" w:rsidRDefault="00E13048" w:rsidP="00140F45">
            <w:pPr>
              <w:spacing w:before="0" w:line="240" w:lineRule="auto"/>
              <w:ind w:firstLine="0"/>
              <w:jc w:val="center"/>
              <w:rPr>
                <w:rFonts w:eastAsia="Times New Roman"/>
                <w:lang w:val="es-DO" w:eastAsia="ja-JP"/>
              </w:rPr>
            </w:pPr>
            <w:r w:rsidRPr="00836613">
              <w:rPr>
                <w:rFonts w:eastAsia="Times New Roman"/>
                <w:lang w:val="es-DO" w:eastAsia="ja-JP"/>
              </w:rPr>
              <w:t>17</w:t>
            </w:r>
          </w:p>
        </w:tc>
      </w:tr>
      <w:tr w:rsidR="00E13048" w:rsidRPr="00836613" w:rsidTr="00E13048">
        <w:trPr>
          <w:trHeight w:val="1261"/>
        </w:trPr>
        <w:tc>
          <w:tcPr>
            <w:tcW w:w="3923" w:type="dxa"/>
            <w:tcBorders>
              <w:top w:val="nil"/>
              <w:left w:val="single" w:sz="4" w:space="0" w:color="auto"/>
              <w:bottom w:val="single" w:sz="8" w:space="0" w:color="auto"/>
              <w:right w:val="single" w:sz="4" w:space="0" w:color="auto"/>
            </w:tcBorders>
            <w:shd w:val="clear" w:color="auto" w:fill="auto"/>
            <w:vAlign w:val="center"/>
            <w:hideMark/>
          </w:tcPr>
          <w:p w:rsidR="00E13048" w:rsidRPr="00836613" w:rsidRDefault="00E13048" w:rsidP="00140F45">
            <w:pPr>
              <w:spacing w:before="0" w:line="240" w:lineRule="auto"/>
              <w:ind w:firstLine="0"/>
              <w:rPr>
                <w:rFonts w:eastAsia="Times New Roman"/>
                <w:lang w:val="es-DO" w:eastAsia="ja-JP"/>
              </w:rPr>
            </w:pPr>
            <w:r w:rsidRPr="00836613">
              <w:rPr>
                <w:rFonts w:eastAsia="Times New Roman"/>
                <w:b/>
                <w:bCs/>
                <w:lang w:val="es-DO" w:eastAsia="ja-JP"/>
              </w:rPr>
              <w:t>Grupo Ocupacional III</w:t>
            </w:r>
            <w:r w:rsidRPr="00836613">
              <w:rPr>
                <w:rFonts w:eastAsia="Times New Roman"/>
                <w:lang w:val="es-DO" w:eastAsia="ja-JP"/>
              </w:rPr>
              <w:t xml:space="preserve"> - Técnicos</w:t>
            </w:r>
            <w:r w:rsidRPr="00836613">
              <w:rPr>
                <w:rFonts w:eastAsia="Times New Roman"/>
                <w:lang w:val="es-DO" w:eastAsia="ja-JP"/>
              </w:rPr>
              <w:br/>
              <w:t>Cargos afines: Soporte Técnico, Secretaria Ejecutiva, Paralegal, Documentación.</w:t>
            </w:r>
          </w:p>
        </w:tc>
        <w:tc>
          <w:tcPr>
            <w:tcW w:w="1154" w:type="dxa"/>
            <w:tcBorders>
              <w:top w:val="nil"/>
              <w:left w:val="nil"/>
              <w:bottom w:val="single" w:sz="8" w:space="0" w:color="auto"/>
              <w:right w:val="single" w:sz="4" w:space="0" w:color="auto"/>
            </w:tcBorders>
            <w:shd w:val="clear" w:color="auto" w:fill="auto"/>
            <w:noWrap/>
            <w:vAlign w:val="center"/>
            <w:hideMark/>
          </w:tcPr>
          <w:p w:rsidR="00E13048" w:rsidRPr="00836613" w:rsidRDefault="00E13048" w:rsidP="00140F45">
            <w:pPr>
              <w:spacing w:before="0" w:line="240" w:lineRule="auto"/>
              <w:ind w:firstLine="0"/>
              <w:jc w:val="center"/>
              <w:rPr>
                <w:rFonts w:eastAsia="Times New Roman"/>
                <w:lang w:val="es-DO" w:eastAsia="ja-JP"/>
              </w:rPr>
            </w:pPr>
            <w:r w:rsidRPr="00836613">
              <w:rPr>
                <w:rFonts w:eastAsia="Times New Roman"/>
                <w:lang w:val="es-DO" w:eastAsia="ja-JP"/>
              </w:rPr>
              <w:t>20</w:t>
            </w:r>
          </w:p>
        </w:tc>
        <w:tc>
          <w:tcPr>
            <w:tcW w:w="620" w:type="dxa"/>
            <w:tcBorders>
              <w:top w:val="nil"/>
              <w:left w:val="nil"/>
              <w:bottom w:val="single" w:sz="8" w:space="0" w:color="auto"/>
              <w:right w:val="single" w:sz="4" w:space="0" w:color="auto"/>
            </w:tcBorders>
            <w:shd w:val="clear" w:color="auto" w:fill="auto"/>
            <w:noWrap/>
            <w:vAlign w:val="center"/>
            <w:hideMark/>
          </w:tcPr>
          <w:p w:rsidR="00E13048" w:rsidRPr="00836613" w:rsidRDefault="00E13048" w:rsidP="00140F45">
            <w:pPr>
              <w:spacing w:before="0" w:line="240" w:lineRule="auto"/>
              <w:ind w:firstLine="0"/>
              <w:jc w:val="center"/>
              <w:rPr>
                <w:rFonts w:eastAsia="Times New Roman"/>
                <w:lang w:val="es-DO" w:eastAsia="ja-JP"/>
              </w:rPr>
            </w:pPr>
            <w:r w:rsidRPr="00836613">
              <w:rPr>
                <w:rFonts w:eastAsia="Times New Roman"/>
                <w:lang w:val="es-DO" w:eastAsia="ja-JP"/>
              </w:rPr>
              <w:t>47%</w:t>
            </w:r>
          </w:p>
        </w:tc>
        <w:tc>
          <w:tcPr>
            <w:tcW w:w="1207" w:type="dxa"/>
            <w:tcBorders>
              <w:top w:val="nil"/>
              <w:left w:val="nil"/>
              <w:bottom w:val="single" w:sz="8" w:space="0" w:color="auto"/>
              <w:right w:val="single" w:sz="4" w:space="0" w:color="auto"/>
            </w:tcBorders>
            <w:shd w:val="clear" w:color="auto" w:fill="auto"/>
            <w:noWrap/>
            <w:vAlign w:val="center"/>
            <w:hideMark/>
          </w:tcPr>
          <w:p w:rsidR="00E13048" w:rsidRPr="00836613" w:rsidRDefault="00E13048" w:rsidP="00140F45">
            <w:pPr>
              <w:spacing w:before="0" w:line="240" w:lineRule="auto"/>
              <w:ind w:firstLine="0"/>
              <w:jc w:val="center"/>
              <w:rPr>
                <w:rFonts w:eastAsia="Times New Roman"/>
                <w:lang w:val="es-DO" w:eastAsia="ja-JP"/>
              </w:rPr>
            </w:pPr>
            <w:r w:rsidRPr="00836613">
              <w:rPr>
                <w:rFonts w:eastAsia="Times New Roman"/>
                <w:lang w:val="es-DO" w:eastAsia="ja-JP"/>
              </w:rPr>
              <w:t>23</w:t>
            </w:r>
          </w:p>
        </w:tc>
        <w:tc>
          <w:tcPr>
            <w:tcW w:w="620" w:type="dxa"/>
            <w:tcBorders>
              <w:top w:val="nil"/>
              <w:left w:val="nil"/>
              <w:bottom w:val="single" w:sz="8" w:space="0" w:color="auto"/>
              <w:right w:val="single" w:sz="4" w:space="0" w:color="auto"/>
            </w:tcBorders>
            <w:shd w:val="clear" w:color="auto" w:fill="auto"/>
            <w:noWrap/>
            <w:vAlign w:val="center"/>
            <w:hideMark/>
          </w:tcPr>
          <w:p w:rsidR="00E13048" w:rsidRPr="00836613" w:rsidRDefault="00E13048" w:rsidP="00140F45">
            <w:pPr>
              <w:spacing w:before="0" w:line="240" w:lineRule="auto"/>
              <w:ind w:firstLine="0"/>
              <w:jc w:val="center"/>
              <w:rPr>
                <w:rFonts w:eastAsia="Times New Roman"/>
                <w:lang w:val="es-DO" w:eastAsia="ja-JP"/>
              </w:rPr>
            </w:pPr>
            <w:r w:rsidRPr="00836613">
              <w:rPr>
                <w:rFonts w:eastAsia="Times New Roman"/>
                <w:lang w:val="es-DO" w:eastAsia="ja-JP"/>
              </w:rPr>
              <w:t>53%</w:t>
            </w:r>
          </w:p>
        </w:tc>
        <w:tc>
          <w:tcPr>
            <w:tcW w:w="1053" w:type="dxa"/>
            <w:tcBorders>
              <w:top w:val="nil"/>
              <w:left w:val="nil"/>
              <w:bottom w:val="single" w:sz="8" w:space="0" w:color="auto"/>
              <w:right w:val="single" w:sz="4" w:space="0" w:color="auto"/>
            </w:tcBorders>
            <w:shd w:val="clear" w:color="auto" w:fill="auto"/>
            <w:noWrap/>
            <w:vAlign w:val="center"/>
            <w:hideMark/>
          </w:tcPr>
          <w:p w:rsidR="00E13048" w:rsidRPr="00836613" w:rsidRDefault="00E13048" w:rsidP="00140F45">
            <w:pPr>
              <w:spacing w:before="0" w:line="240" w:lineRule="auto"/>
              <w:ind w:firstLine="0"/>
              <w:jc w:val="center"/>
              <w:rPr>
                <w:rFonts w:eastAsia="Times New Roman"/>
                <w:lang w:val="es-DO" w:eastAsia="ja-JP"/>
              </w:rPr>
            </w:pPr>
            <w:r w:rsidRPr="00836613">
              <w:rPr>
                <w:rFonts w:eastAsia="Times New Roman"/>
                <w:lang w:val="es-DO" w:eastAsia="ja-JP"/>
              </w:rPr>
              <w:t>43</w:t>
            </w:r>
          </w:p>
        </w:tc>
      </w:tr>
      <w:tr w:rsidR="00E13048" w:rsidRPr="00836613" w:rsidTr="00E13048">
        <w:trPr>
          <w:trHeight w:val="981"/>
        </w:trPr>
        <w:tc>
          <w:tcPr>
            <w:tcW w:w="3923" w:type="dxa"/>
            <w:tcBorders>
              <w:top w:val="nil"/>
              <w:left w:val="single" w:sz="4" w:space="0" w:color="auto"/>
              <w:bottom w:val="single" w:sz="8" w:space="0" w:color="auto"/>
              <w:right w:val="single" w:sz="4" w:space="0" w:color="auto"/>
            </w:tcBorders>
            <w:shd w:val="clear" w:color="auto" w:fill="auto"/>
            <w:vAlign w:val="center"/>
            <w:hideMark/>
          </w:tcPr>
          <w:p w:rsidR="00E13048" w:rsidRPr="00836613" w:rsidRDefault="00E13048" w:rsidP="00140F45">
            <w:pPr>
              <w:spacing w:before="0" w:line="240" w:lineRule="auto"/>
              <w:ind w:firstLine="0"/>
              <w:rPr>
                <w:rFonts w:eastAsia="Times New Roman"/>
                <w:lang w:val="es-DO" w:eastAsia="ja-JP"/>
              </w:rPr>
            </w:pPr>
            <w:r w:rsidRPr="00836613">
              <w:rPr>
                <w:rFonts w:eastAsia="Times New Roman"/>
                <w:b/>
                <w:bCs/>
                <w:lang w:val="es-DO" w:eastAsia="ja-JP"/>
              </w:rPr>
              <w:t>Grupo Ocupacional IV</w:t>
            </w:r>
            <w:r w:rsidRPr="00836613">
              <w:rPr>
                <w:rFonts w:eastAsia="Times New Roman"/>
                <w:lang w:val="es-DO" w:eastAsia="ja-JP"/>
              </w:rPr>
              <w:t xml:space="preserve"> - Profesionales</w:t>
            </w:r>
            <w:r w:rsidRPr="00836613">
              <w:rPr>
                <w:rFonts w:eastAsia="Times New Roman"/>
                <w:lang w:val="es-DO" w:eastAsia="ja-JP"/>
              </w:rPr>
              <w:br/>
              <w:t>Cargos afines: Posiciones que requieren que el ocupante sea graduado.</w:t>
            </w:r>
          </w:p>
        </w:tc>
        <w:tc>
          <w:tcPr>
            <w:tcW w:w="1154" w:type="dxa"/>
            <w:tcBorders>
              <w:top w:val="nil"/>
              <w:left w:val="nil"/>
              <w:bottom w:val="single" w:sz="8" w:space="0" w:color="auto"/>
              <w:right w:val="single" w:sz="4" w:space="0" w:color="auto"/>
            </w:tcBorders>
            <w:shd w:val="clear" w:color="auto" w:fill="auto"/>
            <w:noWrap/>
            <w:vAlign w:val="center"/>
            <w:hideMark/>
          </w:tcPr>
          <w:p w:rsidR="00E13048" w:rsidRPr="00836613" w:rsidRDefault="00E13048" w:rsidP="00140F45">
            <w:pPr>
              <w:spacing w:before="0" w:line="240" w:lineRule="auto"/>
              <w:ind w:firstLine="0"/>
              <w:jc w:val="center"/>
              <w:rPr>
                <w:rFonts w:eastAsia="Times New Roman"/>
                <w:lang w:val="es-DO" w:eastAsia="ja-JP"/>
              </w:rPr>
            </w:pPr>
            <w:r w:rsidRPr="00836613">
              <w:rPr>
                <w:rFonts w:eastAsia="Times New Roman"/>
                <w:lang w:val="es-DO" w:eastAsia="ja-JP"/>
              </w:rPr>
              <w:t>68</w:t>
            </w:r>
          </w:p>
        </w:tc>
        <w:tc>
          <w:tcPr>
            <w:tcW w:w="620" w:type="dxa"/>
            <w:tcBorders>
              <w:top w:val="nil"/>
              <w:left w:val="nil"/>
              <w:bottom w:val="single" w:sz="8" w:space="0" w:color="auto"/>
              <w:right w:val="single" w:sz="4" w:space="0" w:color="auto"/>
            </w:tcBorders>
            <w:shd w:val="clear" w:color="auto" w:fill="auto"/>
            <w:noWrap/>
            <w:vAlign w:val="center"/>
            <w:hideMark/>
          </w:tcPr>
          <w:p w:rsidR="00E13048" w:rsidRPr="00836613" w:rsidRDefault="00E13048" w:rsidP="00140F45">
            <w:pPr>
              <w:spacing w:before="0" w:line="240" w:lineRule="auto"/>
              <w:ind w:firstLine="0"/>
              <w:jc w:val="center"/>
              <w:rPr>
                <w:rFonts w:eastAsia="Times New Roman"/>
                <w:lang w:val="es-DO" w:eastAsia="ja-JP"/>
              </w:rPr>
            </w:pPr>
            <w:r w:rsidRPr="00836613">
              <w:rPr>
                <w:rFonts w:eastAsia="Times New Roman"/>
                <w:lang w:val="es-DO" w:eastAsia="ja-JP"/>
              </w:rPr>
              <w:t>54%</w:t>
            </w:r>
          </w:p>
        </w:tc>
        <w:tc>
          <w:tcPr>
            <w:tcW w:w="1207" w:type="dxa"/>
            <w:tcBorders>
              <w:top w:val="nil"/>
              <w:left w:val="nil"/>
              <w:bottom w:val="single" w:sz="8" w:space="0" w:color="auto"/>
              <w:right w:val="single" w:sz="4" w:space="0" w:color="auto"/>
            </w:tcBorders>
            <w:shd w:val="clear" w:color="auto" w:fill="auto"/>
            <w:noWrap/>
            <w:vAlign w:val="center"/>
            <w:hideMark/>
          </w:tcPr>
          <w:p w:rsidR="00E13048" w:rsidRPr="00836613" w:rsidRDefault="00E13048" w:rsidP="00140F45">
            <w:pPr>
              <w:spacing w:before="0" w:line="240" w:lineRule="auto"/>
              <w:ind w:firstLine="0"/>
              <w:jc w:val="center"/>
              <w:rPr>
                <w:rFonts w:eastAsia="Times New Roman"/>
                <w:lang w:val="es-DO" w:eastAsia="ja-JP"/>
              </w:rPr>
            </w:pPr>
            <w:r w:rsidRPr="00836613">
              <w:rPr>
                <w:rFonts w:eastAsia="Times New Roman"/>
                <w:lang w:val="es-DO" w:eastAsia="ja-JP"/>
              </w:rPr>
              <w:t>57</w:t>
            </w:r>
          </w:p>
        </w:tc>
        <w:tc>
          <w:tcPr>
            <w:tcW w:w="620" w:type="dxa"/>
            <w:tcBorders>
              <w:top w:val="nil"/>
              <w:left w:val="nil"/>
              <w:bottom w:val="single" w:sz="8" w:space="0" w:color="auto"/>
              <w:right w:val="single" w:sz="4" w:space="0" w:color="auto"/>
            </w:tcBorders>
            <w:shd w:val="clear" w:color="auto" w:fill="auto"/>
            <w:noWrap/>
            <w:vAlign w:val="center"/>
            <w:hideMark/>
          </w:tcPr>
          <w:p w:rsidR="00E13048" w:rsidRPr="00836613" w:rsidRDefault="00E13048" w:rsidP="00140F45">
            <w:pPr>
              <w:spacing w:before="0" w:line="240" w:lineRule="auto"/>
              <w:ind w:firstLine="0"/>
              <w:jc w:val="center"/>
              <w:rPr>
                <w:rFonts w:eastAsia="Times New Roman"/>
                <w:lang w:val="es-DO" w:eastAsia="ja-JP"/>
              </w:rPr>
            </w:pPr>
            <w:r w:rsidRPr="00836613">
              <w:rPr>
                <w:rFonts w:eastAsia="Times New Roman"/>
                <w:lang w:val="es-DO" w:eastAsia="ja-JP"/>
              </w:rPr>
              <w:t>46%</w:t>
            </w:r>
          </w:p>
        </w:tc>
        <w:tc>
          <w:tcPr>
            <w:tcW w:w="1053" w:type="dxa"/>
            <w:tcBorders>
              <w:top w:val="nil"/>
              <w:left w:val="nil"/>
              <w:bottom w:val="single" w:sz="8" w:space="0" w:color="auto"/>
              <w:right w:val="single" w:sz="4" w:space="0" w:color="auto"/>
            </w:tcBorders>
            <w:shd w:val="clear" w:color="auto" w:fill="auto"/>
            <w:noWrap/>
            <w:vAlign w:val="center"/>
            <w:hideMark/>
          </w:tcPr>
          <w:p w:rsidR="00E13048" w:rsidRPr="00836613" w:rsidRDefault="00E13048" w:rsidP="00140F45">
            <w:pPr>
              <w:spacing w:before="0" w:line="240" w:lineRule="auto"/>
              <w:ind w:firstLine="0"/>
              <w:jc w:val="center"/>
              <w:rPr>
                <w:rFonts w:eastAsia="Times New Roman"/>
                <w:lang w:val="es-DO" w:eastAsia="ja-JP"/>
              </w:rPr>
            </w:pPr>
            <w:r w:rsidRPr="00836613">
              <w:rPr>
                <w:rFonts w:eastAsia="Times New Roman"/>
                <w:lang w:val="es-DO" w:eastAsia="ja-JP"/>
              </w:rPr>
              <w:t>125</w:t>
            </w:r>
          </w:p>
        </w:tc>
      </w:tr>
      <w:tr w:rsidR="00E13048" w:rsidRPr="00836613" w:rsidTr="00E13048">
        <w:trPr>
          <w:trHeight w:val="683"/>
        </w:trPr>
        <w:tc>
          <w:tcPr>
            <w:tcW w:w="3923" w:type="dxa"/>
            <w:tcBorders>
              <w:top w:val="nil"/>
              <w:left w:val="single" w:sz="4" w:space="0" w:color="auto"/>
              <w:bottom w:val="single" w:sz="8" w:space="0" w:color="auto"/>
              <w:right w:val="single" w:sz="4" w:space="0" w:color="auto"/>
            </w:tcBorders>
            <w:shd w:val="clear" w:color="auto" w:fill="auto"/>
            <w:vAlign w:val="center"/>
            <w:hideMark/>
          </w:tcPr>
          <w:p w:rsidR="00E13048" w:rsidRPr="00836613" w:rsidRDefault="00E13048" w:rsidP="00140F45">
            <w:pPr>
              <w:spacing w:before="0" w:line="240" w:lineRule="auto"/>
              <w:ind w:firstLine="0"/>
              <w:rPr>
                <w:rFonts w:eastAsia="Times New Roman"/>
                <w:lang w:val="es-DO" w:eastAsia="ja-JP"/>
              </w:rPr>
            </w:pPr>
            <w:r w:rsidRPr="00836613">
              <w:rPr>
                <w:rFonts w:eastAsia="Times New Roman"/>
                <w:b/>
                <w:bCs/>
                <w:lang w:val="es-DO" w:eastAsia="ja-JP"/>
              </w:rPr>
              <w:t>Grupo Ocupacional V</w:t>
            </w:r>
            <w:r w:rsidRPr="00836613">
              <w:rPr>
                <w:rFonts w:eastAsia="Times New Roman"/>
                <w:lang w:val="es-DO" w:eastAsia="ja-JP"/>
              </w:rPr>
              <w:t xml:space="preserve"> - Dirección y Supervisión</w:t>
            </w:r>
            <w:r>
              <w:rPr>
                <w:rFonts w:eastAsia="Times New Roman"/>
                <w:lang w:val="es-DO" w:eastAsia="ja-JP"/>
              </w:rPr>
              <w:t xml:space="preserve">. </w:t>
            </w:r>
            <w:r w:rsidRPr="00836613">
              <w:rPr>
                <w:rFonts w:eastAsia="Times New Roman"/>
                <w:lang w:val="es-DO" w:eastAsia="ja-JP"/>
              </w:rPr>
              <w:t xml:space="preserve">Cargos afines: </w:t>
            </w:r>
            <w:r>
              <w:rPr>
                <w:rFonts w:eastAsia="Times New Roman"/>
                <w:lang w:val="es-DO" w:eastAsia="ja-JP"/>
              </w:rPr>
              <w:t>D</w:t>
            </w:r>
            <w:r w:rsidRPr="00836613">
              <w:rPr>
                <w:rFonts w:eastAsia="Times New Roman"/>
                <w:lang w:val="es-DO" w:eastAsia="ja-JP"/>
              </w:rPr>
              <w:t>irectiv</w:t>
            </w:r>
            <w:r>
              <w:rPr>
                <w:rFonts w:eastAsia="Times New Roman"/>
                <w:lang w:val="es-DO" w:eastAsia="ja-JP"/>
              </w:rPr>
              <w:t>o</w:t>
            </w:r>
            <w:r w:rsidRPr="00836613">
              <w:rPr>
                <w:rFonts w:eastAsia="Times New Roman"/>
                <w:lang w:val="es-DO" w:eastAsia="ja-JP"/>
              </w:rPr>
              <w:t>s.</w:t>
            </w:r>
          </w:p>
        </w:tc>
        <w:tc>
          <w:tcPr>
            <w:tcW w:w="1154" w:type="dxa"/>
            <w:tcBorders>
              <w:top w:val="nil"/>
              <w:left w:val="nil"/>
              <w:bottom w:val="single" w:sz="8" w:space="0" w:color="auto"/>
              <w:right w:val="single" w:sz="4" w:space="0" w:color="auto"/>
            </w:tcBorders>
            <w:shd w:val="clear" w:color="auto" w:fill="auto"/>
            <w:noWrap/>
            <w:vAlign w:val="center"/>
            <w:hideMark/>
          </w:tcPr>
          <w:p w:rsidR="00E13048" w:rsidRPr="00836613" w:rsidRDefault="00E13048" w:rsidP="00140F45">
            <w:pPr>
              <w:spacing w:before="0" w:line="240" w:lineRule="auto"/>
              <w:ind w:firstLine="0"/>
              <w:jc w:val="center"/>
              <w:rPr>
                <w:rFonts w:eastAsia="Times New Roman"/>
                <w:lang w:val="es-DO" w:eastAsia="ja-JP"/>
              </w:rPr>
            </w:pPr>
            <w:r w:rsidRPr="00836613">
              <w:rPr>
                <w:rFonts w:eastAsia="Times New Roman"/>
                <w:lang w:val="es-DO" w:eastAsia="ja-JP"/>
              </w:rPr>
              <w:t>16</w:t>
            </w:r>
          </w:p>
        </w:tc>
        <w:tc>
          <w:tcPr>
            <w:tcW w:w="620" w:type="dxa"/>
            <w:tcBorders>
              <w:top w:val="nil"/>
              <w:left w:val="nil"/>
              <w:bottom w:val="single" w:sz="8" w:space="0" w:color="auto"/>
              <w:right w:val="single" w:sz="4" w:space="0" w:color="auto"/>
            </w:tcBorders>
            <w:shd w:val="clear" w:color="auto" w:fill="auto"/>
            <w:noWrap/>
            <w:vAlign w:val="center"/>
            <w:hideMark/>
          </w:tcPr>
          <w:p w:rsidR="00E13048" w:rsidRPr="00836613" w:rsidRDefault="00E13048" w:rsidP="00140F45">
            <w:pPr>
              <w:spacing w:before="0" w:line="240" w:lineRule="auto"/>
              <w:ind w:firstLine="0"/>
              <w:jc w:val="center"/>
              <w:rPr>
                <w:rFonts w:eastAsia="Times New Roman"/>
                <w:lang w:val="es-DO" w:eastAsia="ja-JP"/>
              </w:rPr>
            </w:pPr>
            <w:r w:rsidRPr="00836613">
              <w:rPr>
                <w:rFonts w:eastAsia="Times New Roman"/>
                <w:lang w:val="es-DO" w:eastAsia="ja-JP"/>
              </w:rPr>
              <w:t>80%</w:t>
            </w:r>
          </w:p>
        </w:tc>
        <w:tc>
          <w:tcPr>
            <w:tcW w:w="1207" w:type="dxa"/>
            <w:tcBorders>
              <w:top w:val="nil"/>
              <w:left w:val="nil"/>
              <w:bottom w:val="single" w:sz="8" w:space="0" w:color="auto"/>
              <w:right w:val="single" w:sz="4" w:space="0" w:color="auto"/>
            </w:tcBorders>
            <w:shd w:val="clear" w:color="auto" w:fill="auto"/>
            <w:noWrap/>
            <w:vAlign w:val="center"/>
            <w:hideMark/>
          </w:tcPr>
          <w:p w:rsidR="00E13048" w:rsidRPr="00836613" w:rsidRDefault="00E13048" w:rsidP="00140F45">
            <w:pPr>
              <w:spacing w:before="0" w:line="240" w:lineRule="auto"/>
              <w:ind w:firstLine="0"/>
              <w:jc w:val="center"/>
              <w:rPr>
                <w:rFonts w:eastAsia="Times New Roman"/>
                <w:lang w:val="es-DO" w:eastAsia="ja-JP"/>
              </w:rPr>
            </w:pPr>
            <w:r w:rsidRPr="00836613">
              <w:rPr>
                <w:rFonts w:eastAsia="Times New Roman"/>
                <w:lang w:val="es-DO" w:eastAsia="ja-JP"/>
              </w:rPr>
              <w:t>4</w:t>
            </w:r>
          </w:p>
        </w:tc>
        <w:tc>
          <w:tcPr>
            <w:tcW w:w="620" w:type="dxa"/>
            <w:tcBorders>
              <w:top w:val="nil"/>
              <w:left w:val="nil"/>
              <w:bottom w:val="single" w:sz="8" w:space="0" w:color="auto"/>
              <w:right w:val="single" w:sz="4" w:space="0" w:color="auto"/>
            </w:tcBorders>
            <w:shd w:val="clear" w:color="auto" w:fill="auto"/>
            <w:noWrap/>
            <w:vAlign w:val="center"/>
            <w:hideMark/>
          </w:tcPr>
          <w:p w:rsidR="00E13048" w:rsidRPr="00836613" w:rsidRDefault="00E13048" w:rsidP="00140F45">
            <w:pPr>
              <w:spacing w:before="0" w:line="240" w:lineRule="auto"/>
              <w:ind w:firstLine="0"/>
              <w:jc w:val="center"/>
              <w:rPr>
                <w:rFonts w:eastAsia="Times New Roman"/>
                <w:lang w:val="es-DO" w:eastAsia="ja-JP"/>
              </w:rPr>
            </w:pPr>
            <w:r w:rsidRPr="00836613">
              <w:rPr>
                <w:rFonts w:eastAsia="Times New Roman"/>
                <w:lang w:val="es-DO" w:eastAsia="ja-JP"/>
              </w:rPr>
              <w:t>20%</w:t>
            </w:r>
          </w:p>
        </w:tc>
        <w:tc>
          <w:tcPr>
            <w:tcW w:w="1053" w:type="dxa"/>
            <w:tcBorders>
              <w:top w:val="nil"/>
              <w:left w:val="nil"/>
              <w:bottom w:val="single" w:sz="8" w:space="0" w:color="auto"/>
              <w:right w:val="single" w:sz="4" w:space="0" w:color="auto"/>
            </w:tcBorders>
            <w:shd w:val="clear" w:color="auto" w:fill="auto"/>
            <w:noWrap/>
            <w:vAlign w:val="center"/>
            <w:hideMark/>
          </w:tcPr>
          <w:p w:rsidR="00E13048" w:rsidRPr="00836613" w:rsidRDefault="00E13048" w:rsidP="00140F45">
            <w:pPr>
              <w:spacing w:before="0" w:line="240" w:lineRule="auto"/>
              <w:ind w:firstLine="0"/>
              <w:jc w:val="center"/>
              <w:rPr>
                <w:rFonts w:eastAsia="Times New Roman"/>
                <w:lang w:val="es-DO" w:eastAsia="ja-JP"/>
              </w:rPr>
            </w:pPr>
            <w:r w:rsidRPr="00836613">
              <w:rPr>
                <w:rFonts w:eastAsia="Times New Roman"/>
                <w:lang w:val="es-DO" w:eastAsia="ja-JP"/>
              </w:rPr>
              <w:t>20</w:t>
            </w:r>
          </w:p>
        </w:tc>
      </w:tr>
      <w:tr w:rsidR="00E13048" w:rsidRPr="00836613" w:rsidTr="00E13048">
        <w:trPr>
          <w:trHeight w:val="409"/>
        </w:trPr>
        <w:tc>
          <w:tcPr>
            <w:tcW w:w="3923" w:type="dxa"/>
            <w:tcBorders>
              <w:top w:val="nil"/>
              <w:left w:val="single" w:sz="4" w:space="0" w:color="auto"/>
              <w:bottom w:val="single" w:sz="4" w:space="0" w:color="auto"/>
              <w:right w:val="single" w:sz="4" w:space="0" w:color="auto"/>
            </w:tcBorders>
            <w:shd w:val="clear" w:color="auto" w:fill="4472C4" w:themeFill="accent5"/>
            <w:noWrap/>
            <w:vAlign w:val="center"/>
            <w:hideMark/>
          </w:tcPr>
          <w:p w:rsidR="00E13048" w:rsidRPr="00BE4AF6" w:rsidRDefault="00E13048" w:rsidP="00140F45">
            <w:pPr>
              <w:spacing w:before="0" w:line="240" w:lineRule="auto"/>
              <w:ind w:firstLine="0"/>
              <w:jc w:val="center"/>
              <w:rPr>
                <w:rFonts w:eastAsia="Times New Roman"/>
                <w:b/>
                <w:bCs/>
                <w:color w:val="FFFFFF" w:themeColor="background1"/>
                <w:lang w:val="es-DO" w:eastAsia="ja-JP"/>
              </w:rPr>
            </w:pPr>
            <w:r w:rsidRPr="00BE4AF6">
              <w:rPr>
                <w:rFonts w:eastAsia="Times New Roman"/>
                <w:b/>
                <w:bCs/>
                <w:color w:val="FFFFFF" w:themeColor="background1"/>
                <w:lang w:val="es-DO" w:eastAsia="ja-JP"/>
              </w:rPr>
              <w:t>Total</w:t>
            </w:r>
          </w:p>
        </w:tc>
        <w:tc>
          <w:tcPr>
            <w:tcW w:w="1154" w:type="dxa"/>
            <w:tcBorders>
              <w:top w:val="nil"/>
              <w:left w:val="nil"/>
              <w:bottom w:val="single" w:sz="4" w:space="0" w:color="auto"/>
              <w:right w:val="single" w:sz="4" w:space="0" w:color="auto"/>
            </w:tcBorders>
            <w:shd w:val="clear" w:color="auto" w:fill="4472C4" w:themeFill="accent5"/>
            <w:noWrap/>
            <w:vAlign w:val="center"/>
            <w:hideMark/>
          </w:tcPr>
          <w:p w:rsidR="00E13048" w:rsidRPr="00BE4AF6" w:rsidRDefault="00E13048" w:rsidP="00140F45">
            <w:pPr>
              <w:spacing w:before="0" w:line="240" w:lineRule="auto"/>
              <w:ind w:firstLine="0"/>
              <w:jc w:val="center"/>
              <w:rPr>
                <w:rFonts w:eastAsia="Times New Roman"/>
                <w:b/>
                <w:bCs/>
                <w:color w:val="FFFFFF" w:themeColor="background1"/>
                <w:lang w:val="es-DO" w:eastAsia="ja-JP"/>
              </w:rPr>
            </w:pPr>
            <w:r w:rsidRPr="00BE4AF6">
              <w:rPr>
                <w:rFonts w:eastAsia="Times New Roman"/>
                <w:b/>
                <w:bCs/>
                <w:color w:val="FFFFFF" w:themeColor="background1"/>
                <w:lang w:val="es-DO" w:eastAsia="ja-JP"/>
              </w:rPr>
              <w:t>128</w:t>
            </w:r>
          </w:p>
        </w:tc>
        <w:tc>
          <w:tcPr>
            <w:tcW w:w="620" w:type="dxa"/>
            <w:tcBorders>
              <w:top w:val="nil"/>
              <w:left w:val="nil"/>
              <w:bottom w:val="single" w:sz="4" w:space="0" w:color="auto"/>
              <w:right w:val="single" w:sz="4" w:space="0" w:color="auto"/>
            </w:tcBorders>
            <w:shd w:val="clear" w:color="auto" w:fill="4472C4" w:themeFill="accent5"/>
            <w:noWrap/>
            <w:vAlign w:val="center"/>
            <w:hideMark/>
          </w:tcPr>
          <w:p w:rsidR="00E13048" w:rsidRPr="00BE4AF6" w:rsidRDefault="00E13048" w:rsidP="00140F45">
            <w:pPr>
              <w:spacing w:before="0" w:line="240" w:lineRule="auto"/>
              <w:ind w:firstLine="0"/>
              <w:jc w:val="center"/>
              <w:rPr>
                <w:rFonts w:eastAsia="Times New Roman"/>
                <w:b/>
                <w:bCs/>
                <w:color w:val="FFFFFF" w:themeColor="background1"/>
                <w:lang w:val="es-DO" w:eastAsia="ja-JP"/>
              </w:rPr>
            </w:pPr>
            <w:r w:rsidRPr="00BE4AF6">
              <w:rPr>
                <w:rFonts w:eastAsia="Times New Roman"/>
                <w:b/>
                <w:bCs/>
                <w:color w:val="FFFFFF" w:themeColor="background1"/>
                <w:lang w:val="es-DO" w:eastAsia="ja-JP"/>
              </w:rPr>
              <w:t>56%</w:t>
            </w:r>
          </w:p>
        </w:tc>
        <w:tc>
          <w:tcPr>
            <w:tcW w:w="1207" w:type="dxa"/>
            <w:tcBorders>
              <w:top w:val="nil"/>
              <w:left w:val="nil"/>
              <w:bottom w:val="single" w:sz="4" w:space="0" w:color="auto"/>
              <w:right w:val="single" w:sz="4" w:space="0" w:color="auto"/>
            </w:tcBorders>
            <w:shd w:val="clear" w:color="auto" w:fill="4472C4" w:themeFill="accent5"/>
            <w:noWrap/>
            <w:vAlign w:val="center"/>
            <w:hideMark/>
          </w:tcPr>
          <w:p w:rsidR="00E13048" w:rsidRPr="00BE4AF6" w:rsidRDefault="00E13048" w:rsidP="00140F45">
            <w:pPr>
              <w:spacing w:before="0" w:line="240" w:lineRule="auto"/>
              <w:ind w:firstLine="0"/>
              <w:jc w:val="center"/>
              <w:rPr>
                <w:rFonts w:eastAsia="Times New Roman"/>
                <w:b/>
                <w:bCs/>
                <w:color w:val="FFFFFF" w:themeColor="background1"/>
                <w:lang w:val="es-DO" w:eastAsia="ja-JP"/>
              </w:rPr>
            </w:pPr>
            <w:r w:rsidRPr="00BE4AF6">
              <w:rPr>
                <w:rFonts w:eastAsia="Times New Roman"/>
                <w:b/>
                <w:bCs/>
                <w:color w:val="FFFFFF" w:themeColor="background1"/>
                <w:lang w:val="es-DO" w:eastAsia="ja-JP"/>
              </w:rPr>
              <w:t>102</w:t>
            </w:r>
          </w:p>
        </w:tc>
        <w:tc>
          <w:tcPr>
            <w:tcW w:w="620" w:type="dxa"/>
            <w:tcBorders>
              <w:top w:val="nil"/>
              <w:left w:val="nil"/>
              <w:bottom w:val="single" w:sz="4" w:space="0" w:color="auto"/>
              <w:right w:val="single" w:sz="4" w:space="0" w:color="auto"/>
            </w:tcBorders>
            <w:shd w:val="clear" w:color="auto" w:fill="4472C4" w:themeFill="accent5"/>
            <w:noWrap/>
            <w:vAlign w:val="center"/>
            <w:hideMark/>
          </w:tcPr>
          <w:p w:rsidR="00E13048" w:rsidRPr="00BE4AF6" w:rsidRDefault="00E13048" w:rsidP="00140F45">
            <w:pPr>
              <w:spacing w:before="0" w:line="240" w:lineRule="auto"/>
              <w:ind w:firstLine="0"/>
              <w:jc w:val="center"/>
              <w:rPr>
                <w:rFonts w:eastAsia="Times New Roman"/>
                <w:b/>
                <w:bCs/>
                <w:color w:val="FFFFFF" w:themeColor="background1"/>
                <w:lang w:val="es-DO" w:eastAsia="ja-JP"/>
              </w:rPr>
            </w:pPr>
            <w:r w:rsidRPr="00BE4AF6">
              <w:rPr>
                <w:rFonts w:eastAsia="Times New Roman"/>
                <w:b/>
                <w:bCs/>
                <w:color w:val="FFFFFF" w:themeColor="background1"/>
                <w:lang w:val="es-DO" w:eastAsia="ja-JP"/>
              </w:rPr>
              <w:t>44%</w:t>
            </w:r>
          </w:p>
        </w:tc>
        <w:tc>
          <w:tcPr>
            <w:tcW w:w="1053" w:type="dxa"/>
            <w:tcBorders>
              <w:top w:val="nil"/>
              <w:left w:val="nil"/>
              <w:bottom w:val="single" w:sz="4" w:space="0" w:color="auto"/>
              <w:right w:val="single" w:sz="4" w:space="0" w:color="auto"/>
            </w:tcBorders>
            <w:shd w:val="clear" w:color="auto" w:fill="4472C4" w:themeFill="accent5"/>
            <w:noWrap/>
            <w:vAlign w:val="center"/>
            <w:hideMark/>
          </w:tcPr>
          <w:p w:rsidR="00E13048" w:rsidRPr="00BE4AF6" w:rsidRDefault="00E13048" w:rsidP="00140F45">
            <w:pPr>
              <w:spacing w:before="0" w:line="240" w:lineRule="auto"/>
              <w:ind w:firstLine="0"/>
              <w:jc w:val="center"/>
              <w:rPr>
                <w:rFonts w:eastAsia="Times New Roman"/>
                <w:b/>
                <w:bCs/>
                <w:color w:val="FFFFFF" w:themeColor="background1"/>
                <w:lang w:val="es-DO" w:eastAsia="ja-JP"/>
              </w:rPr>
            </w:pPr>
            <w:r w:rsidRPr="00BE4AF6">
              <w:rPr>
                <w:rFonts w:eastAsia="Times New Roman"/>
                <w:b/>
                <w:bCs/>
                <w:color w:val="FFFFFF" w:themeColor="background1"/>
                <w:lang w:val="es-DO" w:eastAsia="ja-JP"/>
              </w:rPr>
              <w:t>230</w:t>
            </w:r>
          </w:p>
        </w:tc>
      </w:tr>
    </w:tbl>
    <w:p w:rsidR="00E13048" w:rsidRDefault="00E13048" w:rsidP="00E13048">
      <w:pPr>
        <w:pStyle w:val="Normal1"/>
        <w:spacing w:before="60" w:line="240" w:lineRule="auto"/>
        <w:ind w:left="142" w:firstLine="0"/>
        <w:rPr>
          <w:rFonts w:ascii="Times New Roman" w:hAnsi="Times New Roman" w:cs="Times New Roman"/>
          <w:sz w:val="18"/>
          <w:szCs w:val="16"/>
          <w:lang w:val="es-DO"/>
        </w:rPr>
      </w:pPr>
      <w:r w:rsidRPr="008818A8">
        <w:rPr>
          <w:rFonts w:ascii="Times New Roman" w:hAnsi="Times New Roman" w:cs="Times New Roman"/>
          <w:sz w:val="20"/>
          <w:szCs w:val="16"/>
          <w:lang w:val="es-DO"/>
        </w:rPr>
        <w:t>Fuente: Sistemas ORANGE-HRM de gestión de recursos humanos y SISPLEG.</w:t>
      </w:r>
    </w:p>
    <w:p w:rsidR="00E13048" w:rsidRPr="00961033" w:rsidRDefault="00E13048" w:rsidP="00640607">
      <w:pPr>
        <w:rPr>
          <w:lang w:eastAsia="es-DO"/>
        </w:rPr>
      </w:pPr>
      <w:bookmarkStart w:id="21" w:name="_Toc499729122"/>
      <w:bookmarkStart w:id="22" w:name="_Toc501107203"/>
      <w:r w:rsidRPr="00961033">
        <w:rPr>
          <w:b/>
          <w:lang w:eastAsia="es-DO"/>
        </w:rPr>
        <w:t>Organización del Trabajo</w:t>
      </w:r>
      <w:bookmarkEnd w:id="21"/>
      <w:bookmarkEnd w:id="22"/>
      <w:r w:rsidRPr="00961033">
        <w:rPr>
          <w:lang w:eastAsia="es-DO"/>
        </w:rPr>
        <w:t>: Este criterio describe la relación entre la descripción del puesto y el perfil idóneo del ocupante del mismo. El manual de descripción de cargos propuesto de la Dirección General de Compras y Contrataciones, basado en la estructura funcional vigente y recién aprobada mediante Resolución No. 189-2018, fue sometido a revisión, ajuste y aprobación por parte del Ministerio de Administración Pública, siendo refrendado a través de la Resolución DG-11-2019 de fecha 6 de noviembre del 2019, describiendo los perfiles de unos 134 cargos clasificados, según los grupos ocupacionales definidos. Dentro de la clasificación, el grupo ocupacional de Servicios Generales representa el 4%, Supervisión y apoyo un 5%, Técnicos 13%, Profesionales 53% y Dirección y Supervisión un 25%, incluyendo los cargos de Director (a) General y Subdirector (a).</w:t>
      </w:r>
    </w:p>
    <w:p w:rsidR="00E13048" w:rsidRPr="00961033" w:rsidRDefault="00E13048" w:rsidP="00640607">
      <w:pPr>
        <w:rPr>
          <w:lang w:eastAsia="es-DO"/>
        </w:rPr>
      </w:pPr>
      <w:r w:rsidRPr="00961033">
        <w:rPr>
          <w:lang w:eastAsia="es-DO"/>
        </w:rPr>
        <w:t xml:space="preserve">El esquema del manual de cargos toma en cuenta factores como la misión del cargo, resultados esperados, actividades y funciones principales, condiciones de trabajo, competencias requeridas, entre otros aspectos. </w:t>
      </w:r>
    </w:p>
    <w:p w:rsidR="00E13048" w:rsidRPr="00961033" w:rsidRDefault="00E13048" w:rsidP="00640607">
      <w:pPr>
        <w:rPr>
          <w:lang w:eastAsia="es-DO"/>
        </w:rPr>
      </w:pPr>
      <w:r w:rsidRPr="00961033">
        <w:rPr>
          <w:lang w:eastAsia="es-DO"/>
        </w:rPr>
        <w:t>Por otra parte, la institución cuenta con una escala salarial, vigente desde el 2016 aprobada por el órgano rector en materia de Administración Pública (MAP). Se ha elaborado una propuesta de reformulación de dicha escala por grupo ocupacional, la cual ha sido revisada y validada por parte del MAP a fin de que podamos seguir ofreciendo remuneraciones adecuadas al personal de esta Dirección General.</w:t>
      </w:r>
    </w:p>
    <w:p w:rsidR="00E13048" w:rsidRPr="00961033" w:rsidRDefault="00E13048" w:rsidP="00640607">
      <w:pPr>
        <w:rPr>
          <w:lang w:eastAsia="es-DO"/>
        </w:rPr>
      </w:pPr>
      <w:r w:rsidRPr="00961033">
        <w:rPr>
          <w:lang w:eastAsia="es-DO"/>
        </w:rPr>
        <w:t>Finalmente, y respecto a la estructura organizativa aprobada, la DGCP recibió la aprobación mediante la Resolución DG-02-2019, de fecha 22 de marzo del 2019, para la actualización del Manual de Organización y Funciones debidamente alineado a lo establecido en la Resolución No. 189-2018 (citada), describiendo claramente las responsabilidades, asignaciones y funciones de cada unidad organizativa de la institución.</w:t>
      </w:r>
    </w:p>
    <w:p w:rsidR="00E13048" w:rsidRPr="00961033" w:rsidRDefault="00E13048" w:rsidP="00640607">
      <w:pPr>
        <w:rPr>
          <w:lang w:eastAsia="es-DO"/>
        </w:rPr>
      </w:pPr>
      <w:bookmarkStart w:id="23" w:name="_Toc499729123"/>
      <w:bookmarkStart w:id="24" w:name="_Toc501107204"/>
      <w:r w:rsidRPr="00961033">
        <w:rPr>
          <w:b/>
          <w:lang w:eastAsia="es-DO"/>
        </w:rPr>
        <w:t>Gestión del Empleo</w:t>
      </w:r>
      <w:bookmarkEnd w:id="23"/>
      <w:bookmarkEnd w:id="24"/>
      <w:r w:rsidRPr="00961033">
        <w:rPr>
          <w:lang w:eastAsia="es-DO"/>
        </w:rPr>
        <w:t>: La gestión del empleo que se realiza en esta Dirección General se enfoca en la transparencia, publicidad, no discriminación e idoneidad al cargo, todo en el marco del Subsistema de Reclutamiento y Selección de personal. Se adaptan los procesos realizados bajo este subsistema al reglamento emitido por el MAP para regular esta materia. Se ha</w:t>
      </w:r>
      <w:r w:rsidR="004B7EAE">
        <w:rPr>
          <w:lang w:eastAsia="es-DO"/>
        </w:rPr>
        <w:t>n</w:t>
      </w:r>
      <w:r w:rsidRPr="00961033">
        <w:rPr>
          <w:lang w:eastAsia="es-DO"/>
        </w:rPr>
        <w:t xml:space="preserve"> evaluado 198 expedientes de candidatos para distintas posiciones de nuestra institución en lo que va de año, de los cuales 41 se encuentran integrados y laborando en la DGCP. En tal sentido, los nuevos recursos cubrieron las plazas de: Secretaria, Encargada de Planificación y Desarrollo, Asesor (a), Asistente de Despacho, Auxiliar de Punto GOB, Chofer, Conserje, Analista Legal, Desarrollador (a) / Desarrollador (a) Web, Administrador (a) de Base de Datos, Administrador (a) de Sistemas, Administrador (a) de Servidores, Administrador (a) de Medios, Analista de Nóminas, Analista Funcional de Sistemas, Analista de Datos.</w:t>
      </w:r>
    </w:p>
    <w:p w:rsidR="00E13048" w:rsidRPr="00961033" w:rsidRDefault="00E13048" w:rsidP="00640607">
      <w:pPr>
        <w:rPr>
          <w:lang w:eastAsia="es-DO"/>
        </w:rPr>
      </w:pPr>
      <w:r w:rsidRPr="00961033">
        <w:rPr>
          <w:lang w:eastAsia="es-DO"/>
        </w:rPr>
        <w:t>La institución se encuentra preparándose para la realización de varios concursos públicos alineados a la nueva estructura organizativa, con el acompañamiento del órgano rector en el sector público, para cubrir inicialmente unas 8 plazas pertenecientes a puestos de Dirección y Supervisión. De igual forma, recibimos apoyo del MAP para la extensión de contratación de dos plazas para el cargo de Analista de Fomento y Desarrollo al Mercado Público con apoyo económico del proyecto PASCAL.</w:t>
      </w:r>
    </w:p>
    <w:p w:rsidR="00E13048" w:rsidRPr="00961033" w:rsidRDefault="00E13048" w:rsidP="00640607">
      <w:pPr>
        <w:rPr>
          <w:lang w:eastAsia="es-DO"/>
        </w:rPr>
      </w:pPr>
      <w:r w:rsidRPr="00961033">
        <w:rPr>
          <w:lang w:eastAsia="es-DO"/>
        </w:rPr>
        <w:t>A continuación, detalle de la clasificación de casos evaluados en el 2019:</w:t>
      </w:r>
    </w:p>
    <w:tbl>
      <w:tblPr>
        <w:tblStyle w:val="Cuadrculadetablaclara"/>
        <w:tblW w:w="41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5"/>
        <w:gridCol w:w="750"/>
        <w:gridCol w:w="650"/>
      </w:tblGrid>
      <w:tr w:rsidR="00E13048" w:rsidRPr="001E035E" w:rsidTr="00E13048">
        <w:trPr>
          <w:trHeight w:val="296"/>
          <w:jc w:val="center"/>
        </w:trPr>
        <w:tc>
          <w:tcPr>
            <w:tcW w:w="3893" w:type="pct"/>
            <w:shd w:val="clear" w:color="auto" w:fill="4472C4" w:themeFill="accent5"/>
            <w:noWrap/>
            <w:vAlign w:val="center"/>
            <w:hideMark/>
          </w:tcPr>
          <w:p w:rsidR="00E13048" w:rsidRPr="00083373" w:rsidRDefault="00E13048" w:rsidP="00140F45">
            <w:pPr>
              <w:spacing w:before="0" w:line="240" w:lineRule="auto"/>
              <w:ind w:left="-110" w:firstLine="32"/>
              <w:jc w:val="center"/>
              <w:rPr>
                <w:b/>
                <w:color w:val="FFFFFF" w:themeColor="background1"/>
                <w:lang w:val="es-DO"/>
              </w:rPr>
            </w:pPr>
            <w:r w:rsidRPr="00083373">
              <w:rPr>
                <w:b/>
                <w:color w:val="FFFFFF" w:themeColor="background1"/>
                <w:lang w:val="es-DO"/>
              </w:rPr>
              <w:t>Grupo Ocupacional</w:t>
            </w:r>
          </w:p>
        </w:tc>
        <w:tc>
          <w:tcPr>
            <w:tcW w:w="593" w:type="pct"/>
            <w:shd w:val="clear" w:color="auto" w:fill="4472C4" w:themeFill="accent5"/>
            <w:vAlign w:val="center"/>
            <w:hideMark/>
          </w:tcPr>
          <w:p w:rsidR="00E13048" w:rsidRPr="00083373" w:rsidRDefault="00E13048" w:rsidP="00140F45">
            <w:pPr>
              <w:spacing w:before="0" w:line="240" w:lineRule="auto"/>
              <w:ind w:left="-13" w:right="-94" w:firstLine="0"/>
              <w:jc w:val="center"/>
              <w:rPr>
                <w:b/>
                <w:color w:val="FFFFFF" w:themeColor="background1"/>
                <w:lang w:val="es-DO"/>
              </w:rPr>
            </w:pPr>
            <w:r w:rsidRPr="00083373">
              <w:rPr>
                <w:b/>
                <w:color w:val="FFFFFF" w:themeColor="background1"/>
                <w:lang w:val="es-DO"/>
              </w:rPr>
              <w:t>Total</w:t>
            </w:r>
          </w:p>
        </w:tc>
        <w:tc>
          <w:tcPr>
            <w:tcW w:w="514" w:type="pct"/>
            <w:shd w:val="clear" w:color="auto" w:fill="4472C4" w:themeFill="accent5"/>
            <w:vAlign w:val="center"/>
          </w:tcPr>
          <w:p w:rsidR="00E13048" w:rsidRPr="00083373" w:rsidRDefault="00E13048" w:rsidP="00140F45">
            <w:pPr>
              <w:spacing w:before="0" w:line="240" w:lineRule="auto"/>
              <w:ind w:left="-13" w:right="-94" w:firstLine="0"/>
              <w:jc w:val="center"/>
              <w:rPr>
                <w:b/>
                <w:bCs/>
                <w:color w:val="FFFFFF" w:themeColor="background1"/>
                <w:lang w:val="es-DO"/>
              </w:rPr>
            </w:pPr>
            <w:r w:rsidRPr="00083373">
              <w:rPr>
                <w:b/>
                <w:bCs/>
                <w:color w:val="FFFFFF" w:themeColor="background1"/>
                <w:lang w:val="es-DO"/>
              </w:rPr>
              <w:t>%</w:t>
            </w:r>
          </w:p>
        </w:tc>
      </w:tr>
      <w:tr w:rsidR="00E13048" w:rsidRPr="001E035E" w:rsidTr="00E13048">
        <w:trPr>
          <w:trHeight w:val="402"/>
          <w:jc w:val="center"/>
        </w:trPr>
        <w:tc>
          <w:tcPr>
            <w:tcW w:w="3893" w:type="pct"/>
            <w:noWrap/>
            <w:vAlign w:val="center"/>
            <w:hideMark/>
          </w:tcPr>
          <w:p w:rsidR="00E13048" w:rsidRPr="001E035E" w:rsidRDefault="00E13048" w:rsidP="00140F45">
            <w:pPr>
              <w:tabs>
                <w:tab w:val="left" w:pos="5302"/>
              </w:tabs>
              <w:spacing w:before="0" w:line="276" w:lineRule="auto"/>
              <w:ind w:left="-110" w:firstLine="32"/>
              <w:jc w:val="left"/>
              <w:rPr>
                <w:color w:val="auto"/>
                <w:lang w:val="es-DO"/>
              </w:rPr>
            </w:pPr>
            <w:r w:rsidRPr="001E035E">
              <w:rPr>
                <w:color w:val="auto"/>
                <w:lang w:val="es-DO"/>
              </w:rPr>
              <w:t>Grupo Ocupacional I, Servicios Generales</w:t>
            </w:r>
          </w:p>
        </w:tc>
        <w:tc>
          <w:tcPr>
            <w:tcW w:w="593" w:type="pct"/>
            <w:vAlign w:val="center"/>
          </w:tcPr>
          <w:p w:rsidR="00E13048" w:rsidRPr="001E035E" w:rsidRDefault="00E13048" w:rsidP="00140F45">
            <w:pPr>
              <w:spacing w:before="0" w:line="276" w:lineRule="auto"/>
              <w:ind w:left="-13" w:right="-94" w:firstLine="0"/>
              <w:jc w:val="center"/>
              <w:rPr>
                <w:color w:val="auto"/>
                <w:lang w:val="es-DO"/>
              </w:rPr>
            </w:pPr>
            <w:r w:rsidRPr="001E035E">
              <w:rPr>
                <w:color w:val="auto"/>
                <w:lang w:val="es-DO"/>
              </w:rPr>
              <w:t>27</w:t>
            </w:r>
          </w:p>
        </w:tc>
        <w:tc>
          <w:tcPr>
            <w:tcW w:w="514" w:type="pct"/>
            <w:vAlign w:val="center"/>
          </w:tcPr>
          <w:p w:rsidR="00E13048" w:rsidRPr="001E035E" w:rsidRDefault="00E13048" w:rsidP="00140F45">
            <w:pPr>
              <w:spacing w:before="0" w:line="276" w:lineRule="auto"/>
              <w:ind w:left="-13" w:right="-94" w:firstLine="0"/>
              <w:jc w:val="center"/>
              <w:rPr>
                <w:color w:val="auto"/>
                <w:lang w:val="es-DO"/>
              </w:rPr>
            </w:pPr>
            <w:r w:rsidRPr="001E035E">
              <w:rPr>
                <w:color w:val="auto"/>
                <w:lang w:val="es-DO"/>
              </w:rPr>
              <w:t>13</w:t>
            </w:r>
          </w:p>
        </w:tc>
      </w:tr>
      <w:tr w:rsidR="00E13048" w:rsidRPr="001E035E" w:rsidTr="00E13048">
        <w:trPr>
          <w:trHeight w:val="159"/>
          <w:jc w:val="center"/>
        </w:trPr>
        <w:tc>
          <w:tcPr>
            <w:tcW w:w="3893" w:type="pct"/>
            <w:noWrap/>
            <w:vAlign w:val="center"/>
            <w:hideMark/>
          </w:tcPr>
          <w:p w:rsidR="00E13048" w:rsidRPr="001E035E" w:rsidRDefault="00E13048" w:rsidP="00140F45">
            <w:pPr>
              <w:spacing w:before="0" w:line="276" w:lineRule="auto"/>
              <w:ind w:left="-110" w:firstLine="32"/>
              <w:jc w:val="left"/>
              <w:rPr>
                <w:color w:val="auto"/>
                <w:lang w:val="es-DO"/>
              </w:rPr>
            </w:pPr>
            <w:r w:rsidRPr="001E035E">
              <w:rPr>
                <w:color w:val="auto"/>
                <w:lang w:val="es-DO"/>
              </w:rPr>
              <w:t>Grupo Ocupacional II, Apoyo Administrativo</w:t>
            </w:r>
          </w:p>
        </w:tc>
        <w:tc>
          <w:tcPr>
            <w:tcW w:w="593" w:type="pct"/>
            <w:vAlign w:val="center"/>
          </w:tcPr>
          <w:p w:rsidR="00E13048" w:rsidRPr="001E035E" w:rsidRDefault="00E13048" w:rsidP="00140F45">
            <w:pPr>
              <w:spacing w:before="0" w:line="276" w:lineRule="auto"/>
              <w:ind w:left="-13" w:right="-94" w:firstLine="0"/>
              <w:jc w:val="center"/>
              <w:rPr>
                <w:color w:val="auto"/>
                <w:lang w:val="es-DO"/>
              </w:rPr>
            </w:pPr>
            <w:r w:rsidRPr="001E035E">
              <w:rPr>
                <w:color w:val="auto"/>
                <w:lang w:val="es-DO"/>
              </w:rPr>
              <w:t>14</w:t>
            </w:r>
          </w:p>
        </w:tc>
        <w:tc>
          <w:tcPr>
            <w:tcW w:w="514" w:type="pct"/>
            <w:vAlign w:val="center"/>
          </w:tcPr>
          <w:p w:rsidR="00E13048" w:rsidRPr="001E035E" w:rsidRDefault="00E13048" w:rsidP="00140F45">
            <w:pPr>
              <w:spacing w:before="0" w:line="276" w:lineRule="auto"/>
              <w:ind w:left="-13" w:right="-94" w:firstLine="0"/>
              <w:jc w:val="center"/>
              <w:rPr>
                <w:color w:val="auto"/>
                <w:lang w:val="es-DO"/>
              </w:rPr>
            </w:pPr>
            <w:r w:rsidRPr="001E035E">
              <w:rPr>
                <w:color w:val="auto"/>
                <w:lang w:val="es-DO"/>
              </w:rPr>
              <w:t>7</w:t>
            </w:r>
          </w:p>
        </w:tc>
      </w:tr>
      <w:tr w:rsidR="00E13048" w:rsidRPr="001E035E" w:rsidTr="00E13048">
        <w:trPr>
          <w:trHeight w:val="159"/>
          <w:jc w:val="center"/>
        </w:trPr>
        <w:tc>
          <w:tcPr>
            <w:tcW w:w="3893" w:type="pct"/>
            <w:noWrap/>
            <w:vAlign w:val="center"/>
            <w:hideMark/>
          </w:tcPr>
          <w:p w:rsidR="00E13048" w:rsidRPr="001E035E" w:rsidRDefault="00E13048" w:rsidP="00140F45">
            <w:pPr>
              <w:spacing w:before="0" w:line="276" w:lineRule="auto"/>
              <w:ind w:left="-110" w:firstLine="32"/>
              <w:jc w:val="left"/>
              <w:rPr>
                <w:color w:val="auto"/>
                <w:lang w:val="es-DO"/>
              </w:rPr>
            </w:pPr>
            <w:r w:rsidRPr="001E035E">
              <w:rPr>
                <w:color w:val="auto"/>
                <w:lang w:val="es-DO"/>
              </w:rPr>
              <w:t>Grupo Ocupacional III, Técnicos</w:t>
            </w:r>
          </w:p>
        </w:tc>
        <w:tc>
          <w:tcPr>
            <w:tcW w:w="593" w:type="pct"/>
            <w:vAlign w:val="center"/>
          </w:tcPr>
          <w:p w:rsidR="00E13048" w:rsidRPr="001E035E" w:rsidRDefault="00E13048" w:rsidP="00140F45">
            <w:pPr>
              <w:spacing w:before="0" w:line="276" w:lineRule="auto"/>
              <w:ind w:left="-13" w:right="-94" w:firstLine="0"/>
              <w:jc w:val="center"/>
              <w:rPr>
                <w:color w:val="auto"/>
                <w:lang w:val="es-DO"/>
              </w:rPr>
            </w:pPr>
            <w:r w:rsidRPr="001E035E">
              <w:rPr>
                <w:color w:val="auto"/>
                <w:lang w:val="es-DO"/>
              </w:rPr>
              <w:t>11</w:t>
            </w:r>
          </w:p>
        </w:tc>
        <w:tc>
          <w:tcPr>
            <w:tcW w:w="514" w:type="pct"/>
            <w:vAlign w:val="center"/>
          </w:tcPr>
          <w:p w:rsidR="00E13048" w:rsidRPr="001E035E" w:rsidRDefault="00E13048" w:rsidP="00140F45">
            <w:pPr>
              <w:spacing w:before="0" w:line="276" w:lineRule="auto"/>
              <w:ind w:left="-13" w:right="-94" w:firstLine="0"/>
              <w:jc w:val="center"/>
              <w:rPr>
                <w:color w:val="auto"/>
                <w:lang w:val="es-DO"/>
              </w:rPr>
            </w:pPr>
            <w:r w:rsidRPr="001E035E">
              <w:rPr>
                <w:color w:val="auto"/>
                <w:lang w:val="es-DO"/>
              </w:rPr>
              <w:t>6</w:t>
            </w:r>
          </w:p>
        </w:tc>
      </w:tr>
      <w:tr w:rsidR="00E13048" w:rsidRPr="001E035E" w:rsidTr="00E13048">
        <w:trPr>
          <w:trHeight w:val="159"/>
          <w:jc w:val="center"/>
        </w:trPr>
        <w:tc>
          <w:tcPr>
            <w:tcW w:w="3893" w:type="pct"/>
            <w:noWrap/>
            <w:vAlign w:val="center"/>
            <w:hideMark/>
          </w:tcPr>
          <w:p w:rsidR="00E13048" w:rsidRPr="001E035E" w:rsidRDefault="00E13048" w:rsidP="00140F45">
            <w:pPr>
              <w:spacing w:before="0" w:line="276" w:lineRule="auto"/>
              <w:ind w:left="-110" w:firstLine="32"/>
              <w:jc w:val="left"/>
              <w:rPr>
                <w:color w:val="auto"/>
                <w:lang w:val="es-DO"/>
              </w:rPr>
            </w:pPr>
            <w:r w:rsidRPr="001E035E">
              <w:rPr>
                <w:color w:val="auto"/>
                <w:lang w:val="es-DO"/>
              </w:rPr>
              <w:t>Grupo Ocupacional IV, Profesionales</w:t>
            </w:r>
          </w:p>
        </w:tc>
        <w:tc>
          <w:tcPr>
            <w:tcW w:w="593" w:type="pct"/>
            <w:vAlign w:val="center"/>
          </w:tcPr>
          <w:p w:rsidR="00E13048" w:rsidRPr="001E035E" w:rsidRDefault="00E13048" w:rsidP="00140F45">
            <w:pPr>
              <w:spacing w:before="0" w:line="276" w:lineRule="auto"/>
              <w:ind w:left="-13" w:right="-94" w:firstLine="0"/>
              <w:jc w:val="center"/>
              <w:rPr>
                <w:color w:val="auto"/>
                <w:lang w:val="es-DO"/>
              </w:rPr>
            </w:pPr>
            <w:r w:rsidRPr="001E035E">
              <w:rPr>
                <w:color w:val="auto"/>
                <w:lang w:val="es-DO"/>
              </w:rPr>
              <w:t>146</w:t>
            </w:r>
          </w:p>
        </w:tc>
        <w:tc>
          <w:tcPr>
            <w:tcW w:w="514" w:type="pct"/>
            <w:vAlign w:val="center"/>
          </w:tcPr>
          <w:p w:rsidR="00E13048" w:rsidRPr="001E035E" w:rsidRDefault="00E13048" w:rsidP="00140F45">
            <w:pPr>
              <w:spacing w:before="0" w:line="276" w:lineRule="auto"/>
              <w:ind w:left="-13" w:right="-94" w:firstLine="0"/>
              <w:jc w:val="center"/>
              <w:rPr>
                <w:color w:val="auto"/>
                <w:lang w:val="es-DO"/>
              </w:rPr>
            </w:pPr>
            <w:r w:rsidRPr="001E035E">
              <w:rPr>
                <w:color w:val="auto"/>
                <w:lang w:val="es-DO"/>
              </w:rPr>
              <w:t>73</w:t>
            </w:r>
          </w:p>
        </w:tc>
      </w:tr>
      <w:tr w:rsidR="00E13048" w:rsidRPr="001E035E" w:rsidTr="00E13048">
        <w:trPr>
          <w:trHeight w:val="159"/>
          <w:jc w:val="center"/>
        </w:trPr>
        <w:tc>
          <w:tcPr>
            <w:tcW w:w="3893" w:type="pct"/>
            <w:noWrap/>
            <w:vAlign w:val="center"/>
            <w:hideMark/>
          </w:tcPr>
          <w:p w:rsidR="00E13048" w:rsidRPr="001E035E" w:rsidRDefault="00E13048" w:rsidP="00140F45">
            <w:pPr>
              <w:spacing w:before="0" w:line="276" w:lineRule="auto"/>
              <w:ind w:left="-110" w:firstLine="32"/>
              <w:jc w:val="left"/>
              <w:rPr>
                <w:color w:val="auto"/>
                <w:lang w:val="es-DO"/>
              </w:rPr>
            </w:pPr>
            <w:r w:rsidRPr="001E035E">
              <w:rPr>
                <w:color w:val="auto"/>
                <w:lang w:val="es-DO"/>
              </w:rPr>
              <w:t>Grupo Ocupacional V,  Supervisión y Dirección</w:t>
            </w:r>
          </w:p>
        </w:tc>
        <w:tc>
          <w:tcPr>
            <w:tcW w:w="593" w:type="pct"/>
            <w:vAlign w:val="center"/>
          </w:tcPr>
          <w:p w:rsidR="00E13048" w:rsidRPr="001E035E" w:rsidRDefault="00E13048" w:rsidP="00140F45">
            <w:pPr>
              <w:spacing w:before="0" w:line="276" w:lineRule="auto"/>
              <w:ind w:left="-13" w:right="-94" w:firstLine="0"/>
              <w:jc w:val="center"/>
              <w:rPr>
                <w:color w:val="auto"/>
                <w:lang w:val="es-DO"/>
              </w:rPr>
            </w:pPr>
            <w:r w:rsidRPr="001E035E">
              <w:rPr>
                <w:color w:val="auto"/>
                <w:lang w:val="es-DO"/>
              </w:rPr>
              <w:t>1</w:t>
            </w:r>
          </w:p>
        </w:tc>
        <w:tc>
          <w:tcPr>
            <w:tcW w:w="514" w:type="pct"/>
            <w:vAlign w:val="center"/>
          </w:tcPr>
          <w:p w:rsidR="00E13048" w:rsidRPr="001E035E" w:rsidRDefault="00E13048" w:rsidP="00140F45">
            <w:pPr>
              <w:spacing w:before="0" w:line="276" w:lineRule="auto"/>
              <w:ind w:left="-13" w:right="-94" w:firstLine="0"/>
              <w:jc w:val="center"/>
              <w:rPr>
                <w:color w:val="auto"/>
                <w:lang w:val="es-DO"/>
              </w:rPr>
            </w:pPr>
            <w:r w:rsidRPr="001E035E">
              <w:rPr>
                <w:color w:val="auto"/>
                <w:lang w:val="es-DO"/>
              </w:rPr>
              <w:t>1</w:t>
            </w:r>
          </w:p>
        </w:tc>
      </w:tr>
      <w:tr w:rsidR="00E13048" w:rsidRPr="001E035E" w:rsidTr="00E13048">
        <w:trPr>
          <w:trHeight w:val="286"/>
          <w:jc w:val="center"/>
        </w:trPr>
        <w:tc>
          <w:tcPr>
            <w:tcW w:w="3893" w:type="pct"/>
            <w:shd w:val="clear" w:color="auto" w:fill="4472C4" w:themeFill="accent5"/>
            <w:noWrap/>
            <w:vAlign w:val="center"/>
            <w:hideMark/>
          </w:tcPr>
          <w:p w:rsidR="00E13048" w:rsidRPr="00083373" w:rsidRDefault="00E13048" w:rsidP="00140F45">
            <w:pPr>
              <w:spacing w:before="0" w:line="276" w:lineRule="auto"/>
              <w:ind w:left="-110" w:firstLine="32"/>
              <w:jc w:val="center"/>
              <w:rPr>
                <w:b/>
                <w:color w:val="FFFFFF" w:themeColor="background1"/>
                <w:lang w:val="es-DO"/>
              </w:rPr>
            </w:pPr>
            <w:r w:rsidRPr="00083373">
              <w:rPr>
                <w:b/>
                <w:color w:val="FFFFFF" w:themeColor="background1"/>
                <w:lang w:val="es-DO"/>
              </w:rPr>
              <w:t>Total</w:t>
            </w:r>
          </w:p>
        </w:tc>
        <w:tc>
          <w:tcPr>
            <w:tcW w:w="593" w:type="pct"/>
            <w:shd w:val="clear" w:color="auto" w:fill="4472C4" w:themeFill="accent5"/>
            <w:vAlign w:val="center"/>
          </w:tcPr>
          <w:p w:rsidR="00E13048" w:rsidRPr="00083373" w:rsidRDefault="00E13048" w:rsidP="00140F45">
            <w:pPr>
              <w:spacing w:before="0" w:line="276" w:lineRule="auto"/>
              <w:ind w:left="-13" w:right="-94" w:firstLine="0"/>
              <w:jc w:val="center"/>
              <w:rPr>
                <w:b/>
                <w:color w:val="FFFFFF" w:themeColor="background1"/>
                <w:lang w:val="es-DO"/>
              </w:rPr>
            </w:pPr>
            <w:r w:rsidRPr="00083373">
              <w:rPr>
                <w:b/>
                <w:color w:val="FFFFFF" w:themeColor="background1"/>
                <w:lang w:val="es-DO"/>
              </w:rPr>
              <w:t>199</w:t>
            </w:r>
          </w:p>
        </w:tc>
        <w:tc>
          <w:tcPr>
            <w:tcW w:w="514" w:type="pct"/>
            <w:shd w:val="clear" w:color="auto" w:fill="4472C4" w:themeFill="accent5"/>
            <w:vAlign w:val="center"/>
          </w:tcPr>
          <w:p w:rsidR="00E13048" w:rsidRPr="00083373" w:rsidRDefault="00E13048" w:rsidP="00140F45">
            <w:pPr>
              <w:spacing w:before="0" w:line="276" w:lineRule="auto"/>
              <w:ind w:left="-13" w:right="-94" w:firstLine="0"/>
              <w:jc w:val="center"/>
              <w:rPr>
                <w:b/>
                <w:color w:val="FFFFFF" w:themeColor="background1"/>
                <w:lang w:val="es-DO"/>
              </w:rPr>
            </w:pPr>
            <w:r w:rsidRPr="00083373">
              <w:rPr>
                <w:b/>
                <w:color w:val="FFFFFF" w:themeColor="background1"/>
                <w:lang w:val="es-DO"/>
              </w:rPr>
              <w:t>100</w:t>
            </w:r>
          </w:p>
        </w:tc>
      </w:tr>
    </w:tbl>
    <w:p w:rsidR="00E13048" w:rsidRPr="00083373" w:rsidRDefault="00E13048" w:rsidP="00E13048">
      <w:pPr>
        <w:pStyle w:val="Normal1"/>
        <w:spacing w:before="60" w:line="276" w:lineRule="auto"/>
        <w:ind w:left="709" w:firstLine="0"/>
        <w:jc w:val="left"/>
        <w:rPr>
          <w:rFonts w:ascii="Times New Roman" w:hAnsi="Times New Roman" w:cs="Times New Roman"/>
          <w:sz w:val="20"/>
          <w:szCs w:val="18"/>
          <w:lang w:val="es-DO"/>
        </w:rPr>
      </w:pPr>
      <w:r w:rsidRPr="00083373">
        <w:rPr>
          <w:rFonts w:ascii="Times New Roman" w:hAnsi="Times New Roman" w:cs="Times New Roman"/>
          <w:sz w:val="20"/>
          <w:szCs w:val="18"/>
          <w:lang w:val="es-DO"/>
        </w:rPr>
        <w:t>Cantidad de expedientes evaluados, por Grupo Ocupacional de los cargos (2019)</w:t>
      </w:r>
    </w:p>
    <w:p w:rsidR="00E13048" w:rsidRDefault="00E13048" w:rsidP="00E13048">
      <w:pPr>
        <w:pStyle w:val="Normal1"/>
        <w:spacing w:line="276" w:lineRule="auto"/>
        <w:ind w:left="709" w:firstLine="0"/>
        <w:jc w:val="left"/>
        <w:rPr>
          <w:rFonts w:ascii="Times New Roman" w:hAnsi="Times New Roman" w:cs="Times New Roman"/>
          <w:sz w:val="20"/>
          <w:szCs w:val="18"/>
          <w:lang w:val="es-DO"/>
        </w:rPr>
      </w:pPr>
      <w:r w:rsidRPr="00083373">
        <w:rPr>
          <w:rFonts w:ascii="Times New Roman" w:hAnsi="Times New Roman" w:cs="Times New Roman"/>
          <w:sz w:val="20"/>
          <w:szCs w:val="18"/>
          <w:lang w:val="es-DO"/>
        </w:rPr>
        <w:t xml:space="preserve">Fuente: </w:t>
      </w:r>
      <w:r w:rsidR="0052381A">
        <w:rPr>
          <w:rFonts w:ascii="Times New Roman" w:hAnsi="Times New Roman" w:cs="Times New Roman"/>
          <w:sz w:val="20"/>
          <w:szCs w:val="18"/>
          <w:lang w:val="es-DO"/>
        </w:rPr>
        <w:t>Departamento de Recursos Humanos</w:t>
      </w:r>
      <w:r w:rsidRPr="00083373">
        <w:rPr>
          <w:rFonts w:ascii="Times New Roman" w:hAnsi="Times New Roman" w:cs="Times New Roman"/>
          <w:sz w:val="20"/>
          <w:szCs w:val="18"/>
          <w:lang w:val="es-DO"/>
        </w:rPr>
        <w:t>.</w:t>
      </w:r>
    </w:p>
    <w:p w:rsidR="00E13048" w:rsidRPr="00961033" w:rsidRDefault="00E13048" w:rsidP="00640607">
      <w:pPr>
        <w:rPr>
          <w:lang w:eastAsia="es-DO"/>
        </w:rPr>
      </w:pPr>
      <w:r w:rsidRPr="00961033">
        <w:rPr>
          <w:lang w:eastAsia="es-DO"/>
        </w:rPr>
        <w:t xml:space="preserve">A los candidatos se les invita a postular para las diversas vacantes mediante publicaciones colocadas en la página institucional, portales de empleo, contacto con universidades y entidades académicas (como INTEC, PUCMM y el Instituto Tecnológico de Las Américas / ITLA), el Consejo Nacional de Discapacidad (CONADIS), otros organismos de interés similar y las diferentes redes sociales de la </w:t>
      </w:r>
      <w:r w:rsidR="004B7EAE">
        <w:rPr>
          <w:lang w:eastAsia="es-DO"/>
        </w:rPr>
        <w:t>i</w:t>
      </w:r>
      <w:r w:rsidRPr="00961033">
        <w:rPr>
          <w:lang w:eastAsia="es-DO"/>
        </w:rPr>
        <w:t>nstitución.</w:t>
      </w:r>
    </w:p>
    <w:p w:rsidR="00E13048" w:rsidRPr="00961033" w:rsidRDefault="00E13048" w:rsidP="00640607">
      <w:pPr>
        <w:rPr>
          <w:lang w:eastAsia="es-DO"/>
        </w:rPr>
      </w:pPr>
      <w:r w:rsidRPr="00961033">
        <w:rPr>
          <w:lang w:eastAsia="es-DO"/>
        </w:rPr>
        <w:t>Dentro del proceso de reclutamiento y selección se aplican pruebas psicométricas (16FP) la</w:t>
      </w:r>
      <w:r w:rsidR="004B7EAE">
        <w:rPr>
          <w:lang w:eastAsia="es-DO"/>
        </w:rPr>
        <w:t>s</w:t>
      </w:r>
      <w:r w:rsidRPr="00961033">
        <w:rPr>
          <w:lang w:eastAsia="es-DO"/>
        </w:rPr>
        <w:t xml:space="preserve"> cual</w:t>
      </w:r>
      <w:r w:rsidR="004B7EAE">
        <w:rPr>
          <w:lang w:eastAsia="es-DO"/>
        </w:rPr>
        <w:t>es</w:t>
      </w:r>
      <w:r w:rsidRPr="00961033">
        <w:rPr>
          <w:lang w:eastAsia="es-DO"/>
        </w:rPr>
        <w:t xml:space="preserve"> mide</w:t>
      </w:r>
      <w:r w:rsidR="004B7EAE">
        <w:rPr>
          <w:lang w:eastAsia="es-DO"/>
        </w:rPr>
        <w:t>n</w:t>
      </w:r>
      <w:r w:rsidRPr="00961033">
        <w:rPr>
          <w:lang w:eastAsia="es-DO"/>
        </w:rPr>
        <w:t xml:space="preserve"> una serie de factores de la personalidad del evaluado. Por otra parte, se ha mejorado el nivel de redacción de los informes correspondientes y se han aplicado nuevas modalidades complementarias de evaluación a través de la prueba de inteligencia denominada Wonderlic. En adición, se administran pruebas técnicas de conocimientos básicos en cada puesto y para completar el proceso, dependiendo de los resultados acumulados, se realiza una entrevista de selección final con el supervisor de la vacante y el área de Recursos Humanos, donde se presenta </w:t>
      </w:r>
      <w:r w:rsidR="004B7EAE">
        <w:rPr>
          <w:lang w:eastAsia="es-DO"/>
        </w:rPr>
        <w:t xml:space="preserve">la </w:t>
      </w:r>
      <w:r w:rsidRPr="00961033">
        <w:rPr>
          <w:lang w:eastAsia="es-DO"/>
        </w:rPr>
        <w:t xml:space="preserve">propuesta de beneficios a percibir. </w:t>
      </w:r>
    </w:p>
    <w:p w:rsidR="00E13048" w:rsidRPr="00961033" w:rsidRDefault="00E13048" w:rsidP="00640607">
      <w:pPr>
        <w:rPr>
          <w:lang w:eastAsia="es-DO"/>
        </w:rPr>
      </w:pPr>
      <w:r w:rsidRPr="00961033">
        <w:rPr>
          <w:lang w:eastAsia="es-DO"/>
        </w:rPr>
        <w:t>De manera complementaria, hemos ido desarrollando el programa interno de pasantías, dando oportunidad a estudiantes de entidades académicas a nivel nacional, siendo acogidas cuatro (04) solicitudes que fueron asignadas a las áreas de Fomento y Desarrollo del Mercado Público, Tecnología de la Información y el Depto. Jurídico.</w:t>
      </w:r>
    </w:p>
    <w:p w:rsidR="00E13048" w:rsidRPr="00961033" w:rsidRDefault="00E13048" w:rsidP="00640607">
      <w:pPr>
        <w:rPr>
          <w:lang w:eastAsia="es-DO"/>
        </w:rPr>
      </w:pPr>
      <w:r w:rsidRPr="00961033">
        <w:rPr>
          <w:lang w:eastAsia="es-DO"/>
        </w:rPr>
        <w:t>Como parte del proceso de integración, en 2019 se implementó una jornada de inducción institucional que contempla además de la presentación del nuevo integrante en las diversas áreas de la institución, talleres internos sobre la Ley No. 340-06, el Portal Transaccional y el Programa 3R´s de reciclaje y uso racional de recursos, para luego continuar con la inducción en el cargo por parte del supervisor, estableciendo el correspondiente inicio del desempeño en período de prueba. Posteriormente se coordina el programa de inducción en la administración pública y otros talleres sobre derechos y deberes en el marco de la Ley de Función Pública, impartidos por el INAP.</w:t>
      </w:r>
    </w:p>
    <w:p w:rsidR="00E13048" w:rsidRPr="00961033" w:rsidRDefault="00E13048" w:rsidP="00640607">
      <w:pPr>
        <w:rPr>
          <w:lang w:eastAsia="es-DO"/>
        </w:rPr>
      </w:pPr>
      <w:r w:rsidRPr="00961033">
        <w:rPr>
          <w:lang w:eastAsia="es-DO"/>
        </w:rPr>
        <w:t>Los niveles de rotación, es decir, el flujo de personas que entran y salen de la institución, actualmente presentan un nivel de 16.62%, mismo que se considera adecuado dentro de los parámetros organizacionales establecidos. En ese sentido, durante el presente año, ingresaron 43 colaboradores y unos 26 casos de salidas de personal. Por su parte, los niveles de absentismo laboral por licencias o permisos mantienen un 3.92%.</w:t>
      </w:r>
    </w:p>
    <w:p w:rsidR="00E13048" w:rsidRPr="00961033" w:rsidRDefault="00E13048" w:rsidP="00640607">
      <w:pPr>
        <w:rPr>
          <w:lang w:eastAsia="es-DO"/>
        </w:rPr>
      </w:pPr>
      <w:r w:rsidRPr="00961033">
        <w:rPr>
          <w:lang w:eastAsia="es-DO"/>
        </w:rPr>
        <w:t>La DGCP mantiene un registro y control de todos los empleados mediante el sistema SASP, que es el establecido por el órgano rector para el manejo de los principales subsistemas de personal. En adición, dispone internamente de la plataforma Orange HRM, sistema que, de manera automatizada, registra vía la captación de huellas biométricas, las entradas y salidas diarias del personal, generando reportes importantes para la toma de decisiones en cuanto al régimen ético disciplinario, que son enviados mensualmente a los supervisores de las áreas.</w:t>
      </w:r>
    </w:p>
    <w:p w:rsidR="00E13048" w:rsidRPr="00961033" w:rsidRDefault="00E13048" w:rsidP="00640607">
      <w:pPr>
        <w:rPr>
          <w:lang w:eastAsia="es-DO"/>
        </w:rPr>
      </w:pPr>
      <w:r w:rsidRPr="00961033">
        <w:rPr>
          <w:b/>
          <w:lang w:eastAsia="es-DO"/>
        </w:rPr>
        <w:t xml:space="preserve">Gestión de la </w:t>
      </w:r>
      <w:r w:rsidR="00961033">
        <w:rPr>
          <w:b/>
          <w:lang w:eastAsia="es-DO"/>
        </w:rPr>
        <w:t>C</w:t>
      </w:r>
      <w:r w:rsidRPr="00961033">
        <w:rPr>
          <w:b/>
          <w:lang w:eastAsia="es-DO"/>
        </w:rPr>
        <w:t xml:space="preserve">ompensación y </w:t>
      </w:r>
      <w:r w:rsidR="00961033">
        <w:rPr>
          <w:b/>
          <w:lang w:eastAsia="es-DO"/>
        </w:rPr>
        <w:t>B</w:t>
      </w:r>
      <w:r w:rsidRPr="00961033">
        <w:rPr>
          <w:b/>
          <w:lang w:eastAsia="es-DO"/>
        </w:rPr>
        <w:t>eneficios</w:t>
      </w:r>
      <w:r w:rsidRPr="00961033">
        <w:rPr>
          <w:lang w:eastAsia="es-DO"/>
        </w:rPr>
        <w:t xml:space="preserve">: La Dirección General de Contrataciones Públicas ha fortalecido su sistema de compensación y beneficios.  La institución continúa adoptando beneficios establecidos por el Ministerio de Hacienda, sustentados en la Resolución No. 145-2015 que sustituye la Resolución No. 427-2011, sobre beneficios laborales. </w:t>
      </w:r>
    </w:p>
    <w:p w:rsidR="00E13048" w:rsidRPr="00961033" w:rsidRDefault="00E13048" w:rsidP="00640607">
      <w:pPr>
        <w:rPr>
          <w:lang w:eastAsia="es-DO"/>
        </w:rPr>
      </w:pPr>
      <w:r w:rsidRPr="00961033">
        <w:rPr>
          <w:lang w:eastAsia="es-DO"/>
        </w:rPr>
        <w:t>En 2019 se otorgó el subsidio escolar que impactó a 144 hijos (as) de 94 empleados, por un monto total de RD$2,157,400.00. Igualmente, se entregó el bono de compensación por cumplimiento a los indicadores del SISMAP a 193 empleados, por un monto total de RD$10,561,318.09. Se entregó además un bono de desempeño a 19 empleados de carrera administrativa, por un monto total de RD$1,440,000.00 y posteriormente un bono por concepto de rendimiento individual al resto del personal por un monto de RD$9,096,356.67. En cuanto a los beneficios otorgados para el final de año, corresponden RD$11,956,948.72 por concepto de regalía pascual y RD$28,908,033.80 para el incentivo por labores extraordinarias.</w:t>
      </w:r>
    </w:p>
    <w:tbl>
      <w:tblPr>
        <w:tblW w:w="6516" w:type="dxa"/>
        <w:jc w:val="center"/>
        <w:tblLook w:val="04A0" w:firstRow="1" w:lastRow="0" w:firstColumn="1" w:lastColumn="0" w:noHBand="0" w:noVBand="1"/>
      </w:tblPr>
      <w:tblGrid>
        <w:gridCol w:w="4390"/>
        <w:gridCol w:w="2126"/>
      </w:tblGrid>
      <w:tr w:rsidR="00E13048" w:rsidRPr="00836613" w:rsidTr="00E13048">
        <w:trPr>
          <w:trHeight w:val="335"/>
          <w:jc w:val="center"/>
        </w:trPr>
        <w:tc>
          <w:tcPr>
            <w:tcW w:w="4390" w:type="dxa"/>
            <w:tcBorders>
              <w:top w:val="single" w:sz="4" w:space="0" w:color="auto"/>
              <w:left w:val="single" w:sz="4" w:space="0" w:color="auto"/>
              <w:bottom w:val="single" w:sz="4" w:space="0" w:color="auto"/>
              <w:right w:val="single" w:sz="4" w:space="0" w:color="auto"/>
            </w:tcBorders>
            <w:shd w:val="clear" w:color="auto" w:fill="4472C4" w:themeFill="accent5"/>
            <w:vAlign w:val="center"/>
          </w:tcPr>
          <w:p w:rsidR="00E13048" w:rsidRPr="005D612F" w:rsidRDefault="00E13048" w:rsidP="00140F45">
            <w:pPr>
              <w:spacing w:before="0" w:line="240" w:lineRule="auto"/>
              <w:ind w:firstLine="0"/>
              <w:jc w:val="center"/>
              <w:rPr>
                <w:color w:val="FFFFFF" w:themeColor="background1"/>
                <w:lang w:val="es-DO" w:eastAsia="es-ES"/>
              </w:rPr>
            </w:pPr>
            <w:r w:rsidRPr="005D612F">
              <w:rPr>
                <w:color w:val="FFFFFF" w:themeColor="background1"/>
                <w:lang w:val="es-DO" w:eastAsia="es-ES"/>
              </w:rPr>
              <w:t>Tipo de beneficio</w:t>
            </w:r>
          </w:p>
        </w:tc>
        <w:tc>
          <w:tcPr>
            <w:tcW w:w="2126" w:type="dxa"/>
            <w:tcBorders>
              <w:top w:val="single" w:sz="4" w:space="0" w:color="auto"/>
              <w:left w:val="nil"/>
              <w:bottom w:val="single" w:sz="4" w:space="0" w:color="auto"/>
              <w:right w:val="single" w:sz="4" w:space="0" w:color="auto"/>
            </w:tcBorders>
            <w:shd w:val="clear" w:color="auto" w:fill="4472C4" w:themeFill="accent5"/>
            <w:noWrap/>
            <w:vAlign w:val="center"/>
          </w:tcPr>
          <w:p w:rsidR="00E13048" w:rsidRPr="005D612F" w:rsidRDefault="00E13048" w:rsidP="00140F45">
            <w:pPr>
              <w:spacing w:before="0" w:line="240" w:lineRule="auto"/>
              <w:ind w:firstLine="0"/>
              <w:jc w:val="center"/>
              <w:rPr>
                <w:color w:val="FFFFFF" w:themeColor="background1"/>
                <w:lang w:val="es-DO" w:eastAsia="es-ES"/>
              </w:rPr>
            </w:pPr>
            <w:r w:rsidRPr="005D612F">
              <w:rPr>
                <w:color w:val="FFFFFF" w:themeColor="background1"/>
                <w:lang w:val="es-DO" w:eastAsia="es-ES"/>
              </w:rPr>
              <w:t>Monto</w:t>
            </w:r>
          </w:p>
        </w:tc>
      </w:tr>
      <w:tr w:rsidR="00E13048" w:rsidRPr="00836613" w:rsidTr="00E13048">
        <w:trPr>
          <w:trHeight w:val="335"/>
          <w:jc w:val="center"/>
        </w:trPr>
        <w:tc>
          <w:tcPr>
            <w:tcW w:w="439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13048" w:rsidRPr="00836613" w:rsidRDefault="00E13048" w:rsidP="00140F45">
            <w:pPr>
              <w:spacing w:before="0" w:line="276" w:lineRule="auto"/>
              <w:ind w:firstLine="0"/>
              <w:jc w:val="left"/>
              <w:rPr>
                <w:color w:val="auto"/>
                <w:lang w:val="es-DO" w:eastAsia="es-ES"/>
              </w:rPr>
            </w:pPr>
            <w:r w:rsidRPr="00836613">
              <w:rPr>
                <w:color w:val="auto"/>
                <w:lang w:val="es-DO" w:eastAsia="es-ES"/>
              </w:rPr>
              <w:t>Subsidio Escolar</w:t>
            </w:r>
          </w:p>
        </w:tc>
        <w:tc>
          <w:tcPr>
            <w:tcW w:w="2126" w:type="dxa"/>
            <w:tcBorders>
              <w:top w:val="single" w:sz="4" w:space="0" w:color="auto"/>
              <w:left w:val="nil"/>
              <w:bottom w:val="single" w:sz="4" w:space="0" w:color="auto"/>
              <w:right w:val="single" w:sz="4" w:space="0" w:color="auto"/>
            </w:tcBorders>
            <w:shd w:val="clear" w:color="auto" w:fill="auto"/>
            <w:noWrap/>
            <w:vAlign w:val="center"/>
          </w:tcPr>
          <w:p w:rsidR="00E13048" w:rsidRPr="00836613" w:rsidRDefault="00E13048" w:rsidP="00140F45">
            <w:pPr>
              <w:spacing w:before="0" w:line="276" w:lineRule="auto"/>
              <w:ind w:firstLine="0"/>
              <w:jc w:val="center"/>
              <w:rPr>
                <w:color w:val="auto"/>
                <w:lang w:val="es-DO" w:eastAsia="es-ES"/>
              </w:rPr>
            </w:pPr>
            <w:r w:rsidRPr="00836613">
              <w:rPr>
                <w:rFonts w:eastAsia="Times New Roman"/>
                <w:lang w:val="es-DO"/>
              </w:rPr>
              <w:t>RD$2,157,400.00</w:t>
            </w:r>
          </w:p>
        </w:tc>
      </w:tr>
      <w:tr w:rsidR="00E13048" w:rsidRPr="00836613" w:rsidTr="00E13048">
        <w:trPr>
          <w:trHeight w:val="335"/>
          <w:jc w:val="center"/>
        </w:trPr>
        <w:tc>
          <w:tcPr>
            <w:tcW w:w="439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13048" w:rsidRPr="00836613" w:rsidRDefault="00E13048" w:rsidP="00140F45">
            <w:pPr>
              <w:spacing w:before="0" w:line="276" w:lineRule="auto"/>
              <w:ind w:firstLine="0"/>
              <w:jc w:val="left"/>
              <w:rPr>
                <w:color w:val="auto"/>
                <w:lang w:val="es-DO" w:eastAsia="es-ES"/>
              </w:rPr>
            </w:pPr>
            <w:r w:rsidRPr="00836613">
              <w:rPr>
                <w:color w:val="auto"/>
                <w:lang w:val="es-DO" w:eastAsia="es-ES"/>
              </w:rPr>
              <w:t>Bono cumplimiento indicadores SISMAP</w:t>
            </w:r>
          </w:p>
        </w:tc>
        <w:tc>
          <w:tcPr>
            <w:tcW w:w="2126" w:type="dxa"/>
            <w:tcBorders>
              <w:top w:val="single" w:sz="4" w:space="0" w:color="auto"/>
              <w:left w:val="nil"/>
              <w:bottom w:val="single" w:sz="4" w:space="0" w:color="auto"/>
              <w:right w:val="single" w:sz="4" w:space="0" w:color="auto"/>
            </w:tcBorders>
            <w:shd w:val="clear" w:color="auto" w:fill="auto"/>
            <w:noWrap/>
            <w:vAlign w:val="center"/>
          </w:tcPr>
          <w:p w:rsidR="00E13048" w:rsidRPr="00836613" w:rsidRDefault="00E13048" w:rsidP="00140F45">
            <w:pPr>
              <w:spacing w:before="0" w:line="276" w:lineRule="auto"/>
              <w:ind w:firstLine="0"/>
              <w:jc w:val="center"/>
              <w:rPr>
                <w:color w:val="auto"/>
                <w:lang w:val="es-DO" w:eastAsia="es-ES"/>
              </w:rPr>
            </w:pPr>
            <w:r w:rsidRPr="00836613">
              <w:rPr>
                <w:rFonts w:eastAsia="Times New Roman"/>
                <w:lang w:val="es-DO"/>
              </w:rPr>
              <w:t>RD$10,561,318.09</w:t>
            </w:r>
          </w:p>
        </w:tc>
      </w:tr>
      <w:tr w:rsidR="00E13048" w:rsidRPr="00836613" w:rsidTr="00E13048">
        <w:trPr>
          <w:trHeight w:val="335"/>
          <w:jc w:val="center"/>
        </w:trPr>
        <w:tc>
          <w:tcPr>
            <w:tcW w:w="439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13048" w:rsidRPr="00836613" w:rsidRDefault="00E13048" w:rsidP="00140F45">
            <w:pPr>
              <w:spacing w:before="0" w:line="276" w:lineRule="auto"/>
              <w:ind w:firstLine="0"/>
              <w:jc w:val="left"/>
              <w:rPr>
                <w:color w:val="auto"/>
                <w:lang w:val="es-DO" w:eastAsia="es-ES"/>
              </w:rPr>
            </w:pPr>
            <w:r w:rsidRPr="00836613">
              <w:rPr>
                <w:color w:val="auto"/>
                <w:lang w:val="es-DO" w:eastAsia="es-ES"/>
              </w:rPr>
              <w:t>Bono personal de Carrera Administrativa</w:t>
            </w:r>
          </w:p>
        </w:tc>
        <w:tc>
          <w:tcPr>
            <w:tcW w:w="2126" w:type="dxa"/>
            <w:tcBorders>
              <w:top w:val="single" w:sz="4" w:space="0" w:color="auto"/>
              <w:left w:val="nil"/>
              <w:bottom w:val="single" w:sz="4" w:space="0" w:color="auto"/>
              <w:right w:val="single" w:sz="4" w:space="0" w:color="auto"/>
            </w:tcBorders>
            <w:shd w:val="clear" w:color="auto" w:fill="auto"/>
            <w:noWrap/>
            <w:vAlign w:val="center"/>
          </w:tcPr>
          <w:p w:rsidR="00E13048" w:rsidRPr="00836613" w:rsidRDefault="00E13048" w:rsidP="00140F45">
            <w:pPr>
              <w:spacing w:before="0" w:line="276" w:lineRule="auto"/>
              <w:ind w:firstLine="0"/>
              <w:jc w:val="center"/>
              <w:rPr>
                <w:color w:val="auto"/>
                <w:lang w:val="es-DO" w:eastAsia="es-ES"/>
              </w:rPr>
            </w:pPr>
            <w:r w:rsidRPr="00836613">
              <w:rPr>
                <w:rFonts w:eastAsia="Times New Roman"/>
                <w:lang w:val="es-DO"/>
              </w:rPr>
              <w:t>RD$1,440,000.00</w:t>
            </w:r>
          </w:p>
        </w:tc>
      </w:tr>
      <w:tr w:rsidR="00E13048" w:rsidRPr="00836613" w:rsidTr="00E13048">
        <w:trPr>
          <w:trHeight w:val="335"/>
          <w:jc w:val="center"/>
        </w:trPr>
        <w:tc>
          <w:tcPr>
            <w:tcW w:w="4390" w:type="dxa"/>
            <w:tcBorders>
              <w:top w:val="single" w:sz="4" w:space="0" w:color="auto"/>
              <w:left w:val="single" w:sz="4" w:space="0" w:color="auto"/>
              <w:bottom w:val="single" w:sz="4" w:space="0" w:color="auto"/>
              <w:right w:val="single" w:sz="4" w:space="0" w:color="auto"/>
            </w:tcBorders>
            <w:shd w:val="clear" w:color="000000" w:fill="FFFFFF"/>
            <w:vAlign w:val="center"/>
          </w:tcPr>
          <w:p w:rsidR="00E13048" w:rsidRPr="00836613" w:rsidRDefault="00E13048" w:rsidP="00140F45">
            <w:pPr>
              <w:spacing w:before="0" w:line="276" w:lineRule="auto"/>
              <w:ind w:firstLine="0"/>
              <w:jc w:val="left"/>
              <w:rPr>
                <w:color w:val="auto"/>
                <w:lang w:val="es-DO" w:eastAsia="es-ES"/>
              </w:rPr>
            </w:pPr>
            <w:r w:rsidRPr="00836613">
              <w:rPr>
                <w:color w:val="auto"/>
                <w:lang w:val="es-DO" w:eastAsia="es-ES"/>
              </w:rPr>
              <w:t>Bono rendimiento individual</w:t>
            </w:r>
          </w:p>
        </w:tc>
        <w:tc>
          <w:tcPr>
            <w:tcW w:w="2126" w:type="dxa"/>
            <w:tcBorders>
              <w:top w:val="single" w:sz="4" w:space="0" w:color="auto"/>
              <w:left w:val="nil"/>
              <w:bottom w:val="single" w:sz="4" w:space="0" w:color="auto"/>
              <w:right w:val="single" w:sz="4" w:space="0" w:color="auto"/>
            </w:tcBorders>
            <w:shd w:val="clear" w:color="auto" w:fill="auto"/>
            <w:noWrap/>
            <w:vAlign w:val="center"/>
          </w:tcPr>
          <w:p w:rsidR="00E13048" w:rsidRPr="00836613" w:rsidRDefault="00E13048" w:rsidP="00140F45">
            <w:pPr>
              <w:spacing w:before="0" w:line="276" w:lineRule="auto"/>
              <w:ind w:firstLine="0"/>
              <w:jc w:val="center"/>
              <w:rPr>
                <w:color w:val="auto"/>
                <w:lang w:val="es-DO" w:eastAsia="es-ES"/>
              </w:rPr>
            </w:pPr>
            <w:r w:rsidRPr="00836613">
              <w:rPr>
                <w:rFonts w:eastAsia="Times New Roman"/>
                <w:lang w:val="es-DO"/>
              </w:rPr>
              <w:t>RD</w:t>
            </w:r>
            <w:r>
              <w:rPr>
                <w:rFonts w:eastAsia="Times New Roman"/>
                <w:lang w:val="es-DO"/>
              </w:rPr>
              <w:t>$</w:t>
            </w:r>
            <w:r w:rsidRPr="00836613">
              <w:rPr>
                <w:rFonts w:eastAsia="Times New Roman"/>
                <w:lang w:val="es-DO"/>
              </w:rPr>
              <w:t>9,096,356.67</w:t>
            </w:r>
          </w:p>
        </w:tc>
      </w:tr>
      <w:tr w:rsidR="00E13048" w:rsidRPr="00836613" w:rsidTr="00E13048">
        <w:trPr>
          <w:trHeight w:val="335"/>
          <w:jc w:val="center"/>
        </w:trPr>
        <w:tc>
          <w:tcPr>
            <w:tcW w:w="4390" w:type="dxa"/>
            <w:tcBorders>
              <w:top w:val="single" w:sz="4" w:space="0" w:color="auto"/>
              <w:left w:val="single" w:sz="4" w:space="0" w:color="auto"/>
              <w:bottom w:val="single" w:sz="4" w:space="0" w:color="auto"/>
              <w:right w:val="single" w:sz="4" w:space="0" w:color="auto"/>
            </w:tcBorders>
            <w:shd w:val="clear" w:color="000000" w:fill="FFFFFF"/>
            <w:vAlign w:val="center"/>
          </w:tcPr>
          <w:p w:rsidR="00E13048" w:rsidRPr="00836613" w:rsidRDefault="00E13048" w:rsidP="00140F45">
            <w:pPr>
              <w:spacing w:before="0" w:line="276" w:lineRule="auto"/>
              <w:ind w:firstLine="0"/>
              <w:jc w:val="left"/>
              <w:rPr>
                <w:color w:val="auto"/>
                <w:lang w:val="es-DO" w:eastAsia="es-ES"/>
              </w:rPr>
            </w:pPr>
            <w:r>
              <w:rPr>
                <w:color w:val="auto"/>
                <w:lang w:val="es-DO" w:eastAsia="es-ES"/>
              </w:rPr>
              <w:t>Regalía pascual</w:t>
            </w:r>
          </w:p>
        </w:tc>
        <w:tc>
          <w:tcPr>
            <w:tcW w:w="2126" w:type="dxa"/>
            <w:tcBorders>
              <w:top w:val="single" w:sz="4" w:space="0" w:color="auto"/>
              <w:left w:val="nil"/>
              <w:bottom w:val="single" w:sz="4" w:space="0" w:color="auto"/>
              <w:right w:val="single" w:sz="4" w:space="0" w:color="auto"/>
            </w:tcBorders>
            <w:shd w:val="clear" w:color="auto" w:fill="auto"/>
            <w:noWrap/>
            <w:vAlign w:val="center"/>
          </w:tcPr>
          <w:p w:rsidR="00E13048" w:rsidRPr="00470D20" w:rsidRDefault="00E13048" w:rsidP="00140F45">
            <w:pPr>
              <w:spacing w:before="0" w:line="276" w:lineRule="auto"/>
              <w:ind w:firstLine="0"/>
              <w:jc w:val="center"/>
              <w:rPr>
                <w:rFonts w:eastAsia="Times New Roman"/>
                <w:color w:val="FF0000"/>
                <w:sz w:val="20"/>
                <w:lang w:val="es-DO"/>
              </w:rPr>
            </w:pPr>
            <w:r w:rsidRPr="00836613">
              <w:rPr>
                <w:rFonts w:eastAsia="Times New Roman"/>
                <w:lang w:val="es-DO"/>
              </w:rPr>
              <w:t>RD</w:t>
            </w:r>
            <w:r>
              <w:rPr>
                <w:rFonts w:eastAsia="Times New Roman"/>
                <w:lang w:val="es-DO"/>
              </w:rPr>
              <w:t>$11</w:t>
            </w:r>
            <w:r w:rsidRPr="00836613">
              <w:rPr>
                <w:rFonts w:eastAsia="Times New Roman"/>
                <w:lang w:val="es-DO"/>
              </w:rPr>
              <w:t>,</w:t>
            </w:r>
            <w:r>
              <w:rPr>
                <w:rFonts w:eastAsia="Times New Roman"/>
                <w:lang w:val="es-DO"/>
              </w:rPr>
              <w:t>956</w:t>
            </w:r>
            <w:r w:rsidRPr="00836613">
              <w:rPr>
                <w:rFonts w:eastAsia="Times New Roman"/>
                <w:lang w:val="es-DO"/>
              </w:rPr>
              <w:t>,</w:t>
            </w:r>
            <w:r>
              <w:rPr>
                <w:rFonts w:eastAsia="Times New Roman"/>
                <w:lang w:val="es-DO"/>
              </w:rPr>
              <w:t>948.72</w:t>
            </w:r>
          </w:p>
        </w:tc>
      </w:tr>
      <w:tr w:rsidR="00E13048" w:rsidRPr="00470D20" w:rsidTr="00E13048">
        <w:trPr>
          <w:trHeight w:val="335"/>
          <w:jc w:val="center"/>
        </w:trPr>
        <w:tc>
          <w:tcPr>
            <w:tcW w:w="4390" w:type="dxa"/>
            <w:tcBorders>
              <w:top w:val="single" w:sz="4" w:space="0" w:color="auto"/>
              <w:left w:val="single" w:sz="4" w:space="0" w:color="auto"/>
              <w:bottom w:val="single" w:sz="4" w:space="0" w:color="auto"/>
              <w:right w:val="single" w:sz="4" w:space="0" w:color="auto"/>
            </w:tcBorders>
            <w:shd w:val="clear" w:color="000000" w:fill="FFFFFF"/>
            <w:vAlign w:val="center"/>
          </w:tcPr>
          <w:p w:rsidR="00E13048" w:rsidRDefault="00E13048" w:rsidP="00140F45">
            <w:pPr>
              <w:spacing w:before="0" w:line="276" w:lineRule="auto"/>
              <w:ind w:firstLine="0"/>
              <w:jc w:val="left"/>
              <w:rPr>
                <w:color w:val="auto"/>
                <w:lang w:val="es-DO" w:eastAsia="es-ES"/>
              </w:rPr>
            </w:pPr>
            <w:r>
              <w:rPr>
                <w:color w:val="auto"/>
                <w:lang w:val="es-DO" w:eastAsia="es-ES"/>
              </w:rPr>
              <w:t>Incentivo labores extraordinarias</w:t>
            </w:r>
          </w:p>
        </w:tc>
        <w:tc>
          <w:tcPr>
            <w:tcW w:w="2126" w:type="dxa"/>
            <w:tcBorders>
              <w:top w:val="single" w:sz="4" w:space="0" w:color="auto"/>
              <w:left w:val="nil"/>
              <w:bottom w:val="single" w:sz="4" w:space="0" w:color="auto"/>
              <w:right w:val="single" w:sz="4" w:space="0" w:color="auto"/>
            </w:tcBorders>
            <w:shd w:val="clear" w:color="auto" w:fill="auto"/>
            <w:noWrap/>
            <w:vAlign w:val="center"/>
          </w:tcPr>
          <w:p w:rsidR="00E13048" w:rsidRPr="00470D20" w:rsidRDefault="00E13048" w:rsidP="00140F45">
            <w:pPr>
              <w:spacing w:before="0" w:line="276" w:lineRule="auto"/>
              <w:ind w:firstLine="0"/>
              <w:jc w:val="center"/>
              <w:rPr>
                <w:rFonts w:eastAsia="Times New Roman"/>
                <w:color w:val="FF0000"/>
                <w:sz w:val="20"/>
                <w:lang w:val="es-DO"/>
              </w:rPr>
            </w:pPr>
            <w:r w:rsidRPr="00836613">
              <w:rPr>
                <w:rFonts w:eastAsia="Times New Roman"/>
                <w:lang w:val="es-DO"/>
              </w:rPr>
              <w:t>RD</w:t>
            </w:r>
            <w:r>
              <w:rPr>
                <w:rFonts w:eastAsia="Times New Roman"/>
                <w:lang w:val="es-DO"/>
              </w:rPr>
              <w:t>$28</w:t>
            </w:r>
            <w:r w:rsidRPr="00836613">
              <w:rPr>
                <w:rFonts w:eastAsia="Times New Roman"/>
                <w:lang w:val="es-DO"/>
              </w:rPr>
              <w:t>,</w:t>
            </w:r>
            <w:r>
              <w:rPr>
                <w:rFonts w:eastAsia="Times New Roman"/>
                <w:lang w:val="es-DO"/>
              </w:rPr>
              <w:t>908</w:t>
            </w:r>
            <w:r w:rsidRPr="00836613">
              <w:rPr>
                <w:rFonts w:eastAsia="Times New Roman"/>
                <w:lang w:val="es-DO"/>
              </w:rPr>
              <w:t>,</w:t>
            </w:r>
            <w:r>
              <w:rPr>
                <w:rFonts w:eastAsia="Times New Roman"/>
                <w:lang w:val="es-DO"/>
              </w:rPr>
              <w:t>033.80</w:t>
            </w:r>
          </w:p>
        </w:tc>
      </w:tr>
    </w:tbl>
    <w:p w:rsidR="00E13048" w:rsidRPr="00E13048" w:rsidRDefault="00E13048" w:rsidP="00E13048">
      <w:pPr>
        <w:ind w:firstLine="708"/>
        <w:rPr>
          <w:rFonts w:eastAsia="Times New Roman"/>
          <w:lang w:val="es-DO"/>
        </w:rPr>
      </w:pPr>
      <w:r w:rsidRPr="005D612F">
        <w:rPr>
          <w:sz w:val="20"/>
          <w:szCs w:val="18"/>
          <w:lang w:val="es-DO"/>
        </w:rPr>
        <w:t>Tabla: Beneficios Institucionales 2019.</w:t>
      </w:r>
    </w:p>
    <w:p w:rsidR="00E13048" w:rsidRPr="00961033" w:rsidRDefault="00E13048" w:rsidP="00640607">
      <w:pPr>
        <w:rPr>
          <w:lang w:eastAsia="es-DO"/>
        </w:rPr>
      </w:pPr>
      <w:r w:rsidRPr="00961033">
        <w:rPr>
          <w:lang w:eastAsia="es-DO"/>
        </w:rPr>
        <w:t>El pago puntual de los aportes al sistema de seguridad social de acuerdo a la Ley 87-01 que nuestra institución ha realizado es de RD$23,652,567.39 al 30 de noviembre del 2019, proporcionando un respaldo a cada uno de nuestros colaboradores y sus familiares en materia de Salud, Pensión y Riesgo Laboral. Es preciso resaltar</w:t>
      </w:r>
      <w:r w:rsidR="004B7EAE">
        <w:rPr>
          <w:lang w:eastAsia="es-DO"/>
        </w:rPr>
        <w:t>,</w:t>
      </w:r>
      <w:r w:rsidRPr="00961033">
        <w:rPr>
          <w:lang w:eastAsia="es-DO"/>
        </w:rPr>
        <w:t xml:space="preserve"> que hemos recibido por concepto de subsidios por maternidad y enfermedades comunes el monto total de RD$99,215.28.</w:t>
      </w:r>
    </w:p>
    <w:p w:rsidR="00E13048" w:rsidRPr="00961033" w:rsidRDefault="00E13048" w:rsidP="00640607">
      <w:pPr>
        <w:rPr>
          <w:lang w:eastAsia="es-DO"/>
        </w:rPr>
      </w:pPr>
      <w:r w:rsidRPr="00961033">
        <w:rPr>
          <w:lang w:eastAsia="es-DO"/>
        </w:rPr>
        <w:t>Por otra parte, se mantiene para los colaboradores el beneficio del seguro médico complementario, cubriendo esta Dirección General la totalidad del mismo. Se ha adicionado, el beneficio del seguro funerario, destinado a apoyar al empleado y cuatro (4) dependientes de este, en caso de fallecimiento. E</w:t>
      </w:r>
      <w:r w:rsidR="004B7EAE">
        <w:rPr>
          <w:lang w:eastAsia="es-DO"/>
        </w:rPr>
        <w:t>ste es cubierto también por la i</w:t>
      </w:r>
      <w:r w:rsidRPr="00961033">
        <w:rPr>
          <w:lang w:eastAsia="es-DO"/>
        </w:rPr>
        <w:t>nstitución, otorgando cobertura de hasta RD$25,000.00 por caso.</w:t>
      </w:r>
    </w:p>
    <w:p w:rsidR="00E13048" w:rsidRPr="00961033" w:rsidRDefault="00E13048" w:rsidP="00640607">
      <w:pPr>
        <w:rPr>
          <w:lang w:eastAsia="es-DO"/>
        </w:rPr>
      </w:pPr>
      <w:r w:rsidRPr="00961033">
        <w:rPr>
          <w:lang w:eastAsia="es-DO"/>
        </w:rPr>
        <w:t>Se realizó el aprovisionamiento de uniformes a la totalidad de la empleomanía de las áreas en contacto directo con el público al cual la institución asiste, presentando con esta iniciativa una imagen acorde a la calidad de los servicios que ofrece la organización.</w:t>
      </w:r>
    </w:p>
    <w:p w:rsidR="00E13048" w:rsidRPr="00961033" w:rsidRDefault="00E13048" w:rsidP="00640607">
      <w:pPr>
        <w:rPr>
          <w:lang w:eastAsia="es-DO"/>
        </w:rPr>
      </w:pPr>
      <w:r w:rsidRPr="00961033">
        <w:rPr>
          <w:b/>
          <w:lang w:eastAsia="es-DO"/>
        </w:rPr>
        <w:t>Inauguración de la Sala Amiga de la Familia Lactante</w:t>
      </w:r>
      <w:r w:rsidRPr="00961033">
        <w:rPr>
          <w:lang w:eastAsia="es-DO"/>
        </w:rPr>
        <w:t>: En el mes de julio</w:t>
      </w:r>
      <w:r w:rsidR="000D5958" w:rsidRPr="00961033">
        <w:rPr>
          <w:lang w:eastAsia="es-DO"/>
        </w:rPr>
        <w:t>,</w:t>
      </w:r>
      <w:r w:rsidRPr="00961033">
        <w:rPr>
          <w:lang w:eastAsia="es-DO"/>
        </w:rPr>
        <w:t xml:space="preserve"> en beneficio de las madres lactantes de la institución y su entorno</w:t>
      </w:r>
      <w:r w:rsidR="000D5958" w:rsidRPr="00961033">
        <w:rPr>
          <w:lang w:eastAsia="es-DO"/>
        </w:rPr>
        <w:t>,</w:t>
      </w:r>
      <w:r w:rsidRPr="00961033">
        <w:rPr>
          <w:lang w:eastAsia="es-DO"/>
        </w:rPr>
        <w:t xml:space="preserve"> como iniciativa conjunta coordinada con el Ministerio de Salud y el apoyo de la Dirección General</w:t>
      </w:r>
      <w:r w:rsidR="000D5958" w:rsidRPr="00961033">
        <w:rPr>
          <w:lang w:eastAsia="es-DO"/>
        </w:rPr>
        <w:t xml:space="preserve"> se inauguró la Sala Amiga de la Familia Lactante</w:t>
      </w:r>
      <w:r w:rsidRPr="00961033">
        <w:rPr>
          <w:lang w:eastAsia="es-DO"/>
        </w:rPr>
        <w:t>. Este espacio fue debidamente certificado y dotado con todas las facilidades requeridas por la Comisión Nacional de Lactancia Materna del Ministerio de Salud. Esta iniciativa va de la mano con jornadas de sensibilización hacia la paternidad responsable, tiempo de calidad con la familia y la extensión a 7 días, del permiso por paternidad de nuestros colaboradores.</w:t>
      </w:r>
    </w:p>
    <w:p w:rsidR="00E13048" w:rsidRPr="00E13048" w:rsidRDefault="00E13048" w:rsidP="00640607">
      <w:pPr>
        <w:rPr>
          <w:rFonts w:eastAsia="Times New Roman"/>
          <w:lang w:val="es-DO"/>
        </w:rPr>
      </w:pPr>
      <w:r w:rsidRPr="00961033">
        <w:rPr>
          <w:lang w:eastAsia="es-DO"/>
        </w:rPr>
        <w:t>En otro orden, se mantiene el abastecimiento periódico de los botiquines de primeros auxilios, ubicados en las diferentes áreas de la institución, suministrados por el Programa de Medicamentos Esenciales (PROMESE) para beneficio de la salud y bienestar de los</w:t>
      </w:r>
      <w:r w:rsidRPr="00E13048">
        <w:rPr>
          <w:rFonts w:eastAsia="Times New Roman"/>
          <w:lang w:val="es-DO"/>
        </w:rPr>
        <w:t xml:space="preserve"> colaboradores.</w:t>
      </w:r>
    </w:p>
    <w:p w:rsidR="00E13048" w:rsidRPr="00961033" w:rsidRDefault="00E13048" w:rsidP="00640607">
      <w:pPr>
        <w:rPr>
          <w:lang w:eastAsia="es-DO"/>
        </w:rPr>
      </w:pPr>
      <w:r w:rsidRPr="00961033">
        <w:rPr>
          <w:b/>
          <w:lang w:eastAsia="es-DO"/>
        </w:rPr>
        <w:t>Gestión del Rendimiento</w:t>
      </w:r>
      <w:r w:rsidRPr="00961033">
        <w:rPr>
          <w:lang w:eastAsia="es-DO"/>
        </w:rPr>
        <w:t>: Durante el 2019, la Dirección General de Contrataciones Públicas ha continuado con la mejora tecnológica de implementación de la</w:t>
      </w:r>
      <w:r w:rsidR="004B7EAE">
        <w:rPr>
          <w:lang w:eastAsia="es-DO"/>
        </w:rPr>
        <w:t xml:space="preserve"> plataforma SISPLEG, mediante la</w:t>
      </w:r>
      <w:r w:rsidRPr="00961033">
        <w:rPr>
          <w:lang w:eastAsia="es-DO"/>
        </w:rPr>
        <w:t xml:space="preserve"> cual se evalúa, tanto los avances de la planificación estratégica y operativa, como el desempeño de los servidores de la institución de manera constante y automatizada, alineado con los objetivos de los Planes Operativos Anuales (POA) de cada área. Esta iniciativa ha sido una labor coordinada entre las áreas de Planificación y Desarrollo, Tecnología y Recursos Humanos.</w:t>
      </w:r>
    </w:p>
    <w:p w:rsidR="00E13048" w:rsidRPr="00961033" w:rsidRDefault="00E13048" w:rsidP="00640607">
      <w:pPr>
        <w:rPr>
          <w:lang w:eastAsia="es-DO"/>
        </w:rPr>
      </w:pPr>
      <w:r w:rsidRPr="00961033">
        <w:rPr>
          <w:lang w:eastAsia="es-DO"/>
        </w:rPr>
        <w:t>Dicho sistema sigue las directrices del Ministerio de Administración Pública (MAP) dentro del esquema de evaluación del desempeño basado en resultados, competencias y del régimen ético y disciplinario. A la fecha se han cargado a la plataforma los acuerdos de desempeño del personal, tomando como base los formularios establecidos para cada uno de los grupos ocupacionales a fin de evaluar al personal una vez culmine el presente año.</w:t>
      </w:r>
    </w:p>
    <w:p w:rsidR="00E13048" w:rsidRPr="00961033" w:rsidRDefault="00E13048" w:rsidP="00640607">
      <w:pPr>
        <w:rPr>
          <w:lang w:eastAsia="es-DO"/>
        </w:rPr>
      </w:pPr>
      <w:bookmarkStart w:id="25" w:name="_Toc499729126"/>
      <w:bookmarkStart w:id="26" w:name="_Toc501107207"/>
      <w:r w:rsidRPr="00961033">
        <w:rPr>
          <w:b/>
          <w:lang w:eastAsia="es-DO"/>
        </w:rPr>
        <w:t>Gestión del Desarrollo</w:t>
      </w:r>
      <w:bookmarkEnd w:id="25"/>
      <w:bookmarkEnd w:id="26"/>
      <w:r w:rsidRPr="00961033">
        <w:rPr>
          <w:lang w:eastAsia="es-DO"/>
        </w:rPr>
        <w:t>: Durante el 2019, se encuentran cursando estudios universitarios con becas de estudio otorgadas por la institución, amparados en la política interna elaborada para esos fines: 8 empleados a nivel de grado, 6 a nivel de post-grado, 17 a nivel de diplomados y 30 a nivel de cursos cortos de formación continuada. De igual forma, 48 colaboradores recibieron la formación relativa al programa de “Inducción a la Administración Pública” impartida por el Instituto Nacional de Administración Pública (INAP).</w:t>
      </w:r>
    </w:p>
    <w:p w:rsidR="00E13048" w:rsidRPr="00961033" w:rsidRDefault="00E13048" w:rsidP="00640607">
      <w:pPr>
        <w:rPr>
          <w:lang w:eastAsia="es-DO"/>
        </w:rPr>
      </w:pPr>
      <w:r w:rsidRPr="00961033">
        <w:rPr>
          <w:lang w:eastAsia="es-DO"/>
        </w:rPr>
        <w:t>Otras acciones realizadas en cumplimiento a las iniciativas del plan de capacitación implican la capacitación al personal clave de las áreas sustantivas en temas vinculados a sus áreas de desempeño, como resolución de conflictos, fomento al mercado, entre otros. Estas actividades formativas, han sido apoyadas mediante la divulgación de la oferta académica de entidades como el Instituto Nacional de Formación Técnico Profesional (INFOTEP), el Instituto Tecnológico de Las Américas (ITLA), la Escuela Nacional de la Judicatura, el Instituto Nacional de Administración Pública (INAP), el Centro de Capacitación en Política y Gestión Fiscal (CAPGEFI), entre otras.</w:t>
      </w:r>
    </w:p>
    <w:p w:rsidR="00E13048" w:rsidRPr="00961033" w:rsidRDefault="00E13048" w:rsidP="00640607">
      <w:pPr>
        <w:rPr>
          <w:lang w:eastAsia="es-DO"/>
        </w:rPr>
      </w:pPr>
      <w:bookmarkStart w:id="27" w:name="_2r0uhxc" w:colFirst="0" w:colLast="0"/>
      <w:bookmarkStart w:id="28" w:name="_1664s55" w:colFirst="0" w:colLast="0"/>
      <w:bookmarkStart w:id="29" w:name="_3q5sasy" w:colFirst="0" w:colLast="0"/>
      <w:bookmarkStart w:id="30" w:name="_25b2l0r" w:colFirst="0" w:colLast="0"/>
      <w:bookmarkStart w:id="31" w:name="_kgcv8k" w:colFirst="0" w:colLast="0"/>
      <w:bookmarkStart w:id="32" w:name="_34g0dwd" w:colFirst="0" w:colLast="0"/>
      <w:bookmarkStart w:id="33" w:name="_1jlao46" w:colFirst="0" w:colLast="0"/>
      <w:bookmarkStart w:id="34" w:name="_43ky6rz" w:colFirst="0" w:colLast="0"/>
      <w:bookmarkEnd w:id="27"/>
      <w:bookmarkEnd w:id="28"/>
      <w:bookmarkEnd w:id="29"/>
      <w:bookmarkEnd w:id="30"/>
      <w:bookmarkEnd w:id="31"/>
      <w:bookmarkEnd w:id="32"/>
      <w:bookmarkEnd w:id="33"/>
      <w:bookmarkEnd w:id="34"/>
      <w:r w:rsidRPr="00961033">
        <w:rPr>
          <w:b/>
          <w:lang w:eastAsia="es-DO"/>
        </w:rPr>
        <w:t>Gestión de las Relaciones Laborales y Sociales</w:t>
      </w:r>
      <w:r w:rsidRPr="00961033">
        <w:rPr>
          <w:lang w:eastAsia="es-DO"/>
        </w:rPr>
        <w:t>: La Asociación de Servidores Públicos (ASP) de la Dirección General de Contrataciones Públicas, a través de sus miembros, organizó durante el año 2019, diferentes acciones documentadas en su memoria anual, y alineadas con su plan de trabajo, como fueron la organización de conferencias magistrales sobre el manejo de finanzas personales (mes de marzo) para los colaboradores de esta institución, con apoyo de la AFP Popular y en el mes de julio sobre la guerra de restauración; se hizo un reconocimiento a la Dra. Yokasta Guzmán Santos por sus valiosos aportes en la Administración Pública y esta entidad (mes de julio) y para el mes de octubre la ASP logró apertura de la cuenta bancaria necesaria para la gestión de fondos correspondientes, mediante los aportes de los colaboradores.</w:t>
      </w:r>
    </w:p>
    <w:p w:rsidR="00E13048" w:rsidRPr="00961033" w:rsidRDefault="004B7EAE" w:rsidP="00640607">
      <w:pPr>
        <w:rPr>
          <w:lang w:eastAsia="es-DO"/>
        </w:rPr>
      </w:pPr>
      <w:r>
        <w:rPr>
          <w:lang w:eastAsia="es-DO"/>
        </w:rPr>
        <w:t>Asi</w:t>
      </w:r>
      <w:r w:rsidRPr="00961033">
        <w:rPr>
          <w:lang w:eastAsia="es-DO"/>
        </w:rPr>
        <w:t>mismo</w:t>
      </w:r>
      <w:r w:rsidR="00E13048" w:rsidRPr="00961033">
        <w:rPr>
          <w:lang w:eastAsia="es-DO"/>
        </w:rPr>
        <w:t>, la Dirección General de Contrataciones Públicas cuenta con el Comité de Seguridad y Salud Ocupacional, con su plan de trabajo diseñado y en ejecución, así como la programación de reuniones mensuales. Dentro de las actividades que vale la pena resaltar, realizadas bajo responsabilidad de ese Comité se encuentran los entrenamientos sobre primeros auxilios, simulacros en caso de situaciones de emergencia, defensa personal, jornadas de salud dirigida a los empleados de la institución, con el apoyo de ARS Humano y en coordinación con Recursos Humano; entre otros.</w:t>
      </w:r>
    </w:p>
    <w:p w:rsidR="00E13048" w:rsidRDefault="00E13048" w:rsidP="00640607">
      <w:pPr>
        <w:rPr>
          <w:lang w:eastAsia="es-DO"/>
        </w:rPr>
      </w:pPr>
      <w:r w:rsidRPr="00961033">
        <w:rPr>
          <w:lang w:eastAsia="es-DO"/>
        </w:rPr>
        <w:t xml:space="preserve">Finalmente, a raíz de los resultados alcanzados a partir de la encuesta de Clima y Liderazgo aplicada en el mes de febrero, en coordinación con el Ministerio de Hacienda, la Dirección General realizó la </w:t>
      </w:r>
      <w:r w:rsidR="0038475B">
        <w:rPr>
          <w:lang w:eastAsia="es-DO"/>
        </w:rPr>
        <w:t>socialización de los resultados</w:t>
      </w:r>
      <w:r w:rsidRPr="00961033">
        <w:rPr>
          <w:lang w:eastAsia="es-DO"/>
        </w:rPr>
        <w:t xml:space="preserve"> con las áreas y desarrolló una propuesta de plan de acción para el periodo 2019-2020. En dicha encuesta se midieron dimensiones como el bienestar físico y emocional, aprendi</w:t>
      </w:r>
      <w:r w:rsidR="0038475B">
        <w:rPr>
          <w:lang w:eastAsia="es-DO"/>
        </w:rPr>
        <w:t>zaje y desarrollo, comunicación,</w:t>
      </w:r>
      <w:r w:rsidRPr="00961033">
        <w:rPr>
          <w:lang w:eastAsia="es-DO"/>
        </w:rPr>
        <w:t xml:space="preserve"> propósito, confianza, entre otros.</w:t>
      </w:r>
    </w:p>
    <w:p w:rsidR="00C86371" w:rsidRDefault="00C86371" w:rsidP="00640607">
      <w:pPr>
        <w:rPr>
          <w:lang w:eastAsia="es-DO"/>
        </w:rPr>
      </w:pPr>
      <w:r>
        <w:rPr>
          <w:lang w:eastAsia="es-DO"/>
        </w:rPr>
        <w:br w:type="page"/>
      </w:r>
    </w:p>
    <w:p w:rsidR="003A66C7" w:rsidRPr="00676539" w:rsidRDefault="003A66C7" w:rsidP="003A66C7">
      <w:pPr>
        <w:pStyle w:val="Ttulo1"/>
      </w:pPr>
      <w:r>
        <w:t xml:space="preserve">V. </w:t>
      </w:r>
      <w:r w:rsidRPr="00676539">
        <w:t>Gestión Interna</w:t>
      </w:r>
    </w:p>
    <w:p w:rsidR="003A66C7" w:rsidRPr="002A0351" w:rsidRDefault="003A66C7" w:rsidP="003A66C7">
      <w:pPr>
        <w:pStyle w:val="Ttulo2"/>
        <w:numPr>
          <w:ilvl w:val="0"/>
          <w:numId w:val="25"/>
        </w:numPr>
        <w:rPr>
          <w:rFonts w:eastAsia="Calibri"/>
          <w:b/>
          <w:lang w:val="es-DO"/>
        </w:rPr>
      </w:pPr>
      <w:r w:rsidRPr="002A0351">
        <w:rPr>
          <w:rFonts w:eastAsia="Calibri"/>
          <w:b/>
          <w:lang w:val="es-DO"/>
        </w:rPr>
        <w:t>Desempeño Financiero</w:t>
      </w:r>
    </w:p>
    <w:p w:rsidR="00B52262" w:rsidRPr="00961033" w:rsidRDefault="00B52262" w:rsidP="00640607">
      <w:pPr>
        <w:rPr>
          <w:lang w:eastAsia="es-DO"/>
        </w:rPr>
      </w:pPr>
      <w:r w:rsidRPr="00961033">
        <w:rPr>
          <w:lang w:eastAsia="es-DO"/>
        </w:rPr>
        <w:t xml:space="preserve">El presupuesto inicial asignado a la Dirección General de Contrataciones Públicas, para las operaciones del año fiscal 2019 y el proyecto Portal Transaccional, fue de quinientos dos millones ochocientos nueve mil quinientos seis pesos dominicanos (RD$502,809,506.00). A la institución le corresponden trescientos noventa y cinco millones ochocientos setenta y dos mil seiscientos cincuenta pesos con 00/100 (RD$395,872,650.00), con una disminución en su presupuesto asignado, de cinco millones ochocientos noventa y siete mil ciento veinte y cinco pesos dominicanos con 98/00 (RD$-5,897,125.98), quedando así con un presupuesto vigente de trescientos ochenta y nueve millones novecientos setenta y cinco mil quinientos veinte y cuatro pesos dominicanos con 02/00 (RD$389,975,524.02). </w:t>
      </w:r>
    </w:p>
    <w:tbl>
      <w:tblPr>
        <w:tblW w:w="6687" w:type="dxa"/>
        <w:jc w:val="center"/>
        <w:tblCellMar>
          <w:left w:w="70" w:type="dxa"/>
          <w:right w:w="70" w:type="dxa"/>
        </w:tblCellMar>
        <w:tblLook w:val="04A0" w:firstRow="1" w:lastRow="0" w:firstColumn="1" w:lastColumn="0" w:noHBand="0" w:noVBand="1"/>
      </w:tblPr>
      <w:tblGrid>
        <w:gridCol w:w="3119"/>
        <w:gridCol w:w="1801"/>
        <w:gridCol w:w="1767"/>
      </w:tblGrid>
      <w:tr w:rsidR="00140F45" w:rsidRPr="00B24A6B" w:rsidTr="007718C7">
        <w:trPr>
          <w:trHeight w:val="330"/>
          <w:jc w:val="center"/>
        </w:trPr>
        <w:tc>
          <w:tcPr>
            <w:tcW w:w="3119" w:type="dxa"/>
            <w:tcBorders>
              <w:top w:val="single" w:sz="8" w:space="0" w:color="auto"/>
              <w:left w:val="single" w:sz="8" w:space="0" w:color="auto"/>
              <w:bottom w:val="single" w:sz="8" w:space="0" w:color="auto"/>
              <w:right w:val="single" w:sz="8" w:space="0" w:color="auto"/>
            </w:tcBorders>
            <w:shd w:val="clear" w:color="auto" w:fill="2E74B5" w:themeFill="accent1" w:themeFillShade="BF"/>
            <w:noWrap/>
            <w:vAlign w:val="center"/>
            <w:hideMark/>
          </w:tcPr>
          <w:p w:rsidR="00140F45" w:rsidRPr="00C7070C" w:rsidRDefault="00140F45" w:rsidP="007718C7">
            <w:pPr>
              <w:spacing w:line="240" w:lineRule="auto"/>
              <w:ind w:firstLine="0"/>
              <w:jc w:val="center"/>
              <w:rPr>
                <w:rFonts w:eastAsia="Times New Roman"/>
                <w:b/>
                <w:bCs/>
                <w:color w:val="FFFFFF" w:themeColor="background1"/>
                <w:lang w:val="es-DO" w:eastAsia="es-DO"/>
              </w:rPr>
            </w:pPr>
            <w:r w:rsidRPr="00C7070C">
              <w:rPr>
                <w:rFonts w:eastAsia="Times New Roman"/>
                <w:b/>
                <w:bCs/>
                <w:color w:val="FFFFFF" w:themeColor="background1"/>
                <w:lang w:val="es-DO" w:eastAsia="es-DO"/>
              </w:rPr>
              <w:t>CONCEPTO</w:t>
            </w:r>
          </w:p>
        </w:tc>
        <w:tc>
          <w:tcPr>
            <w:tcW w:w="1801" w:type="dxa"/>
            <w:tcBorders>
              <w:top w:val="single" w:sz="8" w:space="0" w:color="auto"/>
              <w:left w:val="nil"/>
              <w:bottom w:val="nil"/>
              <w:right w:val="single" w:sz="8" w:space="0" w:color="auto"/>
            </w:tcBorders>
            <w:shd w:val="clear" w:color="auto" w:fill="2E74B5" w:themeFill="accent1" w:themeFillShade="BF"/>
            <w:noWrap/>
            <w:vAlign w:val="center"/>
            <w:hideMark/>
          </w:tcPr>
          <w:p w:rsidR="00140F45" w:rsidRPr="00C7070C" w:rsidRDefault="00140F45" w:rsidP="007718C7">
            <w:pPr>
              <w:spacing w:line="240" w:lineRule="auto"/>
              <w:ind w:firstLine="0"/>
              <w:jc w:val="center"/>
              <w:rPr>
                <w:rFonts w:eastAsia="Times New Roman"/>
                <w:b/>
                <w:bCs/>
                <w:i/>
                <w:iCs/>
                <w:color w:val="FFFFFF" w:themeColor="background1"/>
                <w:lang w:val="es-DO" w:eastAsia="es-DO"/>
              </w:rPr>
            </w:pPr>
            <w:r w:rsidRPr="00C7070C">
              <w:rPr>
                <w:rFonts w:eastAsia="Times New Roman"/>
                <w:b/>
                <w:bCs/>
                <w:i/>
                <w:iCs/>
                <w:color w:val="FFFFFF" w:themeColor="background1"/>
                <w:lang w:val="es-DO" w:eastAsia="es-DO"/>
              </w:rPr>
              <w:t>MONTO RD$</w:t>
            </w:r>
          </w:p>
        </w:tc>
        <w:tc>
          <w:tcPr>
            <w:tcW w:w="1767" w:type="dxa"/>
            <w:tcBorders>
              <w:top w:val="single" w:sz="8" w:space="0" w:color="auto"/>
              <w:left w:val="nil"/>
              <w:bottom w:val="nil"/>
              <w:right w:val="single" w:sz="8" w:space="0" w:color="auto"/>
            </w:tcBorders>
            <w:shd w:val="clear" w:color="auto" w:fill="2E74B5" w:themeFill="accent1" w:themeFillShade="BF"/>
            <w:noWrap/>
            <w:vAlign w:val="center"/>
            <w:hideMark/>
          </w:tcPr>
          <w:p w:rsidR="00140F45" w:rsidRPr="00C7070C" w:rsidRDefault="00140F45" w:rsidP="007718C7">
            <w:pPr>
              <w:spacing w:line="240" w:lineRule="auto"/>
              <w:ind w:firstLine="0"/>
              <w:jc w:val="center"/>
              <w:rPr>
                <w:rFonts w:eastAsia="Times New Roman"/>
                <w:b/>
                <w:bCs/>
                <w:color w:val="FFFFFF" w:themeColor="background1"/>
                <w:lang w:val="es-DO" w:eastAsia="es-DO"/>
              </w:rPr>
            </w:pPr>
            <w:r w:rsidRPr="00C7070C">
              <w:rPr>
                <w:rFonts w:eastAsia="Times New Roman"/>
                <w:b/>
                <w:bCs/>
                <w:color w:val="FFFFFF" w:themeColor="background1"/>
                <w:lang w:val="es-DO" w:eastAsia="es-DO"/>
              </w:rPr>
              <w:t>PORCENTAJE</w:t>
            </w:r>
          </w:p>
        </w:tc>
      </w:tr>
      <w:tr w:rsidR="00140F45" w:rsidRPr="00B24A6B" w:rsidTr="007718C7">
        <w:trPr>
          <w:trHeight w:val="232"/>
          <w:jc w:val="center"/>
        </w:trPr>
        <w:tc>
          <w:tcPr>
            <w:tcW w:w="3119" w:type="dxa"/>
            <w:tcBorders>
              <w:top w:val="nil"/>
              <w:left w:val="single" w:sz="8" w:space="0" w:color="auto"/>
              <w:bottom w:val="single" w:sz="8" w:space="0" w:color="auto"/>
              <w:right w:val="nil"/>
            </w:tcBorders>
            <w:shd w:val="clear" w:color="auto" w:fill="auto"/>
            <w:noWrap/>
            <w:vAlign w:val="center"/>
            <w:hideMark/>
          </w:tcPr>
          <w:p w:rsidR="00140F45" w:rsidRPr="00C7070C" w:rsidRDefault="00140F45" w:rsidP="007718C7">
            <w:pPr>
              <w:spacing w:line="240" w:lineRule="auto"/>
              <w:ind w:firstLine="0"/>
              <w:jc w:val="center"/>
              <w:rPr>
                <w:rFonts w:eastAsia="Times New Roman"/>
                <w:bCs/>
                <w:color w:val="auto"/>
                <w:lang w:val="es-DO" w:eastAsia="es-DO"/>
              </w:rPr>
            </w:pPr>
            <w:r w:rsidRPr="00C7070C">
              <w:rPr>
                <w:rFonts w:eastAsia="Times New Roman"/>
                <w:bCs/>
                <w:color w:val="auto"/>
                <w:lang w:val="es-DO" w:eastAsia="es-DO"/>
              </w:rPr>
              <w:t>Presupuesto Vigente</w:t>
            </w:r>
          </w:p>
        </w:tc>
        <w:tc>
          <w:tcPr>
            <w:tcW w:w="18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0F45" w:rsidRPr="00C7070C" w:rsidRDefault="00B52262" w:rsidP="007718C7">
            <w:pPr>
              <w:spacing w:line="240" w:lineRule="auto"/>
              <w:ind w:firstLine="0"/>
              <w:jc w:val="center"/>
              <w:rPr>
                <w:rFonts w:eastAsia="Times New Roman"/>
                <w:bCs/>
                <w:color w:val="auto"/>
                <w:lang w:val="es-DO" w:eastAsia="es-DO"/>
              </w:rPr>
            </w:pPr>
            <w:r w:rsidRPr="00B52262">
              <w:rPr>
                <w:rFonts w:eastAsia="Times New Roman"/>
                <w:lang w:val="es-DO"/>
              </w:rPr>
              <w:t>389,975,524.02</w:t>
            </w:r>
          </w:p>
        </w:tc>
        <w:tc>
          <w:tcPr>
            <w:tcW w:w="1767" w:type="dxa"/>
            <w:tcBorders>
              <w:top w:val="single" w:sz="4" w:space="0" w:color="auto"/>
              <w:left w:val="nil"/>
              <w:bottom w:val="single" w:sz="4" w:space="0" w:color="auto"/>
              <w:right w:val="single" w:sz="4" w:space="0" w:color="auto"/>
            </w:tcBorders>
            <w:shd w:val="clear" w:color="auto" w:fill="auto"/>
            <w:noWrap/>
            <w:vAlign w:val="center"/>
            <w:hideMark/>
          </w:tcPr>
          <w:p w:rsidR="00140F45" w:rsidRPr="00C7070C" w:rsidRDefault="00140F45" w:rsidP="007718C7">
            <w:pPr>
              <w:spacing w:line="240" w:lineRule="auto"/>
              <w:ind w:firstLine="0"/>
              <w:jc w:val="center"/>
              <w:rPr>
                <w:rFonts w:eastAsia="Times New Roman"/>
                <w:color w:val="auto"/>
                <w:lang w:val="es-DO" w:eastAsia="es-DO"/>
              </w:rPr>
            </w:pPr>
          </w:p>
        </w:tc>
      </w:tr>
      <w:tr w:rsidR="00140F45" w:rsidRPr="00B24A6B" w:rsidTr="007718C7">
        <w:trPr>
          <w:trHeight w:val="282"/>
          <w:jc w:val="center"/>
        </w:trPr>
        <w:tc>
          <w:tcPr>
            <w:tcW w:w="3119" w:type="dxa"/>
            <w:tcBorders>
              <w:top w:val="nil"/>
              <w:left w:val="single" w:sz="8" w:space="0" w:color="auto"/>
              <w:bottom w:val="single" w:sz="8" w:space="0" w:color="auto"/>
              <w:right w:val="single" w:sz="8" w:space="0" w:color="auto"/>
            </w:tcBorders>
            <w:shd w:val="clear" w:color="auto" w:fill="auto"/>
            <w:noWrap/>
            <w:vAlign w:val="center"/>
            <w:hideMark/>
          </w:tcPr>
          <w:p w:rsidR="00140F45" w:rsidRPr="00C7070C" w:rsidRDefault="00140F45" w:rsidP="007718C7">
            <w:pPr>
              <w:spacing w:line="240" w:lineRule="auto"/>
              <w:ind w:firstLine="0"/>
              <w:jc w:val="center"/>
              <w:rPr>
                <w:rFonts w:eastAsia="Times New Roman"/>
                <w:bCs/>
                <w:color w:val="auto"/>
                <w:lang w:val="es-DO" w:eastAsia="es-DO"/>
              </w:rPr>
            </w:pPr>
            <w:r w:rsidRPr="00C7070C">
              <w:rPr>
                <w:rFonts w:eastAsia="Times New Roman"/>
                <w:bCs/>
                <w:color w:val="auto"/>
                <w:lang w:val="es-DO" w:eastAsia="es-DO"/>
              </w:rPr>
              <w:t>Preventivo</w:t>
            </w:r>
          </w:p>
        </w:tc>
        <w:tc>
          <w:tcPr>
            <w:tcW w:w="1801" w:type="dxa"/>
            <w:tcBorders>
              <w:top w:val="nil"/>
              <w:left w:val="nil"/>
              <w:bottom w:val="single" w:sz="8" w:space="0" w:color="auto"/>
              <w:right w:val="single" w:sz="8" w:space="0" w:color="auto"/>
            </w:tcBorders>
            <w:shd w:val="clear" w:color="auto" w:fill="auto"/>
            <w:noWrap/>
            <w:vAlign w:val="center"/>
            <w:hideMark/>
          </w:tcPr>
          <w:p w:rsidR="00140F45" w:rsidRPr="00C7070C" w:rsidRDefault="00140F45" w:rsidP="007718C7">
            <w:pPr>
              <w:spacing w:line="240" w:lineRule="auto"/>
              <w:ind w:firstLine="0"/>
              <w:jc w:val="center"/>
              <w:rPr>
                <w:rFonts w:eastAsia="Times New Roman"/>
                <w:bCs/>
                <w:iCs/>
                <w:color w:val="auto"/>
                <w:lang w:val="es-DO" w:eastAsia="es-DO"/>
              </w:rPr>
            </w:pPr>
            <w:r w:rsidRPr="00C7070C">
              <w:rPr>
                <w:rFonts w:eastAsia="Times New Roman"/>
                <w:bCs/>
                <w:iCs/>
                <w:color w:val="auto"/>
                <w:lang w:eastAsia="es-DO"/>
              </w:rPr>
              <w:t>285,116,728.59</w:t>
            </w:r>
          </w:p>
        </w:tc>
        <w:tc>
          <w:tcPr>
            <w:tcW w:w="1767" w:type="dxa"/>
            <w:tcBorders>
              <w:top w:val="nil"/>
              <w:left w:val="nil"/>
              <w:bottom w:val="single" w:sz="8" w:space="0" w:color="auto"/>
              <w:right w:val="single" w:sz="8" w:space="0" w:color="auto"/>
            </w:tcBorders>
            <w:shd w:val="clear" w:color="auto" w:fill="auto"/>
            <w:noWrap/>
            <w:vAlign w:val="center"/>
            <w:hideMark/>
          </w:tcPr>
          <w:p w:rsidR="00140F45" w:rsidRPr="00C7070C" w:rsidRDefault="00140F45" w:rsidP="007718C7">
            <w:pPr>
              <w:spacing w:line="240" w:lineRule="auto"/>
              <w:ind w:firstLine="0"/>
              <w:jc w:val="center"/>
              <w:rPr>
                <w:rFonts w:eastAsia="Times New Roman"/>
                <w:bCs/>
                <w:color w:val="auto"/>
                <w:lang w:val="es-DO" w:eastAsia="es-DO"/>
              </w:rPr>
            </w:pPr>
            <w:r w:rsidRPr="00C7070C">
              <w:rPr>
                <w:rFonts w:eastAsia="Times New Roman"/>
                <w:bCs/>
                <w:color w:val="auto"/>
                <w:lang w:val="es-DO" w:eastAsia="es-DO"/>
              </w:rPr>
              <w:t>57%</w:t>
            </w:r>
          </w:p>
        </w:tc>
      </w:tr>
      <w:tr w:rsidR="00140F45" w:rsidRPr="00B24A6B" w:rsidTr="007718C7">
        <w:trPr>
          <w:trHeight w:val="161"/>
          <w:jc w:val="center"/>
        </w:trPr>
        <w:tc>
          <w:tcPr>
            <w:tcW w:w="3119"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140F45" w:rsidRPr="00C7070C" w:rsidRDefault="00140F45" w:rsidP="007718C7">
            <w:pPr>
              <w:spacing w:line="240" w:lineRule="auto"/>
              <w:ind w:firstLine="0"/>
              <w:jc w:val="center"/>
              <w:rPr>
                <w:rFonts w:eastAsia="Times New Roman"/>
                <w:bCs/>
                <w:color w:val="auto"/>
                <w:lang w:val="es-DO" w:eastAsia="es-DO"/>
              </w:rPr>
            </w:pPr>
            <w:r w:rsidRPr="00C7070C">
              <w:rPr>
                <w:rFonts w:eastAsia="Times New Roman"/>
                <w:bCs/>
                <w:color w:val="auto"/>
                <w:lang w:val="es-DO" w:eastAsia="es-DO"/>
              </w:rPr>
              <w:t>Presupuesto Disponible</w:t>
            </w:r>
          </w:p>
        </w:tc>
        <w:tc>
          <w:tcPr>
            <w:tcW w:w="1801" w:type="dxa"/>
            <w:tcBorders>
              <w:top w:val="single" w:sz="8" w:space="0" w:color="auto"/>
              <w:left w:val="nil"/>
              <w:bottom w:val="single" w:sz="4" w:space="0" w:color="auto"/>
              <w:right w:val="single" w:sz="8" w:space="0" w:color="auto"/>
            </w:tcBorders>
            <w:shd w:val="clear" w:color="auto" w:fill="auto"/>
            <w:noWrap/>
            <w:vAlign w:val="center"/>
            <w:hideMark/>
          </w:tcPr>
          <w:p w:rsidR="00140F45" w:rsidRPr="00C7070C" w:rsidRDefault="00140F45" w:rsidP="007718C7">
            <w:pPr>
              <w:spacing w:line="240" w:lineRule="auto"/>
              <w:ind w:firstLine="0"/>
              <w:jc w:val="center"/>
              <w:rPr>
                <w:rFonts w:eastAsia="Times New Roman"/>
                <w:bCs/>
                <w:iCs/>
                <w:color w:val="auto"/>
                <w:lang w:val="es-DO" w:eastAsia="es-DO"/>
              </w:rPr>
            </w:pPr>
            <w:r w:rsidRPr="00C7070C">
              <w:rPr>
                <w:rFonts w:eastAsia="Times New Roman"/>
                <w:bCs/>
                <w:iCs/>
                <w:color w:val="auto"/>
                <w:lang w:eastAsia="es-DO"/>
              </w:rPr>
              <w:t>211,795,651.43</w:t>
            </w:r>
          </w:p>
        </w:tc>
        <w:tc>
          <w:tcPr>
            <w:tcW w:w="1767" w:type="dxa"/>
            <w:tcBorders>
              <w:top w:val="single" w:sz="8" w:space="0" w:color="auto"/>
              <w:left w:val="nil"/>
              <w:bottom w:val="single" w:sz="4" w:space="0" w:color="auto"/>
              <w:right w:val="single" w:sz="8" w:space="0" w:color="auto"/>
            </w:tcBorders>
            <w:shd w:val="clear" w:color="auto" w:fill="auto"/>
            <w:noWrap/>
            <w:vAlign w:val="center"/>
            <w:hideMark/>
          </w:tcPr>
          <w:p w:rsidR="00140F45" w:rsidRPr="00C7070C" w:rsidRDefault="00140F45" w:rsidP="007718C7">
            <w:pPr>
              <w:spacing w:line="240" w:lineRule="auto"/>
              <w:ind w:firstLine="0"/>
              <w:jc w:val="center"/>
              <w:rPr>
                <w:rFonts w:eastAsia="Times New Roman"/>
                <w:bCs/>
                <w:color w:val="auto"/>
                <w:lang w:val="es-DO" w:eastAsia="es-DO"/>
              </w:rPr>
            </w:pPr>
            <w:r>
              <w:rPr>
                <w:rFonts w:eastAsia="Times New Roman"/>
                <w:bCs/>
                <w:color w:val="auto"/>
                <w:lang w:val="es-DO" w:eastAsia="es-DO"/>
              </w:rPr>
              <w:t>43%</w:t>
            </w:r>
          </w:p>
        </w:tc>
      </w:tr>
      <w:tr w:rsidR="00140F45" w:rsidRPr="00B24A6B" w:rsidTr="007718C7">
        <w:trPr>
          <w:trHeight w:val="330"/>
          <w:jc w:val="center"/>
        </w:trPr>
        <w:tc>
          <w:tcPr>
            <w:tcW w:w="3119"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140F45" w:rsidRPr="00C7070C" w:rsidRDefault="00140F45" w:rsidP="007718C7">
            <w:pPr>
              <w:spacing w:line="240" w:lineRule="auto"/>
              <w:ind w:firstLine="0"/>
              <w:jc w:val="center"/>
              <w:rPr>
                <w:rFonts w:eastAsia="Times New Roman"/>
                <w:bCs/>
                <w:color w:val="auto"/>
                <w:lang w:val="es-DO" w:eastAsia="es-DO"/>
              </w:rPr>
            </w:pPr>
            <w:r w:rsidRPr="00C7070C">
              <w:rPr>
                <w:rFonts w:eastAsia="Times New Roman"/>
                <w:bCs/>
                <w:color w:val="auto"/>
                <w:lang w:val="es-DO" w:eastAsia="es-DO"/>
              </w:rPr>
              <w:t>Libramiento</w:t>
            </w:r>
          </w:p>
        </w:tc>
        <w:tc>
          <w:tcPr>
            <w:tcW w:w="1801" w:type="dxa"/>
            <w:tcBorders>
              <w:top w:val="single" w:sz="4" w:space="0" w:color="auto"/>
              <w:left w:val="nil"/>
              <w:bottom w:val="single" w:sz="8" w:space="0" w:color="auto"/>
              <w:right w:val="single" w:sz="8" w:space="0" w:color="auto"/>
            </w:tcBorders>
            <w:shd w:val="clear" w:color="auto" w:fill="auto"/>
            <w:noWrap/>
            <w:vAlign w:val="center"/>
            <w:hideMark/>
          </w:tcPr>
          <w:p w:rsidR="00140F45" w:rsidRPr="00C7070C" w:rsidRDefault="00140F45" w:rsidP="007718C7">
            <w:pPr>
              <w:spacing w:line="240" w:lineRule="auto"/>
              <w:ind w:firstLine="0"/>
              <w:jc w:val="center"/>
              <w:rPr>
                <w:rFonts w:eastAsia="Times New Roman"/>
                <w:bCs/>
                <w:iCs/>
                <w:color w:val="auto"/>
                <w:lang w:val="es-DO" w:eastAsia="es-DO"/>
              </w:rPr>
            </w:pPr>
            <w:r w:rsidRPr="00C7070C">
              <w:rPr>
                <w:rFonts w:eastAsia="Times New Roman"/>
                <w:bCs/>
                <w:iCs/>
                <w:color w:val="auto"/>
                <w:lang w:val="es-DO" w:eastAsia="es-DO"/>
              </w:rPr>
              <w:t>199.027.590.27</w:t>
            </w:r>
          </w:p>
        </w:tc>
        <w:tc>
          <w:tcPr>
            <w:tcW w:w="1767" w:type="dxa"/>
            <w:tcBorders>
              <w:top w:val="single" w:sz="4" w:space="0" w:color="auto"/>
              <w:left w:val="nil"/>
              <w:bottom w:val="single" w:sz="8" w:space="0" w:color="auto"/>
              <w:right w:val="single" w:sz="8" w:space="0" w:color="auto"/>
            </w:tcBorders>
            <w:shd w:val="clear" w:color="auto" w:fill="auto"/>
            <w:noWrap/>
            <w:vAlign w:val="center"/>
            <w:hideMark/>
          </w:tcPr>
          <w:p w:rsidR="00140F45" w:rsidRPr="00C7070C" w:rsidRDefault="00140F45" w:rsidP="007718C7">
            <w:pPr>
              <w:spacing w:line="240" w:lineRule="auto"/>
              <w:ind w:firstLine="0"/>
              <w:jc w:val="center"/>
              <w:rPr>
                <w:rFonts w:eastAsia="Times New Roman"/>
                <w:bCs/>
                <w:color w:val="auto"/>
                <w:lang w:val="es-DO" w:eastAsia="es-DO"/>
              </w:rPr>
            </w:pPr>
            <w:r w:rsidRPr="00C7070C">
              <w:rPr>
                <w:rFonts w:eastAsia="Times New Roman"/>
                <w:bCs/>
                <w:color w:val="auto"/>
                <w:lang w:val="es-DO" w:eastAsia="es-DO"/>
              </w:rPr>
              <w:t>40%</w:t>
            </w:r>
          </w:p>
        </w:tc>
      </w:tr>
      <w:tr w:rsidR="00140F45" w:rsidRPr="00B24A6B" w:rsidTr="007718C7">
        <w:trPr>
          <w:trHeight w:val="266"/>
          <w:jc w:val="center"/>
        </w:trPr>
        <w:tc>
          <w:tcPr>
            <w:tcW w:w="3119" w:type="dxa"/>
            <w:tcBorders>
              <w:top w:val="nil"/>
              <w:left w:val="single" w:sz="8" w:space="0" w:color="auto"/>
              <w:bottom w:val="single" w:sz="8" w:space="0" w:color="auto"/>
              <w:right w:val="single" w:sz="8" w:space="0" w:color="auto"/>
            </w:tcBorders>
            <w:shd w:val="clear" w:color="auto" w:fill="auto"/>
            <w:noWrap/>
            <w:vAlign w:val="center"/>
            <w:hideMark/>
          </w:tcPr>
          <w:p w:rsidR="00140F45" w:rsidRPr="00C7070C" w:rsidRDefault="00140F45" w:rsidP="007718C7">
            <w:pPr>
              <w:spacing w:line="240" w:lineRule="auto"/>
              <w:ind w:firstLine="0"/>
              <w:jc w:val="center"/>
              <w:rPr>
                <w:rFonts w:eastAsia="Times New Roman"/>
                <w:bCs/>
                <w:color w:val="auto"/>
                <w:lang w:val="es-DO" w:eastAsia="es-DO"/>
              </w:rPr>
            </w:pPr>
            <w:r w:rsidRPr="00C7070C">
              <w:rPr>
                <w:rFonts w:eastAsia="Times New Roman"/>
                <w:bCs/>
                <w:color w:val="auto"/>
                <w:lang w:val="es-DO" w:eastAsia="es-DO"/>
              </w:rPr>
              <w:t>Pagado</w:t>
            </w:r>
          </w:p>
        </w:tc>
        <w:tc>
          <w:tcPr>
            <w:tcW w:w="1801" w:type="dxa"/>
            <w:tcBorders>
              <w:top w:val="nil"/>
              <w:left w:val="nil"/>
              <w:bottom w:val="single" w:sz="8" w:space="0" w:color="auto"/>
              <w:right w:val="single" w:sz="8" w:space="0" w:color="auto"/>
            </w:tcBorders>
            <w:shd w:val="clear" w:color="auto" w:fill="auto"/>
            <w:noWrap/>
            <w:vAlign w:val="center"/>
            <w:hideMark/>
          </w:tcPr>
          <w:p w:rsidR="00140F45" w:rsidRPr="00C7070C" w:rsidRDefault="00140F45" w:rsidP="007718C7">
            <w:pPr>
              <w:spacing w:line="240" w:lineRule="auto"/>
              <w:ind w:firstLine="0"/>
              <w:jc w:val="center"/>
              <w:rPr>
                <w:rFonts w:eastAsia="Times New Roman"/>
                <w:bCs/>
                <w:iCs/>
                <w:color w:val="auto"/>
                <w:lang w:val="es-DO" w:eastAsia="es-DO"/>
              </w:rPr>
            </w:pPr>
            <w:r w:rsidRPr="00C7070C">
              <w:rPr>
                <w:rFonts w:eastAsia="Times New Roman"/>
                <w:bCs/>
                <w:iCs/>
                <w:color w:val="auto"/>
                <w:lang w:val="es-DO" w:eastAsia="es-DO"/>
              </w:rPr>
              <w:t>193,459,871.41</w:t>
            </w:r>
          </w:p>
        </w:tc>
        <w:tc>
          <w:tcPr>
            <w:tcW w:w="1767" w:type="dxa"/>
            <w:tcBorders>
              <w:top w:val="nil"/>
              <w:left w:val="nil"/>
              <w:bottom w:val="single" w:sz="8" w:space="0" w:color="auto"/>
              <w:right w:val="single" w:sz="8" w:space="0" w:color="auto"/>
            </w:tcBorders>
            <w:shd w:val="clear" w:color="auto" w:fill="auto"/>
            <w:noWrap/>
            <w:vAlign w:val="center"/>
            <w:hideMark/>
          </w:tcPr>
          <w:p w:rsidR="00140F45" w:rsidRPr="00C7070C" w:rsidRDefault="00140F45" w:rsidP="007718C7">
            <w:pPr>
              <w:spacing w:line="240" w:lineRule="auto"/>
              <w:ind w:firstLine="0"/>
              <w:jc w:val="center"/>
              <w:rPr>
                <w:rFonts w:eastAsia="Times New Roman"/>
                <w:bCs/>
                <w:color w:val="auto"/>
                <w:lang w:val="es-DO" w:eastAsia="es-DO"/>
              </w:rPr>
            </w:pPr>
            <w:r w:rsidRPr="00C7070C">
              <w:rPr>
                <w:rFonts w:eastAsia="Times New Roman"/>
                <w:bCs/>
                <w:color w:val="auto"/>
                <w:lang w:val="es-DO" w:eastAsia="es-DO"/>
              </w:rPr>
              <w:t>39%</w:t>
            </w:r>
          </w:p>
        </w:tc>
      </w:tr>
      <w:tr w:rsidR="00140F45" w:rsidRPr="00B24A6B" w:rsidTr="007718C7">
        <w:trPr>
          <w:trHeight w:val="255"/>
          <w:jc w:val="center"/>
        </w:trPr>
        <w:tc>
          <w:tcPr>
            <w:tcW w:w="3119" w:type="dxa"/>
            <w:tcBorders>
              <w:top w:val="nil"/>
              <w:left w:val="single" w:sz="8" w:space="0" w:color="auto"/>
              <w:bottom w:val="single" w:sz="4" w:space="0" w:color="auto"/>
              <w:right w:val="single" w:sz="8" w:space="0" w:color="auto"/>
            </w:tcBorders>
            <w:shd w:val="clear" w:color="auto" w:fill="auto"/>
            <w:noWrap/>
            <w:vAlign w:val="center"/>
            <w:hideMark/>
          </w:tcPr>
          <w:p w:rsidR="00140F45" w:rsidRPr="00C7070C" w:rsidRDefault="00140F45" w:rsidP="007718C7">
            <w:pPr>
              <w:spacing w:line="240" w:lineRule="auto"/>
              <w:ind w:firstLine="0"/>
              <w:jc w:val="center"/>
              <w:rPr>
                <w:rFonts w:eastAsia="Times New Roman"/>
                <w:bCs/>
                <w:color w:val="auto"/>
                <w:lang w:val="es-DO" w:eastAsia="es-DO"/>
              </w:rPr>
            </w:pPr>
            <w:r w:rsidRPr="00C7070C">
              <w:rPr>
                <w:rFonts w:eastAsia="Times New Roman"/>
                <w:bCs/>
                <w:color w:val="auto"/>
                <w:lang w:val="es-DO" w:eastAsia="es-DO"/>
              </w:rPr>
              <w:t>Pendiente de pago</w:t>
            </w:r>
          </w:p>
        </w:tc>
        <w:tc>
          <w:tcPr>
            <w:tcW w:w="1801" w:type="dxa"/>
            <w:tcBorders>
              <w:top w:val="nil"/>
              <w:left w:val="nil"/>
              <w:bottom w:val="single" w:sz="8" w:space="0" w:color="auto"/>
              <w:right w:val="single" w:sz="8" w:space="0" w:color="auto"/>
            </w:tcBorders>
            <w:shd w:val="clear" w:color="auto" w:fill="auto"/>
            <w:noWrap/>
            <w:vAlign w:val="center"/>
          </w:tcPr>
          <w:p w:rsidR="00140F45" w:rsidRPr="00C7070C" w:rsidRDefault="00140F45" w:rsidP="007718C7">
            <w:pPr>
              <w:spacing w:line="240" w:lineRule="auto"/>
              <w:ind w:firstLine="0"/>
              <w:jc w:val="center"/>
              <w:rPr>
                <w:rFonts w:eastAsia="Times New Roman"/>
                <w:bCs/>
                <w:iCs/>
                <w:color w:val="auto"/>
                <w:lang w:val="es-DO" w:eastAsia="es-DO"/>
              </w:rPr>
            </w:pPr>
            <w:r>
              <w:rPr>
                <w:rFonts w:eastAsia="Times New Roman"/>
                <w:bCs/>
                <w:iCs/>
                <w:color w:val="auto"/>
                <w:lang w:val="es-DO" w:eastAsia="es-DO"/>
              </w:rPr>
              <w:t>5,567,718.86</w:t>
            </w:r>
          </w:p>
        </w:tc>
        <w:tc>
          <w:tcPr>
            <w:tcW w:w="1767" w:type="dxa"/>
            <w:tcBorders>
              <w:top w:val="nil"/>
              <w:left w:val="nil"/>
              <w:bottom w:val="single" w:sz="8" w:space="0" w:color="auto"/>
              <w:right w:val="single" w:sz="8" w:space="0" w:color="auto"/>
            </w:tcBorders>
            <w:shd w:val="clear" w:color="auto" w:fill="auto"/>
            <w:noWrap/>
            <w:vAlign w:val="center"/>
            <w:hideMark/>
          </w:tcPr>
          <w:p w:rsidR="00140F45" w:rsidRPr="00C7070C" w:rsidRDefault="00140F45" w:rsidP="007718C7">
            <w:pPr>
              <w:spacing w:line="240" w:lineRule="auto"/>
              <w:ind w:firstLine="0"/>
              <w:jc w:val="center"/>
              <w:rPr>
                <w:rFonts w:eastAsia="Times New Roman"/>
                <w:bCs/>
                <w:color w:val="auto"/>
                <w:lang w:val="es-DO" w:eastAsia="es-DO"/>
              </w:rPr>
            </w:pPr>
            <w:r w:rsidRPr="00C7070C">
              <w:rPr>
                <w:rFonts w:eastAsia="Times New Roman"/>
                <w:bCs/>
                <w:color w:val="auto"/>
                <w:lang w:val="es-DO" w:eastAsia="es-DO"/>
              </w:rPr>
              <w:t>1%</w:t>
            </w:r>
          </w:p>
        </w:tc>
      </w:tr>
      <w:tr w:rsidR="00140F45" w:rsidRPr="00B24A6B" w:rsidTr="007718C7">
        <w:trPr>
          <w:trHeight w:val="119"/>
          <w:jc w:val="center"/>
        </w:trPr>
        <w:tc>
          <w:tcPr>
            <w:tcW w:w="31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0F45" w:rsidRPr="0052381A" w:rsidRDefault="00140F45" w:rsidP="007718C7">
            <w:pPr>
              <w:spacing w:line="240" w:lineRule="auto"/>
              <w:ind w:firstLine="0"/>
              <w:jc w:val="center"/>
              <w:rPr>
                <w:rFonts w:eastAsia="Times New Roman"/>
                <w:b/>
                <w:bCs/>
                <w:color w:val="auto"/>
                <w:lang w:val="es-DO" w:eastAsia="es-DO"/>
              </w:rPr>
            </w:pPr>
            <w:r w:rsidRPr="0052381A">
              <w:rPr>
                <w:rFonts w:eastAsia="Times New Roman"/>
                <w:b/>
                <w:bCs/>
                <w:color w:val="auto"/>
                <w:lang w:val="es-DO" w:eastAsia="es-DO"/>
              </w:rPr>
              <w:t>Ejecución presupuestaria</w:t>
            </w:r>
          </w:p>
        </w:tc>
        <w:tc>
          <w:tcPr>
            <w:tcW w:w="3568" w:type="dxa"/>
            <w:gridSpan w:val="2"/>
            <w:tcBorders>
              <w:top w:val="single" w:sz="8" w:space="0" w:color="auto"/>
              <w:left w:val="single" w:sz="4" w:space="0" w:color="auto"/>
              <w:bottom w:val="single" w:sz="8" w:space="0" w:color="auto"/>
              <w:right w:val="single" w:sz="8" w:space="0" w:color="000000"/>
            </w:tcBorders>
            <w:shd w:val="clear" w:color="auto" w:fill="auto"/>
            <w:noWrap/>
            <w:vAlign w:val="center"/>
            <w:hideMark/>
          </w:tcPr>
          <w:p w:rsidR="00140F45" w:rsidRPr="0052381A" w:rsidRDefault="00140F45" w:rsidP="007718C7">
            <w:pPr>
              <w:spacing w:line="240" w:lineRule="auto"/>
              <w:ind w:firstLine="0"/>
              <w:jc w:val="center"/>
              <w:rPr>
                <w:rFonts w:eastAsia="Times New Roman"/>
                <w:b/>
                <w:bCs/>
                <w:color w:val="auto"/>
                <w:lang w:val="es-DO" w:eastAsia="es-DO"/>
              </w:rPr>
            </w:pPr>
            <w:r w:rsidRPr="0052381A">
              <w:rPr>
                <w:rFonts w:eastAsia="Times New Roman"/>
                <w:b/>
                <w:bCs/>
                <w:color w:val="auto"/>
                <w:lang w:val="es-DO" w:eastAsia="es-DO"/>
              </w:rPr>
              <w:t>40%</w:t>
            </w:r>
          </w:p>
        </w:tc>
      </w:tr>
    </w:tbl>
    <w:p w:rsidR="00140F45" w:rsidRDefault="00140F45" w:rsidP="002A0351">
      <w:pPr>
        <w:pStyle w:val="Normal1"/>
        <w:tabs>
          <w:tab w:val="left" w:pos="720"/>
        </w:tabs>
        <w:spacing w:after="200"/>
        <w:ind w:firstLine="0"/>
        <w:rPr>
          <w:rFonts w:ascii="Times New Roman" w:eastAsia="Times New Roman" w:hAnsi="Times New Roman" w:cs="Times New Roman"/>
          <w:color w:val="auto"/>
          <w:sz w:val="24"/>
          <w:szCs w:val="24"/>
          <w:lang w:val="es-DO"/>
        </w:rPr>
      </w:pPr>
    </w:p>
    <w:p w:rsidR="00B52262" w:rsidRPr="003A66C7" w:rsidRDefault="00B52262" w:rsidP="00640607">
      <w:pPr>
        <w:rPr>
          <w:lang w:eastAsia="es-DO"/>
        </w:rPr>
      </w:pPr>
      <w:r w:rsidRPr="003A66C7">
        <w:rPr>
          <w:lang w:eastAsia="es-DO"/>
        </w:rPr>
        <w:t xml:space="preserve">Al proyecto del Portal Transaccional le fueron asignados, ciento seis millones novecientos treinta y seis mil ochocientos cincuenta y seis pesos dominicanos con 00/00 (RD$106,936,856.00) de los cuales están disponibles, cincuenta y un millones novecientos cinco mil seiscientos treinta y nueve pesos dominicanos con 16/100 (RD$51,905,639.16), tomando en consideración que, de esta cantidad, treinta millones (RD$30,000,000.00) no son elegibles para gastos. Los compromisos asumidos ascienden a cincuenta y cinco millones treinta y </w:t>
      </w:r>
      <w:r w:rsidR="0052381A" w:rsidRPr="003A66C7">
        <w:rPr>
          <w:lang w:eastAsia="es-DO"/>
        </w:rPr>
        <w:t>un mil doscientos dieciséis pesos dominicanos</w:t>
      </w:r>
      <w:r w:rsidRPr="003A66C7">
        <w:rPr>
          <w:lang w:eastAsia="es-DO"/>
        </w:rPr>
        <w:t xml:space="preserve"> con 84/100 (RD$55,031,216.84), cifras estas al 30 de septiembre de 2019.</w:t>
      </w:r>
    </w:p>
    <w:tbl>
      <w:tblPr>
        <w:tblW w:w="8700" w:type="dxa"/>
        <w:jc w:val="center"/>
        <w:tblLayout w:type="fixed"/>
        <w:tblLook w:val="0400" w:firstRow="0" w:lastRow="0" w:firstColumn="0" w:lastColumn="0" w:noHBand="0" w:noVBand="1"/>
      </w:tblPr>
      <w:tblGrid>
        <w:gridCol w:w="3393"/>
        <w:gridCol w:w="2497"/>
        <w:gridCol w:w="2810"/>
      </w:tblGrid>
      <w:tr w:rsidR="00B52262" w:rsidRPr="00B52262" w:rsidTr="00B52262">
        <w:trPr>
          <w:trHeight w:val="425"/>
          <w:jc w:val="center"/>
        </w:trPr>
        <w:tc>
          <w:tcPr>
            <w:tcW w:w="3393" w:type="dxa"/>
            <w:tcBorders>
              <w:top w:val="single" w:sz="8" w:space="0" w:color="000000"/>
              <w:left w:val="single" w:sz="8" w:space="0" w:color="000000"/>
              <w:bottom w:val="single" w:sz="8" w:space="0" w:color="000000"/>
              <w:right w:val="single" w:sz="8" w:space="0" w:color="000000"/>
            </w:tcBorders>
            <w:shd w:val="clear" w:color="auto" w:fill="5B9BD5" w:themeFill="accent1"/>
            <w:vAlign w:val="center"/>
          </w:tcPr>
          <w:p w:rsidR="00B52262" w:rsidRPr="00B52262" w:rsidRDefault="00B52262" w:rsidP="00B25611">
            <w:pPr>
              <w:pStyle w:val="Normal1"/>
              <w:spacing w:line="240" w:lineRule="auto"/>
              <w:ind w:firstLine="0"/>
              <w:jc w:val="center"/>
              <w:rPr>
                <w:b/>
                <w:color w:val="FFFFFF" w:themeColor="background1"/>
                <w:lang w:val="es-DO"/>
              </w:rPr>
            </w:pPr>
            <w:r w:rsidRPr="00B52262">
              <w:rPr>
                <w:rFonts w:ascii="Times New Roman" w:eastAsia="Times New Roman" w:hAnsi="Times New Roman" w:cs="Times New Roman"/>
                <w:b/>
                <w:color w:val="FFFFFF" w:themeColor="background1"/>
                <w:sz w:val="24"/>
                <w:szCs w:val="24"/>
                <w:lang w:val="es-DO"/>
              </w:rPr>
              <w:t>Concepto</w:t>
            </w:r>
          </w:p>
        </w:tc>
        <w:tc>
          <w:tcPr>
            <w:tcW w:w="2497" w:type="dxa"/>
            <w:tcBorders>
              <w:top w:val="single" w:sz="8" w:space="0" w:color="000000"/>
              <w:left w:val="nil"/>
              <w:bottom w:val="single" w:sz="8" w:space="0" w:color="000000"/>
              <w:right w:val="single" w:sz="8" w:space="0" w:color="000000"/>
            </w:tcBorders>
            <w:shd w:val="clear" w:color="auto" w:fill="5B9BD5" w:themeFill="accent1"/>
            <w:vAlign w:val="center"/>
          </w:tcPr>
          <w:p w:rsidR="00B52262" w:rsidRPr="00B52262" w:rsidRDefault="00B52262" w:rsidP="00B25611">
            <w:pPr>
              <w:pStyle w:val="Normal1"/>
              <w:spacing w:line="240" w:lineRule="auto"/>
              <w:ind w:firstLine="0"/>
              <w:jc w:val="center"/>
              <w:rPr>
                <w:b/>
                <w:color w:val="FFFFFF" w:themeColor="background1"/>
                <w:lang w:val="es-DO"/>
              </w:rPr>
            </w:pPr>
            <w:r w:rsidRPr="00B52262">
              <w:rPr>
                <w:rFonts w:ascii="Times New Roman" w:eastAsia="Times New Roman" w:hAnsi="Times New Roman" w:cs="Times New Roman"/>
                <w:b/>
                <w:color w:val="FFFFFF" w:themeColor="background1"/>
                <w:sz w:val="24"/>
                <w:szCs w:val="24"/>
                <w:lang w:val="es-DO"/>
              </w:rPr>
              <w:t>Monto</w:t>
            </w:r>
          </w:p>
        </w:tc>
        <w:tc>
          <w:tcPr>
            <w:tcW w:w="2810" w:type="dxa"/>
            <w:tcBorders>
              <w:top w:val="single" w:sz="8" w:space="0" w:color="000000"/>
              <w:left w:val="nil"/>
              <w:bottom w:val="single" w:sz="8" w:space="0" w:color="000000"/>
              <w:right w:val="single" w:sz="8" w:space="0" w:color="000000"/>
            </w:tcBorders>
            <w:shd w:val="clear" w:color="auto" w:fill="5B9BD5" w:themeFill="accent1"/>
            <w:vAlign w:val="center"/>
          </w:tcPr>
          <w:p w:rsidR="00B52262" w:rsidRPr="00B52262" w:rsidRDefault="00B52262" w:rsidP="00B25611">
            <w:pPr>
              <w:pStyle w:val="Normal1"/>
              <w:spacing w:line="240" w:lineRule="auto"/>
              <w:ind w:firstLine="0"/>
              <w:jc w:val="center"/>
              <w:rPr>
                <w:b/>
                <w:color w:val="FFFFFF" w:themeColor="background1"/>
                <w:lang w:val="es-DO"/>
              </w:rPr>
            </w:pPr>
            <w:r w:rsidRPr="00B52262">
              <w:rPr>
                <w:rFonts w:ascii="Times New Roman" w:eastAsia="Times New Roman" w:hAnsi="Times New Roman" w:cs="Times New Roman"/>
                <w:b/>
                <w:color w:val="FFFFFF" w:themeColor="background1"/>
                <w:sz w:val="24"/>
                <w:szCs w:val="24"/>
                <w:lang w:val="es-DO"/>
              </w:rPr>
              <w:t>Porcentaje</w:t>
            </w:r>
          </w:p>
        </w:tc>
      </w:tr>
      <w:tr w:rsidR="00B52262" w:rsidRPr="00B52262" w:rsidTr="00B52262">
        <w:trPr>
          <w:trHeight w:val="329"/>
          <w:jc w:val="center"/>
        </w:trPr>
        <w:tc>
          <w:tcPr>
            <w:tcW w:w="3393" w:type="dxa"/>
            <w:tcBorders>
              <w:top w:val="nil"/>
              <w:left w:val="single" w:sz="8" w:space="0" w:color="000000"/>
              <w:bottom w:val="single" w:sz="8" w:space="0" w:color="000000"/>
              <w:right w:val="single" w:sz="8" w:space="0" w:color="000000"/>
            </w:tcBorders>
            <w:shd w:val="clear" w:color="auto" w:fill="FFFFFF"/>
            <w:vAlign w:val="center"/>
          </w:tcPr>
          <w:p w:rsidR="00B52262" w:rsidRPr="00B52262" w:rsidRDefault="00B52262" w:rsidP="00B25611">
            <w:pPr>
              <w:pStyle w:val="Normal1"/>
              <w:spacing w:line="240" w:lineRule="auto"/>
              <w:ind w:firstLine="0"/>
              <w:jc w:val="left"/>
              <w:rPr>
                <w:rFonts w:ascii="Times New Roman" w:hAnsi="Times New Roman" w:cs="Times New Roman"/>
                <w:color w:val="000000" w:themeColor="text1"/>
                <w:sz w:val="24"/>
                <w:szCs w:val="24"/>
                <w:lang w:val="es-DO"/>
              </w:rPr>
            </w:pPr>
            <w:r w:rsidRPr="00B52262">
              <w:rPr>
                <w:rFonts w:ascii="Times New Roman" w:eastAsia="Times New Roman" w:hAnsi="Times New Roman" w:cs="Times New Roman"/>
                <w:color w:val="000000" w:themeColor="text1"/>
                <w:sz w:val="24"/>
                <w:szCs w:val="24"/>
                <w:lang w:val="es-DO"/>
              </w:rPr>
              <w:t>Presupuesto Vigente</w:t>
            </w:r>
          </w:p>
        </w:tc>
        <w:tc>
          <w:tcPr>
            <w:tcW w:w="2497" w:type="dxa"/>
            <w:tcBorders>
              <w:top w:val="nil"/>
              <w:left w:val="nil"/>
              <w:bottom w:val="single" w:sz="8" w:space="0" w:color="000000"/>
              <w:right w:val="single" w:sz="8" w:space="0" w:color="000000"/>
            </w:tcBorders>
            <w:shd w:val="clear" w:color="auto" w:fill="FFFFFF"/>
            <w:vAlign w:val="center"/>
          </w:tcPr>
          <w:p w:rsidR="00B52262" w:rsidRPr="00B52262" w:rsidRDefault="00B52262" w:rsidP="00B52262">
            <w:pPr>
              <w:pStyle w:val="Normal1"/>
              <w:spacing w:line="240" w:lineRule="auto"/>
              <w:ind w:firstLine="0"/>
              <w:jc w:val="center"/>
              <w:rPr>
                <w:rFonts w:ascii="Times New Roman" w:eastAsia="Times New Roman" w:hAnsi="Times New Roman" w:cs="Times New Roman"/>
                <w:color w:val="000000" w:themeColor="text1"/>
                <w:sz w:val="24"/>
                <w:szCs w:val="24"/>
                <w:lang w:val="es-DO"/>
              </w:rPr>
            </w:pPr>
            <w:r w:rsidRPr="00B52262">
              <w:rPr>
                <w:rFonts w:ascii="Times New Roman" w:eastAsia="Times New Roman" w:hAnsi="Times New Roman" w:cs="Times New Roman"/>
                <w:color w:val="000000" w:themeColor="text1"/>
                <w:sz w:val="24"/>
                <w:szCs w:val="24"/>
                <w:lang w:val="es-DO"/>
              </w:rPr>
              <w:t>106,936,856.00</w:t>
            </w:r>
          </w:p>
        </w:tc>
        <w:tc>
          <w:tcPr>
            <w:tcW w:w="2810" w:type="dxa"/>
            <w:tcBorders>
              <w:top w:val="nil"/>
              <w:left w:val="nil"/>
              <w:bottom w:val="single" w:sz="8" w:space="0" w:color="000000"/>
              <w:right w:val="single" w:sz="8" w:space="0" w:color="000000"/>
            </w:tcBorders>
            <w:shd w:val="clear" w:color="auto" w:fill="FFFFFF"/>
            <w:vAlign w:val="center"/>
          </w:tcPr>
          <w:p w:rsidR="00B52262" w:rsidRPr="00B52262" w:rsidRDefault="00B52262" w:rsidP="00B52262">
            <w:pPr>
              <w:pStyle w:val="Normal1"/>
              <w:spacing w:line="240" w:lineRule="auto"/>
              <w:ind w:firstLine="0"/>
              <w:jc w:val="left"/>
              <w:rPr>
                <w:rFonts w:ascii="Times New Roman" w:eastAsia="Times New Roman" w:hAnsi="Times New Roman" w:cs="Times New Roman"/>
                <w:color w:val="000000" w:themeColor="text1"/>
                <w:sz w:val="24"/>
                <w:szCs w:val="24"/>
                <w:lang w:val="es-DO"/>
              </w:rPr>
            </w:pPr>
          </w:p>
        </w:tc>
      </w:tr>
      <w:tr w:rsidR="00B52262" w:rsidRPr="00B52262" w:rsidTr="00B52262">
        <w:trPr>
          <w:trHeight w:val="425"/>
          <w:jc w:val="center"/>
        </w:trPr>
        <w:tc>
          <w:tcPr>
            <w:tcW w:w="3393" w:type="dxa"/>
            <w:tcBorders>
              <w:top w:val="nil"/>
              <w:left w:val="single" w:sz="8" w:space="0" w:color="000000"/>
              <w:bottom w:val="single" w:sz="8" w:space="0" w:color="000000"/>
              <w:right w:val="single" w:sz="8" w:space="0" w:color="000000"/>
            </w:tcBorders>
            <w:shd w:val="clear" w:color="auto" w:fill="FFFFFF"/>
            <w:vAlign w:val="center"/>
          </w:tcPr>
          <w:p w:rsidR="00B52262" w:rsidRPr="00B52262" w:rsidRDefault="00B52262" w:rsidP="00B25611">
            <w:pPr>
              <w:pStyle w:val="Normal1"/>
              <w:spacing w:line="240" w:lineRule="auto"/>
              <w:ind w:firstLine="0"/>
              <w:jc w:val="left"/>
              <w:rPr>
                <w:rFonts w:ascii="Times New Roman" w:eastAsia="Times New Roman" w:hAnsi="Times New Roman" w:cs="Times New Roman"/>
                <w:color w:val="000000" w:themeColor="text1"/>
                <w:sz w:val="24"/>
                <w:szCs w:val="24"/>
                <w:lang w:val="es-DO"/>
              </w:rPr>
            </w:pPr>
            <w:r w:rsidRPr="00B52262">
              <w:rPr>
                <w:rFonts w:ascii="Times New Roman" w:eastAsia="Times New Roman" w:hAnsi="Times New Roman" w:cs="Times New Roman"/>
                <w:color w:val="000000" w:themeColor="text1"/>
                <w:sz w:val="24"/>
                <w:szCs w:val="24"/>
                <w:lang w:val="es-DO"/>
              </w:rPr>
              <w:t>Preventivo</w:t>
            </w:r>
          </w:p>
        </w:tc>
        <w:tc>
          <w:tcPr>
            <w:tcW w:w="2497" w:type="dxa"/>
            <w:tcBorders>
              <w:top w:val="nil"/>
              <w:left w:val="nil"/>
              <w:bottom w:val="single" w:sz="8" w:space="0" w:color="000000"/>
              <w:right w:val="single" w:sz="8" w:space="0" w:color="000000"/>
            </w:tcBorders>
            <w:shd w:val="clear" w:color="auto" w:fill="FFFFFF"/>
            <w:vAlign w:val="center"/>
          </w:tcPr>
          <w:p w:rsidR="00B52262" w:rsidRPr="00B52262" w:rsidRDefault="00B52262" w:rsidP="00B25611">
            <w:pPr>
              <w:pStyle w:val="Normal1"/>
              <w:spacing w:line="240" w:lineRule="auto"/>
              <w:ind w:firstLine="0"/>
              <w:jc w:val="center"/>
              <w:rPr>
                <w:rFonts w:ascii="Times New Roman" w:eastAsia="Times New Roman" w:hAnsi="Times New Roman" w:cs="Times New Roman"/>
                <w:color w:val="000000" w:themeColor="text1"/>
                <w:sz w:val="24"/>
                <w:szCs w:val="24"/>
                <w:lang w:val="es-DO"/>
              </w:rPr>
            </w:pPr>
            <w:r w:rsidRPr="00B52262">
              <w:rPr>
                <w:rFonts w:ascii="Times New Roman" w:eastAsia="Times New Roman" w:hAnsi="Times New Roman" w:cs="Times New Roman"/>
                <w:color w:val="000000" w:themeColor="text1"/>
                <w:sz w:val="24"/>
                <w:szCs w:val="24"/>
                <w:lang w:val="es-DO"/>
              </w:rPr>
              <w:t>93,253,886.02</w:t>
            </w:r>
          </w:p>
        </w:tc>
        <w:tc>
          <w:tcPr>
            <w:tcW w:w="2810" w:type="dxa"/>
            <w:tcBorders>
              <w:top w:val="nil"/>
              <w:left w:val="nil"/>
              <w:bottom w:val="single" w:sz="8" w:space="0" w:color="000000"/>
              <w:right w:val="single" w:sz="8" w:space="0" w:color="000000"/>
            </w:tcBorders>
            <w:shd w:val="clear" w:color="auto" w:fill="FFFFFF"/>
            <w:vAlign w:val="center"/>
          </w:tcPr>
          <w:p w:rsidR="00B52262" w:rsidRPr="00B52262" w:rsidRDefault="00B52262" w:rsidP="00B25611">
            <w:pPr>
              <w:pStyle w:val="Normal1"/>
              <w:spacing w:line="240" w:lineRule="auto"/>
              <w:ind w:firstLine="0"/>
              <w:jc w:val="center"/>
              <w:rPr>
                <w:rFonts w:ascii="Times New Roman" w:eastAsia="Times New Roman" w:hAnsi="Times New Roman" w:cs="Times New Roman"/>
                <w:color w:val="000000" w:themeColor="text1"/>
                <w:sz w:val="24"/>
                <w:szCs w:val="24"/>
                <w:lang w:val="es-DO"/>
              </w:rPr>
            </w:pPr>
            <w:r w:rsidRPr="00B52262">
              <w:rPr>
                <w:rFonts w:ascii="Times New Roman" w:eastAsia="Times New Roman" w:hAnsi="Times New Roman" w:cs="Times New Roman"/>
                <w:color w:val="000000" w:themeColor="text1"/>
                <w:sz w:val="24"/>
                <w:szCs w:val="24"/>
                <w:lang w:val="es-DO"/>
              </w:rPr>
              <w:t>57%</w:t>
            </w:r>
          </w:p>
        </w:tc>
      </w:tr>
      <w:tr w:rsidR="00B52262" w:rsidRPr="00B52262" w:rsidTr="00B52262">
        <w:trPr>
          <w:trHeight w:val="425"/>
          <w:jc w:val="center"/>
        </w:trPr>
        <w:tc>
          <w:tcPr>
            <w:tcW w:w="3393" w:type="dxa"/>
            <w:tcBorders>
              <w:top w:val="nil"/>
              <w:left w:val="single" w:sz="8" w:space="0" w:color="000000"/>
              <w:bottom w:val="single" w:sz="8" w:space="0" w:color="000000"/>
              <w:right w:val="single" w:sz="8" w:space="0" w:color="000000"/>
            </w:tcBorders>
            <w:shd w:val="clear" w:color="auto" w:fill="FFFFFF"/>
            <w:vAlign w:val="center"/>
          </w:tcPr>
          <w:p w:rsidR="00B52262" w:rsidRPr="00B52262" w:rsidRDefault="00B52262" w:rsidP="00B25611">
            <w:pPr>
              <w:pStyle w:val="Normal1"/>
              <w:spacing w:line="240" w:lineRule="auto"/>
              <w:ind w:firstLine="0"/>
              <w:jc w:val="left"/>
              <w:rPr>
                <w:rFonts w:ascii="Times New Roman" w:eastAsia="Times New Roman" w:hAnsi="Times New Roman" w:cs="Times New Roman"/>
                <w:color w:val="000000" w:themeColor="text1"/>
                <w:sz w:val="24"/>
                <w:szCs w:val="24"/>
                <w:lang w:val="es-DO"/>
              </w:rPr>
            </w:pPr>
            <w:r w:rsidRPr="00B52262">
              <w:rPr>
                <w:rFonts w:ascii="Times New Roman" w:eastAsia="Times New Roman" w:hAnsi="Times New Roman" w:cs="Times New Roman"/>
                <w:color w:val="000000" w:themeColor="text1"/>
                <w:sz w:val="24"/>
                <w:szCs w:val="24"/>
                <w:lang w:val="es-DO"/>
              </w:rPr>
              <w:t>Presupuesto Disponible</w:t>
            </w:r>
          </w:p>
        </w:tc>
        <w:tc>
          <w:tcPr>
            <w:tcW w:w="2497" w:type="dxa"/>
            <w:tcBorders>
              <w:top w:val="nil"/>
              <w:left w:val="nil"/>
              <w:bottom w:val="single" w:sz="8" w:space="0" w:color="000000"/>
              <w:right w:val="single" w:sz="8" w:space="0" w:color="000000"/>
            </w:tcBorders>
            <w:shd w:val="clear" w:color="auto" w:fill="FFFFFF"/>
            <w:vAlign w:val="center"/>
          </w:tcPr>
          <w:p w:rsidR="00B52262" w:rsidRPr="00B52262" w:rsidRDefault="00B52262" w:rsidP="00B52262">
            <w:pPr>
              <w:pStyle w:val="Normal1"/>
              <w:spacing w:line="240" w:lineRule="auto"/>
              <w:ind w:firstLine="0"/>
              <w:jc w:val="center"/>
              <w:rPr>
                <w:rFonts w:ascii="Times New Roman" w:eastAsia="Times New Roman" w:hAnsi="Times New Roman" w:cs="Times New Roman"/>
                <w:color w:val="000000" w:themeColor="text1"/>
                <w:sz w:val="24"/>
                <w:szCs w:val="24"/>
                <w:lang w:val="es-DO"/>
              </w:rPr>
            </w:pPr>
            <w:r w:rsidRPr="00B52262">
              <w:rPr>
                <w:rFonts w:ascii="Times New Roman" w:eastAsia="Times New Roman" w:hAnsi="Times New Roman" w:cs="Times New Roman"/>
                <w:color w:val="000000" w:themeColor="text1"/>
                <w:sz w:val="24"/>
                <w:szCs w:val="24"/>
                <w:lang w:val="es-DO"/>
              </w:rPr>
              <w:t>51,905639.16</w:t>
            </w:r>
          </w:p>
        </w:tc>
        <w:tc>
          <w:tcPr>
            <w:tcW w:w="2810" w:type="dxa"/>
            <w:tcBorders>
              <w:top w:val="nil"/>
              <w:left w:val="nil"/>
              <w:bottom w:val="single" w:sz="8" w:space="0" w:color="000000"/>
              <w:right w:val="single" w:sz="8" w:space="0" w:color="000000"/>
            </w:tcBorders>
            <w:shd w:val="clear" w:color="auto" w:fill="FFFFFF"/>
            <w:vAlign w:val="center"/>
          </w:tcPr>
          <w:p w:rsidR="00B52262" w:rsidRPr="00B52262" w:rsidRDefault="00B52262" w:rsidP="00B52262">
            <w:pPr>
              <w:pStyle w:val="Normal1"/>
              <w:spacing w:line="240" w:lineRule="auto"/>
              <w:ind w:firstLine="0"/>
              <w:jc w:val="center"/>
              <w:rPr>
                <w:rFonts w:ascii="Times New Roman" w:eastAsia="Times New Roman" w:hAnsi="Times New Roman" w:cs="Times New Roman"/>
                <w:color w:val="000000" w:themeColor="text1"/>
                <w:sz w:val="24"/>
                <w:szCs w:val="24"/>
                <w:lang w:val="es-DO"/>
              </w:rPr>
            </w:pPr>
            <w:r w:rsidRPr="00B52262">
              <w:rPr>
                <w:rFonts w:ascii="Times New Roman" w:eastAsia="Times New Roman" w:hAnsi="Times New Roman" w:cs="Times New Roman"/>
                <w:color w:val="000000" w:themeColor="text1"/>
                <w:sz w:val="24"/>
                <w:szCs w:val="24"/>
                <w:lang w:val="es-DO"/>
              </w:rPr>
              <w:t>43%</w:t>
            </w:r>
          </w:p>
        </w:tc>
      </w:tr>
      <w:tr w:rsidR="00B52262" w:rsidRPr="00B52262" w:rsidTr="00B52262">
        <w:trPr>
          <w:trHeight w:val="425"/>
          <w:jc w:val="center"/>
        </w:trPr>
        <w:tc>
          <w:tcPr>
            <w:tcW w:w="3393" w:type="dxa"/>
            <w:tcBorders>
              <w:top w:val="nil"/>
              <w:left w:val="single" w:sz="8" w:space="0" w:color="000000"/>
              <w:bottom w:val="single" w:sz="8" w:space="0" w:color="000000"/>
              <w:right w:val="single" w:sz="8" w:space="0" w:color="000000"/>
            </w:tcBorders>
            <w:shd w:val="clear" w:color="auto" w:fill="FFFFFF"/>
            <w:vAlign w:val="center"/>
          </w:tcPr>
          <w:p w:rsidR="00B52262" w:rsidRPr="00B52262" w:rsidRDefault="00B52262" w:rsidP="00B25611">
            <w:pPr>
              <w:pStyle w:val="Normal1"/>
              <w:spacing w:line="240" w:lineRule="auto"/>
              <w:ind w:firstLine="0"/>
              <w:jc w:val="left"/>
              <w:rPr>
                <w:rFonts w:ascii="Times New Roman" w:eastAsia="Times New Roman" w:hAnsi="Times New Roman" w:cs="Times New Roman"/>
                <w:color w:val="000000" w:themeColor="text1"/>
                <w:sz w:val="24"/>
                <w:szCs w:val="24"/>
                <w:lang w:val="es-DO"/>
              </w:rPr>
            </w:pPr>
            <w:r w:rsidRPr="00B52262">
              <w:rPr>
                <w:rFonts w:ascii="Times New Roman" w:eastAsia="Times New Roman" w:hAnsi="Times New Roman" w:cs="Times New Roman"/>
                <w:color w:val="000000" w:themeColor="text1"/>
                <w:sz w:val="24"/>
                <w:szCs w:val="24"/>
                <w:lang w:val="es-DO"/>
              </w:rPr>
              <w:t>Libramiento</w:t>
            </w:r>
          </w:p>
        </w:tc>
        <w:tc>
          <w:tcPr>
            <w:tcW w:w="2497" w:type="dxa"/>
            <w:tcBorders>
              <w:top w:val="nil"/>
              <w:left w:val="nil"/>
              <w:bottom w:val="single" w:sz="8" w:space="0" w:color="000000"/>
              <w:right w:val="single" w:sz="8" w:space="0" w:color="000000"/>
            </w:tcBorders>
            <w:shd w:val="clear" w:color="auto" w:fill="FFFFFF"/>
            <w:vAlign w:val="center"/>
          </w:tcPr>
          <w:p w:rsidR="00B52262" w:rsidRPr="00B52262" w:rsidRDefault="00B52262" w:rsidP="00B25611">
            <w:pPr>
              <w:pStyle w:val="Normal1"/>
              <w:spacing w:line="240" w:lineRule="auto"/>
              <w:ind w:firstLine="0"/>
              <w:jc w:val="center"/>
              <w:rPr>
                <w:rFonts w:ascii="Times New Roman" w:eastAsia="Times New Roman" w:hAnsi="Times New Roman" w:cs="Times New Roman"/>
                <w:color w:val="000000" w:themeColor="text1"/>
                <w:sz w:val="24"/>
                <w:szCs w:val="24"/>
                <w:lang w:val="es-DO"/>
              </w:rPr>
            </w:pPr>
            <w:r w:rsidRPr="00B52262">
              <w:rPr>
                <w:rFonts w:ascii="Times New Roman" w:eastAsia="Times New Roman" w:hAnsi="Times New Roman" w:cs="Times New Roman"/>
                <w:color w:val="000000" w:themeColor="text1"/>
                <w:sz w:val="24"/>
                <w:szCs w:val="24"/>
                <w:lang w:val="es-DO"/>
              </w:rPr>
              <w:t>22,520,218.88</w:t>
            </w:r>
          </w:p>
        </w:tc>
        <w:tc>
          <w:tcPr>
            <w:tcW w:w="2810" w:type="dxa"/>
            <w:tcBorders>
              <w:top w:val="nil"/>
              <w:left w:val="nil"/>
              <w:bottom w:val="single" w:sz="8" w:space="0" w:color="000000"/>
              <w:right w:val="single" w:sz="8" w:space="0" w:color="000000"/>
            </w:tcBorders>
            <w:shd w:val="clear" w:color="auto" w:fill="FFFFFF"/>
            <w:vAlign w:val="center"/>
          </w:tcPr>
          <w:p w:rsidR="00B52262" w:rsidRPr="00B52262" w:rsidRDefault="00B52262" w:rsidP="00B25611">
            <w:pPr>
              <w:pStyle w:val="Normal1"/>
              <w:spacing w:line="240" w:lineRule="auto"/>
              <w:ind w:firstLine="0"/>
              <w:jc w:val="center"/>
              <w:rPr>
                <w:rFonts w:ascii="Times New Roman" w:eastAsia="Times New Roman" w:hAnsi="Times New Roman" w:cs="Times New Roman"/>
                <w:color w:val="000000" w:themeColor="text1"/>
                <w:sz w:val="24"/>
                <w:szCs w:val="24"/>
                <w:lang w:val="es-DO"/>
              </w:rPr>
            </w:pPr>
            <w:r w:rsidRPr="00B52262">
              <w:rPr>
                <w:rFonts w:ascii="Times New Roman" w:eastAsia="Times New Roman" w:hAnsi="Times New Roman" w:cs="Times New Roman"/>
                <w:color w:val="000000" w:themeColor="text1"/>
                <w:sz w:val="24"/>
                <w:szCs w:val="24"/>
                <w:lang w:val="es-DO"/>
              </w:rPr>
              <w:t>37%</w:t>
            </w:r>
          </w:p>
        </w:tc>
      </w:tr>
      <w:tr w:rsidR="00B52262" w:rsidRPr="00B52262" w:rsidTr="00B52262">
        <w:trPr>
          <w:trHeight w:val="425"/>
          <w:jc w:val="center"/>
        </w:trPr>
        <w:tc>
          <w:tcPr>
            <w:tcW w:w="3393" w:type="dxa"/>
            <w:tcBorders>
              <w:top w:val="nil"/>
              <w:left w:val="single" w:sz="8" w:space="0" w:color="000000"/>
              <w:bottom w:val="single" w:sz="8" w:space="0" w:color="000000"/>
              <w:right w:val="single" w:sz="8" w:space="0" w:color="000000"/>
            </w:tcBorders>
            <w:shd w:val="clear" w:color="auto" w:fill="FFFFFF"/>
            <w:vAlign w:val="center"/>
          </w:tcPr>
          <w:p w:rsidR="00B52262" w:rsidRPr="00B52262" w:rsidRDefault="00B52262" w:rsidP="00B25611">
            <w:pPr>
              <w:pStyle w:val="Normal1"/>
              <w:spacing w:line="240" w:lineRule="auto"/>
              <w:ind w:firstLine="0"/>
              <w:jc w:val="left"/>
              <w:rPr>
                <w:rFonts w:ascii="Times New Roman" w:eastAsia="Times New Roman" w:hAnsi="Times New Roman" w:cs="Times New Roman"/>
                <w:color w:val="000000" w:themeColor="text1"/>
                <w:sz w:val="24"/>
                <w:szCs w:val="24"/>
                <w:lang w:val="es-DO"/>
              </w:rPr>
            </w:pPr>
            <w:r w:rsidRPr="00B52262">
              <w:rPr>
                <w:rFonts w:ascii="Times New Roman" w:eastAsia="Times New Roman" w:hAnsi="Times New Roman" w:cs="Times New Roman"/>
                <w:color w:val="000000" w:themeColor="text1"/>
                <w:sz w:val="24"/>
                <w:szCs w:val="24"/>
                <w:lang w:val="es-DO"/>
              </w:rPr>
              <w:t>Pagado</w:t>
            </w:r>
          </w:p>
        </w:tc>
        <w:tc>
          <w:tcPr>
            <w:tcW w:w="2497" w:type="dxa"/>
            <w:tcBorders>
              <w:top w:val="nil"/>
              <w:left w:val="nil"/>
              <w:bottom w:val="single" w:sz="8" w:space="0" w:color="000000"/>
              <w:right w:val="single" w:sz="8" w:space="0" w:color="000000"/>
            </w:tcBorders>
            <w:shd w:val="clear" w:color="auto" w:fill="FFFFFF"/>
            <w:vAlign w:val="center"/>
          </w:tcPr>
          <w:p w:rsidR="00B52262" w:rsidRPr="00B52262" w:rsidRDefault="00B52262" w:rsidP="00B52262">
            <w:pPr>
              <w:pStyle w:val="Normal1"/>
              <w:spacing w:line="240" w:lineRule="auto"/>
              <w:ind w:firstLine="0"/>
              <w:jc w:val="center"/>
              <w:rPr>
                <w:rFonts w:ascii="Times New Roman" w:eastAsia="Times New Roman" w:hAnsi="Times New Roman" w:cs="Times New Roman"/>
                <w:color w:val="000000" w:themeColor="text1"/>
                <w:sz w:val="24"/>
                <w:szCs w:val="24"/>
                <w:lang w:val="es-DO"/>
              </w:rPr>
            </w:pPr>
            <w:r w:rsidRPr="00B52262">
              <w:rPr>
                <w:rFonts w:ascii="Times New Roman" w:eastAsia="Times New Roman" w:hAnsi="Times New Roman" w:cs="Times New Roman"/>
                <w:color w:val="000000" w:themeColor="text1"/>
                <w:sz w:val="24"/>
                <w:szCs w:val="24"/>
                <w:lang w:val="es-DO"/>
              </w:rPr>
              <w:t>22,520,218.88</w:t>
            </w:r>
          </w:p>
        </w:tc>
        <w:tc>
          <w:tcPr>
            <w:tcW w:w="2810" w:type="dxa"/>
            <w:tcBorders>
              <w:top w:val="nil"/>
              <w:left w:val="nil"/>
              <w:bottom w:val="single" w:sz="8" w:space="0" w:color="000000"/>
              <w:right w:val="single" w:sz="8" w:space="0" w:color="000000"/>
            </w:tcBorders>
            <w:shd w:val="clear" w:color="auto" w:fill="FFFFFF"/>
            <w:vAlign w:val="center"/>
          </w:tcPr>
          <w:p w:rsidR="00B52262" w:rsidRPr="00B52262" w:rsidRDefault="00B52262" w:rsidP="00B25611">
            <w:pPr>
              <w:pStyle w:val="Normal1"/>
              <w:spacing w:line="240" w:lineRule="auto"/>
              <w:ind w:firstLine="0"/>
              <w:jc w:val="center"/>
              <w:rPr>
                <w:rFonts w:ascii="Times New Roman" w:eastAsia="Times New Roman" w:hAnsi="Times New Roman" w:cs="Times New Roman"/>
                <w:color w:val="000000" w:themeColor="text1"/>
                <w:sz w:val="24"/>
                <w:szCs w:val="24"/>
                <w:lang w:val="es-DO"/>
              </w:rPr>
            </w:pPr>
            <w:r w:rsidRPr="00B52262">
              <w:rPr>
                <w:rFonts w:ascii="Times New Roman" w:eastAsia="Times New Roman" w:hAnsi="Times New Roman" w:cs="Times New Roman"/>
                <w:color w:val="000000" w:themeColor="text1"/>
                <w:sz w:val="24"/>
                <w:szCs w:val="24"/>
                <w:lang w:val="es-DO"/>
              </w:rPr>
              <w:t>23%</w:t>
            </w:r>
          </w:p>
        </w:tc>
      </w:tr>
      <w:tr w:rsidR="00B52262" w:rsidRPr="00B52262" w:rsidTr="00B52262">
        <w:trPr>
          <w:trHeight w:val="425"/>
          <w:jc w:val="center"/>
        </w:trPr>
        <w:tc>
          <w:tcPr>
            <w:tcW w:w="3393" w:type="dxa"/>
            <w:tcBorders>
              <w:top w:val="nil"/>
              <w:left w:val="single" w:sz="8" w:space="0" w:color="000000"/>
              <w:bottom w:val="single" w:sz="8" w:space="0" w:color="000000"/>
              <w:right w:val="single" w:sz="8" w:space="0" w:color="000000"/>
            </w:tcBorders>
            <w:shd w:val="clear" w:color="auto" w:fill="FFFFFF"/>
            <w:vAlign w:val="center"/>
          </w:tcPr>
          <w:p w:rsidR="00B52262" w:rsidRPr="00B52262" w:rsidRDefault="00B52262" w:rsidP="00B25611">
            <w:pPr>
              <w:pStyle w:val="Normal1"/>
              <w:spacing w:line="240" w:lineRule="auto"/>
              <w:ind w:firstLine="0"/>
              <w:jc w:val="left"/>
              <w:rPr>
                <w:rFonts w:ascii="Times New Roman" w:eastAsia="Times New Roman" w:hAnsi="Times New Roman" w:cs="Times New Roman"/>
                <w:color w:val="000000" w:themeColor="text1"/>
                <w:sz w:val="24"/>
                <w:szCs w:val="24"/>
                <w:lang w:val="es-DO"/>
              </w:rPr>
            </w:pPr>
            <w:r w:rsidRPr="00B52262">
              <w:rPr>
                <w:rFonts w:ascii="Times New Roman" w:eastAsia="Times New Roman" w:hAnsi="Times New Roman" w:cs="Times New Roman"/>
                <w:color w:val="000000" w:themeColor="text1"/>
                <w:sz w:val="24"/>
                <w:szCs w:val="24"/>
                <w:lang w:val="es-DO"/>
              </w:rPr>
              <w:t>Pendiente de pago</w:t>
            </w:r>
          </w:p>
        </w:tc>
        <w:tc>
          <w:tcPr>
            <w:tcW w:w="2497" w:type="dxa"/>
            <w:tcBorders>
              <w:top w:val="nil"/>
              <w:left w:val="nil"/>
              <w:bottom w:val="single" w:sz="8" w:space="0" w:color="000000"/>
              <w:right w:val="single" w:sz="8" w:space="0" w:color="000000"/>
            </w:tcBorders>
            <w:shd w:val="clear" w:color="auto" w:fill="FFFFFF"/>
            <w:vAlign w:val="center"/>
          </w:tcPr>
          <w:p w:rsidR="00B52262" w:rsidRPr="00B52262" w:rsidRDefault="00B52262" w:rsidP="00B52262">
            <w:pPr>
              <w:pStyle w:val="Normal1"/>
              <w:spacing w:line="240" w:lineRule="auto"/>
              <w:ind w:firstLine="0"/>
              <w:jc w:val="center"/>
              <w:rPr>
                <w:rFonts w:ascii="Times New Roman" w:eastAsia="Times New Roman" w:hAnsi="Times New Roman" w:cs="Times New Roman"/>
                <w:color w:val="000000" w:themeColor="text1"/>
                <w:sz w:val="24"/>
                <w:szCs w:val="24"/>
                <w:lang w:val="es-DO"/>
              </w:rPr>
            </w:pPr>
            <w:r w:rsidRPr="00B52262">
              <w:rPr>
                <w:rFonts w:ascii="Times New Roman" w:eastAsia="Times New Roman" w:hAnsi="Times New Roman" w:cs="Times New Roman"/>
                <w:color w:val="000000" w:themeColor="text1"/>
                <w:sz w:val="24"/>
                <w:szCs w:val="24"/>
                <w:lang w:val="es-DO"/>
              </w:rPr>
              <w:t>0.00</w:t>
            </w:r>
          </w:p>
        </w:tc>
        <w:tc>
          <w:tcPr>
            <w:tcW w:w="2810" w:type="dxa"/>
            <w:tcBorders>
              <w:top w:val="nil"/>
              <w:left w:val="nil"/>
              <w:bottom w:val="single" w:sz="8" w:space="0" w:color="000000"/>
              <w:right w:val="single" w:sz="8" w:space="0" w:color="000000"/>
            </w:tcBorders>
            <w:shd w:val="clear" w:color="auto" w:fill="FFFFFF"/>
            <w:vAlign w:val="center"/>
          </w:tcPr>
          <w:p w:rsidR="00B52262" w:rsidRPr="00B52262" w:rsidRDefault="00B52262" w:rsidP="00B25611">
            <w:pPr>
              <w:pStyle w:val="Normal1"/>
              <w:spacing w:line="240" w:lineRule="auto"/>
              <w:ind w:firstLine="0"/>
              <w:jc w:val="center"/>
              <w:rPr>
                <w:rFonts w:ascii="Times New Roman" w:eastAsia="Times New Roman" w:hAnsi="Times New Roman" w:cs="Times New Roman"/>
                <w:color w:val="000000" w:themeColor="text1"/>
                <w:sz w:val="24"/>
                <w:szCs w:val="24"/>
                <w:lang w:val="es-DO"/>
              </w:rPr>
            </w:pPr>
            <w:r w:rsidRPr="00B52262">
              <w:rPr>
                <w:rFonts w:ascii="Times New Roman" w:eastAsia="Times New Roman" w:hAnsi="Times New Roman" w:cs="Times New Roman"/>
                <w:color w:val="000000" w:themeColor="text1"/>
                <w:sz w:val="24"/>
                <w:szCs w:val="24"/>
                <w:lang w:val="es-DO"/>
              </w:rPr>
              <w:t>35%</w:t>
            </w:r>
          </w:p>
        </w:tc>
      </w:tr>
      <w:tr w:rsidR="00B52262" w:rsidRPr="00B52262" w:rsidTr="00B52262">
        <w:trPr>
          <w:trHeight w:val="252"/>
          <w:jc w:val="center"/>
        </w:trPr>
        <w:tc>
          <w:tcPr>
            <w:tcW w:w="3393" w:type="dxa"/>
            <w:tcBorders>
              <w:top w:val="nil"/>
              <w:left w:val="single" w:sz="8" w:space="0" w:color="000000"/>
              <w:bottom w:val="single" w:sz="8" w:space="0" w:color="000000"/>
              <w:right w:val="single" w:sz="8" w:space="0" w:color="000000"/>
            </w:tcBorders>
            <w:shd w:val="clear" w:color="auto" w:fill="FFFFFF"/>
            <w:vAlign w:val="center"/>
          </w:tcPr>
          <w:p w:rsidR="00B52262" w:rsidRPr="0052381A" w:rsidRDefault="00B52262" w:rsidP="00B25611">
            <w:pPr>
              <w:pStyle w:val="Normal1"/>
              <w:spacing w:line="240" w:lineRule="auto"/>
              <w:ind w:firstLine="0"/>
              <w:jc w:val="left"/>
              <w:rPr>
                <w:rFonts w:ascii="Times New Roman" w:eastAsia="Times New Roman" w:hAnsi="Times New Roman" w:cs="Times New Roman"/>
                <w:b/>
                <w:color w:val="auto"/>
                <w:sz w:val="24"/>
                <w:szCs w:val="24"/>
                <w:lang w:val="es-DO"/>
              </w:rPr>
            </w:pPr>
            <w:r w:rsidRPr="0052381A">
              <w:rPr>
                <w:rFonts w:ascii="Times New Roman" w:eastAsia="Times New Roman" w:hAnsi="Times New Roman" w:cs="Times New Roman"/>
                <w:b/>
                <w:color w:val="auto"/>
                <w:sz w:val="24"/>
                <w:szCs w:val="24"/>
                <w:lang w:val="es-DO"/>
              </w:rPr>
              <w:t>Ejecución presupuestaria</w:t>
            </w:r>
          </w:p>
        </w:tc>
        <w:tc>
          <w:tcPr>
            <w:tcW w:w="5307" w:type="dxa"/>
            <w:gridSpan w:val="2"/>
            <w:tcBorders>
              <w:top w:val="single" w:sz="8" w:space="0" w:color="000000"/>
              <w:left w:val="nil"/>
              <w:bottom w:val="single" w:sz="8" w:space="0" w:color="000000"/>
              <w:right w:val="single" w:sz="8" w:space="0" w:color="000000"/>
            </w:tcBorders>
            <w:shd w:val="clear" w:color="auto" w:fill="FFFFFF"/>
            <w:vAlign w:val="center"/>
          </w:tcPr>
          <w:p w:rsidR="00B52262" w:rsidRPr="0052381A" w:rsidRDefault="00B52262" w:rsidP="00B25611">
            <w:pPr>
              <w:pStyle w:val="Normal1"/>
              <w:spacing w:line="240" w:lineRule="auto"/>
              <w:ind w:firstLine="0"/>
              <w:jc w:val="center"/>
              <w:rPr>
                <w:rFonts w:ascii="Times New Roman" w:eastAsia="Times New Roman" w:hAnsi="Times New Roman" w:cs="Times New Roman"/>
                <w:b/>
                <w:color w:val="auto"/>
                <w:sz w:val="24"/>
                <w:szCs w:val="24"/>
                <w:lang w:val="es-DO"/>
              </w:rPr>
            </w:pPr>
            <w:r w:rsidRPr="0052381A">
              <w:rPr>
                <w:rFonts w:ascii="Times New Roman" w:eastAsia="Times New Roman" w:hAnsi="Times New Roman" w:cs="Times New Roman"/>
                <w:b/>
                <w:color w:val="auto"/>
                <w:sz w:val="24"/>
                <w:szCs w:val="24"/>
                <w:lang w:val="es-DO"/>
              </w:rPr>
              <w:t>23%</w:t>
            </w:r>
          </w:p>
        </w:tc>
      </w:tr>
    </w:tbl>
    <w:p w:rsidR="00C7070C" w:rsidRPr="00C86371" w:rsidRDefault="00C7070C" w:rsidP="00640607">
      <w:pPr>
        <w:rPr>
          <w:lang w:eastAsia="es-DO"/>
        </w:rPr>
      </w:pPr>
      <w:r w:rsidRPr="00C86371">
        <w:rPr>
          <w:lang w:eastAsia="es-DO"/>
        </w:rPr>
        <w:t xml:space="preserve">Durante el período, la institución publicó en la OAI, y en la página web de la institución, las informaciones señaladas por la Ley No. 200-04, tales como: </w:t>
      </w:r>
    </w:p>
    <w:p w:rsidR="00C7070C" w:rsidRPr="00C86371" w:rsidRDefault="00C7070C" w:rsidP="00C86371">
      <w:pPr>
        <w:pStyle w:val="Prrafodelista"/>
        <w:numPr>
          <w:ilvl w:val="0"/>
          <w:numId w:val="19"/>
        </w:numPr>
        <w:ind w:left="567" w:hanging="548"/>
      </w:pPr>
      <w:r w:rsidRPr="00C86371">
        <w:t>Informes Financieros mensual y anual</w:t>
      </w:r>
    </w:p>
    <w:p w:rsidR="00C7070C" w:rsidRPr="00C86371" w:rsidRDefault="00C7070C" w:rsidP="00C86371">
      <w:pPr>
        <w:pStyle w:val="Prrafodelista"/>
        <w:numPr>
          <w:ilvl w:val="0"/>
          <w:numId w:val="19"/>
        </w:numPr>
        <w:ind w:left="567" w:hanging="548"/>
      </w:pPr>
      <w:r w:rsidRPr="00C86371">
        <w:t>Ejecución presupuestaria mensual y anual</w:t>
      </w:r>
    </w:p>
    <w:p w:rsidR="00C7070C" w:rsidRPr="00C86371" w:rsidRDefault="00C7070C" w:rsidP="00C86371">
      <w:pPr>
        <w:pStyle w:val="Prrafodelista"/>
        <w:numPr>
          <w:ilvl w:val="0"/>
          <w:numId w:val="19"/>
        </w:numPr>
        <w:ind w:left="567" w:hanging="548"/>
      </w:pPr>
      <w:r w:rsidRPr="00C86371">
        <w:t>Nóminas de pagos a empleados</w:t>
      </w:r>
    </w:p>
    <w:p w:rsidR="00C7070C" w:rsidRPr="00C86371" w:rsidRDefault="00C7070C" w:rsidP="00C86371">
      <w:pPr>
        <w:pStyle w:val="Prrafodelista"/>
        <w:numPr>
          <w:ilvl w:val="0"/>
          <w:numId w:val="19"/>
        </w:numPr>
        <w:ind w:left="567" w:hanging="548"/>
      </w:pPr>
      <w:r w:rsidRPr="00C86371">
        <w:t>Procesos de Compras y Contrataciones</w:t>
      </w:r>
    </w:p>
    <w:p w:rsidR="00C7070C" w:rsidRPr="00C86371" w:rsidRDefault="00C7070C" w:rsidP="00C86371">
      <w:pPr>
        <w:pStyle w:val="Prrafodelista"/>
        <w:numPr>
          <w:ilvl w:val="0"/>
          <w:numId w:val="19"/>
        </w:numPr>
        <w:ind w:left="567" w:hanging="548"/>
      </w:pPr>
      <w:r w:rsidRPr="00C86371">
        <w:t>Inventario General de Mobiliarios y Equipos de Oficina</w:t>
      </w:r>
    </w:p>
    <w:p w:rsidR="00C7070C" w:rsidRPr="00C86371" w:rsidRDefault="00C7070C" w:rsidP="00C86371">
      <w:pPr>
        <w:pStyle w:val="Prrafodelista"/>
        <w:numPr>
          <w:ilvl w:val="0"/>
          <w:numId w:val="19"/>
        </w:numPr>
        <w:ind w:left="567" w:hanging="548"/>
      </w:pPr>
      <w:r w:rsidRPr="00C86371">
        <w:t>Inventario de materiales mensuales y suministro</w:t>
      </w:r>
    </w:p>
    <w:p w:rsidR="00C7070C" w:rsidRPr="00C86371" w:rsidRDefault="00C7070C" w:rsidP="00C86371">
      <w:pPr>
        <w:pStyle w:val="Prrafodelista"/>
        <w:numPr>
          <w:ilvl w:val="0"/>
          <w:numId w:val="19"/>
        </w:numPr>
        <w:ind w:left="567" w:hanging="548"/>
      </w:pPr>
      <w:r w:rsidRPr="00C86371">
        <w:t>Conciliación bancaria mensual</w:t>
      </w:r>
    </w:p>
    <w:p w:rsidR="00C7070C" w:rsidRPr="00C86371" w:rsidRDefault="00C7070C" w:rsidP="00C86371">
      <w:pPr>
        <w:pStyle w:val="Prrafodelista"/>
        <w:numPr>
          <w:ilvl w:val="0"/>
          <w:numId w:val="19"/>
        </w:numPr>
        <w:ind w:left="567" w:hanging="548"/>
      </w:pPr>
      <w:r w:rsidRPr="00C86371">
        <w:t>Cuentas por pagar a suplidores mensual y por antigüedad de saldos</w:t>
      </w:r>
    </w:p>
    <w:p w:rsidR="00C7070C" w:rsidRDefault="00C7070C" w:rsidP="00C86371">
      <w:pPr>
        <w:pStyle w:val="Prrafodelista"/>
        <w:numPr>
          <w:ilvl w:val="0"/>
          <w:numId w:val="19"/>
        </w:numPr>
        <w:ind w:left="567" w:hanging="548"/>
      </w:pPr>
      <w:r w:rsidRPr="00C86371">
        <w:t>También fueron suministrados a la Unidad de Auditoría Interna de la Contraloría los informes y reportes siguientes: Informe Financiero mensual, conciliación bancaria mensual, y las cuentas por pagar a suplidores mensual y por antigüedad de saldos.</w:t>
      </w:r>
    </w:p>
    <w:p w:rsidR="00640607" w:rsidRDefault="00640607">
      <w:pPr>
        <w:keepNext w:val="0"/>
        <w:keepLines w:val="0"/>
        <w:spacing w:before="0" w:after="160" w:line="259" w:lineRule="auto"/>
        <w:ind w:firstLine="0"/>
        <w:jc w:val="left"/>
        <w:outlineLvl w:val="9"/>
      </w:pPr>
      <w:r>
        <w:br w:type="page"/>
      </w:r>
    </w:p>
    <w:p w:rsidR="00096093" w:rsidRPr="002A0351" w:rsidRDefault="00096093" w:rsidP="002A0351">
      <w:pPr>
        <w:pStyle w:val="Ttulo2"/>
        <w:numPr>
          <w:ilvl w:val="0"/>
          <w:numId w:val="25"/>
        </w:numPr>
        <w:rPr>
          <w:rFonts w:eastAsia="Calibri"/>
          <w:b/>
          <w:lang w:val="es-DO"/>
        </w:rPr>
      </w:pPr>
      <w:r w:rsidRPr="002A0351">
        <w:rPr>
          <w:rFonts w:eastAsia="Calibri"/>
          <w:b/>
          <w:lang w:val="es-DO"/>
        </w:rPr>
        <w:t xml:space="preserve">Contrataciones y Adquisiciones </w:t>
      </w:r>
    </w:p>
    <w:p w:rsidR="004E6302" w:rsidRPr="00C86371" w:rsidRDefault="004E6302" w:rsidP="00640607">
      <w:pPr>
        <w:rPr>
          <w:lang w:eastAsia="es-DO"/>
        </w:rPr>
      </w:pPr>
      <w:r w:rsidRPr="00C86371">
        <w:rPr>
          <w:lang w:eastAsia="es-DO"/>
        </w:rPr>
        <w:t xml:space="preserve">A nivel institucional el Plan Anual de Compras se encuentra publicado en cumplimiento de la Ley No. 340-06 y su modificación, el Decreto No. 164-13, tanto en el portal institucional como en el Portal Transaccional de compras, desde la fecha </w:t>
      </w:r>
      <w:r w:rsidR="007718C7" w:rsidRPr="005C315D">
        <w:rPr>
          <w:lang w:eastAsia="es-DO"/>
        </w:rPr>
        <w:t xml:space="preserve">31 de julio del </w:t>
      </w:r>
      <w:r w:rsidR="005C315D" w:rsidRPr="005C315D">
        <w:rPr>
          <w:lang w:eastAsia="es-DO"/>
        </w:rPr>
        <w:t>2018</w:t>
      </w:r>
      <w:r w:rsidRPr="00C86371">
        <w:rPr>
          <w:lang w:eastAsia="es-DO"/>
        </w:rPr>
        <w:t>. El mismo consta de 132 procesos por un monto de RD$142,626,671.</w:t>
      </w:r>
    </w:p>
    <w:p w:rsidR="004E6302" w:rsidRPr="00C86371" w:rsidRDefault="004E6302" w:rsidP="00640607">
      <w:pPr>
        <w:rPr>
          <w:lang w:eastAsia="es-DO"/>
        </w:rPr>
      </w:pPr>
      <w:r w:rsidRPr="00C86371">
        <w:rPr>
          <w:lang w:eastAsia="es-DO"/>
        </w:rPr>
        <w:t>Al corte del 30 de noviembre de 2019 se ha ejecutado un monto de RD$81,350,843.49, correspondiente a las siguientes modalidades:</w:t>
      </w:r>
    </w:p>
    <w:tbl>
      <w:tblPr>
        <w:tblW w:w="7933" w:type="dxa"/>
        <w:jc w:val="center"/>
        <w:tblLayout w:type="fixed"/>
        <w:tblLook w:val="0400" w:firstRow="0" w:lastRow="0" w:firstColumn="0" w:lastColumn="0" w:noHBand="0" w:noVBand="1"/>
      </w:tblPr>
      <w:tblGrid>
        <w:gridCol w:w="2428"/>
        <w:gridCol w:w="1395"/>
        <w:gridCol w:w="2126"/>
        <w:gridCol w:w="1984"/>
      </w:tblGrid>
      <w:tr w:rsidR="004E6302" w:rsidRPr="004E6302" w:rsidTr="00006BD0">
        <w:trPr>
          <w:trHeight w:val="876"/>
          <w:jc w:val="center"/>
        </w:trPr>
        <w:tc>
          <w:tcPr>
            <w:tcW w:w="2428" w:type="dxa"/>
            <w:tcBorders>
              <w:top w:val="single" w:sz="4" w:space="0" w:color="000000"/>
              <w:left w:val="single" w:sz="4" w:space="0" w:color="000000"/>
              <w:bottom w:val="single" w:sz="4" w:space="0" w:color="000000"/>
              <w:right w:val="single" w:sz="4" w:space="0" w:color="000000"/>
            </w:tcBorders>
            <w:shd w:val="clear" w:color="auto" w:fill="2E74B5" w:themeFill="accent1" w:themeFillShade="BF"/>
            <w:vAlign w:val="center"/>
          </w:tcPr>
          <w:p w:rsidR="004E6302" w:rsidRPr="00B14048" w:rsidRDefault="004E6302" w:rsidP="00B14048">
            <w:pPr>
              <w:spacing w:line="240" w:lineRule="auto"/>
              <w:ind w:firstLine="0"/>
              <w:jc w:val="center"/>
              <w:rPr>
                <w:color w:val="FFFFFF" w:themeColor="background1"/>
                <w:lang w:val="es-DO"/>
              </w:rPr>
            </w:pPr>
            <w:r w:rsidRPr="00B14048">
              <w:rPr>
                <w:rFonts w:eastAsia="Times New Roman"/>
                <w:color w:val="FFFFFF" w:themeColor="background1"/>
                <w:lang w:val="es-DO"/>
              </w:rPr>
              <w:t>Modalidad</w:t>
            </w:r>
          </w:p>
        </w:tc>
        <w:tc>
          <w:tcPr>
            <w:tcW w:w="1395" w:type="dxa"/>
            <w:tcBorders>
              <w:top w:val="single" w:sz="4" w:space="0" w:color="000000"/>
              <w:left w:val="single" w:sz="4" w:space="0" w:color="000000"/>
              <w:bottom w:val="single" w:sz="4" w:space="0" w:color="000000"/>
              <w:right w:val="single" w:sz="4" w:space="0" w:color="000000"/>
            </w:tcBorders>
            <w:shd w:val="clear" w:color="auto" w:fill="2E74B5" w:themeFill="accent1" w:themeFillShade="BF"/>
            <w:vAlign w:val="center"/>
          </w:tcPr>
          <w:p w:rsidR="004E6302" w:rsidRPr="00B14048" w:rsidRDefault="004E6302" w:rsidP="00B14048">
            <w:pPr>
              <w:spacing w:line="240" w:lineRule="auto"/>
              <w:ind w:firstLine="0"/>
              <w:jc w:val="center"/>
              <w:rPr>
                <w:color w:val="FFFFFF" w:themeColor="background1"/>
                <w:lang w:val="es-DO"/>
              </w:rPr>
            </w:pPr>
            <w:r w:rsidRPr="00B14048">
              <w:rPr>
                <w:rFonts w:eastAsia="Times New Roman"/>
                <w:color w:val="FFFFFF" w:themeColor="background1"/>
                <w:lang w:val="es-DO"/>
              </w:rPr>
              <w:t>Cantidad de Contratos</w:t>
            </w:r>
          </w:p>
        </w:tc>
        <w:tc>
          <w:tcPr>
            <w:tcW w:w="2126" w:type="dxa"/>
            <w:tcBorders>
              <w:top w:val="single" w:sz="4" w:space="0" w:color="000000"/>
              <w:left w:val="single" w:sz="4" w:space="0" w:color="000000"/>
              <w:bottom w:val="single" w:sz="4" w:space="0" w:color="000000"/>
              <w:right w:val="single" w:sz="4" w:space="0" w:color="000000"/>
            </w:tcBorders>
            <w:shd w:val="clear" w:color="auto" w:fill="2E74B5" w:themeFill="accent1" w:themeFillShade="BF"/>
            <w:vAlign w:val="center"/>
          </w:tcPr>
          <w:p w:rsidR="004E6302" w:rsidRPr="00B14048" w:rsidRDefault="004E6302" w:rsidP="00B14048">
            <w:pPr>
              <w:spacing w:line="240" w:lineRule="auto"/>
              <w:ind w:firstLine="0"/>
              <w:jc w:val="center"/>
              <w:rPr>
                <w:color w:val="FFFFFF" w:themeColor="background1"/>
                <w:lang w:val="es-DO"/>
              </w:rPr>
            </w:pPr>
            <w:r w:rsidRPr="00B14048">
              <w:rPr>
                <w:rFonts w:eastAsia="Times New Roman"/>
                <w:color w:val="FFFFFF" w:themeColor="background1"/>
                <w:lang w:val="es-DO"/>
              </w:rPr>
              <w:t>Monto contratado</w:t>
            </w:r>
          </w:p>
        </w:tc>
        <w:tc>
          <w:tcPr>
            <w:tcW w:w="1984" w:type="dxa"/>
            <w:tcBorders>
              <w:top w:val="single" w:sz="4" w:space="0" w:color="000000"/>
              <w:left w:val="single" w:sz="4" w:space="0" w:color="000000"/>
              <w:bottom w:val="single" w:sz="4" w:space="0" w:color="000000"/>
              <w:right w:val="single" w:sz="4" w:space="0" w:color="000000"/>
            </w:tcBorders>
            <w:shd w:val="clear" w:color="auto" w:fill="2E74B5" w:themeFill="accent1" w:themeFillShade="BF"/>
            <w:vAlign w:val="center"/>
          </w:tcPr>
          <w:p w:rsidR="004E6302" w:rsidRPr="00B14048" w:rsidRDefault="004E6302" w:rsidP="00B14048">
            <w:pPr>
              <w:spacing w:line="240" w:lineRule="auto"/>
              <w:ind w:firstLine="0"/>
              <w:jc w:val="center"/>
              <w:rPr>
                <w:color w:val="FFFFFF" w:themeColor="background1"/>
                <w:lang w:val="es-DO"/>
              </w:rPr>
            </w:pPr>
            <w:r w:rsidRPr="00B14048">
              <w:rPr>
                <w:rFonts w:eastAsia="Times New Roman"/>
                <w:color w:val="FFFFFF" w:themeColor="background1"/>
                <w:lang w:val="es-DO"/>
              </w:rPr>
              <w:t>% en base a monto contratado</w:t>
            </w:r>
          </w:p>
        </w:tc>
      </w:tr>
      <w:tr w:rsidR="004E6302" w:rsidRPr="004E6302" w:rsidTr="00B14048">
        <w:trPr>
          <w:trHeight w:val="192"/>
          <w:jc w:val="center"/>
        </w:trPr>
        <w:tc>
          <w:tcPr>
            <w:tcW w:w="24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E6302" w:rsidRPr="004E6302" w:rsidRDefault="004E6302" w:rsidP="00B14048">
            <w:pPr>
              <w:spacing w:line="240" w:lineRule="auto"/>
              <w:ind w:firstLine="0"/>
              <w:jc w:val="center"/>
              <w:rPr>
                <w:lang w:val="es-DO"/>
              </w:rPr>
            </w:pPr>
            <w:r w:rsidRPr="004E6302">
              <w:rPr>
                <w:rFonts w:eastAsia="Times New Roman"/>
                <w:lang w:val="es-DO"/>
              </w:rPr>
              <w:t>Comparación de Precios</w:t>
            </w:r>
          </w:p>
        </w:tc>
        <w:tc>
          <w:tcPr>
            <w:tcW w:w="13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E6302" w:rsidRPr="004E6302" w:rsidRDefault="004E6302" w:rsidP="00B14048">
            <w:pPr>
              <w:spacing w:line="240" w:lineRule="auto"/>
              <w:ind w:firstLine="0"/>
              <w:jc w:val="center"/>
              <w:rPr>
                <w:lang w:val="es-DO"/>
              </w:rPr>
            </w:pPr>
            <w:r w:rsidRPr="004E6302">
              <w:rPr>
                <w:lang w:val="es-DO"/>
              </w:rPr>
              <w:t>9</w:t>
            </w:r>
          </w:p>
        </w:tc>
        <w:tc>
          <w:tcPr>
            <w:tcW w:w="21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E6302" w:rsidRPr="004E6302" w:rsidRDefault="00B14048" w:rsidP="00B14048">
            <w:pPr>
              <w:spacing w:line="240" w:lineRule="auto"/>
              <w:ind w:firstLine="0"/>
              <w:jc w:val="center"/>
              <w:rPr>
                <w:lang w:val="es-DO"/>
              </w:rPr>
            </w:pPr>
            <w:r>
              <w:rPr>
                <w:lang w:val="es-DO"/>
              </w:rPr>
              <w:t>$</w:t>
            </w:r>
            <w:r w:rsidR="004E6302" w:rsidRPr="004E6302">
              <w:rPr>
                <w:lang w:val="es-DO"/>
              </w:rPr>
              <w:t>12,940,993.90</w:t>
            </w: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E6302" w:rsidRPr="004E6302" w:rsidRDefault="004E6302" w:rsidP="00B14048">
            <w:pPr>
              <w:spacing w:line="240" w:lineRule="auto"/>
              <w:ind w:firstLine="0"/>
              <w:jc w:val="center"/>
              <w:rPr>
                <w:lang w:val="es-DO"/>
              </w:rPr>
            </w:pPr>
            <w:r w:rsidRPr="004E6302">
              <w:rPr>
                <w:lang w:val="es-DO"/>
              </w:rPr>
              <w:t>16%</w:t>
            </w:r>
          </w:p>
        </w:tc>
      </w:tr>
      <w:tr w:rsidR="004E6302" w:rsidRPr="004E6302" w:rsidTr="00B14048">
        <w:trPr>
          <w:trHeight w:val="192"/>
          <w:jc w:val="center"/>
        </w:trPr>
        <w:tc>
          <w:tcPr>
            <w:tcW w:w="24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E6302" w:rsidRPr="004E6302" w:rsidRDefault="004E6302" w:rsidP="00B14048">
            <w:pPr>
              <w:spacing w:line="240" w:lineRule="auto"/>
              <w:ind w:firstLine="0"/>
              <w:jc w:val="center"/>
              <w:rPr>
                <w:lang w:val="es-DO"/>
              </w:rPr>
            </w:pPr>
            <w:r w:rsidRPr="004E6302">
              <w:rPr>
                <w:rFonts w:eastAsia="Times New Roman"/>
                <w:lang w:val="es-DO"/>
              </w:rPr>
              <w:t>Compra Menor</w:t>
            </w:r>
          </w:p>
        </w:tc>
        <w:tc>
          <w:tcPr>
            <w:tcW w:w="13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E6302" w:rsidRPr="004E6302" w:rsidRDefault="004E6302" w:rsidP="00B14048">
            <w:pPr>
              <w:spacing w:line="240" w:lineRule="auto"/>
              <w:ind w:firstLine="0"/>
              <w:jc w:val="center"/>
              <w:rPr>
                <w:lang w:val="es-DO"/>
              </w:rPr>
            </w:pPr>
            <w:r w:rsidRPr="004E6302">
              <w:rPr>
                <w:lang w:val="es-DO"/>
              </w:rPr>
              <w:t>55</w:t>
            </w:r>
          </w:p>
        </w:tc>
        <w:tc>
          <w:tcPr>
            <w:tcW w:w="21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E6302" w:rsidRPr="004E6302" w:rsidRDefault="00B14048" w:rsidP="00B14048">
            <w:pPr>
              <w:spacing w:line="240" w:lineRule="auto"/>
              <w:ind w:firstLine="0"/>
              <w:jc w:val="center"/>
              <w:rPr>
                <w:lang w:val="es-DO"/>
              </w:rPr>
            </w:pPr>
            <w:r>
              <w:rPr>
                <w:lang w:val="es-DO"/>
              </w:rPr>
              <w:t>$</w:t>
            </w:r>
            <w:r w:rsidR="004E6302" w:rsidRPr="004E6302">
              <w:rPr>
                <w:lang w:val="es-DO"/>
              </w:rPr>
              <w:t>12,466,251.47</w:t>
            </w: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E6302" w:rsidRPr="004E6302" w:rsidRDefault="004E6302" w:rsidP="00B14048">
            <w:pPr>
              <w:spacing w:line="240" w:lineRule="auto"/>
              <w:ind w:firstLine="0"/>
              <w:jc w:val="center"/>
              <w:rPr>
                <w:lang w:val="es-DO"/>
              </w:rPr>
            </w:pPr>
            <w:r w:rsidRPr="004E6302">
              <w:rPr>
                <w:lang w:val="es-DO"/>
              </w:rPr>
              <w:t>15%</w:t>
            </w:r>
          </w:p>
        </w:tc>
      </w:tr>
      <w:tr w:rsidR="004E6302" w:rsidRPr="004E6302" w:rsidTr="00B14048">
        <w:trPr>
          <w:trHeight w:val="788"/>
          <w:jc w:val="center"/>
        </w:trPr>
        <w:tc>
          <w:tcPr>
            <w:tcW w:w="24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E6302" w:rsidRPr="004E6302" w:rsidRDefault="004E6302" w:rsidP="00B14048">
            <w:pPr>
              <w:spacing w:line="240" w:lineRule="auto"/>
              <w:ind w:firstLine="0"/>
              <w:jc w:val="center"/>
              <w:rPr>
                <w:lang w:val="es-DO"/>
              </w:rPr>
            </w:pPr>
            <w:r w:rsidRPr="004E6302">
              <w:rPr>
                <w:rFonts w:eastAsia="Times New Roman"/>
                <w:lang w:val="es-DO"/>
              </w:rPr>
              <w:t>Compras por debajo del Umbral</w:t>
            </w:r>
          </w:p>
        </w:tc>
        <w:tc>
          <w:tcPr>
            <w:tcW w:w="13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E6302" w:rsidRPr="004E6302" w:rsidRDefault="004E6302" w:rsidP="00B14048">
            <w:pPr>
              <w:spacing w:line="240" w:lineRule="auto"/>
              <w:ind w:firstLine="0"/>
              <w:jc w:val="center"/>
              <w:rPr>
                <w:lang w:val="es-DO"/>
              </w:rPr>
            </w:pPr>
            <w:r w:rsidRPr="004E6302">
              <w:rPr>
                <w:lang w:val="es-DO"/>
              </w:rPr>
              <w:t>118</w:t>
            </w:r>
          </w:p>
        </w:tc>
        <w:tc>
          <w:tcPr>
            <w:tcW w:w="21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E6302" w:rsidRPr="004E6302" w:rsidRDefault="00B14048" w:rsidP="00B14048">
            <w:pPr>
              <w:spacing w:line="240" w:lineRule="auto"/>
              <w:ind w:firstLine="0"/>
              <w:jc w:val="center"/>
              <w:rPr>
                <w:lang w:val="es-DO"/>
              </w:rPr>
            </w:pPr>
            <w:r>
              <w:rPr>
                <w:lang w:val="es-DO"/>
              </w:rPr>
              <w:t>$</w:t>
            </w:r>
            <w:r w:rsidR="004E6302" w:rsidRPr="004E6302">
              <w:rPr>
                <w:lang w:val="es-DO"/>
              </w:rPr>
              <w:t>5,391,017.22</w:t>
            </w: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E6302" w:rsidRPr="004E6302" w:rsidRDefault="004E6302" w:rsidP="00B14048">
            <w:pPr>
              <w:spacing w:line="240" w:lineRule="auto"/>
              <w:ind w:firstLine="0"/>
              <w:jc w:val="center"/>
              <w:rPr>
                <w:lang w:val="es-DO"/>
              </w:rPr>
            </w:pPr>
            <w:r w:rsidRPr="004E6302">
              <w:rPr>
                <w:lang w:val="es-DO"/>
              </w:rPr>
              <w:t>7%</w:t>
            </w:r>
          </w:p>
        </w:tc>
      </w:tr>
      <w:tr w:rsidR="004E6302" w:rsidRPr="004E6302" w:rsidTr="00B14048">
        <w:trPr>
          <w:trHeight w:val="298"/>
          <w:jc w:val="center"/>
        </w:trPr>
        <w:tc>
          <w:tcPr>
            <w:tcW w:w="24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E6302" w:rsidRPr="004E6302" w:rsidRDefault="004E6302" w:rsidP="00B14048">
            <w:pPr>
              <w:spacing w:line="240" w:lineRule="auto"/>
              <w:ind w:firstLine="0"/>
              <w:jc w:val="center"/>
              <w:rPr>
                <w:lang w:val="es-DO"/>
              </w:rPr>
            </w:pPr>
            <w:r w:rsidRPr="004E6302">
              <w:rPr>
                <w:rFonts w:eastAsia="Times New Roman"/>
                <w:lang w:val="es-DO"/>
              </w:rPr>
              <w:t>Proceso de Excepción</w:t>
            </w:r>
          </w:p>
        </w:tc>
        <w:tc>
          <w:tcPr>
            <w:tcW w:w="13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E6302" w:rsidRPr="004E6302" w:rsidRDefault="004E6302" w:rsidP="00B14048">
            <w:pPr>
              <w:spacing w:line="240" w:lineRule="auto"/>
              <w:ind w:firstLine="0"/>
              <w:jc w:val="center"/>
              <w:rPr>
                <w:lang w:val="es-DO"/>
              </w:rPr>
            </w:pPr>
            <w:r w:rsidRPr="004E6302">
              <w:rPr>
                <w:lang w:val="es-DO"/>
              </w:rPr>
              <w:t>24</w:t>
            </w:r>
          </w:p>
        </w:tc>
        <w:tc>
          <w:tcPr>
            <w:tcW w:w="21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E6302" w:rsidRPr="004E6302" w:rsidRDefault="00B14048" w:rsidP="00B14048">
            <w:pPr>
              <w:spacing w:line="240" w:lineRule="auto"/>
              <w:ind w:firstLine="0"/>
              <w:jc w:val="center"/>
              <w:rPr>
                <w:lang w:val="es-DO"/>
              </w:rPr>
            </w:pPr>
            <w:r>
              <w:rPr>
                <w:lang w:val="es-DO"/>
              </w:rPr>
              <w:t>$</w:t>
            </w:r>
            <w:r w:rsidR="004E6302" w:rsidRPr="004E6302">
              <w:rPr>
                <w:lang w:val="es-DO"/>
              </w:rPr>
              <w:t>40,155,810.68</w:t>
            </w: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E6302" w:rsidRPr="004E6302" w:rsidRDefault="004E6302" w:rsidP="00B14048">
            <w:pPr>
              <w:spacing w:line="240" w:lineRule="auto"/>
              <w:ind w:firstLine="0"/>
              <w:jc w:val="center"/>
              <w:rPr>
                <w:lang w:val="es-DO"/>
              </w:rPr>
            </w:pPr>
            <w:r w:rsidRPr="004E6302">
              <w:rPr>
                <w:lang w:val="es-DO"/>
              </w:rPr>
              <w:t>49%</w:t>
            </w:r>
          </w:p>
        </w:tc>
      </w:tr>
      <w:tr w:rsidR="004E6302" w:rsidRPr="004E6302" w:rsidTr="00B14048">
        <w:trPr>
          <w:trHeight w:val="298"/>
          <w:jc w:val="center"/>
        </w:trPr>
        <w:tc>
          <w:tcPr>
            <w:tcW w:w="24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E6302" w:rsidRPr="004E6302" w:rsidRDefault="004E6302" w:rsidP="00B14048">
            <w:pPr>
              <w:spacing w:line="240" w:lineRule="auto"/>
              <w:ind w:firstLine="0"/>
              <w:jc w:val="center"/>
              <w:rPr>
                <w:rFonts w:eastAsia="Times New Roman"/>
                <w:lang w:val="es-DO"/>
              </w:rPr>
            </w:pPr>
            <w:r w:rsidRPr="004E6302">
              <w:rPr>
                <w:rFonts w:eastAsia="Times New Roman"/>
                <w:lang w:val="es-DO"/>
              </w:rPr>
              <w:t>Licitación</w:t>
            </w:r>
            <w:r>
              <w:rPr>
                <w:rFonts w:eastAsia="Times New Roman"/>
                <w:lang w:val="es-DO"/>
              </w:rPr>
              <w:t xml:space="preserve"> Pública</w:t>
            </w:r>
          </w:p>
        </w:tc>
        <w:tc>
          <w:tcPr>
            <w:tcW w:w="13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E6302" w:rsidRPr="004E6302" w:rsidRDefault="004E6302" w:rsidP="00B14048">
            <w:pPr>
              <w:spacing w:line="240" w:lineRule="auto"/>
              <w:ind w:firstLine="0"/>
              <w:jc w:val="center"/>
              <w:rPr>
                <w:lang w:val="es-DO"/>
              </w:rPr>
            </w:pPr>
            <w:r w:rsidRPr="004E6302">
              <w:rPr>
                <w:lang w:val="es-DO"/>
              </w:rPr>
              <w:t>2</w:t>
            </w:r>
          </w:p>
        </w:tc>
        <w:tc>
          <w:tcPr>
            <w:tcW w:w="21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E6302" w:rsidRPr="004E6302" w:rsidRDefault="00B14048" w:rsidP="00B14048">
            <w:pPr>
              <w:spacing w:line="240" w:lineRule="auto"/>
              <w:ind w:firstLine="0"/>
              <w:jc w:val="center"/>
              <w:rPr>
                <w:lang w:val="es-DO"/>
              </w:rPr>
            </w:pPr>
            <w:r>
              <w:rPr>
                <w:lang w:val="es-DO"/>
              </w:rPr>
              <w:t>$</w:t>
            </w:r>
            <w:r w:rsidR="004E6302" w:rsidRPr="004E6302">
              <w:rPr>
                <w:lang w:val="es-DO"/>
              </w:rPr>
              <w:t>10,396,770.22</w:t>
            </w: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E6302" w:rsidRPr="004E6302" w:rsidRDefault="004E6302" w:rsidP="00B14048">
            <w:pPr>
              <w:spacing w:line="240" w:lineRule="auto"/>
              <w:ind w:firstLine="0"/>
              <w:jc w:val="center"/>
              <w:rPr>
                <w:lang w:val="es-DO"/>
              </w:rPr>
            </w:pPr>
            <w:r w:rsidRPr="004E6302">
              <w:rPr>
                <w:lang w:val="es-DO"/>
              </w:rPr>
              <w:t>13%</w:t>
            </w:r>
          </w:p>
        </w:tc>
      </w:tr>
      <w:tr w:rsidR="004E6302" w:rsidRPr="004E6302" w:rsidTr="00B14048">
        <w:trPr>
          <w:trHeight w:val="192"/>
          <w:jc w:val="center"/>
        </w:trPr>
        <w:tc>
          <w:tcPr>
            <w:tcW w:w="24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E6302" w:rsidRPr="004E6302" w:rsidRDefault="004E6302" w:rsidP="00B14048">
            <w:pPr>
              <w:spacing w:line="240" w:lineRule="auto"/>
              <w:ind w:firstLine="0"/>
              <w:jc w:val="center"/>
              <w:rPr>
                <w:b/>
                <w:lang w:val="es-DO"/>
              </w:rPr>
            </w:pPr>
            <w:r w:rsidRPr="004E6302">
              <w:rPr>
                <w:rFonts w:eastAsia="Times New Roman"/>
                <w:b/>
                <w:lang w:val="es-DO"/>
              </w:rPr>
              <w:t>Total general</w:t>
            </w:r>
          </w:p>
        </w:tc>
        <w:tc>
          <w:tcPr>
            <w:tcW w:w="13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E6302" w:rsidRPr="004E6302" w:rsidRDefault="004E6302" w:rsidP="00B14048">
            <w:pPr>
              <w:spacing w:line="240" w:lineRule="auto"/>
              <w:ind w:firstLine="0"/>
              <w:jc w:val="center"/>
              <w:rPr>
                <w:rFonts w:eastAsia="Times New Roman"/>
                <w:b/>
                <w:lang w:val="es-DO"/>
              </w:rPr>
            </w:pPr>
            <w:r w:rsidRPr="004E6302">
              <w:rPr>
                <w:rFonts w:eastAsia="Times New Roman"/>
                <w:b/>
                <w:lang w:val="es-DO"/>
              </w:rPr>
              <w:t>208</w:t>
            </w:r>
          </w:p>
        </w:tc>
        <w:tc>
          <w:tcPr>
            <w:tcW w:w="21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E6302" w:rsidRPr="004E6302" w:rsidRDefault="00B14048" w:rsidP="00B14048">
            <w:pPr>
              <w:spacing w:line="240" w:lineRule="auto"/>
              <w:ind w:firstLine="0"/>
              <w:jc w:val="center"/>
              <w:rPr>
                <w:b/>
                <w:lang w:val="es-DO"/>
              </w:rPr>
            </w:pPr>
            <w:r>
              <w:rPr>
                <w:b/>
                <w:lang w:val="es-DO"/>
              </w:rPr>
              <w:t>$</w:t>
            </w:r>
            <w:r w:rsidR="004E6302" w:rsidRPr="004E6302">
              <w:rPr>
                <w:b/>
                <w:lang w:val="es-DO"/>
              </w:rPr>
              <w:t>81,350,843.49</w:t>
            </w: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E6302" w:rsidRPr="004E6302" w:rsidRDefault="004E6302" w:rsidP="00B14048">
            <w:pPr>
              <w:spacing w:line="240" w:lineRule="auto"/>
              <w:ind w:firstLine="0"/>
              <w:jc w:val="center"/>
              <w:rPr>
                <w:b/>
                <w:lang w:val="es-DO"/>
              </w:rPr>
            </w:pPr>
            <w:r w:rsidRPr="004E6302">
              <w:rPr>
                <w:b/>
                <w:lang w:val="es-DO"/>
              </w:rPr>
              <w:t>100%</w:t>
            </w:r>
          </w:p>
        </w:tc>
      </w:tr>
    </w:tbl>
    <w:p w:rsidR="004E6302" w:rsidRDefault="004E6302" w:rsidP="00C86371">
      <w:pPr>
        <w:pStyle w:val="Textoindependiente"/>
        <w:spacing w:before="90"/>
        <w:ind w:right="-36" w:firstLine="816"/>
      </w:pPr>
    </w:p>
    <w:p w:rsidR="00096093" w:rsidRDefault="004E6302" w:rsidP="00B14048">
      <w:pPr>
        <w:rPr>
          <w:lang w:eastAsia="es-DO"/>
        </w:rPr>
      </w:pPr>
      <w:r w:rsidRPr="00C86371">
        <w:rPr>
          <w:lang w:eastAsia="es-DO"/>
        </w:rPr>
        <w:t>Durante el año 2019, la Dirección General de Contrataciones Públicas cumplió con un 12% de las MIPYME certificadas por el MIC y en un 43% de sus compras fueron realizadas a empresas con vocación a MIPYME.</w:t>
      </w:r>
    </w:p>
    <w:tbl>
      <w:tblPr>
        <w:tblW w:w="7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2"/>
        <w:gridCol w:w="1559"/>
        <w:gridCol w:w="2126"/>
        <w:gridCol w:w="1985"/>
      </w:tblGrid>
      <w:tr w:rsidR="00B14048" w:rsidRPr="00B14048" w:rsidTr="00B14048">
        <w:trPr>
          <w:trHeight w:val="232"/>
          <w:jc w:val="center"/>
        </w:trPr>
        <w:tc>
          <w:tcPr>
            <w:tcW w:w="2122" w:type="dxa"/>
            <w:shd w:val="clear" w:color="auto" w:fill="2E74B5" w:themeFill="accent1" w:themeFillShade="BF"/>
            <w:noWrap/>
            <w:vAlign w:val="center"/>
            <w:hideMark/>
          </w:tcPr>
          <w:p w:rsidR="00B14048" w:rsidRPr="00B14048" w:rsidRDefault="00B14048" w:rsidP="00B14048">
            <w:pPr>
              <w:pStyle w:val="Textoindependiente"/>
              <w:spacing w:before="90" w:line="240" w:lineRule="auto"/>
              <w:ind w:right="-36" w:firstLine="0"/>
              <w:jc w:val="center"/>
              <w:rPr>
                <w:b/>
                <w:bCs/>
                <w:color w:val="FFFFFF" w:themeColor="background1"/>
                <w:lang w:val="es-DO" w:eastAsia="es-DO"/>
              </w:rPr>
            </w:pPr>
            <w:r w:rsidRPr="00B14048">
              <w:rPr>
                <w:b/>
                <w:bCs/>
                <w:color w:val="FFFFFF" w:themeColor="background1"/>
                <w:lang w:val="es-DO" w:eastAsia="es-DO"/>
              </w:rPr>
              <w:t>Tipo de empresa</w:t>
            </w:r>
          </w:p>
        </w:tc>
        <w:tc>
          <w:tcPr>
            <w:tcW w:w="1559" w:type="dxa"/>
            <w:shd w:val="clear" w:color="auto" w:fill="2E74B5" w:themeFill="accent1" w:themeFillShade="BF"/>
            <w:noWrap/>
            <w:vAlign w:val="center"/>
            <w:hideMark/>
          </w:tcPr>
          <w:p w:rsidR="00B14048" w:rsidRPr="00B14048" w:rsidRDefault="00B14048" w:rsidP="00B14048">
            <w:pPr>
              <w:pStyle w:val="Textoindependiente"/>
              <w:spacing w:before="90" w:line="240" w:lineRule="auto"/>
              <w:ind w:right="-36" w:firstLine="0"/>
              <w:jc w:val="center"/>
              <w:rPr>
                <w:b/>
                <w:bCs/>
                <w:color w:val="FFFFFF" w:themeColor="background1"/>
                <w:lang w:val="es-DO" w:eastAsia="es-DO"/>
              </w:rPr>
            </w:pPr>
            <w:r w:rsidRPr="00B14048">
              <w:rPr>
                <w:b/>
                <w:bCs/>
                <w:color w:val="FFFFFF" w:themeColor="background1"/>
                <w:lang w:val="es-DO" w:eastAsia="es-DO"/>
              </w:rPr>
              <w:t>Cantidad de Contratos</w:t>
            </w:r>
          </w:p>
        </w:tc>
        <w:tc>
          <w:tcPr>
            <w:tcW w:w="2126" w:type="dxa"/>
            <w:shd w:val="clear" w:color="auto" w:fill="2E74B5" w:themeFill="accent1" w:themeFillShade="BF"/>
            <w:noWrap/>
            <w:vAlign w:val="center"/>
            <w:hideMark/>
          </w:tcPr>
          <w:p w:rsidR="00B14048" w:rsidRPr="00B14048" w:rsidRDefault="00B14048" w:rsidP="00B14048">
            <w:pPr>
              <w:pStyle w:val="Textoindependiente"/>
              <w:spacing w:before="90" w:line="240" w:lineRule="auto"/>
              <w:ind w:right="-36" w:firstLine="0"/>
              <w:jc w:val="center"/>
              <w:rPr>
                <w:b/>
                <w:bCs/>
                <w:color w:val="FFFFFF" w:themeColor="background1"/>
                <w:lang w:val="es-DO" w:eastAsia="es-DO"/>
              </w:rPr>
            </w:pPr>
            <w:r w:rsidRPr="00B14048">
              <w:rPr>
                <w:b/>
                <w:bCs/>
                <w:color w:val="FFFFFF" w:themeColor="background1"/>
                <w:lang w:val="es-DO" w:eastAsia="es-DO"/>
              </w:rPr>
              <w:t>Monto contratado</w:t>
            </w:r>
          </w:p>
        </w:tc>
        <w:tc>
          <w:tcPr>
            <w:tcW w:w="1985" w:type="dxa"/>
            <w:shd w:val="clear" w:color="auto" w:fill="2E74B5" w:themeFill="accent1" w:themeFillShade="BF"/>
            <w:noWrap/>
            <w:vAlign w:val="center"/>
            <w:hideMark/>
          </w:tcPr>
          <w:p w:rsidR="00B14048" w:rsidRPr="00B14048" w:rsidRDefault="00B14048" w:rsidP="00B14048">
            <w:pPr>
              <w:pStyle w:val="Textoindependiente"/>
              <w:spacing w:before="90" w:line="240" w:lineRule="auto"/>
              <w:ind w:right="-36" w:firstLine="0"/>
              <w:jc w:val="center"/>
              <w:rPr>
                <w:b/>
                <w:bCs/>
                <w:color w:val="FFFFFF" w:themeColor="background1"/>
                <w:lang w:val="es-DO" w:eastAsia="es-DO"/>
              </w:rPr>
            </w:pPr>
            <w:r w:rsidRPr="00B14048">
              <w:rPr>
                <w:b/>
                <w:bCs/>
                <w:color w:val="FFFFFF" w:themeColor="background1"/>
                <w:lang w:val="es-DO" w:eastAsia="es-DO"/>
              </w:rPr>
              <w:t>% en base a monto contratado</w:t>
            </w:r>
          </w:p>
        </w:tc>
      </w:tr>
      <w:tr w:rsidR="00B14048" w:rsidRPr="00B14048" w:rsidTr="00B14048">
        <w:trPr>
          <w:trHeight w:val="107"/>
          <w:jc w:val="center"/>
        </w:trPr>
        <w:tc>
          <w:tcPr>
            <w:tcW w:w="2122" w:type="dxa"/>
            <w:shd w:val="clear" w:color="auto" w:fill="auto"/>
            <w:noWrap/>
            <w:vAlign w:val="bottom"/>
          </w:tcPr>
          <w:p w:rsidR="00B14048" w:rsidRPr="00B14048" w:rsidRDefault="00B14048" w:rsidP="00B14048">
            <w:pPr>
              <w:pStyle w:val="Textoindependiente"/>
              <w:spacing w:before="90" w:line="240" w:lineRule="auto"/>
              <w:ind w:right="-36" w:firstLine="0"/>
              <w:rPr>
                <w:color w:val="auto"/>
                <w:lang w:val="es-DO" w:eastAsia="es-DO"/>
              </w:rPr>
            </w:pPr>
            <w:r w:rsidRPr="00B14048">
              <w:rPr>
                <w:color w:val="auto"/>
                <w:lang w:val="es-DO" w:eastAsia="es-DO"/>
              </w:rPr>
              <w:t>Empresa Mipymes</w:t>
            </w:r>
          </w:p>
        </w:tc>
        <w:tc>
          <w:tcPr>
            <w:tcW w:w="1559" w:type="dxa"/>
            <w:shd w:val="clear" w:color="auto" w:fill="auto"/>
            <w:noWrap/>
            <w:vAlign w:val="center"/>
          </w:tcPr>
          <w:p w:rsidR="00B14048" w:rsidRPr="00B14048" w:rsidRDefault="00B14048" w:rsidP="00B14048">
            <w:pPr>
              <w:pStyle w:val="Textoindependiente"/>
              <w:spacing w:before="90" w:line="240" w:lineRule="auto"/>
              <w:ind w:right="-36" w:firstLine="0"/>
              <w:jc w:val="center"/>
              <w:rPr>
                <w:color w:val="auto"/>
                <w:lang w:val="es-DO" w:eastAsia="es-DO"/>
              </w:rPr>
            </w:pPr>
            <w:r w:rsidRPr="00B14048">
              <w:rPr>
                <w:color w:val="auto"/>
                <w:lang w:val="es-DO" w:eastAsia="es-DO"/>
              </w:rPr>
              <w:t>89</w:t>
            </w:r>
          </w:p>
        </w:tc>
        <w:tc>
          <w:tcPr>
            <w:tcW w:w="2126" w:type="dxa"/>
            <w:shd w:val="clear" w:color="auto" w:fill="auto"/>
            <w:noWrap/>
            <w:vAlign w:val="center"/>
          </w:tcPr>
          <w:p w:rsidR="00B14048" w:rsidRPr="00B14048" w:rsidRDefault="00B14048" w:rsidP="00B14048">
            <w:pPr>
              <w:pStyle w:val="Textoindependiente"/>
              <w:spacing w:before="90" w:line="240" w:lineRule="auto"/>
              <w:ind w:right="-36" w:firstLine="0"/>
              <w:jc w:val="center"/>
              <w:rPr>
                <w:color w:val="auto"/>
                <w:lang w:val="es-DO" w:eastAsia="es-DO"/>
              </w:rPr>
            </w:pPr>
            <w:r w:rsidRPr="00B14048">
              <w:rPr>
                <w:color w:val="auto"/>
                <w:lang w:val="es-DO" w:eastAsia="es-DO"/>
              </w:rPr>
              <w:t>17,731,377.18</w:t>
            </w:r>
          </w:p>
        </w:tc>
        <w:tc>
          <w:tcPr>
            <w:tcW w:w="1985" w:type="dxa"/>
            <w:shd w:val="clear" w:color="auto" w:fill="auto"/>
            <w:noWrap/>
            <w:vAlign w:val="center"/>
          </w:tcPr>
          <w:p w:rsidR="00B14048" w:rsidRPr="00B14048" w:rsidRDefault="00B14048" w:rsidP="00B14048">
            <w:pPr>
              <w:pStyle w:val="Textoindependiente"/>
              <w:spacing w:before="90" w:line="240" w:lineRule="auto"/>
              <w:ind w:right="-36" w:firstLine="0"/>
              <w:jc w:val="center"/>
              <w:rPr>
                <w:color w:val="auto"/>
                <w:lang w:val="es-DO" w:eastAsia="es-DO"/>
              </w:rPr>
            </w:pPr>
            <w:r w:rsidRPr="00B14048">
              <w:rPr>
                <w:color w:val="auto"/>
                <w:lang w:val="es-DO" w:eastAsia="es-DO"/>
              </w:rPr>
              <w:t>22%</w:t>
            </w:r>
          </w:p>
        </w:tc>
      </w:tr>
      <w:tr w:rsidR="00B14048" w:rsidRPr="00B14048" w:rsidTr="00B14048">
        <w:trPr>
          <w:trHeight w:val="232"/>
          <w:jc w:val="center"/>
        </w:trPr>
        <w:tc>
          <w:tcPr>
            <w:tcW w:w="2122" w:type="dxa"/>
            <w:shd w:val="clear" w:color="auto" w:fill="auto"/>
            <w:noWrap/>
            <w:vAlign w:val="bottom"/>
            <w:hideMark/>
          </w:tcPr>
          <w:p w:rsidR="00B14048" w:rsidRPr="00B14048" w:rsidRDefault="00B14048" w:rsidP="00B14048">
            <w:pPr>
              <w:pStyle w:val="Textoindependiente"/>
              <w:spacing w:before="90" w:line="240" w:lineRule="auto"/>
              <w:ind w:right="-36" w:firstLine="0"/>
              <w:rPr>
                <w:color w:val="auto"/>
                <w:lang w:val="es-DO" w:eastAsia="es-DO"/>
              </w:rPr>
            </w:pPr>
            <w:r w:rsidRPr="00B14048">
              <w:rPr>
                <w:color w:val="auto"/>
                <w:lang w:val="es-DO" w:eastAsia="es-DO"/>
              </w:rPr>
              <w:t>Gran empresa</w:t>
            </w:r>
          </w:p>
        </w:tc>
        <w:tc>
          <w:tcPr>
            <w:tcW w:w="1559" w:type="dxa"/>
            <w:shd w:val="clear" w:color="auto" w:fill="auto"/>
            <w:noWrap/>
            <w:vAlign w:val="center"/>
          </w:tcPr>
          <w:p w:rsidR="00B14048" w:rsidRPr="00B14048" w:rsidRDefault="00B14048" w:rsidP="00B14048">
            <w:pPr>
              <w:pStyle w:val="Textoindependiente"/>
              <w:spacing w:before="90" w:line="240" w:lineRule="auto"/>
              <w:ind w:right="-36" w:firstLine="0"/>
              <w:jc w:val="center"/>
              <w:rPr>
                <w:color w:val="auto"/>
                <w:lang w:val="es-DO" w:eastAsia="es-DO"/>
              </w:rPr>
            </w:pPr>
            <w:r w:rsidRPr="00B14048">
              <w:rPr>
                <w:color w:val="auto"/>
                <w:lang w:val="es-DO" w:eastAsia="es-DO"/>
              </w:rPr>
              <w:t>119</w:t>
            </w:r>
          </w:p>
        </w:tc>
        <w:tc>
          <w:tcPr>
            <w:tcW w:w="2126" w:type="dxa"/>
            <w:shd w:val="clear" w:color="auto" w:fill="auto"/>
            <w:noWrap/>
            <w:vAlign w:val="center"/>
          </w:tcPr>
          <w:p w:rsidR="00B14048" w:rsidRPr="00B14048" w:rsidRDefault="00B14048" w:rsidP="00B14048">
            <w:pPr>
              <w:pStyle w:val="Textoindependiente"/>
              <w:spacing w:before="90" w:line="240" w:lineRule="auto"/>
              <w:ind w:right="-36" w:firstLine="0"/>
              <w:jc w:val="center"/>
              <w:rPr>
                <w:color w:val="auto"/>
                <w:lang w:val="es-DO" w:eastAsia="es-DO"/>
              </w:rPr>
            </w:pPr>
            <w:r w:rsidRPr="00B14048">
              <w:rPr>
                <w:color w:val="auto"/>
                <w:lang w:val="es-DO" w:eastAsia="es-DO"/>
              </w:rPr>
              <w:t>63,619,466.31</w:t>
            </w:r>
          </w:p>
        </w:tc>
        <w:tc>
          <w:tcPr>
            <w:tcW w:w="1985" w:type="dxa"/>
            <w:shd w:val="clear" w:color="auto" w:fill="auto"/>
            <w:noWrap/>
            <w:vAlign w:val="center"/>
          </w:tcPr>
          <w:p w:rsidR="00B14048" w:rsidRPr="00B14048" w:rsidRDefault="00B14048" w:rsidP="00B14048">
            <w:pPr>
              <w:pStyle w:val="Textoindependiente"/>
              <w:spacing w:before="90" w:line="240" w:lineRule="auto"/>
              <w:ind w:right="-36" w:firstLine="0"/>
              <w:jc w:val="center"/>
              <w:rPr>
                <w:color w:val="auto"/>
                <w:lang w:val="es-DO" w:eastAsia="es-DO"/>
              </w:rPr>
            </w:pPr>
            <w:r w:rsidRPr="00B14048">
              <w:rPr>
                <w:color w:val="auto"/>
                <w:lang w:val="es-DO" w:eastAsia="es-DO"/>
              </w:rPr>
              <w:t>78%</w:t>
            </w:r>
          </w:p>
        </w:tc>
      </w:tr>
      <w:tr w:rsidR="00B14048" w:rsidRPr="00B14048" w:rsidTr="00B14048">
        <w:trPr>
          <w:trHeight w:val="232"/>
          <w:jc w:val="center"/>
        </w:trPr>
        <w:tc>
          <w:tcPr>
            <w:tcW w:w="2122" w:type="dxa"/>
            <w:shd w:val="clear" w:color="auto" w:fill="auto"/>
            <w:noWrap/>
            <w:vAlign w:val="bottom"/>
            <w:hideMark/>
          </w:tcPr>
          <w:p w:rsidR="00B14048" w:rsidRPr="00B14048" w:rsidRDefault="00B14048" w:rsidP="00B14048">
            <w:pPr>
              <w:pStyle w:val="Textoindependiente"/>
              <w:spacing w:before="90" w:line="240" w:lineRule="auto"/>
              <w:ind w:right="-36" w:firstLine="0"/>
              <w:rPr>
                <w:color w:val="auto"/>
                <w:lang w:val="es-DO" w:eastAsia="es-DO"/>
              </w:rPr>
            </w:pPr>
            <w:r w:rsidRPr="00B14048">
              <w:rPr>
                <w:color w:val="auto"/>
                <w:lang w:val="es-DO" w:eastAsia="es-DO"/>
              </w:rPr>
              <w:t>No clasificada</w:t>
            </w:r>
          </w:p>
        </w:tc>
        <w:tc>
          <w:tcPr>
            <w:tcW w:w="1559" w:type="dxa"/>
            <w:shd w:val="clear" w:color="auto" w:fill="auto"/>
            <w:noWrap/>
            <w:vAlign w:val="center"/>
          </w:tcPr>
          <w:p w:rsidR="00B14048" w:rsidRPr="00B14048" w:rsidRDefault="00B14048" w:rsidP="00B14048">
            <w:pPr>
              <w:pStyle w:val="Textoindependiente"/>
              <w:spacing w:before="90" w:line="240" w:lineRule="auto"/>
              <w:ind w:right="-36" w:firstLine="0"/>
              <w:jc w:val="center"/>
              <w:rPr>
                <w:color w:val="auto"/>
                <w:lang w:val="es-DO" w:eastAsia="es-DO"/>
              </w:rPr>
            </w:pPr>
            <w:r w:rsidRPr="00B14048">
              <w:rPr>
                <w:color w:val="auto"/>
                <w:lang w:val="es-DO" w:eastAsia="es-DO"/>
              </w:rPr>
              <w:t>0</w:t>
            </w:r>
          </w:p>
        </w:tc>
        <w:tc>
          <w:tcPr>
            <w:tcW w:w="2126" w:type="dxa"/>
            <w:shd w:val="clear" w:color="auto" w:fill="auto"/>
            <w:noWrap/>
            <w:vAlign w:val="bottom"/>
          </w:tcPr>
          <w:p w:rsidR="00B14048" w:rsidRPr="00B14048" w:rsidRDefault="00B14048" w:rsidP="00B14048">
            <w:pPr>
              <w:pStyle w:val="Textoindependiente"/>
              <w:spacing w:before="90" w:line="240" w:lineRule="auto"/>
              <w:ind w:right="-36" w:firstLine="0"/>
              <w:jc w:val="center"/>
              <w:rPr>
                <w:color w:val="auto"/>
                <w:lang w:val="es-DO" w:eastAsia="es-DO"/>
              </w:rPr>
            </w:pPr>
            <w:r w:rsidRPr="00B14048">
              <w:rPr>
                <w:color w:val="auto"/>
                <w:lang w:val="es-DO" w:eastAsia="es-DO"/>
              </w:rPr>
              <w:t>0</w:t>
            </w:r>
          </w:p>
        </w:tc>
        <w:tc>
          <w:tcPr>
            <w:tcW w:w="1985" w:type="dxa"/>
            <w:shd w:val="clear" w:color="auto" w:fill="auto"/>
            <w:noWrap/>
          </w:tcPr>
          <w:p w:rsidR="00B14048" w:rsidRPr="00B14048" w:rsidRDefault="00B14048" w:rsidP="00B14048">
            <w:pPr>
              <w:pStyle w:val="Textoindependiente"/>
              <w:spacing w:before="90" w:line="240" w:lineRule="auto"/>
              <w:ind w:right="-36" w:firstLine="0"/>
              <w:jc w:val="center"/>
              <w:rPr>
                <w:color w:val="auto"/>
                <w:lang w:val="es-DO" w:eastAsia="es-DO"/>
              </w:rPr>
            </w:pPr>
            <w:r w:rsidRPr="00B14048">
              <w:rPr>
                <w:color w:val="auto"/>
                <w:lang w:val="es-DO" w:eastAsia="es-DO"/>
              </w:rPr>
              <w:t>0.00</w:t>
            </w:r>
          </w:p>
        </w:tc>
      </w:tr>
      <w:tr w:rsidR="00B14048" w:rsidRPr="00B14048" w:rsidTr="00B14048">
        <w:trPr>
          <w:trHeight w:val="220"/>
          <w:jc w:val="center"/>
        </w:trPr>
        <w:tc>
          <w:tcPr>
            <w:tcW w:w="2122" w:type="dxa"/>
            <w:shd w:val="clear" w:color="auto" w:fill="auto"/>
            <w:noWrap/>
            <w:vAlign w:val="center"/>
          </w:tcPr>
          <w:p w:rsidR="00B14048" w:rsidRPr="00B14048" w:rsidRDefault="00B14048" w:rsidP="00B14048">
            <w:pPr>
              <w:pStyle w:val="Textoindependiente"/>
              <w:spacing w:before="90" w:line="240" w:lineRule="auto"/>
              <w:ind w:right="-36" w:firstLine="0"/>
              <w:rPr>
                <w:b/>
                <w:bCs/>
                <w:color w:val="auto"/>
                <w:lang w:val="es-DO" w:eastAsia="es-DO"/>
              </w:rPr>
            </w:pPr>
            <w:r w:rsidRPr="00B14048">
              <w:rPr>
                <w:b/>
                <w:bCs/>
                <w:color w:val="auto"/>
                <w:lang w:val="es-DO" w:eastAsia="es-DO"/>
              </w:rPr>
              <w:t>Total general</w:t>
            </w:r>
          </w:p>
        </w:tc>
        <w:tc>
          <w:tcPr>
            <w:tcW w:w="1559" w:type="dxa"/>
            <w:shd w:val="clear" w:color="auto" w:fill="auto"/>
            <w:noWrap/>
            <w:vAlign w:val="center"/>
          </w:tcPr>
          <w:p w:rsidR="00B14048" w:rsidRPr="00B14048" w:rsidRDefault="00B14048" w:rsidP="00B14048">
            <w:pPr>
              <w:pStyle w:val="Textoindependiente"/>
              <w:spacing w:before="90" w:line="240" w:lineRule="auto"/>
              <w:ind w:right="-36" w:firstLine="0"/>
              <w:jc w:val="center"/>
              <w:rPr>
                <w:b/>
                <w:bCs/>
                <w:color w:val="auto"/>
                <w:lang w:val="es-DO" w:eastAsia="es-DO"/>
              </w:rPr>
            </w:pPr>
            <w:r w:rsidRPr="00B14048">
              <w:rPr>
                <w:b/>
                <w:bCs/>
                <w:color w:val="auto"/>
                <w:lang w:val="es-DO" w:eastAsia="es-DO"/>
              </w:rPr>
              <w:t>208</w:t>
            </w:r>
          </w:p>
        </w:tc>
        <w:tc>
          <w:tcPr>
            <w:tcW w:w="2126" w:type="dxa"/>
            <w:shd w:val="clear" w:color="auto" w:fill="auto"/>
            <w:noWrap/>
            <w:vAlign w:val="center"/>
          </w:tcPr>
          <w:p w:rsidR="00B14048" w:rsidRPr="00B14048" w:rsidRDefault="00B14048" w:rsidP="00B14048">
            <w:pPr>
              <w:pStyle w:val="Textoindependiente"/>
              <w:spacing w:before="90" w:line="240" w:lineRule="auto"/>
              <w:ind w:right="-36" w:firstLine="0"/>
              <w:jc w:val="center"/>
              <w:rPr>
                <w:b/>
                <w:bCs/>
                <w:color w:val="auto"/>
                <w:lang w:val="es-DO" w:eastAsia="es-DO"/>
              </w:rPr>
            </w:pPr>
            <w:r w:rsidRPr="00B14048">
              <w:rPr>
                <w:b/>
                <w:color w:val="auto"/>
                <w:lang w:val="es-DO" w:eastAsia="es-DO"/>
              </w:rPr>
              <w:t>81,350,843.49</w:t>
            </w:r>
          </w:p>
        </w:tc>
        <w:tc>
          <w:tcPr>
            <w:tcW w:w="1985" w:type="dxa"/>
            <w:shd w:val="clear" w:color="auto" w:fill="auto"/>
            <w:noWrap/>
            <w:vAlign w:val="center"/>
          </w:tcPr>
          <w:p w:rsidR="00B14048" w:rsidRPr="00B14048" w:rsidRDefault="00B14048" w:rsidP="00B14048">
            <w:pPr>
              <w:pStyle w:val="Textoindependiente"/>
              <w:spacing w:before="90" w:line="240" w:lineRule="auto"/>
              <w:ind w:right="-36" w:firstLine="0"/>
              <w:jc w:val="center"/>
              <w:rPr>
                <w:b/>
                <w:bCs/>
                <w:color w:val="auto"/>
                <w:lang w:val="es-DO" w:eastAsia="es-DO"/>
              </w:rPr>
            </w:pPr>
            <w:r w:rsidRPr="00B14048">
              <w:rPr>
                <w:b/>
                <w:bCs/>
                <w:color w:val="auto"/>
                <w:lang w:val="es-DO" w:eastAsia="es-DO"/>
              </w:rPr>
              <w:t>100%</w:t>
            </w:r>
          </w:p>
        </w:tc>
      </w:tr>
    </w:tbl>
    <w:p w:rsidR="00B14048" w:rsidRDefault="00B14048">
      <w:pPr>
        <w:keepNext w:val="0"/>
        <w:keepLines w:val="0"/>
        <w:spacing w:before="0" w:after="160" w:line="259" w:lineRule="auto"/>
        <w:ind w:firstLine="0"/>
        <w:jc w:val="left"/>
        <w:outlineLvl w:val="9"/>
      </w:pPr>
    </w:p>
    <w:p w:rsidR="00A803BF" w:rsidRDefault="00A803BF" w:rsidP="00D153F4">
      <w:pPr>
        <w:pStyle w:val="Ttulo1"/>
      </w:pPr>
      <w:bookmarkStart w:id="35" w:name="_Toc21590814"/>
      <w:bookmarkStart w:id="36" w:name="_Toc21593805"/>
      <w:bookmarkStart w:id="37" w:name="_Toc21594052"/>
      <w:r w:rsidRPr="00200F2E">
        <w:t>VI. Reconocimientos</w:t>
      </w:r>
      <w:bookmarkEnd w:id="35"/>
      <w:bookmarkEnd w:id="36"/>
      <w:bookmarkEnd w:id="37"/>
    </w:p>
    <w:p w:rsidR="007150E6" w:rsidRDefault="007150E6" w:rsidP="007150E6">
      <w:pPr>
        <w:pStyle w:val="Ttulo4"/>
        <w:rPr>
          <w:lang w:val="es-DO"/>
        </w:rPr>
      </w:pPr>
      <w:r w:rsidRPr="00E468C4">
        <w:rPr>
          <w:lang w:val="es-DO"/>
        </w:rPr>
        <w:t>Sello de Buenas Práctica</w:t>
      </w:r>
      <w:r>
        <w:rPr>
          <w:lang w:val="es-DO"/>
        </w:rPr>
        <w:t>s Inclusivas “RD Incluye 2019”</w:t>
      </w:r>
    </w:p>
    <w:p w:rsidR="00E468C4" w:rsidRPr="00C86371" w:rsidRDefault="00E468C4" w:rsidP="00B14048">
      <w:pPr>
        <w:rPr>
          <w:lang w:eastAsia="es-DO"/>
        </w:rPr>
      </w:pPr>
      <w:r w:rsidRPr="00C86371">
        <w:rPr>
          <w:lang w:eastAsia="es-DO"/>
        </w:rPr>
        <w:t>La Dirección General de Contrataciones Públicas recibió el Sello de Buenas Prácticas Inclusivas “</w:t>
      </w:r>
      <w:r w:rsidRPr="00C86371">
        <w:rPr>
          <w:i/>
          <w:lang w:eastAsia="es-DO"/>
        </w:rPr>
        <w:t>RD Incluye 2019</w:t>
      </w:r>
      <w:r w:rsidRPr="00C86371">
        <w:rPr>
          <w:lang w:eastAsia="es-DO"/>
        </w:rPr>
        <w:t>”, en las categorías oro y plata, por fomentar la cultura de inclusión e igualdad de oportunidades tanto en sus oficinas como en el Sistema Nacional de Contrataciones Públicas.</w:t>
      </w:r>
      <w:r w:rsidRPr="00C86371">
        <w:rPr>
          <w:lang w:eastAsia="es-DO"/>
        </w:rPr>
        <w:br/>
        <w:t>Contrataciones Públicas obtuvo la categoría oro en sensibilización al personal sobre la inclusión de las personas con discapacidad, ámbito: Sensibilización y/o Concientización. El segundo, en la categoría plata, en inclusión laboral de personas con discapacidad, ámbito: Trabajo.</w:t>
      </w:r>
    </w:p>
    <w:p w:rsidR="00F81814" w:rsidRDefault="00F81814" w:rsidP="00F81814">
      <w:pPr>
        <w:pStyle w:val="Ttulo4"/>
        <w:rPr>
          <w:lang w:val="es-DO"/>
        </w:rPr>
      </w:pPr>
      <w:r w:rsidRPr="00F81814">
        <w:rPr>
          <w:lang w:val="es-DO"/>
        </w:rPr>
        <w:t xml:space="preserve">Premios de Producción Más Limpia del Ministerio de Medio Ambiente </w:t>
      </w:r>
    </w:p>
    <w:p w:rsidR="00F81814" w:rsidRPr="00C86371" w:rsidRDefault="00F81814" w:rsidP="00B14048">
      <w:pPr>
        <w:rPr>
          <w:lang w:eastAsia="es-DO"/>
        </w:rPr>
      </w:pPr>
      <w:r w:rsidRPr="00C86371">
        <w:rPr>
          <w:lang w:eastAsia="es-DO"/>
        </w:rPr>
        <w:t>El pasado día 3 de diciembre 2019, la Dirección General de Contrataciones Públicas participó en la 5ta edición de los Premios de Producción Más Limpia del Ministerio de Medio Ambiente, obteniendo el Premio a la Excelencia P+L en la categoría Energía en la con el proyecto “</w:t>
      </w:r>
      <w:r w:rsidRPr="00AF0476">
        <w:rPr>
          <w:i/>
          <w:lang w:eastAsia="es-DO"/>
        </w:rPr>
        <w:t>Aire más limpio, eficiente y sin contaminación</w:t>
      </w:r>
      <w:r w:rsidRPr="00C86371">
        <w:rPr>
          <w:lang w:eastAsia="es-DO"/>
        </w:rPr>
        <w:t xml:space="preserve">”. </w:t>
      </w:r>
    </w:p>
    <w:p w:rsidR="00F81814" w:rsidRPr="00C86371" w:rsidRDefault="00F81814" w:rsidP="00B14048">
      <w:pPr>
        <w:rPr>
          <w:lang w:eastAsia="es-DO"/>
        </w:rPr>
      </w:pPr>
      <w:r w:rsidRPr="00C86371">
        <w:rPr>
          <w:lang w:eastAsia="es-DO"/>
        </w:rPr>
        <w:t>Con el firme propósito de aportar al medio ambiente y ahorrar energía en la DGCP nos propusimos iniciar un proceso de cambio en nuestro sistema de climatización que favoreciera la calidad del aire, el respeto al medio ambiente y a la calidad de vida de nuestros colaboradores.</w:t>
      </w:r>
      <w:r w:rsidR="005C1678" w:rsidRPr="00C86371">
        <w:rPr>
          <w:lang w:eastAsia="es-DO"/>
        </w:rPr>
        <w:t xml:space="preserve"> </w:t>
      </w:r>
      <w:r w:rsidRPr="00C86371">
        <w:rPr>
          <w:lang w:eastAsia="es-DO"/>
        </w:rPr>
        <w:t xml:space="preserve">El proceso de cambio de aire acondicionado tradicional a inverter, se inició en julio del 2018. Este proceso estipulado para varias etapas y de las cuales hemos ejecutado 5 al cierre de </w:t>
      </w:r>
      <w:r w:rsidR="005C1678" w:rsidRPr="00C86371">
        <w:rPr>
          <w:lang w:eastAsia="es-DO"/>
        </w:rPr>
        <w:t>2019.</w:t>
      </w:r>
      <w:r w:rsidRPr="00C86371">
        <w:rPr>
          <w:lang w:eastAsia="es-DO"/>
        </w:rPr>
        <w:t xml:space="preserve"> En estas etapas sustituimos 69</w:t>
      </w:r>
      <w:r w:rsidR="00AF0476">
        <w:rPr>
          <w:lang w:eastAsia="es-DO"/>
        </w:rPr>
        <w:t xml:space="preserve"> </w:t>
      </w:r>
      <w:r w:rsidRPr="00C86371">
        <w:rPr>
          <w:lang w:eastAsia="es-DO"/>
        </w:rPr>
        <w:t xml:space="preserve">ton de aire de baja eficiencia y poco amigable al medio ambiente por 57ton de aire acondicionado </w:t>
      </w:r>
      <w:r w:rsidR="005C1678" w:rsidRPr="00C86371">
        <w:rPr>
          <w:lang w:eastAsia="es-DO"/>
        </w:rPr>
        <w:t>invert</w:t>
      </w:r>
      <w:r w:rsidR="0038475B">
        <w:rPr>
          <w:lang w:eastAsia="es-DO"/>
        </w:rPr>
        <w:t>e</w:t>
      </w:r>
      <w:r w:rsidR="005C1678" w:rsidRPr="00C86371">
        <w:rPr>
          <w:lang w:eastAsia="es-DO"/>
        </w:rPr>
        <w:t>r,</w:t>
      </w:r>
      <w:r w:rsidRPr="00C86371">
        <w:rPr>
          <w:lang w:eastAsia="es-DO"/>
        </w:rPr>
        <w:t xml:space="preserve"> amigable al medio ambiente. El costo de esos trabajos ha sido de RD$3,901,032.41.</w:t>
      </w:r>
    </w:p>
    <w:p w:rsidR="00F81814" w:rsidRDefault="00F81814" w:rsidP="00F81814">
      <w:pPr>
        <w:pStyle w:val="Ttulo4"/>
        <w:rPr>
          <w:lang w:val="es-DO"/>
        </w:rPr>
      </w:pPr>
      <w:r w:rsidRPr="00D951B9">
        <w:rPr>
          <w:lang w:val="es-DO"/>
        </w:rPr>
        <w:t xml:space="preserve">GPI: Iniciativa de Contratación a Nivel Global: Entender el Mejor Valor </w:t>
      </w:r>
    </w:p>
    <w:p w:rsidR="00E468C4" w:rsidRDefault="00112B34" w:rsidP="00B14048">
      <w:pPr>
        <w:rPr>
          <w:lang w:eastAsia="es-DO"/>
        </w:rPr>
      </w:pPr>
      <w:r w:rsidRPr="00C86371">
        <w:rPr>
          <w:lang w:eastAsia="es-DO"/>
        </w:rPr>
        <w:t>L</w:t>
      </w:r>
      <w:r w:rsidR="00E468C4" w:rsidRPr="00C86371">
        <w:rPr>
          <w:lang w:eastAsia="es-DO"/>
        </w:rPr>
        <w:t>a Agencia de Comercio y Desarrollo de los Estados Unidos (USTDA) y el Global Procurement Initiative: Understanding Best Value (GPI: Ini</w:t>
      </w:r>
      <w:r w:rsidR="007E3951" w:rsidRPr="00C86371">
        <w:rPr>
          <w:lang w:eastAsia="es-DO"/>
        </w:rPr>
        <w:t>ciativa de Contratació</w:t>
      </w:r>
      <w:r w:rsidRPr="00C86371">
        <w:rPr>
          <w:lang w:eastAsia="es-DO"/>
        </w:rPr>
        <w:t xml:space="preserve">n a Nivel </w:t>
      </w:r>
      <w:r w:rsidR="00E468C4" w:rsidRPr="00C86371">
        <w:rPr>
          <w:lang w:eastAsia="es-DO"/>
        </w:rPr>
        <w:t>Global: Entender el Mejor Valor</w:t>
      </w:r>
      <w:r w:rsidR="007E3951" w:rsidRPr="00C86371">
        <w:rPr>
          <w:lang w:eastAsia="es-DO"/>
        </w:rPr>
        <w:t>), externó</w:t>
      </w:r>
      <w:r w:rsidR="00E468C4" w:rsidRPr="00C86371">
        <w:rPr>
          <w:lang w:eastAsia="es-DO"/>
        </w:rPr>
        <w:t xml:space="preserve"> una felicitación </w:t>
      </w:r>
      <w:r w:rsidR="007E3951" w:rsidRPr="00C86371">
        <w:rPr>
          <w:lang w:eastAsia="es-DO"/>
        </w:rPr>
        <w:t>a la</w:t>
      </w:r>
      <w:r w:rsidR="00E468C4" w:rsidRPr="00C86371">
        <w:rPr>
          <w:lang w:eastAsia="es-DO"/>
        </w:rPr>
        <w:t xml:space="preserve"> Re</w:t>
      </w:r>
      <w:r w:rsidR="00D951B9" w:rsidRPr="00C86371">
        <w:rPr>
          <w:lang w:eastAsia="es-DO"/>
        </w:rPr>
        <w:t>pú</w:t>
      </w:r>
      <w:r w:rsidR="00E468C4" w:rsidRPr="00C86371">
        <w:rPr>
          <w:lang w:eastAsia="es-DO"/>
        </w:rPr>
        <w:t>blica Dominicana y la Dirección General de Contrataciones Públicas (DGCP) por organizar el for</w:t>
      </w:r>
      <w:r w:rsidRPr="00C86371">
        <w:rPr>
          <w:lang w:eastAsia="es-DO"/>
        </w:rPr>
        <w:t xml:space="preserve">o Red Interamericana de Compras </w:t>
      </w:r>
      <w:r w:rsidR="00E468C4" w:rsidRPr="00C86371">
        <w:rPr>
          <w:lang w:eastAsia="es-DO"/>
        </w:rPr>
        <w:t xml:space="preserve">Gubernamentales (RICG) de este año. Donde </w:t>
      </w:r>
      <w:r w:rsidR="008E478F" w:rsidRPr="00C86371">
        <w:rPr>
          <w:lang w:eastAsia="es-DO"/>
        </w:rPr>
        <w:t>se muestran</w:t>
      </w:r>
      <w:r w:rsidR="00E468C4" w:rsidRPr="00C86371">
        <w:rPr>
          <w:lang w:eastAsia="es-DO"/>
        </w:rPr>
        <w:t xml:space="preserve"> </w:t>
      </w:r>
      <w:r w:rsidRPr="00C86371">
        <w:rPr>
          <w:lang w:eastAsia="es-DO"/>
        </w:rPr>
        <w:t xml:space="preserve">los </w:t>
      </w:r>
      <w:r w:rsidR="00E468C4" w:rsidRPr="00C86371">
        <w:rPr>
          <w:lang w:eastAsia="es-DO"/>
        </w:rPr>
        <w:t>grandes avances de la República Dominicana para establecer prácticas</w:t>
      </w:r>
      <w:r w:rsidRPr="00C86371">
        <w:rPr>
          <w:lang w:eastAsia="es-DO"/>
        </w:rPr>
        <w:t xml:space="preserve"> de adquisició</w:t>
      </w:r>
      <w:r w:rsidR="00E468C4" w:rsidRPr="00C86371">
        <w:rPr>
          <w:lang w:eastAsia="es-DO"/>
        </w:rPr>
        <w:t>n basadas en el valor y empoderar a los funcionarios de adquisiciones par</w:t>
      </w:r>
      <w:r w:rsidR="007E3951" w:rsidRPr="00C86371">
        <w:rPr>
          <w:lang w:eastAsia="es-DO"/>
        </w:rPr>
        <w:t>a que participen en las mejores prácticas de adquisició</w:t>
      </w:r>
      <w:r w:rsidR="00E468C4" w:rsidRPr="00C86371">
        <w:rPr>
          <w:lang w:eastAsia="es-DO"/>
        </w:rPr>
        <w:t xml:space="preserve">n. </w:t>
      </w:r>
      <w:r w:rsidR="007E3951" w:rsidRPr="00C86371">
        <w:rPr>
          <w:lang w:eastAsia="es-DO"/>
        </w:rPr>
        <w:t xml:space="preserve">Manifiestan estar </w:t>
      </w:r>
      <w:r w:rsidR="00E468C4" w:rsidRPr="00C86371">
        <w:rPr>
          <w:lang w:eastAsia="es-DO"/>
        </w:rPr>
        <w:t>muy contento</w:t>
      </w:r>
      <w:r w:rsidR="005C1678" w:rsidRPr="00C86371">
        <w:rPr>
          <w:lang w:eastAsia="es-DO"/>
        </w:rPr>
        <w:t>s de estar asociados con la Repú</w:t>
      </w:r>
      <w:r w:rsidR="00E468C4" w:rsidRPr="00C86371">
        <w:rPr>
          <w:lang w:eastAsia="es-DO"/>
        </w:rPr>
        <w:t>bl</w:t>
      </w:r>
      <w:r w:rsidR="008E478F" w:rsidRPr="00C86371">
        <w:rPr>
          <w:lang w:eastAsia="es-DO"/>
        </w:rPr>
        <w:t xml:space="preserve">ica </w:t>
      </w:r>
      <w:r w:rsidR="00E468C4" w:rsidRPr="00C86371">
        <w:rPr>
          <w:lang w:eastAsia="es-DO"/>
        </w:rPr>
        <w:t xml:space="preserve">Dominicana bajo el programa </w:t>
      </w:r>
      <w:r w:rsidR="007E3951" w:rsidRPr="00C86371">
        <w:rPr>
          <w:lang w:eastAsia="es-DO"/>
        </w:rPr>
        <w:t>GPI y aplauden todo</w:t>
      </w:r>
      <w:r w:rsidR="00E468C4" w:rsidRPr="00C86371">
        <w:rPr>
          <w:lang w:eastAsia="es-DO"/>
        </w:rPr>
        <w:t xml:space="preserve"> lo que hace para mejorar la contr</w:t>
      </w:r>
      <w:r w:rsidR="005C1678" w:rsidRPr="00C86371">
        <w:rPr>
          <w:lang w:eastAsia="es-DO"/>
        </w:rPr>
        <w:t>atación pública en el país</w:t>
      </w:r>
      <w:r w:rsidR="00E468C4" w:rsidRPr="00C86371">
        <w:rPr>
          <w:lang w:eastAsia="es-DO"/>
        </w:rPr>
        <w:t xml:space="preserve"> y la </w:t>
      </w:r>
      <w:r w:rsidR="008E478F" w:rsidRPr="00C86371">
        <w:rPr>
          <w:lang w:eastAsia="es-DO"/>
        </w:rPr>
        <w:t>región</w:t>
      </w:r>
      <w:r w:rsidR="00E468C4" w:rsidRPr="00C86371">
        <w:rPr>
          <w:lang w:eastAsia="es-DO"/>
        </w:rPr>
        <w:t xml:space="preserve">. </w:t>
      </w:r>
    </w:p>
    <w:p w:rsidR="00B14048" w:rsidRDefault="00B14048" w:rsidP="00B14048">
      <w:pPr>
        <w:rPr>
          <w:lang w:eastAsia="es-DO"/>
        </w:rPr>
      </w:pPr>
    </w:p>
    <w:p w:rsidR="00D940BE" w:rsidRPr="0096605D" w:rsidRDefault="00D940BE" w:rsidP="0096605D">
      <w:pPr>
        <w:pStyle w:val="Ttulo4"/>
        <w:rPr>
          <w:lang w:val="es-DO"/>
        </w:rPr>
      </w:pPr>
      <w:r w:rsidRPr="0096605D">
        <w:rPr>
          <w:lang w:val="es-DO"/>
        </w:rPr>
        <w:t>VII Premio Interamericano a la Innovación para la gestión P</w:t>
      </w:r>
      <w:r w:rsidR="00B14048">
        <w:rPr>
          <w:lang w:val="es-DO"/>
        </w:rPr>
        <w:t>ú</w:t>
      </w:r>
      <w:r w:rsidRPr="0096605D">
        <w:rPr>
          <w:lang w:val="es-DO"/>
        </w:rPr>
        <w:t>blica Efectiva</w:t>
      </w:r>
    </w:p>
    <w:p w:rsidR="00D940BE" w:rsidRDefault="00D940BE" w:rsidP="00B14048">
      <w:pPr>
        <w:rPr>
          <w:lang w:eastAsia="es-DO"/>
        </w:rPr>
      </w:pPr>
      <w:r>
        <w:rPr>
          <w:lang w:eastAsia="es-DO"/>
        </w:rPr>
        <w:t>El</w:t>
      </w:r>
      <w:r w:rsidR="00B14048">
        <w:rPr>
          <w:lang w:eastAsia="es-DO"/>
        </w:rPr>
        <w:t xml:space="preserve"> </w:t>
      </w:r>
      <w:r>
        <w:rPr>
          <w:lang w:eastAsia="es-DO"/>
        </w:rPr>
        <w:t xml:space="preserve">martes 10 de diciembre 2019, el Jurado Especial de la VII Edición del Premio Interamericano a la Innovación para la Gestión Publica Efectiva, </w:t>
      </w:r>
      <w:r w:rsidR="00FA78D5">
        <w:rPr>
          <w:lang w:eastAsia="es-DO"/>
        </w:rPr>
        <w:t xml:space="preserve">que otorga la OEA y la Secretaría de Estado de Asuntos Hemisféricos (SAH), </w:t>
      </w:r>
      <w:r>
        <w:rPr>
          <w:lang w:eastAsia="es-DO"/>
        </w:rPr>
        <w:t xml:space="preserve">determinaron los ganadores de cada una de las categorías de dicho Premio, en que se recibieron postulaciones: Innovación en el Gobierno Abierto, Innovación en </w:t>
      </w:r>
      <w:r w:rsidR="0096605D">
        <w:rPr>
          <w:lang w:eastAsia="es-DO"/>
        </w:rPr>
        <w:t xml:space="preserve">Coordinación Institucional, Innovación en Inclusión Social, Innovación en el Enfoque de Equidad de Género y de Derechos. En este último renglón, la Dirección General de Contrataciones Públicas recibió un reconocimiento especial por su proyecto </w:t>
      </w:r>
      <w:r w:rsidR="0096605D" w:rsidRPr="0096605D">
        <w:rPr>
          <w:i/>
          <w:lang w:eastAsia="es-DO"/>
        </w:rPr>
        <w:t>Modelo Dominicano de Compras Públicas Sostenibles e Inclusivas – Mujeres Proveedoras del Estado</w:t>
      </w:r>
      <w:r w:rsidR="0096605D">
        <w:rPr>
          <w:lang w:eastAsia="es-DO"/>
        </w:rPr>
        <w:t>.</w:t>
      </w:r>
    </w:p>
    <w:p w:rsidR="00D940BE" w:rsidRPr="00C86371" w:rsidRDefault="00D940BE" w:rsidP="00C86371">
      <w:pPr>
        <w:pStyle w:val="Textoindependiente"/>
        <w:spacing w:before="90"/>
        <w:ind w:right="-36" w:firstLine="816"/>
        <w:rPr>
          <w:color w:val="auto"/>
          <w:lang w:eastAsia="es-DO"/>
        </w:rPr>
      </w:pPr>
    </w:p>
    <w:p w:rsidR="00C86371" w:rsidRDefault="00C86371">
      <w:pPr>
        <w:keepNext w:val="0"/>
        <w:keepLines w:val="0"/>
        <w:spacing w:before="0" w:after="160" w:line="259" w:lineRule="auto"/>
        <w:ind w:firstLine="0"/>
        <w:jc w:val="left"/>
        <w:outlineLvl w:val="9"/>
        <w:rPr>
          <w:lang w:val="es-DO"/>
        </w:rPr>
      </w:pPr>
      <w:r>
        <w:rPr>
          <w:lang w:val="es-DO"/>
        </w:rPr>
        <w:br w:type="page"/>
      </w:r>
    </w:p>
    <w:p w:rsidR="00A803BF" w:rsidRDefault="00A803BF" w:rsidP="00D153F4">
      <w:pPr>
        <w:pStyle w:val="Ttulo1"/>
      </w:pPr>
      <w:bookmarkStart w:id="38" w:name="_Toc21590815"/>
      <w:bookmarkStart w:id="39" w:name="_Toc21593806"/>
      <w:bookmarkStart w:id="40" w:name="_Toc21594053"/>
      <w:r w:rsidRPr="00200F2E">
        <w:t>VII. Proyecciones al Próximo Año</w:t>
      </w:r>
      <w:bookmarkEnd w:id="38"/>
      <w:bookmarkEnd w:id="39"/>
      <w:bookmarkEnd w:id="40"/>
    </w:p>
    <w:p w:rsidR="00640883" w:rsidRPr="00C86371" w:rsidRDefault="00167702" w:rsidP="00B14048">
      <w:pPr>
        <w:rPr>
          <w:lang w:eastAsia="es-DO"/>
        </w:rPr>
      </w:pPr>
      <w:r w:rsidRPr="00C86371">
        <w:rPr>
          <w:lang w:eastAsia="es-DO"/>
        </w:rPr>
        <w:t xml:space="preserve">Para el año 2020 la Dirección General de Contrataciones Públicas tiene retos interesantes que se </w:t>
      </w:r>
      <w:r w:rsidR="00640883" w:rsidRPr="00C86371">
        <w:rPr>
          <w:lang w:eastAsia="es-DO"/>
        </w:rPr>
        <w:t>ha planteado en las metas de su Plan Estratégico 2018-2021. Algunas de estas iniciativas y proyectos son:</w:t>
      </w:r>
    </w:p>
    <w:p w:rsidR="00167702" w:rsidRDefault="00640883" w:rsidP="00C86371">
      <w:pPr>
        <w:pStyle w:val="Prrafodelista"/>
        <w:numPr>
          <w:ilvl w:val="0"/>
          <w:numId w:val="19"/>
        </w:numPr>
        <w:ind w:left="567" w:hanging="548"/>
      </w:pPr>
      <w:r w:rsidRPr="000818DD">
        <w:rPr>
          <w:u w:val="single"/>
        </w:rPr>
        <w:t>Ley 340-06</w:t>
      </w:r>
      <w:r>
        <w:t xml:space="preserve">: </w:t>
      </w:r>
      <w:r w:rsidRPr="00B14048">
        <w:t xml:space="preserve">Implementación de los reglamentos de aplicación, y los principios y normas que se </w:t>
      </w:r>
      <w:r w:rsidR="00167702" w:rsidRPr="00B14048">
        <w:t>desprenderán de los resultados del anteproyecto de Ley sometido al Poder Ejecutivo.</w:t>
      </w:r>
      <w:r w:rsidR="00167702">
        <w:t xml:space="preserve"> </w:t>
      </w:r>
    </w:p>
    <w:p w:rsidR="00940A44" w:rsidRPr="00B14048" w:rsidRDefault="00940A44" w:rsidP="00C86371">
      <w:pPr>
        <w:pStyle w:val="Prrafodelista"/>
        <w:numPr>
          <w:ilvl w:val="0"/>
          <w:numId w:val="19"/>
        </w:numPr>
        <w:ind w:left="567" w:hanging="548"/>
      </w:pPr>
      <w:r w:rsidRPr="000818DD">
        <w:rPr>
          <w:u w:val="single"/>
        </w:rPr>
        <w:t>Retos y Desafíos en la Explotación de Datos</w:t>
      </w:r>
      <w:r w:rsidR="00640883">
        <w:t xml:space="preserve">: </w:t>
      </w:r>
      <w:r w:rsidRPr="00B14048">
        <w:t xml:space="preserve">A pesar de los notables avances </w:t>
      </w:r>
      <w:r w:rsidR="0038475B">
        <w:t>en la unidad de Estudios Económicos</w:t>
      </w:r>
      <w:r w:rsidRPr="00B14048">
        <w:t>, aún queda pendiente la estructuración de los datos</w:t>
      </w:r>
      <w:r w:rsidR="0038475B">
        <w:t>,</w:t>
      </w:r>
      <w:r w:rsidRPr="00B14048">
        <w:t xml:space="preserve"> de </w:t>
      </w:r>
      <w:r w:rsidR="0038475B">
        <w:t>esta</w:t>
      </w:r>
      <w:r w:rsidRPr="00B14048">
        <w:t xml:space="preserve"> Dirección </w:t>
      </w:r>
      <w:r w:rsidR="0038475B">
        <w:t xml:space="preserve">General, </w:t>
      </w:r>
      <w:r w:rsidRPr="00B14048">
        <w:t>al estándar internacional propuesto por el “Open Contracting Partnership”. Con esta estructuración será posible cruzar los datos del país con otros sistemas de Compras en Latinoamérica y el Caribe. También queda pendiente adquirir nuevos recursos informáticos para expandir la modelación e implementación de nuevos algoritmos que permitan obtener mayor información. Asimismo, capacitar a diversos actores del Sistema Nacional de Compras y Contrataciones para que puedan aprovechar estas nuevas herramientas.</w:t>
      </w:r>
    </w:p>
    <w:p w:rsidR="000818DD" w:rsidRPr="00B14048" w:rsidRDefault="000818DD" w:rsidP="00C86371">
      <w:pPr>
        <w:pStyle w:val="Prrafodelista"/>
        <w:numPr>
          <w:ilvl w:val="0"/>
          <w:numId w:val="19"/>
        </w:numPr>
        <w:ind w:left="567" w:hanging="548"/>
      </w:pPr>
      <w:r w:rsidRPr="00C86371">
        <w:rPr>
          <w:iCs/>
          <w:u w:val="single"/>
        </w:rPr>
        <w:t>Mejoras al Portal Transaccional</w:t>
      </w:r>
      <w:r w:rsidRPr="00C86371">
        <w:rPr>
          <w:iCs/>
        </w:rPr>
        <w:t xml:space="preserve">: </w:t>
      </w:r>
      <w:r w:rsidRPr="00B14048">
        <w:t xml:space="preserve">Implementación de </w:t>
      </w:r>
      <w:r w:rsidR="00C7070C" w:rsidRPr="00B14048">
        <w:t>nuevos controles para tiempos de pago, mediciones de pago y consultas de pago.</w:t>
      </w:r>
    </w:p>
    <w:p w:rsidR="004D7B53" w:rsidRPr="00B14048" w:rsidRDefault="004D7B53" w:rsidP="00C86371">
      <w:pPr>
        <w:pStyle w:val="Prrafodelista"/>
        <w:numPr>
          <w:ilvl w:val="0"/>
          <w:numId w:val="19"/>
        </w:numPr>
        <w:ind w:left="567" w:hanging="548"/>
      </w:pPr>
      <w:r w:rsidRPr="00C86371">
        <w:rPr>
          <w:iCs/>
          <w:u w:val="single"/>
        </w:rPr>
        <w:t>Implementación de la Resolución No. 03-2019 sobre la incorporación de Criterios de Accesibilidad Universal en el Sistema Nacional de Compras y Contrataciones de la República Dominicana</w:t>
      </w:r>
      <w:r w:rsidRPr="00C86371">
        <w:rPr>
          <w:iCs/>
        </w:rPr>
        <w:t>.</w:t>
      </w:r>
      <w:r w:rsidR="00640883" w:rsidRPr="00C86371">
        <w:rPr>
          <w:iCs/>
        </w:rPr>
        <w:t xml:space="preserve">: </w:t>
      </w:r>
      <w:r w:rsidR="00640883" w:rsidRPr="00B14048">
        <w:t>Para el 2020 se tiene estipulado implementar el plan de acción para socialización y distribución de la “Guía Práctica de Compras Públicas Accesibles, versión 1.0”, a todo el sector público, y actores del SNCCP.</w:t>
      </w:r>
    </w:p>
    <w:p w:rsidR="007C0BE8" w:rsidRPr="00B14048" w:rsidRDefault="00640883" w:rsidP="00C86371">
      <w:pPr>
        <w:pStyle w:val="Prrafodelista"/>
        <w:numPr>
          <w:ilvl w:val="0"/>
          <w:numId w:val="19"/>
        </w:numPr>
        <w:ind w:left="567" w:hanging="548"/>
      </w:pPr>
      <w:r w:rsidRPr="000818DD">
        <w:rPr>
          <w:u w:val="single"/>
          <w:lang w:val="es-DO"/>
        </w:rPr>
        <w:t>Implementación de los formularios del registro de proveedores y del registro de beneficiarios</w:t>
      </w:r>
      <w:r w:rsidRPr="000818DD">
        <w:rPr>
          <w:lang w:val="es-DO"/>
        </w:rPr>
        <w:t xml:space="preserve">: </w:t>
      </w:r>
      <w:r w:rsidRPr="00B14048">
        <w:t xml:space="preserve">la implementación de estos formularios apoyará a la simplificación de estos trámites de cara a los actores del SNCCP ya que </w:t>
      </w:r>
      <w:r w:rsidR="007C0BE8" w:rsidRPr="00B14048">
        <w:t>incorpora</w:t>
      </w:r>
      <w:r w:rsidRPr="00B14048">
        <w:t xml:space="preserve">n </w:t>
      </w:r>
      <w:r w:rsidR="007C0BE8" w:rsidRPr="00B14048">
        <w:t xml:space="preserve">el lenguaje ciudadano. </w:t>
      </w:r>
    </w:p>
    <w:p w:rsidR="00D02F73" w:rsidRPr="00B14048" w:rsidRDefault="00640883" w:rsidP="00C86371">
      <w:pPr>
        <w:pStyle w:val="Prrafodelista"/>
        <w:numPr>
          <w:ilvl w:val="0"/>
          <w:numId w:val="19"/>
        </w:numPr>
        <w:ind w:left="567" w:hanging="548"/>
      </w:pPr>
      <w:r w:rsidRPr="000818DD">
        <w:rPr>
          <w:u w:val="single"/>
          <w:lang w:val="es-DO"/>
        </w:rPr>
        <w:t>Implementación de l</w:t>
      </w:r>
      <w:r w:rsidR="00D02F73" w:rsidRPr="000818DD">
        <w:rPr>
          <w:u w:val="single"/>
          <w:lang w:val="es-DO"/>
        </w:rPr>
        <w:t>a campaña de difusión para incentivar la inscripción en línea del Registro de Proveedores</w:t>
      </w:r>
      <w:r w:rsidR="00D02F73" w:rsidRPr="000818DD">
        <w:rPr>
          <w:lang w:val="es-DO"/>
        </w:rPr>
        <w:t xml:space="preserve">: </w:t>
      </w:r>
      <w:r w:rsidRPr="00B14048">
        <w:t>esta</w:t>
      </w:r>
      <w:r w:rsidR="00D02F73" w:rsidRPr="00B14048">
        <w:t xml:space="preserve"> campaña de difusión </w:t>
      </w:r>
      <w:r w:rsidRPr="00B14048">
        <w:t>pretende llevar a m</w:t>
      </w:r>
      <w:r w:rsidR="0038475B">
        <w:t>á</w:t>
      </w:r>
      <w:r w:rsidRPr="00B14048">
        <w:t xml:space="preserve">s actores del SNCCP, información </w:t>
      </w:r>
      <w:r w:rsidR="00D02F73" w:rsidRPr="00B14048">
        <w:t>para dar a conocer el Portal Transaccional y el módulo de proveedores en línea.</w:t>
      </w:r>
    </w:p>
    <w:p w:rsidR="008D5776" w:rsidRPr="00B14048" w:rsidRDefault="008D5776" w:rsidP="00C86371">
      <w:pPr>
        <w:pStyle w:val="Prrafodelista"/>
        <w:numPr>
          <w:ilvl w:val="0"/>
          <w:numId w:val="19"/>
        </w:numPr>
        <w:ind w:left="567" w:hanging="548"/>
      </w:pPr>
      <w:r w:rsidRPr="00C86371">
        <w:rPr>
          <w:iCs/>
          <w:u w:val="single"/>
          <w:lang w:val="es-DO"/>
        </w:rPr>
        <w:t>Transferencia de</w:t>
      </w:r>
      <w:r w:rsidR="00167702" w:rsidRPr="00C86371">
        <w:rPr>
          <w:iCs/>
          <w:u w:val="single"/>
          <w:lang w:val="es-DO"/>
        </w:rPr>
        <w:t>l</w:t>
      </w:r>
      <w:r w:rsidRPr="00C86371">
        <w:rPr>
          <w:iCs/>
          <w:u w:val="single"/>
          <w:lang w:val="es-DO"/>
        </w:rPr>
        <w:t xml:space="preserve"> </w:t>
      </w:r>
      <w:r w:rsidR="00167702" w:rsidRPr="00C86371">
        <w:rPr>
          <w:iCs/>
          <w:u w:val="single"/>
          <w:lang w:val="es-DO"/>
        </w:rPr>
        <w:t>“</w:t>
      </w:r>
      <w:r w:rsidRPr="00C86371">
        <w:rPr>
          <w:i/>
          <w:iCs/>
          <w:u w:val="single"/>
          <w:lang w:val="es-DO"/>
        </w:rPr>
        <w:t>Modelo Dominicano de Compras Públ</w:t>
      </w:r>
      <w:r w:rsidR="00640883" w:rsidRPr="00C86371">
        <w:rPr>
          <w:i/>
          <w:iCs/>
          <w:u w:val="single"/>
          <w:lang w:val="es-DO"/>
        </w:rPr>
        <w:t>icas Sostenibles e Inclusivas</w:t>
      </w:r>
      <w:r w:rsidR="00640883" w:rsidRPr="00C86371">
        <w:rPr>
          <w:iCs/>
          <w:u w:val="single"/>
          <w:lang w:val="es-DO"/>
        </w:rPr>
        <w:t>”</w:t>
      </w:r>
      <w:r w:rsidR="00640883" w:rsidRPr="00C86371">
        <w:rPr>
          <w:iCs/>
          <w:lang w:val="es-DO"/>
        </w:rPr>
        <w:t xml:space="preserve">: </w:t>
      </w:r>
      <w:r w:rsidRPr="00B14048">
        <w:t xml:space="preserve">Para este próximo año está </w:t>
      </w:r>
      <w:r w:rsidR="00640883" w:rsidRPr="00B14048">
        <w:t xml:space="preserve">como meta </w:t>
      </w:r>
      <w:r w:rsidR="000818DD" w:rsidRPr="00B14048">
        <w:t>planificar las</w:t>
      </w:r>
      <w:r w:rsidRPr="00B14048">
        <w:t xml:space="preserve"> próximas misiones, </w:t>
      </w:r>
      <w:r w:rsidR="000818DD" w:rsidRPr="00B14048">
        <w:t xml:space="preserve">donde el equipo de la </w:t>
      </w:r>
      <w:r w:rsidR="0038475B">
        <w:t>R</w:t>
      </w:r>
      <w:r w:rsidR="000818DD" w:rsidRPr="00B14048">
        <w:t>ep</w:t>
      </w:r>
      <w:r w:rsidR="0038475B">
        <w:t>ú</w:t>
      </w:r>
      <w:r w:rsidR="000818DD" w:rsidRPr="00B14048">
        <w:t xml:space="preserve">blica </w:t>
      </w:r>
      <w:r w:rsidR="0038475B">
        <w:t>D</w:t>
      </w:r>
      <w:r w:rsidR="000818DD" w:rsidRPr="00B14048">
        <w:t>ominicana</w:t>
      </w:r>
      <w:r w:rsidRPr="00B14048">
        <w:t xml:space="preserve"> visitará </w:t>
      </w:r>
      <w:r w:rsidR="0038475B">
        <w:t>otros</w:t>
      </w:r>
      <w:r w:rsidRPr="00B14048">
        <w:t xml:space="preserve"> países para la continuación de la transferencia</w:t>
      </w:r>
      <w:r w:rsidR="00C86371" w:rsidRPr="00B14048">
        <w:t>.</w:t>
      </w:r>
    </w:p>
    <w:p w:rsidR="00C86371" w:rsidRDefault="00C86371">
      <w:pPr>
        <w:keepNext w:val="0"/>
        <w:keepLines w:val="0"/>
        <w:spacing w:before="0" w:after="160" w:line="259" w:lineRule="auto"/>
        <w:ind w:firstLine="0"/>
        <w:jc w:val="left"/>
        <w:outlineLvl w:val="9"/>
        <w:rPr>
          <w:iCs/>
          <w:lang w:val="es-DO"/>
        </w:rPr>
      </w:pPr>
      <w:r>
        <w:rPr>
          <w:iCs/>
          <w:lang w:val="es-DO"/>
        </w:rPr>
        <w:br w:type="page"/>
      </w:r>
    </w:p>
    <w:p w:rsidR="007050D6" w:rsidRDefault="00A803BF" w:rsidP="007050D6">
      <w:pPr>
        <w:ind w:left="360" w:firstLine="0"/>
        <w:rPr>
          <w:sz w:val="32"/>
          <w:szCs w:val="32"/>
        </w:rPr>
      </w:pPr>
      <w:bookmarkStart w:id="41" w:name="_Toc21590816"/>
      <w:bookmarkStart w:id="42" w:name="_Toc21593807"/>
      <w:bookmarkStart w:id="43" w:name="_Toc21594054"/>
      <w:r w:rsidRPr="007050D6">
        <w:rPr>
          <w:sz w:val="32"/>
          <w:szCs w:val="32"/>
        </w:rPr>
        <w:t>VIII. Anexos</w:t>
      </w:r>
      <w:bookmarkEnd w:id="41"/>
      <w:bookmarkEnd w:id="42"/>
      <w:bookmarkEnd w:id="43"/>
      <w:r w:rsidRPr="007050D6">
        <w:rPr>
          <w:sz w:val="32"/>
          <w:szCs w:val="32"/>
        </w:rPr>
        <w:cr/>
      </w:r>
    </w:p>
    <w:p w:rsidR="001F69D1" w:rsidRPr="004030E9" w:rsidRDefault="004030E9" w:rsidP="007050D6">
      <w:pPr>
        <w:pStyle w:val="Prrafodelista"/>
        <w:numPr>
          <w:ilvl w:val="0"/>
          <w:numId w:val="24"/>
        </w:numPr>
      </w:pPr>
      <w:r w:rsidRPr="004030E9">
        <w:t>Matriz de acuerdos y convenios interinstitucionales.</w:t>
      </w:r>
    </w:p>
    <w:p w:rsidR="004030E9" w:rsidRDefault="00A44C14" w:rsidP="007050D6">
      <w:pPr>
        <w:pStyle w:val="Prrafodelista"/>
        <w:numPr>
          <w:ilvl w:val="0"/>
          <w:numId w:val="24"/>
        </w:numPr>
      </w:pPr>
      <w:r>
        <w:t xml:space="preserve">Imagen </w:t>
      </w:r>
      <w:r w:rsidR="004030E9" w:rsidRPr="004030E9">
        <w:t>del sistema de Metas Presidenciales.</w:t>
      </w:r>
    </w:p>
    <w:p w:rsidR="004030E9" w:rsidRDefault="00167702" w:rsidP="007050D6">
      <w:pPr>
        <w:pStyle w:val="Prrafodelista"/>
        <w:numPr>
          <w:ilvl w:val="0"/>
          <w:numId w:val="24"/>
        </w:numPr>
      </w:pPr>
      <w:r>
        <w:t>Cuadro de Descripción de Paneles y Conclusiones de la RICG</w:t>
      </w:r>
    </w:p>
    <w:p w:rsidR="00140F45" w:rsidRDefault="00140F45" w:rsidP="007050D6">
      <w:pPr>
        <w:pStyle w:val="Prrafodelista"/>
        <w:numPr>
          <w:ilvl w:val="0"/>
          <w:numId w:val="24"/>
        </w:numPr>
      </w:pPr>
      <w:r>
        <w:t>Ejecución Presupuestaria</w:t>
      </w:r>
      <w:r w:rsidR="007050D6">
        <w:t xml:space="preserve"> 2019</w:t>
      </w:r>
    </w:p>
    <w:p w:rsidR="007050D6" w:rsidRDefault="007050D6" w:rsidP="007050D6">
      <w:pPr>
        <w:pStyle w:val="Prrafodelista"/>
        <w:numPr>
          <w:ilvl w:val="0"/>
          <w:numId w:val="24"/>
        </w:numPr>
      </w:pPr>
      <w:r>
        <w:t>PACC 2019</w:t>
      </w:r>
    </w:p>
    <w:p w:rsidR="004E6302" w:rsidRPr="004030E9" w:rsidRDefault="004E6302" w:rsidP="007050D6">
      <w:pPr>
        <w:pStyle w:val="Prrafodelista"/>
        <w:numPr>
          <w:ilvl w:val="0"/>
          <w:numId w:val="24"/>
        </w:numPr>
      </w:pPr>
      <w:r>
        <w:t>Resumen de las Compras y Contrataciones</w:t>
      </w:r>
    </w:p>
    <w:sectPr w:rsidR="004E6302" w:rsidRPr="004030E9" w:rsidSect="005442F8">
      <w:headerReference w:type="default" r:id="rId51"/>
      <w:footerReference w:type="default" r:id="rId52"/>
      <w:type w:val="continuous"/>
      <w:pgSz w:w="11910" w:h="16840"/>
      <w:pgMar w:top="1440" w:right="2160" w:bottom="1440" w:left="2160" w:header="720" w:footer="720" w:gutter="0"/>
      <w:pgNumType w:start="0"/>
      <w:cols w:space="708"/>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31F6" w:rsidRDefault="007F31F6" w:rsidP="00D153F4">
      <w:r>
        <w:separator/>
      </w:r>
    </w:p>
  </w:endnote>
  <w:endnote w:type="continuationSeparator" w:id="0">
    <w:p w:rsidR="007F31F6" w:rsidRDefault="007F31F6" w:rsidP="00D15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0836481"/>
      <w:docPartObj>
        <w:docPartGallery w:val="Page Numbers (Bottom of Page)"/>
        <w:docPartUnique/>
      </w:docPartObj>
    </w:sdtPr>
    <w:sdtContent>
      <w:p w:rsidR="007F31F6" w:rsidRDefault="007F31F6">
        <w:pPr>
          <w:pStyle w:val="Piedepgina"/>
          <w:jc w:val="center"/>
        </w:pPr>
        <w:r>
          <w:fldChar w:fldCharType="begin"/>
        </w:r>
        <w:r>
          <w:instrText>PAGE   \* MERGEFORMAT</w:instrText>
        </w:r>
        <w:r>
          <w:fldChar w:fldCharType="separate"/>
        </w:r>
        <w:r w:rsidR="0062044A">
          <w:rPr>
            <w:noProof/>
          </w:rPr>
          <w:t>140</w:t>
        </w:r>
        <w:r>
          <w:fldChar w:fldCharType="end"/>
        </w:r>
      </w:p>
    </w:sdtContent>
  </w:sdt>
  <w:p w:rsidR="007F31F6" w:rsidRPr="00632F6B" w:rsidRDefault="007F31F6" w:rsidP="00632F6B">
    <w:pPr>
      <w:pStyle w:val="Piedepgin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31F6" w:rsidRDefault="007F31F6" w:rsidP="00D153F4">
      <w:r>
        <w:separator/>
      </w:r>
    </w:p>
  </w:footnote>
  <w:footnote w:type="continuationSeparator" w:id="0">
    <w:p w:rsidR="007F31F6" w:rsidRDefault="007F31F6" w:rsidP="00D153F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31F6" w:rsidRDefault="007F31F6">
    <w:pPr>
      <w:pStyle w:val="Encabezado"/>
    </w:pPr>
    <w:r>
      <w:rPr>
        <w:noProof/>
        <w:lang w:val="es-DO" w:eastAsia="es-DO"/>
      </w:rPr>
      <w:drawing>
        <wp:anchor distT="0" distB="0" distL="114300" distR="114300" simplePos="0" relativeHeight="251658240" behindDoc="0" locked="0" layoutInCell="1" allowOverlap="1">
          <wp:simplePos x="0" y="0"/>
          <wp:positionH relativeFrom="column">
            <wp:posOffset>38100</wp:posOffset>
          </wp:positionH>
          <wp:positionV relativeFrom="paragraph">
            <wp:posOffset>-228600</wp:posOffset>
          </wp:positionV>
          <wp:extent cx="4813300" cy="635000"/>
          <wp:effectExtent l="0" t="0" r="6350" b="0"/>
          <wp:wrapTopAndBottom/>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813300" cy="635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65C83"/>
    <w:multiLevelType w:val="hybridMultilevel"/>
    <w:tmpl w:val="60E80E16"/>
    <w:lvl w:ilvl="0" w:tplc="0409001B">
      <w:start w:val="1"/>
      <w:numFmt w:val="lowerRoman"/>
      <w:lvlText w:val="%1."/>
      <w:lvlJc w:val="right"/>
      <w:pPr>
        <w:ind w:left="890" w:hanging="360"/>
      </w:pPr>
    </w:lvl>
    <w:lvl w:ilvl="1" w:tplc="1C0A0019" w:tentative="1">
      <w:start w:val="1"/>
      <w:numFmt w:val="lowerLetter"/>
      <w:lvlText w:val="%2."/>
      <w:lvlJc w:val="left"/>
      <w:pPr>
        <w:ind w:left="1610" w:hanging="360"/>
      </w:pPr>
    </w:lvl>
    <w:lvl w:ilvl="2" w:tplc="1C0A001B" w:tentative="1">
      <w:start w:val="1"/>
      <w:numFmt w:val="lowerRoman"/>
      <w:lvlText w:val="%3."/>
      <w:lvlJc w:val="right"/>
      <w:pPr>
        <w:ind w:left="2330" w:hanging="180"/>
      </w:pPr>
    </w:lvl>
    <w:lvl w:ilvl="3" w:tplc="1C0A000F" w:tentative="1">
      <w:start w:val="1"/>
      <w:numFmt w:val="decimal"/>
      <w:lvlText w:val="%4."/>
      <w:lvlJc w:val="left"/>
      <w:pPr>
        <w:ind w:left="3050" w:hanging="360"/>
      </w:pPr>
    </w:lvl>
    <w:lvl w:ilvl="4" w:tplc="1C0A0019" w:tentative="1">
      <w:start w:val="1"/>
      <w:numFmt w:val="lowerLetter"/>
      <w:lvlText w:val="%5."/>
      <w:lvlJc w:val="left"/>
      <w:pPr>
        <w:ind w:left="3770" w:hanging="360"/>
      </w:pPr>
    </w:lvl>
    <w:lvl w:ilvl="5" w:tplc="1C0A001B" w:tentative="1">
      <w:start w:val="1"/>
      <w:numFmt w:val="lowerRoman"/>
      <w:lvlText w:val="%6."/>
      <w:lvlJc w:val="right"/>
      <w:pPr>
        <w:ind w:left="4490" w:hanging="180"/>
      </w:pPr>
    </w:lvl>
    <w:lvl w:ilvl="6" w:tplc="1C0A000F" w:tentative="1">
      <w:start w:val="1"/>
      <w:numFmt w:val="decimal"/>
      <w:lvlText w:val="%7."/>
      <w:lvlJc w:val="left"/>
      <w:pPr>
        <w:ind w:left="5210" w:hanging="360"/>
      </w:pPr>
    </w:lvl>
    <w:lvl w:ilvl="7" w:tplc="1C0A0019" w:tentative="1">
      <w:start w:val="1"/>
      <w:numFmt w:val="lowerLetter"/>
      <w:lvlText w:val="%8."/>
      <w:lvlJc w:val="left"/>
      <w:pPr>
        <w:ind w:left="5930" w:hanging="360"/>
      </w:pPr>
    </w:lvl>
    <w:lvl w:ilvl="8" w:tplc="1C0A001B" w:tentative="1">
      <w:start w:val="1"/>
      <w:numFmt w:val="lowerRoman"/>
      <w:lvlText w:val="%9."/>
      <w:lvlJc w:val="right"/>
      <w:pPr>
        <w:ind w:left="6650" w:hanging="180"/>
      </w:pPr>
    </w:lvl>
  </w:abstractNum>
  <w:abstractNum w:abstractNumId="1" w15:restartNumberingAfterBreak="0">
    <w:nsid w:val="048D448C"/>
    <w:multiLevelType w:val="hybridMultilevel"/>
    <w:tmpl w:val="F43C56BA"/>
    <w:lvl w:ilvl="0" w:tplc="1C0A0017">
      <w:start w:val="1"/>
      <w:numFmt w:val="lowerLetter"/>
      <w:lvlText w:val="%1)"/>
      <w:lvlJc w:val="left"/>
      <w:pPr>
        <w:ind w:left="1440" w:hanging="360"/>
      </w:p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2" w15:restartNumberingAfterBreak="0">
    <w:nsid w:val="078E020F"/>
    <w:multiLevelType w:val="multilevel"/>
    <w:tmpl w:val="A6B058C8"/>
    <w:lvl w:ilvl="0">
      <w:start w:val="1"/>
      <w:numFmt w:val="decimal"/>
      <w:lvlText w:val="%1."/>
      <w:lvlJc w:val="left"/>
      <w:pPr>
        <w:ind w:left="360" w:hanging="360"/>
      </w:pPr>
    </w:lvl>
    <w:lvl w:ilvl="1">
      <w:start w:val="1"/>
      <w:numFmt w:val="decimal"/>
      <w:lvlText w:val="%1.%2."/>
      <w:lvlJc w:val="left"/>
      <w:pPr>
        <w:ind w:left="792" w:hanging="432"/>
      </w:pPr>
      <w:rPr>
        <w:lang w:val="es-D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2BB4116"/>
    <w:multiLevelType w:val="multilevel"/>
    <w:tmpl w:val="574EC66C"/>
    <w:lvl w:ilvl="0">
      <w:start w:val="1"/>
      <w:numFmt w:val="bullet"/>
      <w:lvlText w:val="➢"/>
      <w:lvlJc w:val="left"/>
      <w:pPr>
        <w:ind w:left="360" w:firstLine="0"/>
      </w:pPr>
      <w:rPr>
        <w:rFonts w:ascii="Arial" w:eastAsia="Arial" w:hAnsi="Arial" w:cs="Arial"/>
      </w:r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4" w15:restartNumberingAfterBreak="0">
    <w:nsid w:val="1697459B"/>
    <w:multiLevelType w:val="hybridMultilevel"/>
    <w:tmpl w:val="FE20C5F2"/>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5" w15:restartNumberingAfterBreak="0">
    <w:nsid w:val="16F02A43"/>
    <w:multiLevelType w:val="hybridMultilevel"/>
    <w:tmpl w:val="0F9E5C24"/>
    <w:lvl w:ilvl="0" w:tplc="1C0A001B">
      <w:start w:val="1"/>
      <w:numFmt w:val="lowerRoman"/>
      <w:lvlText w:val="%1."/>
      <w:lvlJc w:val="right"/>
      <w:pPr>
        <w:ind w:left="1440" w:hanging="360"/>
      </w:p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6" w15:restartNumberingAfterBreak="0">
    <w:nsid w:val="1BB948A0"/>
    <w:multiLevelType w:val="hybridMultilevel"/>
    <w:tmpl w:val="65AE2710"/>
    <w:lvl w:ilvl="0" w:tplc="1C0A0001">
      <w:start w:val="1"/>
      <w:numFmt w:val="bullet"/>
      <w:lvlText w:val=""/>
      <w:lvlJc w:val="left"/>
      <w:pPr>
        <w:ind w:left="1410" w:hanging="69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7" w15:restartNumberingAfterBreak="0">
    <w:nsid w:val="1C8144AA"/>
    <w:multiLevelType w:val="hybridMultilevel"/>
    <w:tmpl w:val="4AFAD88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1DFD3068"/>
    <w:multiLevelType w:val="hybridMultilevel"/>
    <w:tmpl w:val="AA588C48"/>
    <w:lvl w:ilvl="0" w:tplc="30E8AC0C">
      <w:numFmt w:val="bullet"/>
      <w:lvlText w:val="•"/>
      <w:lvlJc w:val="left"/>
      <w:pPr>
        <w:ind w:left="720" w:hanging="360"/>
      </w:pPr>
      <w:rPr>
        <w:rFonts w:ascii="Times New Roman" w:eastAsiaTheme="majorEastAsia"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20602CDD"/>
    <w:multiLevelType w:val="hybridMultilevel"/>
    <w:tmpl w:val="B606B3FE"/>
    <w:lvl w:ilvl="0" w:tplc="1C0A000F">
      <w:start w:val="1"/>
      <w:numFmt w:val="decimal"/>
      <w:lvlText w:val="%1."/>
      <w:lvlJc w:val="left"/>
      <w:pPr>
        <w:ind w:left="1440" w:hanging="360"/>
      </w:p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10" w15:restartNumberingAfterBreak="0">
    <w:nsid w:val="2C2253C8"/>
    <w:multiLevelType w:val="hybridMultilevel"/>
    <w:tmpl w:val="F42A93FC"/>
    <w:lvl w:ilvl="0" w:tplc="30E8AC0C">
      <w:numFmt w:val="bullet"/>
      <w:lvlText w:val="•"/>
      <w:lvlJc w:val="left"/>
      <w:pPr>
        <w:ind w:left="2130" w:hanging="690"/>
      </w:pPr>
      <w:rPr>
        <w:rFonts w:ascii="Times New Roman" w:eastAsiaTheme="majorEastAsia" w:hAnsi="Times New Roman" w:cs="Times New Roman"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11" w15:restartNumberingAfterBreak="0">
    <w:nsid w:val="34D50D7B"/>
    <w:multiLevelType w:val="hybridMultilevel"/>
    <w:tmpl w:val="D6C4DD9E"/>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12" w15:restartNumberingAfterBreak="0">
    <w:nsid w:val="38181E45"/>
    <w:multiLevelType w:val="multilevel"/>
    <w:tmpl w:val="D8D6208E"/>
    <w:lvl w:ilvl="0">
      <w:start w:val="1"/>
      <w:numFmt w:val="bullet"/>
      <w:lvlText w:val="o"/>
      <w:lvlJc w:val="left"/>
      <w:pPr>
        <w:ind w:left="720" w:firstLine="360"/>
      </w:pPr>
      <w:rPr>
        <w:rFonts w:ascii="Arial" w:eastAsia="Arial" w:hAnsi="Arial" w:cs="Arial"/>
      </w:rPr>
    </w:lvl>
    <w:lvl w:ilvl="1">
      <w:start w:val="23"/>
      <w:numFmt w:val="bullet"/>
      <w:lvlText w:val="•"/>
      <w:lvlJc w:val="left"/>
      <w:pPr>
        <w:ind w:left="20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3" w15:restartNumberingAfterBreak="0">
    <w:nsid w:val="43C5209A"/>
    <w:multiLevelType w:val="hybridMultilevel"/>
    <w:tmpl w:val="D6DC5670"/>
    <w:lvl w:ilvl="0" w:tplc="C1A0CAF0">
      <w:start w:val="1"/>
      <w:numFmt w:val="bullet"/>
      <w:lvlText w:val="-"/>
      <w:lvlJc w:val="left"/>
      <w:pPr>
        <w:ind w:left="1440" w:hanging="360"/>
      </w:pPr>
      <w:rPr>
        <w:rFonts w:ascii="Calibri" w:eastAsia="Calibri" w:hAnsi="Calibri" w:cs="Calibri"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14" w15:restartNumberingAfterBreak="0">
    <w:nsid w:val="4520292D"/>
    <w:multiLevelType w:val="hybridMultilevel"/>
    <w:tmpl w:val="E1204A0C"/>
    <w:lvl w:ilvl="0" w:tplc="7E46E03C">
      <w:start w:val="1"/>
      <w:numFmt w:val="upperRoman"/>
      <w:lvlText w:val="%1."/>
      <w:lvlJc w:val="righ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5" w15:restartNumberingAfterBreak="0">
    <w:nsid w:val="457A0D92"/>
    <w:multiLevelType w:val="hybridMultilevel"/>
    <w:tmpl w:val="60E80E16"/>
    <w:lvl w:ilvl="0" w:tplc="0409001B">
      <w:start w:val="1"/>
      <w:numFmt w:val="lowerRoman"/>
      <w:lvlText w:val="%1."/>
      <w:lvlJc w:val="right"/>
      <w:pPr>
        <w:ind w:left="890" w:hanging="360"/>
      </w:pPr>
    </w:lvl>
    <w:lvl w:ilvl="1" w:tplc="1C0A0019" w:tentative="1">
      <w:start w:val="1"/>
      <w:numFmt w:val="lowerLetter"/>
      <w:lvlText w:val="%2."/>
      <w:lvlJc w:val="left"/>
      <w:pPr>
        <w:ind w:left="1610" w:hanging="360"/>
      </w:pPr>
    </w:lvl>
    <w:lvl w:ilvl="2" w:tplc="1C0A001B" w:tentative="1">
      <w:start w:val="1"/>
      <w:numFmt w:val="lowerRoman"/>
      <w:lvlText w:val="%3."/>
      <w:lvlJc w:val="right"/>
      <w:pPr>
        <w:ind w:left="2330" w:hanging="180"/>
      </w:pPr>
    </w:lvl>
    <w:lvl w:ilvl="3" w:tplc="1C0A000F" w:tentative="1">
      <w:start w:val="1"/>
      <w:numFmt w:val="decimal"/>
      <w:lvlText w:val="%4."/>
      <w:lvlJc w:val="left"/>
      <w:pPr>
        <w:ind w:left="3050" w:hanging="360"/>
      </w:pPr>
    </w:lvl>
    <w:lvl w:ilvl="4" w:tplc="1C0A0019" w:tentative="1">
      <w:start w:val="1"/>
      <w:numFmt w:val="lowerLetter"/>
      <w:lvlText w:val="%5."/>
      <w:lvlJc w:val="left"/>
      <w:pPr>
        <w:ind w:left="3770" w:hanging="360"/>
      </w:pPr>
    </w:lvl>
    <w:lvl w:ilvl="5" w:tplc="1C0A001B" w:tentative="1">
      <w:start w:val="1"/>
      <w:numFmt w:val="lowerRoman"/>
      <w:lvlText w:val="%6."/>
      <w:lvlJc w:val="right"/>
      <w:pPr>
        <w:ind w:left="4490" w:hanging="180"/>
      </w:pPr>
    </w:lvl>
    <w:lvl w:ilvl="6" w:tplc="1C0A000F" w:tentative="1">
      <w:start w:val="1"/>
      <w:numFmt w:val="decimal"/>
      <w:lvlText w:val="%7."/>
      <w:lvlJc w:val="left"/>
      <w:pPr>
        <w:ind w:left="5210" w:hanging="360"/>
      </w:pPr>
    </w:lvl>
    <w:lvl w:ilvl="7" w:tplc="1C0A0019" w:tentative="1">
      <w:start w:val="1"/>
      <w:numFmt w:val="lowerLetter"/>
      <w:lvlText w:val="%8."/>
      <w:lvlJc w:val="left"/>
      <w:pPr>
        <w:ind w:left="5930" w:hanging="360"/>
      </w:pPr>
    </w:lvl>
    <w:lvl w:ilvl="8" w:tplc="1C0A001B" w:tentative="1">
      <w:start w:val="1"/>
      <w:numFmt w:val="lowerRoman"/>
      <w:lvlText w:val="%9."/>
      <w:lvlJc w:val="right"/>
      <w:pPr>
        <w:ind w:left="6650" w:hanging="180"/>
      </w:pPr>
    </w:lvl>
  </w:abstractNum>
  <w:abstractNum w:abstractNumId="16" w15:restartNumberingAfterBreak="0">
    <w:nsid w:val="48633285"/>
    <w:multiLevelType w:val="hybridMultilevel"/>
    <w:tmpl w:val="9536C862"/>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17" w15:restartNumberingAfterBreak="0">
    <w:nsid w:val="486B6CD2"/>
    <w:multiLevelType w:val="hybridMultilevel"/>
    <w:tmpl w:val="C458D9B2"/>
    <w:lvl w:ilvl="0" w:tplc="6CD23DA0">
      <w:start w:val="2"/>
      <w:numFmt w:val="lowerLetter"/>
      <w:lvlText w:val="%1)"/>
      <w:lvlJc w:val="left"/>
      <w:pPr>
        <w:ind w:left="1080" w:hanging="360"/>
      </w:pPr>
      <w:rPr>
        <w:rFonts w:hint="default"/>
        <w:b/>
      </w:rPr>
    </w:lvl>
    <w:lvl w:ilvl="1" w:tplc="080A0019" w:tentative="1">
      <w:start w:val="1"/>
      <w:numFmt w:val="lowerLetter"/>
      <w:lvlText w:val="%2."/>
      <w:lvlJc w:val="left"/>
      <w:pPr>
        <w:ind w:left="1440" w:hanging="360"/>
      </w:pPr>
    </w:lvl>
    <w:lvl w:ilvl="2" w:tplc="080A000F">
      <w:start w:val="1"/>
      <w:numFmt w:val="decimal"/>
      <w:lvlText w:val="%3."/>
      <w:lvlJc w:val="lef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A0443D2"/>
    <w:multiLevelType w:val="hybridMultilevel"/>
    <w:tmpl w:val="19EE44D6"/>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19" w15:restartNumberingAfterBreak="0">
    <w:nsid w:val="4D172606"/>
    <w:multiLevelType w:val="hybridMultilevel"/>
    <w:tmpl w:val="E774EFD6"/>
    <w:lvl w:ilvl="0" w:tplc="1C0A0001">
      <w:start w:val="1"/>
      <w:numFmt w:val="bullet"/>
      <w:lvlText w:val=""/>
      <w:lvlJc w:val="left"/>
      <w:pPr>
        <w:ind w:left="1500" w:hanging="360"/>
      </w:pPr>
      <w:rPr>
        <w:rFonts w:ascii="Symbol" w:hAnsi="Symbol" w:hint="default"/>
      </w:rPr>
    </w:lvl>
    <w:lvl w:ilvl="1" w:tplc="1C0A0003" w:tentative="1">
      <w:start w:val="1"/>
      <w:numFmt w:val="bullet"/>
      <w:lvlText w:val="o"/>
      <w:lvlJc w:val="left"/>
      <w:pPr>
        <w:ind w:left="2220" w:hanging="360"/>
      </w:pPr>
      <w:rPr>
        <w:rFonts w:ascii="Courier New" w:hAnsi="Courier New" w:cs="Courier New" w:hint="default"/>
      </w:rPr>
    </w:lvl>
    <w:lvl w:ilvl="2" w:tplc="1C0A0005" w:tentative="1">
      <w:start w:val="1"/>
      <w:numFmt w:val="bullet"/>
      <w:lvlText w:val=""/>
      <w:lvlJc w:val="left"/>
      <w:pPr>
        <w:ind w:left="2940" w:hanging="360"/>
      </w:pPr>
      <w:rPr>
        <w:rFonts w:ascii="Wingdings" w:hAnsi="Wingdings" w:hint="default"/>
      </w:rPr>
    </w:lvl>
    <w:lvl w:ilvl="3" w:tplc="1C0A0001" w:tentative="1">
      <w:start w:val="1"/>
      <w:numFmt w:val="bullet"/>
      <w:lvlText w:val=""/>
      <w:lvlJc w:val="left"/>
      <w:pPr>
        <w:ind w:left="3660" w:hanging="360"/>
      </w:pPr>
      <w:rPr>
        <w:rFonts w:ascii="Symbol" w:hAnsi="Symbol" w:hint="default"/>
      </w:rPr>
    </w:lvl>
    <w:lvl w:ilvl="4" w:tplc="1C0A0003" w:tentative="1">
      <w:start w:val="1"/>
      <w:numFmt w:val="bullet"/>
      <w:lvlText w:val="o"/>
      <w:lvlJc w:val="left"/>
      <w:pPr>
        <w:ind w:left="4380" w:hanging="360"/>
      </w:pPr>
      <w:rPr>
        <w:rFonts w:ascii="Courier New" w:hAnsi="Courier New" w:cs="Courier New" w:hint="default"/>
      </w:rPr>
    </w:lvl>
    <w:lvl w:ilvl="5" w:tplc="1C0A0005" w:tentative="1">
      <w:start w:val="1"/>
      <w:numFmt w:val="bullet"/>
      <w:lvlText w:val=""/>
      <w:lvlJc w:val="left"/>
      <w:pPr>
        <w:ind w:left="5100" w:hanging="360"/>
      </w:pPr>
      <w:rPr>
        <w:rFonts w:ascii="Wingdings" w:hAnsi="Wingdings" w:hint="default"/>
      </w:rPr>
    </w:lvl>
    <w:lvl w:ilvl="6" w:tplc="1C0A0001" w:tentative="1">
      <w:start w:val="1"/>
      <w:numFmt w:val="bullet"/>
      <w:lvlText w:val=""/>
      <w:lvlJc w:val="left"/>
      <w:pPr>
        <w:ind w:left="5820" w:hanging="360"/>
      </w:pPr>
      <w:rPr>
        <w:rFonts w:ascii="Symbol" w:hAnsi="Symbol" w:hint="default"/>
      </w:rPr>
    </w:lvl>
    <w:lvl w:ilvl="7" w:tplc="1C0A0003" w:tentative="1">
      <w:start w:val="1"/>
      <w:numFmt w:val="bullet"/>
      <w:lvlText w:val="o"/>
      <w:lvlJc w:val="left"/>
      <w:pPr>
        <w:ind w:left="6540" w:hanging="360"/>
      </w:pPr>
      <w:rPr>
        <w:rFonts w:ascii="Courier New" w:hAnsi="Courier New" w:cs="Courier New" w:hint="default"/>
      </w:rPr>
    </w:lvl>
    <w:lvl w:ilvl="8" w:tplc="1C0A0005" w:tentative="1">
      <w:start w:val="1"/>
      <w:numFmt w:val="bullet"/>
      <w:lvlText w:val=""/>
      <w:lvlJc w:val="left"/>
      <w:pPr>
        <w:ind w:left="7260" w:hanging="360"/>
      </w:pPr>
      <w:rPr>
        <w:rFonts w:ascii="Wingdings" w:hAnsi="Wingdings" w:hint="default"/>
      </w:rPr>
    </w:lvl>
  </w:abstractNum>
  <w:abstractNum w:abstractNumId="20" w15:restartNumberingAfterBreak="0">
    <w:nsid w:val="56E13B63"/>
    <w:multiLevelType w:val="hybridMultilevel"/>
    <w:tmpl w:val="1FB02460"/>
    <w:lvl w:ilvl="0" w:tplc="30E8AC0C">
      <w:numFmt w:val="bullet"/>
      <w:lvlText w:val="•"/>
      <w:lvlJc w:val="left"/>
      <w:pPr>
        <w:ind w:left="2130" w:hanging="690"/>
      </w:pPr>
      <w:rPr>
        <w:rFonts w:ascii="Times New Roman" w:eastAsiaTheme="majorEastAsia" w:hAnsi="Times New Roman" w:cs="Times New Roman"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21" w15:restartNumberingAfterBreak="0">
    <w:nsid w:val="57006665"/>
    <w:multiLevelType w:val="hybridMultilevel"/>
    <w:tmpl w:val="83EC7AEE"/>
    <w:lvl w:ilvl="0" w:tplc="7D9437FC">
      <w:start w:val="1"/>
      <w:numFmt w:val="lowerRoman"/>
      <w:pStyle w:val="Subttulo"/>
      <w:lvlText w:val="%1."/>
      <w:lvlJc w:val="right"/>
      <w:pPr>
        <w:ind w:left="360" w:hanging="360"/>
      </w:pPr>
    </w:lvl>
    <w:lvl w:ilvl="1" w:tplc="1C0A0019">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22" w15:restartNumberingAfterBreak="0">
    <w:nsid w:val="5AA52F43"/>
    <w:multiLevelType w:val="hybridMultilevel"/>
    <w:tmpl w:val="37B46E9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5F5E6682"/>
    <w:multiLevelType w:val="hybridMultilevel"/>
    <w:tmpl w:val="4812439C"/>
    <w:lvl w:ilvl="0" w:tplc="432EAADC">
      <w:start w:val="1"/>
      <w:numFmt w:val="lowerLetter"/>
      <w:lvlText w:val="%1)"/>
      <w:lvlJc w:val="left"/>
      <w:pPr>
        <w:ind w:left="1778" w:hanging="360"/>
      </w:pPr>
      <w:rPr>
        <w:rFonts w:hint="default"/>
      </w:rPr>
    </w:lvl>
    <w:lvl w:ilvl="1" w:tplc="080A0019" w:tentative="1">
      <w:start w:val="1"/>
      <w:numFmt w:val="lowerLetter"/>
      <w:lvlText w:val="%2."/>
      <w:lvlJc w:val="left"/>
      <w:pPr>
        <w:ind w:left="2498" w:hanging="360"/>
      </w:pPr>
    </w:lvl>
    <w:lvl w:ilvl="2" w:tplc="080A001B" w:tentative="1">
      <w:start w:val="1"/>
      <w:numFmt w:val="lowerRoman"/>
      <w:lvlText w:val="%3."/>
      <w:lvlJc w:val="right"/>
      <w:pPr>
        <w:ind w:left="3218" w:hanging="180"/>
      </w:pPr>
    </w:lvl>
    <w:lvl w:ilvl="3" w:tplc="080A000F" w:tentative="1">
      <w:start w:val="1"/>
      <w:numFmt w:val="decimal"/>
      <w:lvlText w:val="%4."/>
      <w:lvlJc w:val="left"/>
      <w:pPr>
        <w:ind w:left="3938" w:hanging="360"/>
      </w:pPr>
    </w:lvl>
    <w:lvl w:ilvl="4" w:tplc="080A0019" w:tentative="1">
      <w:start w:val="1"/>
      <w:numFmt w:val="lowerLetter"/>
      <w:lvlText w:val="%5."/>
      <w:lvlJc w:val="left"/>
      <w:pPr>
        <w:ind w:left="4658" w:hanging="360"/>
      </w:pPr>
    </w:lvl>
    <w:lvl w:ilvl="5" w:tplc="080A001B" w:tentative="1">
      <w:start w:val="1"/>
      <w:numFmt w:val="lowerRoman"/>
      <w:lvlText w:val="%6."/>
      <w:lvlJc w:val="right"/>
      <w:pPr>
        <w:ind w:left="5378" w:hanging="180"/>
      </w:pPr>
    </w:lvl>
    <w:lvl w:ilvl="6" w:tplc="080A000F" w:tentative="1">
      <w:start w:val="1"/>
      <w:numFmt w:val="decimal"/>
      <w:lvlText w:val="%7."/>
      <w:lvlJc w:val="left"/>
      <w:pPr>
        <w:ind w:left="6098" w:hanging="360"/>
      </w:pPr>
    </w:lvl>
    <w:lvl w:ilvl="7" w:tplc="080A0019" w:tentative="1">
      <w:start w:val="1"/>
      <w:numFmt w:val="lowerLetter"/>
      <w:lvlText w:val="%8."/>
      <w:lvlJc w:val="left"/>
      <w:pPr>
        <w:ind w:left="6818" w:hanging="360"/>
      </w:pPr>
    </w:lvl>
    <w:lvl w:ilvl="8" w:tplc="080A001B" w:tentative="1">
      <w:start w:val="1"/>
      <w:numFmt w:val="lowerRoman"/>
      <w:lvlText w:val="%9."/>
      <w:lvlJc w:val="right"/>
      <w:pPr>
        <w:ind w:left="7538" w:hanging="180"/>
      </w:pPr>
    </w:lvl>
  </w:abstractNum>
  <w:abstractNum w:abstractNumId="24" w15:restartNumberingAfterBreak="0">
    <w:nsid w:val="64734998"/>
    <w:multiLevelType w:val="hybridMultilevel"/>
    <w:tmpl w:val="F8F0DBD2"/>
    <w:lvl w:ilvl="0" w:tplc="1C0A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15:restartNumberingAfterBreak="0">
    <w:nsid w:val="65E3138F"/>
    <w:multiLevelType w:val="hybridMultilevel"/>
    <w:tmpl w:val="CF4E78F8"/>
    <w:lvl w:ilvl="0" w:tplc="56686B86">
      <w:start w:val="1"/>
      <w:numFmt w:val="lowerLetter"/>
      <w:lvlText w:val="%1)"/>
      <w:lvlJc w:val="left"/>
      <w:pPr>
        <w:ind w:left="1080" w:hanging="360"/>
      </w:pPr>
      <w:rPr>
        <w:rFonts w:hint="default"/>
        <w:b/>
      </w:rPr>
    </w:lvl>
    <w:lvl w:ilvl="1" w:tplc="E6D2BD46">
      <w:start w:val="1"/>
      <w:numFmt w:val="decimal"/>
      <w:lvlText w:val="%2."/>
      <w:lvlJc w:val="left"/>
      <w:pPr>
        <w:ind w:left="1800" w:hanging="360"/>
      </w:pPr>
      <w:rPr>
        <w:rFonts w:hint="default"/>
      </w:rPr>
    </w:lvl>
    <w:lvl w:ilvl="2" w:tplc="9FA86C22">
      <w:start w:val="1"/>
      <w:numFmt w:val="decimal"/>
      <w:lvlText w:val="%3)"/>
      <w:lvlJc w:val="left"/>
      <w:pPr>
        <w:ind w:left="2700" w:hanging="360"/>
      </w:pPr>
      <w:rPr>
        <w:rFonts w:hint="default"/>
      </w:r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26" w15:restartNumberingAfterBreak="0">
    <w:nsid w:val="7AF31D15"/>
    <w:multiLevelType w:val="hybridMultilevel"/>
    <w:tmpl w:val="47F4E172"/>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num w:numId="1">
    <w:abstractNumId w:val="21"/>
  </w:num>
  <w:num w:numId="2">
    <w:abstractNumId w:val="1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24"/>
  </w:num>
  <w:num w:numId="6">
    <w:abstractNumId w:val="0"/>
  </w:num>
  <w:num w:numId="7">
    <w:abstractNumId w:val="7"/>
  </w:num>
  <w:num w:numId="8">
    <w:abstractNumId w:val="3"/>
  </w:num>
  <w:num w:numId="9">
    <w:abstractNumId w:val="13"/>
  </w:num>
  <w:num w:numId="10">
    <w:abstractNumId w:val="14"/>
  </w:num>
  <w:num w:numId="11">
    <w:abstractNumId w:val="25"/>
  </w:num>
  <w:num w:numId="12">
    <w:abstractNumId w:val="23"/>
  </w:num>
  <w:num w:numId="13">
    <w:abstractNumId w:val="17"/>
  </w:num>
  <w:num w:numId="14">
    <w:abstractNumId w:val="26"/>
  </w:num>
  <w:num w:numId="15">
    <w:abstractNumId w:val="9"/>
  </w:num>
  <w:num w:numId="16">
    <w:abstractNumId w:val="5"/>
  </w:num>
  <w:num w:numId="17">
    <w:abstractNumId w:val="16"/>
  </w:num>
  <w:num w:numId="18">
    <w:abstractNumId w:val="19"/>
  </w:num>
  <w:num w:numId="19">
    <w:abstractNumId w:val="6"/>
  </w:num>
  <w:num w:numId="20">
    <w:abstractNumId w:val="18"/>
  </w:num>
  <w:num w:numId="21">
    <w:abstractNumId w:val="11"/>
  </w:num>
  <w:num w:numId="22">
    <w:abstractNumId w:val="20"/>
  </w:num>
  <w:num w:numId="23">
    <w:abstractNumId w:val="10"/>
  </w:num>
  <w:num w:numId="24">
    <w:abstractNumId w:val="22"/>
  </w:num>
  <w:num w:numId="25">
    <w:abstractNumId w:val="1"/>
  </w:num>
  <w:num w:numId="26">
    <w:abstractNumId w:val="4"/>
  </w:num>
  <w:num w:numId="27">
    <w:abstractNumId w:val="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rawingGridVerticalSpacing w:val="299"/>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3BF"/>
    <w:rsid w:val="000038E7"/>
    <w:rsid w:val="00003C68"/>
    <w:rsid w:val="00006BD0"/>
    <w:rsid w:val="0001330B"/>
    <w:rsid w:val="000133F6"/>
    <w:rsid w:val="0001473D"/>
    <w:rsid w:val="00022374"/>
    <w:rsid w:val="0003163A"/>
    <w:rsid w:val="00034B30"/>
    <w:rsid w:val="0003733C"/>
    <w:rsid w:val="00043097"/>
    <w:rsid w:val="000440F0"/>
    <w:rsid w:val="00046316"/>
    <w:rsid w:val="00047563"/>
    <w:rsid w:val="0005640E"/>
    <w:rsid w:val="0006754F"/>
    <w:rsid w:val="0007404A"/>
    <w:rsid w:val="000818DD"/>
    <w:rsid w:val="0008244C"/>
    <w:rsid w:val="00083538"/>
    <w:rsid w:val="00093277"/>
    <w:rsid w:val="00096093"/>
    <w:rsid w:val="000A224D"/>
    <w:rsid w:val="000A6AA9"/>
    <w:rsid w:val="000A7CDB"/>
    <w:rsid w:val="000B11CE"/>
    <w:rsid w:val="000B6841"/>
    <w:rsid w:val="000B70D3"/>
    <w:rsid w:val="000C33B7"/>
    <w:rsid w:val="000D02A9"/>
    <w:rsid w:val="000D5958"/>
    <w:rsid w:val="000D5E2C"/>
    <w:rsid w:val="000D7BE3"/>
    <w:rsid w:val="000E1D92"/>
    <w:rsid w:val="000E2B52"/>
    <w:rsid w:val="000E7F80"/>
    <w:rsid w:val="000F2226"/>
    <w:rsid w:val="000F3C50"/>
    <w:rsid w:val="0010089C"/>
    <w:rsid w:val="00104CFA"/>
    <w:rsid w:val="00105772"/>
    <w:rsid w:val="00106735"/>
    <w:rsid w:val="00112B34"/>
    <w:rsid w:val="0012478D"/>
    <w:rsid w:val="001268A7"/>
    <w:rsid w:val="00126DFF"/>
    <w:rsid w:val="00133E3C"/>
    <w:rsid w:val="001374D5"/>
    <w:rsid w:val="00140F45"/>
    <w:rsid w:val="00141367"/>
    <w:rsid w:val="00152243"/>
    <w:rsid w:val="0016044D"/>
    <w:rsid w:val="00162927"/>
    <w:rsid w:val="00164A84"/>
    <w:rsid w:val="001654B2"/>
    <w:rsid w:val="001656DE"/>
    <w:rsid w:val="00167702"/>
    <w:rsid w:val="00171AE8"/>
    <w:rsid w:val="0017450C"/>
    <w:rsid w:val="00175C24"/>
    <w:rsid w:val="0017751F"/>
    <w:rsid w:val="00183210"/>
    <w:rsid w:val="0018372C"/>
    <w:rsid w:val="00191F0C"/>
    <w:rsid w:val="001970D3"/>
    <w:rsid w:val="001B1D2E"/>
    <w:rsid w:val="001B356B"/>
    <w:rsid w:val="001B3D83"/>
    <w:rsid w:val="001B4CD7"/>
    <w:rsid w:val="001C327C"/>
    <w:rsid w:val="001C6A57"/>
    <w:rsid w:val="001D0E89"/>
    <w:rsid w:val="001D286A"/>
    <w:rsid w:val="001E4D9C"/>
    <w:rsid w:val="001F2490"/>
    <w:rsid w:val="001F3DA0"/>
    <w:rsid w:val="001F3E86"/>
    <w:rsid w:val="001F4261"/>
    <w:rsid w:val="001F69D1"/>
    <w:rsid w:val="00200F2E"/>
    <w:rsid w:val="00202BD6"/>
    <w:rsid w:val="002032DB"/>
    <w:rsid w:val="002049CC"/>
    <w:rsid w:val="002066EB"/>
    <w:rsid w:val="002118B2"/>
    <w:rsid w:val="00224132"/>
    <w:rsid w:val="00231CBA"/>
    <w:rsid w:val="00232A25"/>
    <w:rsid w:val="00234693"/>
    <w:rsid w:val="00240BC2"/>
    <w:rsid w:val="00247267"/>
    <w:rsid w:val="00251897"/>
    <w:rsid w:val="002574F3"/>
    <w:rsid w:val="00260534"/>
    <w:rsid w:val="00260CDB"/>
    <w:rsid w:val="0027148F"/>
    <w:rsid w:val="002939E5"/>
    <w:rsid w:val="002964D2"/>
    <w:rsid w:val="002A0351"/>
    <w:rsid w:val="002A4336"/>
    <w:rsid w:val="002A4B5F"/>
    <w:rsid w:val="002B1360"/>
    <w:rsid w:val="002C4497"/>
    <w:rsid w:val="002C4906"/>
    <w:rsid w:val="002D6812"/>
    <w:rsid w:val="002E02E9"/>
    <w:rsid w:val="002E1B96"/>
    <w:rsid w:val="002F1732"/>
    <w:rsid w:val="003048C9"/>
    <w:rsid w:val="003128EB"/>
    <w:rsid w:val="003167B9"/>
    <w:rsid w:val="00317FC7"/>
    <w:rsid w:val="00320B4C"/>
    <w:rsid w:val="003223D6"/>
    <w:rsid w:val="00341CE0"/>
    <w:rsid w:val="00342248"/>
    <w:rsid w:val="00342296"/>
    <w:rsid w:val="00343000"/>
    <w:rsid w:val="00343E3D"/>
    <w:rsid w:val="00346D44"/>
    <w:rsid w:val="0035290B"/>
    <w:rsid w:val="00352DCE"/>
    <w:rsid w:val="00353396"/>
    <w:rsid w:val="00354AFC"/>
    <w:rsid w:val="00355D24"/>
    <w:rsid w:val="00366D0A"/>
    <w:rsid w:val="0037264B"/>
    <w:rsid w:val="00380257"/>
    <w:rsid w:val="0038475B"/>
    <w:rsid w:val="0039215F"/>
    <w:rsid w:val="003955DC"/>
    <w:rsid w:val="003A66C7"/>
    <w:rsid w:val="003B31A4"/>
    <w:rsid w:val="003B6DF6"/>
    <w:rsid w:val="003D28B2"/>
    <w:rsid w:val="003D3946"/>
    <w:rsid w:val="003D4E37"/>
    <w:rsid w:val="003D557B"/>
    <w:rsid w:val="003D6176"/>
    <w:rsid w:val="003E1DD1"/>
    <w:rsid w:val="003E6DA0"/>
    <w:rsid w:val="003F24A9"/>
    <w:rsid w:val="003F2681"/>
    <w:rsid w:val="003F7082"/>
    <w:rsid w:val="0040307B"/>
    <w:rsid w:val="004030E9"/>
    <w:rsid w:val="00430589"/>
    <w:rsid w:val="00430BC4"/>
    <w:rsid w:val="00433D91"/>
    <w:rsid w:val="004374EF"/>
    <w:rsid w:val="00442CA1"/>
    <w:rsid w:val="00446BFE"/>
    <w:rsid w:val="004521DD"/>
    <w:rsid w:val="00460936"/>
    <w:rsid w:val="00460942"/>
    <w:rsid w:val="00460F37"/>
    <w:rsid w:val="004614CF"/>
    <w:rsid w:val="00463B3B"/>
    <w:rsid w:val="00474610"/>
    <w:rsid w:val="00486F9B"/>
    <w:rsid w:val="004929C1"/>
    <w:rsid w:val="004947CA"/>
    <w:rsid w:val="004A2B55"/>
    <w:rsid w:val="004A482A"/>
    <w:rsid w:val="004B7EAE"/>
    <w:rsid w:val="004D788D"/>
    <w:rsid w:val="004D7B53"/>
    <w:rsid w:val="004E5591"/>
    <w:rsid w:val="004E6302"/>
    <w:rsid w:val="004E64D0"/>
    <w:rsid w:val="004E6B37"/>
    <w:rsid w:val="005018F1"/>
    <w:rsid w:val="00505D94"/>
    <w:rsid w:val="005069BC"/>
    <w:rsid w:val="00507CBC"/>
    <w:rsid w:val="0052172B"/>
    <w:rsid w:val="005219C9"/>
    <w:rsid w:val="0052381A"/>
    <w:rsid w:val="0052681E"/>
    <w:rsid w:val="00530C4E"/>
    <w:rsid w:val="00535868"/>
    <w:rsid w:val="0053704A"/>
    <w:rsid w:val="00537E44"/>
    <w:rsid w:val="00543DEB"/>
    <w:rsid w:val="005442F8"/>
    <w:rsid w:val="00544E40"/>
    <w:rsid w:val="00550C4B"/>
    <w:rsid w:val="00560ACE"/>
    <w:rsid w:val="00576E7E"/>
    <w:rsid w:val="00582C55"/>
    <w:rsid w:val="00584E0A"/>
    <w:rsid w:val="00592A75"/>
    <w:rsid w:val="005A19D3"/>
    <w:rsid w:val="005A206B"/>
    <w:rsid w:val="005A634D"/>
    <w:rsid w:val="005B102D"/>
    <w:rsid w:val="005B3A1E"/>
    <w:rsid w:val="005B3C80"/>
    <w:rsid w:val="005B58EB"/>
    <w:rsid w:val="005C1678"/>
    <w:rsid w:val="005C315D"/>
    <w:rsid w:val="005C618F"/>
    <w:rsid w:val="005D0AA3"/>
    <w:rsid w:val="005D25A9"/>
    <w:rsid w:val="005E3FEF"/>
    <w:rsid w:val="005E6BE7"/>
    <w:rsid w:val="005F1F2A"/>
    <w:rsid w:val="005F7B60"/>
    <w:rsid w:val="006033B9"/>
    <w:rsid w:val="00604200"/>
    <w:rsid w:val="0061469F"/>
    <w:rsid w:val="0061472F"/>
    <w:rsid w:val="00615A2F"/>
    <w:rsid w:val="006163CB"/>
    <w:rsid w:val="0062044A"/>
    <w:rsid w:val="00624F28"/>
    <w:rsid w:val="00627ED6"/>
    <w:rsid w:val="0063145E"/>
    <w:rsid w:val="00632F6B"/>
    <w:rsid w:val="006338A0"/>
    <w:rsid w:val="00640607"/>
    <w:rsid w:val="00640883"/>
    <w:rsid w:val="006533DC"/>
    <w:rsid w:val="00663005"/>
    <w:rsid w:val="00664FBF"/>
    <w:rsid w:val="00676539"/>
    <w:rsid w:val="006765CC"/>
    <w:rsid w:val="00696881"/>
    <w:rsid w:val="006A2449"/>
    <w:rsid w:val="006A3321"/>
    <w:rsid w:val="006A4274"/>
    <w:rsid w:val="006B17B1"/>
    <w:rsid w:val="006B2F6E"/>
    <w:rsid w:val="006D2CB1"/>
    <w:rsid w:val="006E0FB1"/>
    <w:rsid w:val="006F2378"/>
    <w:rsid w:val="0070333A"/>
    <w:rsid w:val="00703D42"/>
    <w:rsid w:val="007050D6"/>
    <w:rsid w:val="00705FA7"/>
    <w:rsid w:val="00713BDC"/>
    <w:rsid w:val="00713DE6"/>
    <w:rsid w:val="007150E6"/>
    <w:rsid w:val="00731AA9"/>
    <w:rsid w:val="00734514"/>
    <w:rsid w:val="007360B4"/>
    <w:rsid w:val="00741C3E"/>
    <w:rsid w:val="00745A43"/>
    <w:rsid w:val="00746676"/>
    <w:rsid w:val="007506C7"/>
    <w:rsid w:val="00751A99"/>
    <w:rsid w:val="007527E2"/>
    <w:rsid w:val="00754A6D"/>
    <w:rsid w:val="0076007C"/>
    <w:rsid w:val="00771632"/>
    <w:rsid w:val="007718C7"/>
    <w:rsid w:val="007750D9"/>
    <w:rsid w:val="00784EFD"/>
    <w:rsid w:val="007921BA"/>
    <w:rsid w:val="00797FE9"/>
    <w:rsid w:val="007A5027"/>
    <w:rsid w:val="007C0BE8"/>
    <w:rsid w:val="007E30A2"/>
    <w:rsid w:val="007E33DC"/>
    <w:rsid w:val="007E3951"/>
    <w:rsid w:val="007E4B27"/>
    <w:rsid w:val="007F31F6"/>
    <w:rsid w:val="007F52EA"/>
    <w:rsid w:val="00807E06"/>
    <w:rsid w:val="008151C9"/>
    <w:rsid w:val="00816106"/>
    <w:rsid w:val="00824202"/>
    <w:rsid w:val="00825291"/>
    <w:rsid w:val="0083435C"/>
    <w:rsid w:val="008346B0"/>
    <w:rsid w:val="00835780"/>
    <w:rsid w:val="00845DE7"/>
    <w:rsid w:val="0084618C"/>
    <w:rsid w:val="008469B7"/>
    <w:rsid w:val="008503BD"/>
    <w:rsid w:val="00850CC5"/>
    <w:rsid w:val="00853F5A"/>
    <w:rsid w:val="0085600B"/>
    <w:rsid w:val="00864860"/>
    <w:rsid w:val="0087085F"/>
    <w:rsid w:val="00875FC3"/>
    <w:rsid w:val="00897051"/>
    <w:rsid w:val="008B26D4"/>
    <w:rsid w:val="008B783D"/>
    <w:rsid w:val="008C196E"/>
    <w:rsid w:val="008C26F5"/>
    <w:rsid w:val="008C5836"/>
    <w:rsid w:val="008D2506"/>
    <w:rsid w:val="008D5776"/>
    <w:rsid w:val="008D615F"/>
    <w:rsid w:val="008E1281"/>
    <w:rsid w:val="008E1DD7"/>
    <w:rsid w:val="008E478F"/>
    <w:rsid w:val="008E6461"/>
    <w:rsid w:val="008F0D76"/>
    <w:rsid w:val="008F2BAE"/>
    <w:rsid w:val="008F4AAD"/>
    <w:rsid w:val="008F52EE"/>
    <w:rsid w:val="008F65D2"/>
    <w:rsid w:val="00900932"/>
    <w:rsid w:val="00901323"/>
    <w:rsid w:val="00913EF6"/>
    <w:rsid w:val="009327BA"/>
    <w:rsid w:val="00937496"/>
    <w:rsid w:val="0093771D"/>
    <w:rsid w:val="00940A44"/>
    <w:rsid w:val="00952994"/>
    <w:rsid w:val="009529A4"/>
    <w:rsid w:val="00961033"/>
    <w:rsid w:val="00961D01"/>
    <w:rsid w:val="00961F66"/>
    <w:rsid w:val="0096605D"/>
    <w:rsid w:val="0097202A"/>
    <w:rsid w:val="0097293E"/>
    <w:rsid w:val="00975B15"/>
    <w:rsid w:val="00993F1C"/>
    <w:rsid w:val="00995052"/>
    <w:rsid w:val="009970BC"/>
    <w:rsid w:val="009A5425"/>
    <w:rsid w:val="009A556E"/>
    <w:rsid w:val="009A57A0"/>
    <w:rsid w:val="009B14D9"/>
    <w:rsid w:val="009B3455"/>
    <w:rsid w:val="009C26A1"/>
    <w:rsid w:val="009C4321"/>
    <w:rsid w:val="009C6D4C"/>
    <w:rsid w:val="009C6E2B"/>
    <w:rsid w:val="009C77AF"/>
    <w:rsid w:val="009D5A8F"/>
    <w:rsid w:val="009D72B8"/>
    <w:rsid w:val="009E0A31"/>
    <w:rsid w:val="009E356F"/>
    <w:rsid w:val="009E4BEA"/>
    <w:rsid w:val="009F1645"/>
    <w:rsid w:val="009F3F72"/>
    <w:rsid w:val="00A01FEA"/>
    <w:rsid w:val="00A02A60"/>
    <w:rsid w:val="00A103F4"/>
    <w:rsid w:val="00A14277"/>
    <w:rsid w:val="00A1566D"/>
    <w:rsid w:val="00A15E83"/>
    <w:rsid w:val="00A222EF"/>
    <w:rsid w:val="00A22868"/>
    <w:rsid w:val="00A26323"/>
    <w:rsid w:val="00A32A3B"/>
    <w:rsid w:val="00A344B0"/>
    <w:rsid w:val="00A35C5A"/>
    <w:rsid w:val="00A37E04"/>
    <w:rsid w:val="00A41484"/>
    <w:rsid w:val="00A44C14"/>
    <w:rsid w:val="00A533A5"/>
    <w:rsid w:val="00A55590"/>
    <w:rsid w:val="00A56747"/>
    <w:rsid w:val="00A56B15"/>
    <w:rsid w:val="00A622D0"/>
    <w:rsid w:val="00A71867"/>
    <w:rsid w:val="00A72D43"/>
    <w:rsid w:val="00A803BF"/>
    <w:rsid w:val="00A819EC"/>
    <w:rsid w:val="00A81F3B"/>
    <w:rsid w:val="00A86186"/>
    <w:rsid w:val="00A86999"/>
    <w:rsid w:val="00A935E5"/>
    <w:rsid w:val="00AA6CA1"/>
    <w:rsid w:val="00AB7507"/>
    <w:rsid w:val="00AC2FCC"/>
    <w:rsid w:val="00AD3872"/>
    <w:rsid w:val="00AE020C"/>
    <w:rsid w:val="00AE2C55"/>
    <w:rsid w:val="00AE6200"/>
    <w:rsid w:val="00AF0476"/>
    <w:rsid w:val="00AF13C7"/>
    <w:rsid w:val="00AF6613"/>
    <w:rsid w:val="00AF7F5B"/>
    <w:rsid w:val="00B00C47"/>
    <w:rsid w:val="00B01F41"/>
    <w:rsid w:val="00B06DC9"/>
    <w:rsid w:val="00B14048"/>
    <w:rsid w:val="00B25611"/>
    <w:rsid w:val="00B33804"/>
    <w:rsid w:val="00B33A62"/>
    <w:rsid w:val="00B34C97"/>
    <w:rsid w:val="00B43AD4"/>
    <w:rsid w:val="00B4419B"/>
    <w:rsid w:val="00B44501"/>
    <w:rsid w:val="00B46705"/>
    <w:rsid w:val="00B4784F"/>
    <w:rsid w:val="00B518B9"/>
    <w:rsid w:val="00B52262"/>
    <w:rsid w:val="00B5227E"/>
    <w:rsid w:val="00B525CE"/>
    <w:rsid w:val="00B54669"/>
    <w:rsid w:val="00B658E5"/>
    <w:rsid w:val="00B66543"/>
    <w:rsid w:val="00B6703D"/>
    <w:rsid w:val="00B71D8B"/>
    <w:rsid w:val="00B72077"/>
    <w:rsid w:val="00B73562"/>
    <w:rsid w:val="00B7773F"/>
    <w:rsid w:val="00B81657"/>
    <w:rsid w:val="00B84F64"/>
    <w:rsid w:val="00B865AD"/>
    <w:rsid w:val="00B95817"/>
    <w:rsid w:val="00B97047"/>
    <w:rsid w:val="00BA0AC4"/>
    <w:rsid w:val="00BB6D1E"/>
    <w:rsid w:val="00BB715F"/>
    <w:rsid w:val="00BD03BA"/>
    <w:rsid w:val="00BE0004"/>
    <w:rsid w:val="00BE3DDD"/>
    <w:rsid w:val="00BE5A8B"/>
    <w:rsid w:val="00BF30D2"/>
    <w:rsid w:val="00BF3B6F"/>
    <w:rsid w:val="00C11AF3"/>
    <w:rsid w:val="00C12D04"/>
    <w:rsid w:val="00C22B17"/>
    <w:rsid w:val="00C232AC"/>
    <w:rsid w:val="00C252B9"/>
    <w:rsid w:val="00C25B57"/>
    <w:rsid w:val="00C3255E"/>
    <w:rsid w:val="00C37645"/>
    <w:rsid w:val="00C52F0D"/>
    <w:rsid w:val="00C5696A"/>
    <w:rsid w:val="00C574B5"/>
    <w:rsid w:val="00C61438"/>
    <w:rsid w:val="00C627EB"/>
    <w:rsid w:val="00C643D1"/>
    <w:rsid w:val="00C7070C"/>
    <w:rsid w:val="00C77ABD"/>
    <w:rsid w:val="00C80863"/>
    <w:rsid w:val="00C8160D"/>
    <w:rsid w:val="00C81A89"/>
    <w:rsid w:val="00C8222B"/>
    <w:rsid w:val="00C84A26"/>
    <w:rsid w:val="00C85DE1"/>
    <w:rsid w:val="00C86371"/>
    <w:rsid w:val="00C87C77"/>
    <w:rsid w:val="00C904B2"/>
    <w:rsid w:val="00C90940"/>
    <w:rsid w:val="00C9209E"/>
    <w:rsid w:val="00C9669C"/>
    <w:rsid w:val="00CA215C"/>
    <w:rsid w:val="00CA3157"/>
    <w:rsid w:val="00CA590C"/>
    <w:rsid w:val="00CB27B9"/>
    <w:rsid w:val="00CB3240"/>
    <w:rsid w:val="00CB3C2C"/>
    <w:rsid w:val="00CB794B"/>
    <w:rsid w:val="00CC34DD"/>
    <w:rsid w:val="00CC37C7"/>
    <w:rsid w:val="00CC4700"/>
    <w:rsid w:val="00CC4E04"/>
    <w:rsid w:val="00CE587C"/>
    <w:rsid w:val="00CF2A3E"/>
    <w:rsid w:val="00CF3D3B"/>
    <w:rsid w:val="00CF4FA9"/>
    <w:rsid w:val="00D02F73"/>
    <w:rsid w:val="00D063DA"/>
    <w:rsid w:val="00D1451F"/>
    <w:rsid w:val="00D153F4"/>
    <w:rsid w:val="00D22754"/>
    <w:rsid w:val="00D24D7E"/>
    <w:rsid w:val="00D2669E"/>
    <w:rsid w:val="00D26F9C"/>
    <w:rsid w:val="00D32ACD"/>
    <w:rsid w:val="00D40366"/>
    <w:rsid w:val="00D428CC"/>
    <w:rsid w:val="00D45652"/>
    <w:rsid w:val="00D46C4C"/>
    <w:rsid w:val="00D47E42"/>
    <w:rsid w:val="00D538EC"/>
    <w:rsid w:val="00D62B85"/>
    <w:rsid w:val="00D64E79"/>
    <w:rsid w:val="00D8250A"/>
    <w:rsid w:val="00D860CE"/>
    <w:rsid w:val="00D912EA"/>
    <w:rsid w:val="00D940BE"/>
    <w:rsid w:val="00D951B9"/>
    <w:rsid w:val="00DA21F7"/>
    <w:rsid w:val="00DB6BDA"/>
    <w:rsid w:val="00DB79B5"/>
    <w:rsid w:val="00DC4873"/>
    <w:rsid w:val="00DC7FEE"/>
    <w:rsid w:val="00DD4A2E"/>
    <w:rsid w:val="00DE2895"/>
    <w:rsid w:val="00DE7178"/>
    <w:rsid w:val="00DF6B52"/>
    <w:rsid w:val="00DF73BE"/>
    <w:rsid w:val="00DF75B2"/>
    <w:rsid w:val="00E059B9"/>
    <w:rsid w:val="00E06468"/>
    <w:rsid w:val="00E11D58"/>
    <w:rsid w:val="00E11E97"/>
    <w:rsid w:val="00E12E9E"/>
    <w:rsid w:val="00E13048"/>
    <w:rsid w:val="00E13189"/>
    <w:rsid w:val="00E17B68"/>
    <w:rsid w:val="00E30629"/>
    <w:rsid w:val="00E35F03"/>
    <w:rsid w:val="00E36455"/>
    <w:rsid w:val="00E4614B"/>
    <w:rsid w:val="00E468C4"/>
    <w:rsid w:val="00E469CA"/>
    <w:rsid w:val="00E51954"/>
    <w:rsid w:val="00E51AF6"/>
    <w:rsid w:val="00E74625"/>
    <w:rsid w:val="00E75B80"/>
    <w:rsid w:val="00E84DA9"/>
    <w:rsid w:val="00E874AC"/>
    <w:rsid w:val="00E92195"/>
    <w:rsid w:val="00E9272E"/>
    <w:rsid w:val="00E930CE"/>
    <w:rsid w:val="00E96874"/>
    <w:rsid w:val="00EA22DB"/>
    <w:rsid w:val="00EB19C4"/>
    <w:rsid w:val="00EC1E75"/>
    <w:rsid w:val="00ED1DFF"/>
    <w:rsid w:val="00ED77A5"/>
    <w:rsid w:val="00EE2B1D"/>
    <w:rsid w:val="00EF6E62"/>
    <w:rsid w:val="00EF7B79"/>
    <w:rsid w:val="00F021CE"/>
    <w:rsid w:val="00F032EC"/>
    <w:rsid w:val="00F05979"/>
    <w:rsid w:val="00F059D9"/>
    <w:rsid w:val="00F11885"/>
    <w:rsid w:val="00F25FD7"/>
    <w:rsid w:val="00F33CC4"/>
    <w:rsid w:val="00F34455"/>
    <w:rsid w:val="00F36E71"/>
    <w:rsid w:val="00F4323B"/>
    <w:rsid w:val="00F50680"/>
    <w:rsid w:val="00F5678F"/>
    <w:rsid w:val="00F6666F"/>
    <w:rsid w:val="00F73F01"/>
    <w:rsid w:val="00F81814"/>
    <w:rsid w:val="00F87FB4"/>
    <w:rsid w:val="00FA27D2"/>
    <w:rsid w:val="00FA356E"/>
    <w:rsid w:val="00FA78D5"/>
    <w:rsid w:val="00FC0EAB"/>
    <w:rsid w:val="00FC4CE7"/>
    <w:rsid w:val="00FD2147"/>
    <w:rsid w:val="00FF0E94"/>
    <w:rsid w:val="00FF1D59"/>
    <w:rsid w:val="00FF35F3"/>
    <w:rsid w:val="00FF7330"/>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64AB20C"/>
  <w15:chartTrackingRefBased/>
  <w15:docId w15:val="{9F3F9A76-C200-4559-9848-8A1D43F03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D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53F4"/>
    <w:pPr>
      <w:keepNext/>
      <w:keepLines/>
      <w:spacing w:before="240" w:after="0" w:line="480" w:lineRule="auto"/>
      <w:ind w:firstLine="720"/>
      <w:jc w:val="both"/>
      <w:outlineLvl w:val="0"/>
    </w:pPr>
    <w:rPr>
      <w:rFonts w:ascii="Times New Roman" w:eastAsiaTheme="majorEastAsia" w:hAnsi="Times New Roman" w:cs="Times New Roman"/>
      <w:color w:val="000000" w:themeColor="text1"/>
      <w:sz w:val="24"/>
      <w:szCs w:val="24"/>
      <w:lang w:val="es-ES"/>
    </w:rPr>
  </w:style>
  <w:style w:type="paragraph" w:styleId="Ttulo1">
    <w:name w:val="heading 1"/>
    <w:basedOn w:val="Normal"/>
    <w:next w:val="Normal"/>
    <w:link w:val="Ttulo1Car"/>
    <w:uiPriority w:val="9"/>
    <w:qFormat/>
    <w:rsid w:val="00200F2E"/>
    <w:rPr>
      <w:sz w:val="32"/>
      <w:szCs w:val="32"/>
    </w:rPr>
  </w:style>
  <w:style w:type="paragraph" w:styleId="Ttulo2">
    <w:name w:val="heading 2"/>
    <w:basedOn w:val="Ttulo1"/>
    <w:next w:val="Normal"/>
    <w:link w:val="Ttulo2Car"/>
    <w:uiPriority w:val="9"/>
    <w:unhideWhenUsed/>
    <w:qFormat/>
    <w:rsid w:val="00A56B15"/>
    <w:pPr>
      <w:outlineLvl w:val="1"/>
    </w:pPr>
    <w:rPr>
      <w:sz w:val="28"/>
    </w:rPr>
  </w:style>
  <w:style w:type="paragraph" w:styleId="Ttulo3">
    <w:name w:val="heading 3"/>
    <w:basedOn w:val="Normal"/>
    <w:next w:val="Normal"/>
    <w:link w:val="Ttulo3Car"/>
    <w:uiPriority w:val="9"/>
    <w:unhideWhenUsed/>
    <w:qFormat/>
    <w:rsid w:val="00D47E42"/>
    <w:pPr>
      <w:spacing w:before="40"/>
      <w:outlineLvl w:val="2"/>
    </w:pPr>
    <w:rPr>
      <w:rFonts w:asciiTheme="majorHAnsi" w:hAnsiTheme="majorHAnsi" w:cstheme="majorBidi"/>
      <w:color w:val="1F4D78" w:themeColor="accent1" w:themeShade="7F"/>
    </w:rPr>
  </w:style>
  <w:style w:type="paragraph" w:styleId="Ttulo4">
    <w:name w:val="heading 4"/>
    <w:basedOn w:val="Normal"/>
    <w:next w:val="Normal"/>
    <w:link w:val="Ttulo4Car"/>
    <w:uiPriority w:val="9"/>
    <w:unhideWhenUsed/>
    <w:qFormat/>
    <w:rsid w:val="00D47E42"/>
    <w:pPr>
      <w:spacing w:before="40"/>
      <w:outlineLvl w:val="3"/>
    </w:pPr>
    <w:rPr>
      <w:rFonts w:asciiTheme="majorHAnsi" w:hAnsiTheme="majorHAnsi" w:cstheme="majorBidi"/>
      <w:i/>
      <w:iCs/>
      <w:color w:val="2E74B5" w:themeColor="accent1" w:themeShade="BF"/>
    </w:rPr>
  </w:style>
  <w:style w:type="paragraph" w:styleId="Ttulo5">
    <w:name w:val="heading 5"/>
    <w:basedOn w:val="Normal"/>
    <w:next w:val="Normal"/>
    <w:link w:val="Ttulo5Car"/>
    <w:uiPriority w:val="9"/>
    <w:unhideWhenUsed/>
    <w:qFormat/>
    <w:rsid w:val="005E6BE7"/>
    <w:pPr>
      <w:spacing w:before="40"/>
      <w:outlineLvl w:val="4"/>
    </w:pPr>
    <w:rPr>
      <w:rFonts w:asciiTheme="majorHAnsi" w:hAnsiTheme="majorHAnsi" w:cstheme="majorBidi"/>
      <w:color w:val="2E74B5" w:themeColor="accent1" w:themeShade="BF"/>
    </w:rPr>
  </w:style>
  <w:style w:type="paragraph" w:styleId="Ttulo8">
    <w:name w:val="heading 8"/>
    <w:basedOn w:val="Normal"/>
    <w:next w:val="Normal"/>
    <w:link w:val="Ttulo8Car"/>
    <w:uiPriority w:val="9"/>
    <w:semiHidden/>
    <w:unhideWhenUsed/>
    <w:qFormat/>
    <w:rsid w:val="006338A0"/>
    <w:pPr>
      <w:spacing w:before="40"/>
      <w:outlineLvl w:val="7"/>
    </w:pPr>
    <w:rPr>
      <w:rFonts w:asciiTheme="majorHAnsi" w:hAnsiTheme="majorHAnsi" w:cstheme="majorBidi"/>
      <w:color w:val="272727" w:themeColor="text1" w:themeTint="D8"/>
      <w:sz w:val="21"/>
      <w:szCs w:val="21"/>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00F2E"/>
    <w:rPr>
      <w:rFonts w:ascii="Times New Roman" w:eastAsiaTheme="majorEastAsia" w:hAnsi="Times New Roman" w:cs="Times New Roman"/>
      <w:color w:val="000000" w:themeColor="text1"/>
      <w:sz w:val="32"/>
      <w:szCs w:val="32"/>
    </w:rPr>
  </w:style>
  <w:style w:type="paragraph" w:styleId="TtuloTDC">
    <w:name w:val="TOC Heading"/>
    <w:basedOn w:val="Ttulo1"/>
    <w:next w:val="Normal"/>
    <w:uiPriority w:val="39"/>
    <w:unhideWhenUsed/>
    <w:qFormat/>
    <w:rsid w:val="00200F2E"/>
    <w:pPr>
      <w:outlineLvl w:val="9"/>
    </w:pPr>
    <w:rPr>
      <w:rFonts w:asciiTheme="majorHAnsi" w:hAnsiTheme="majorHAnsi" w:cstheme="majorBidi"/>
      <w:color w:val="2E74B5" w:themeColor="accent1" w:themeShade="BF"/>
      <w:lang w:eastAsia="es-DO"/>
    </w:rPr>
  </w:style>
  <w:style w:type="paragraph" w:styleId="TDC1">
    <w:name w:val="toc 1"/>
    <w:basedOn w:val="Normal"/>
    <w:next w:val="Normal"/>
    <w:autoRedefine/>
    <w:uiPriority w:val="39"/>
    <w:unhideWhenUsed/>
    <w:rsid w:val="00200F2E"/>
    <w:pPr>
      <w:spacing w:after="100"/>
    </w:pPr>
  </w:style>
  <w:style w:type="character" w:styleId="Hipervnculo">
    <w:name w:val="Hyperlink"/>
    <w:basedOn w:val="Fuentedeprrafopredeter"/>
    <w:uiPriority w:val="99"/>
    <w:unhideWhenUsed/>
    <w:rsid w:val="00200F2E"/>
    <w:rPr>
      <w:color w:val="0563C1" w:themeColor="hyperlink"/>
      <w:u w:val="single"/>
    </w:rPr>
  </w:style>
  <w:style w:type="paragraph" w:styleId="Textoindependiente">
    <w:name w:val="Body Text"/>
    <w:basedOn w:val="Normal"/>
    <w:link w:val="TextoindependienteCar"/>
    <w:uiPriority w:val="1"/>
    <w:qFormat/>
    <w:rsid w:val="00784EFD"/>
  </w:style>
  <w:style w:type="character" w:customStyle="1" w:styleId="TextoindependienteCar">
    <w:name w:val="Texto independiente Car"/>
    <w:basedOn w:val="Fuentedeprrafopredeter"/>
    <w:link w:val="Textoindependiente"/>
    <w:uiPriority w:val="1"/>
    <w:rsid w:val="00784EFD"/>
    <w:rPr>
      <w:rFonts w:ascii="Times New Roman" w:eastAsiaTheme="majorEastAsia" w:hAnsi="Times New Roman" w:cs="Times New Roman"/>
      <w:color w:val="000000" w:themeColor="text1"/>
      <w:sz w:val="24"/>
      <w:szCs w:val="24"/>
      <w:lang w:val="es-ES"/>
    </w:rPr>
  </w:style>
  <w:style w:type="table" w:customStyle="1" w:styleId="TableNormal1">
    <w:name w:val="Table Normal1"/>
    <w:uiPriority w:val="2"/>
    <w:semiHidden/>
    <w:unhideWhenUsed/>
    <w:qFormat/>
    <w:rsid w:val="00FF35F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F35F3"/>
    <w:pPr>
      <w:widowControl w:val="0"/>
      <w:autoSpaceDE w:val="0"/>
      <w:autoSpaceDN w:val="0"/>
      <w:spacing w:before="1" w:line="240" w:lineRule="auto"/>
    </w:pPr>
    <w:rPr>
      <w:rFonts w:eastAsia="Times New Roman"/>
      <w:lang w:eastAsia="es-ES" w:bidi="es-ES"/>
    </w:rPr>
  </w:style>
  <w:style w:type="paragraph" w:styleId="Encabezado">
    <w:name w:val="header"/>
    <w:basedOn w:val="Normal"/>
    <w:link w:val="EncabezadoCar"/>
    <w:uiPriority w:val="99"/>
    <w:unhideWhenUsed/>
    <w:rsid w:val="00C904B2"/>
    <w:pPr>
      <w:tabs>
        <w:tab w:val="center" w:pos="4513"/>
        <w:tab w:val="right" w:pos="9026"/>
      </w:tabs>
      <w:spacing w:before="0" w:line="240" w:lineRule="auto"/>
    </w:pPr>
  </w:style>
  <w:style w:type="character" w:customStyle="1" w:styleId="EncabezadoCar">
    <w:name w:val="Encabezado Car"/>
    <w:basedOn w:val="Fuentedeprrafopredeter"/>
    <w:link w:val="Encabezado"/>
    <w:uiPriority w:val="99"/>
    <w:rsid w:val="00C904B2"/>
    <w:rPr>
      <w:rFonts w:ascii="Times New Roman" w:eastAsiaTheme="majorEastAsia" w:hAnsi="Times New Roman" w:cs="Times New Roman"/>
      <w:color w:val="000000" w:themeColor="text1"/>
      <w:sz w:val="24"/>
      <w:szCs w:val="24"/>
      <w:lang w:val="es-ES"/>
    </w:rPr>
  </w:style>
  <w:style w:type="paragraph" w:styleId="Piedepgina">
    <w:name w:val="footer"/>
    <w:basedOn w:val="Normal"/>
    <w:link w:val="PiedepginaCar"/>
    <w:uiPriority w:val="99"/>
    <w:unhideWhenUsed/>
    <w:rsid w:val="00C904B2"/>
    <w:pPr>
      <w:tabs>
        <w:tab w:val="center" w:pos="4513"/>
        <w:tab w:val="right" w:pos="9026"/>
      </w:tabs>
      <w:spacing w:before="0" w:line="240" w:lineRule="auto"/>
    </w:pPr>
  </w:style>
  <w:style w:type="character" w:customStyle="1" w:styleId="PiedepginaCar">
    <w:name w:val="Pie de página Car"/>
    <w:basedOn w:val="Fuentedeprrafopredeter"/>
    <w:link w:val="Piedepgina"/>
    <w:uiPriority w:val="99"/>
    <w:rsid w:val="00C904B2"/>
    <w:rPr>
      <w:rFonts w:ascii="Times New Roman" w:eastAsiaTheme="majorEastAsia" w:hAnsi="Times New Roman" w:cs="Times New Roman"/>
      <w:color w:val="000000" w:themeColor="text1"/>
      <w:sz w:val="24"/>
      <w:szCs w:val="24"/>
      <w:lang w:val="es-ES"/>
    </w:rPr>
  </w:style>
  <w:style w:type="character" w:styleId="Textoennegrita">
    <w:name w:val="Strong"/>
    <w:basedOn w:val="Fuentedeprrafopredeter"/>
    <w:uiPriority w:val="22"/>
    <w:qFormat/>
    <w:rsid w:val="00047563"/>
    <w:rPr>
      <w:b/>
      <w:bCs/>
    </w:rPr>
  </w:style>
  <w:style w:type="paragraph" w:styleId="TDC2">
    <w:name w:val="toc 2"/>
    <w:basedOn w:val="Normal"/>
    <w:next w:val="Normal"/>
    <w:autoRedefine/>
    <w:uiPriority w:val="39"/>
    <w:unhideWhenUsed/>
    <w:rsid w:val="00784EFD"/>
    <w:pPr>
      <w:keepNext w:val="0"/>
      <w:keepLines w:val="0"/>
      <w:spacing w:before="0" w:after="100" w:line="259" w:lineRule="auto"/>
      <w:ind w:left="220" w:firstLine="0"/>
      <w:jc w:val="left"/>
      <w:outlineLvl w:val="9"/>
    </w:pPr>
    <w:rPr>
      <w:rFonts w:asciiTheme="minorHAnsi" w:eastAsiaTheme="minorEastAsia" w:hAnsiTheme="minorHAnsi"/>
      <w:color w:val="auto"/>
      <w:sz w:val="22"/>
      <w:szCs w:val="22"/>
      <w:lang w:val="es-DO" w:eastAsia="es-DO"/>
    </w:rPr>
  </w:style>
  <w:style w:type="paragraph" w:styleId="TDC3">
    <w:name w:val="toc 3"/>
    <w:basedOn w:val="Normal"/>
    <w:next w:val="Normal"/>
    <w:autoRedefine/>
    <w:uiPriority w:val="39"/>
    <w:unhideWhenUsed/>
    <w:rsid w:val="00784EFD"/>
    <w:pPr>
      <w:keepNext w:val="0"/>
      <w:keepLines w:val="0"/>
      <w:spacing w:before="0" w:after="100" w:line="259" w:lineRule="auto"/>
      <w:ind w:left="440" w:firstLine="0"/>
      <w:jc w:val="left"/>
      <w:outlineLvl w:val="9"/>
    </w:pPr>
    <w:rPr>
      <w:rFonts w:asciiTheme="minorHAnsi" w:eastAsiaTheme="minorEastAsia" w:hAnsiTheme="minorHAnsi"/>
      <w:color w:val="auto"/>
      <w:sz w:val="22"/>
      <w:szCs w:val="22"/>
      <w:lang w:val="es-DO" w:eastAsia="es-DO"/>
    </w:rPr>
  </w:style>
  <w:style w:type="paragraph" w:styleId="Prrafodelista">
    <w:name w:val="List Paragraph"/>
    <w:basedOn w:val="Normal"/>
    <w:link w:val="PrrafodelistaCar"/>
    <w:uiPriority w:val="34"/>
    <w:qFormat/>
    <w:rsid w:val="000F2226"/>
    <w:pPr>
      <w:ind w:left="720"/>
      <w:contextualSpacing/>
    </w:pPr>
  </w:style>
  <w:style w:type="character" w:customStyle="1" w:styleId="Ttulo8Car">
    <w:name w:val="Título 8 Car"/>
    <w:basedOn w:val="Fuentedeprrafopredeter"/>
    <w:link w:val="Ttulo8"/>
    <w:uiPriority w:val="9"/>
    <w:semiHidden/>
    <w:rsid w:val="006338A0"/>
    <w:rPr>
      <w:rFonts w:asciiTheme="majorHAnsi" w:eastAsiaTheme="majorEastAsia" w:hAnsiTheme="majorHAnsi" w:cstheme="majorBidi"/>
      <w:color w:val="272727" w:themeColor="text1" w:themeTint="D8"/>
      <w:sz w:val="21"/>
      <w:szCs w:val="21"/>
      <w:lang w:val="es-ES"/>
    </w:rPr>
  </w:style>
  <w:style w:type="paragraph" w:styleId="Subttulo">
    <w:name w:val="Subtitle"/>
    <w:basedOn w:val="Normal"/>
    <w:next w:val="Normal"/>
    <w:link w:val="SubttuloCar"/>
    <w:uiPriority w:val="11"/>
    <w:qFormat/>
    <w:rsid w:val="00A86999"/>
    <w:pPr>
      <w:numPr>
        <w:numId w:val="1"/>
      </w:numPr>
      <w:spacing w:after="160"/>
    </w:pPr>
    <w:rPr>
      <w:rFonts w:eastAsiaTheme="minorEastAsia"/>
      <w:b/>
      <w:color w:val="5A5A5A" w:themeColor="text1" w:themeTint="A5"/>
      <w:spacing w:val="15"/>
    </w:rPr>
  </w:style>
  <w:style w:type="character" w:customStyle="1" w:styleId="SubttuloCar">
    <w:name w:val="Subtítulo Car"/>
    <w:basedOn w:val="Fuentedeprrafopredeter"/>
    <w:link w:val="Subttulo"/>
    <w:uiPriority w:val="11"/>
    <w:rsid w:val="00A86999"/>
    <w:rPr>
      <w:rFonts w:ascii="Times New Roman" w:eastAsiaTheme="minorEastAsia" w:hAnsi="Times New Roman" w:cs="Times New Roman"/>
      <w:b/>
      <w:color w:val="5A5A5A" w:themeColor="text1" w:themeTint="A5"/>
      <w:spacing w:val="15"/>
      <w:sz w:val="24"/>
      <w:szCs w:val="24"/>
      <w:lang w:val="es-ES"/>
    </w:rPr>
  </w:style>
  <w:style w:type="character" w:customStyle="1" w:styleId="PrrafodelistaCar">
    <w:name w:val="Párrafo de lista Car"/>
    <w:link w:val="Prrafodelista"/>
    <w:uiPriority w:val="34"/>
    <w:rsid w:val="00A86999"/>
    <w:rPr>
      <w:rFonts w:ascii="Times New Roman" w:eastAsiaTheme="majorEastAsia" w:hAnsi="Times New Roman" w:cs="Times New Roman"/>
      <w:color w:val="000000" w:themeColor="text1"/>
      <w:sz w:val="24"/>
      <w:szCs w:val="24"/>
      <w:lang w:val="es-ES"/>
    </w:rPr>
  </w:style>
  <w:style w:type="table" w:customStyle="1" w:styleId="TableNormal11">
    <w:name w:val="Table Normal11"/>
    <w:uiPriority w:val="2"/>
    <w:semiHidden/>
    <w:unhideWhenUsed/>
    <w:qFormat/>
    <w:rsid w:val="00AA6CA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AA6CA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DC4">
    <w:name w:val="toc 4"/>
    <w:basedOn w:val="Normal"/>
    <w:next w:val="Normal"/>
    <w:autoRedefine/>
    <w:uiPriority w:val="39"/>
    <w:unhideWhenUsed/>
    <w:rsid w:val="0087085F"/>
    <w:pPr>
      <w:keepNext w:val="0"/>
      <w:keepLines w:val="0"/>
      <w:spacing w:before="0" w:after="100" w:line="259" w:lineRule="auto"/>
      <w:ind w:left="660" w:firstLine="0"/>
      <w:jc w:val="left"/>
      <w:outlineLvl w:val="9"/>
    </w:pPr>
    <w:rPr>
      <w:rFonts w:asciiTheme="minorHAnsi" w:eastAsiaTheme="minorEastAsia" w:hAnsiTheme="minorHAnsi" w:cstheme="minorBidi"/>
      <w:color w:val="auto"/>
      <w:sz w:val="22"/>
      <w:szCs w:val="22"/>
      <w:lang w:val="es-DO" w:eastAsia="es-DO"/>
    </w:rPr>
  </w:style>
  <w:style w:type="paragraph" w:styleId="TDC5">
    <w:name w:val="toc 5"/>
    <w:basedOn w:val="Normal"/>
    <w:next w:val="Normal"/>
    <w:autoRedefine/>
    <w:uiPriority w:val="39"/>
    <w:unhideWhenUsed/>
    <w:rsid w:val="0087085F"/>
    <w:pPr>
      <w:keepNext w:val="0"/>
      <w:keepLines w:val="0"/>
      <w:spacing w:before="0" w:after="100" w:line="259" w:lineRule="auto"/>
      <w:ind w:left="880" w:firstLine="0"/>
      <w:jc w:val="left"/>
      <w:outlineLvl w:val="9"/>
    </w:pPr>
    <w:rPr>
      <w:rFonts w:asciiTheme="minorHAnsi" w:eastAsiaTheme="minorEastAsia" w:hAnsiTheme="minorHAnsi" w:cstheme="minorBidi"/>
      <w:color w:val="auto"/>
      <w:sz w:val="22"/>
      <w:szCs w:val="22"/>
      <w:lang w:val="es-DO" w:eastAsia="es-DO"/>
    </w:rPr>
  </w:style>
  <w:style w:type="paragraph" w:styleId="TDC6">
    <w:name w:val="toc 6"/>
    <w:basedOn w:val="Normal"/>
    <w:next w:val="Normal"/>
    <w:autoRedefine/>
    <w:uiPriority w:val="39"/>
    <w:unhideWhenUsed/>
    <w:rsid w:val="0087085F"/>
    <w:pPr>
      <w:keepNext w:val="0"/>
      <w:keepLines w:val="0"/>
      <w:spacing w:before="0" w:after="100" w:line="259" w:lineRule="auto"/>
      <w:ind w:left="1100" w:firstLine="0"/>
      <w:jc w:val="left"/>
      <w:outlineLvl w:val="9"/>
    </w:pPr>
    <w:rPr>
      <w:rFonts w:asciiTheme="minorHAnsi" w:eastAsiaTheme="minorEastAsia" w:hAnsiTheme="minorHAnsi" w:cstheme="minorBidi"/>
      <w:color w:val="auto"/>
      <w:sz w:val="22"/>
      <w:szCs w:val="22"/>
      <w:lang w:val="es-DO" w:eastAsia="es-DO"/>
    </w:rPr>
  </w:style>
  <w:style w:type="paragraph" w:styleId="TDC7">
    <w:name w:val="toc 7"/>
    <w:basedOn w:val="Normal"/>
    <w:next w:val="Normal"/>
    <w:autoRedefine/>
    <w:uiPriority w:val="39"/>
    <w:unhideWhenUsed/>
    <w:rsid w:val="0087085F"/>
    <w:pPr>
      <w:keepNext w:val="0"/>
      <w:keepLines w:val="0"/>
      <w:spacing w:before="0" w:after="100" w:line="259" w:lineRule="auto"/>
      <w:ind w:left="1320" w:firstLine="0"/>
      <w:jc w:val="left"/>
      <w:outlineLvl w:val="9"/>
    </w:pPr>
    <w:rPr>
      <w:rFonts w:asciiTheme="minorHAnsi" w:eastAsiaTheme="minorEastAsia" w:hAnsiTheme="minorHAnsi" w:cstheme="minorBidi"/>
      <w:color w:val="auto"/>
      <w:sz w:val="22"/>
      <w:szCs w:val="22"/>
      <w:lang w:val="es-DO" w:eastAsia="es-DO"/>
    </w:rPr>
  </w:style>
  <w:style w:type="paragraph" w:styleId="TDC8">
    <w:name w:val="toc 8"/>
    <w:basedOn w:val="Normal"/>
    <w:next w:val="Normal"/>
    <w:autoRedefine/>
    <w:uiPriority w:val="39"/>
    <w:unhideWhenUsed/>
    <w:rsid w:val="0087085F"/>
    <w:pPr>
      <w:keepNext w:val="0"/>
      <w:keepLines w:val="0"/>
      <w:spacing w:before="0" w:after="100" w:line="259" w:lineRule="auto"/>
      <w:ind w:left="1540" w:firstLine="0"/>
      <w:jc w:val="left"/>
      <w:outlineLvl w:val="9"/>
    </w:pPr>
    <w:rPr>
      <w:rFonts w:asciiTheme="minorHAnsi" w:eastAsiaTheme="minorEastAsia" w:hAnsiTheme="minorHAnsi" w:cstheme="minorBidi"/>
      <w:color w:val="auto"/>
      <w:sz w:val="22"/>
      <w:szCs w:val="22"/>
      <w:lang w:val="es-DO" w:eastAsia="es-DO"/>
    </w:rPr>
  </w:style>
  <w:style w:type="paragraph" w:styleId="TDC9">
    <w:name w:val="toc 9"/>
    <w:basedOn w:val="Normal"/>
    <w:next w:val="Normal"/>
    <w:autoRedefine/>
    <w:uiPriority w:val="39"/>
    <w:unhideWhenUsed/>
    <w:rsid w:val="0087085F"/>
    <w:pPr>
      <w:keepNext w:val="0"/>
      <w:keepLines w:val="0"/>
      <w:spacing w:before="0" w:after="100" w:line="259" w:lineRule="auto"/>
      <w:ind w:left="1760" w:firstLine="0"/>
      <w:jc w:val="left"/>
      <w:outlineLvl w:val="9"/>
    </w:pPr>
    <w:rPr>
      <w:rFonts w:asciiTheme="minorHAnsi" w:eastAsiaTheme="minorEastAsia" w:hAnsiTheme="minorHAnsi" w:cstheme="minorBidi"/>
      <w:color w:val="auto"/>
      <w:sz w:val="22"/>
      <w:szCs w:val="22"/>
      <w:lang w:val="es-DO" w:eastAsia="es-DO"/>
    </w:rPr>
  </w:style>
  <w:style w:type="paragraph" w:customStyle="1" w:styleId="Normal1">
    <w:name w:val="Normal1"/>
    <w:rsid w:val="00224132"/>
    <w:pPr>
      <w:spacing w:after="0" w:line="480" w:lineRule="auto"/>
      <w:ind w:firstLine="709"/>
      <w:jc w:val="both"/>
    </w:pPr>
    <w:rPr>
      <w:rFonts w:ascii="Calibri" w:eastAsia="Calibri" w:hAnsi="Calibri" w:cs="Calibri"/>
      <w:color w:val="000000"/>
      <w:lang w:val="en-US"/>
    </w:rPr>
  </w:style>
  <w:style w:type="character" w:styleId="Hipervnculovisitado">
    <w:name w:val="FollowedHyperlink"/>
    <w:basedOn w:val="Fuentedeprrafopredeter"/>
    <w:uiPriority w:val="99"/>
    <w:semiHidden/>
    <w:unhideWhenUsed/>
    <w:rsid w:val="00B865AD"/>
    <w:rPr>
      <w:color w:val="954F72" w:themeColor="followedHyperlink"/>
      <w:u w:val="single"/>
    </w:rPr>
  </w:style>
  <w:style w:type="paragraph" w:styleId="NormalWeb">
    <w:name w:val="Normal (Web)"/>
    <w:basedOn w:val="Normal"/>
    <w:uiPriority w:val="99"/>
    <w:semiHidden/>
    <w:unhideWhenUsed/>
    <w:rsid w:val="00B865AD"/>
    <w:pPr>
      <w:keepNext w:val="0"/>
      <w:keepLines w:val="0"/>
      <w:spacing w:before="100" w:beforeAutospacing="1" w:after="100" w:afterAutospacing="1" w:line="240" w:lineRule="auto"/>
      <w:ind w:firstLine="0"/>
      <w:jc w:val="left"/>
      <w:outlineLvl w:val="9"/>
    </w:pPr>
    <w:rPr>
      <w:rFonts w:eastAsia="Times New Roman"/>
      <w:color w:val="auto"/>
      <w:lang w:val="es-DO" w:eastAsia="es-DO"/>
    </w:rPr>
  </w:style>
  <w:style w:type="table" w:styleId="Tablaconcuadrcula">
    <w:name w:val="Table Grid"/>
    <w:basedOn w:val="Tablanormal"/>
    <w:uiPriority w:val="39"/>
    <w:rsid w:val="006E0FB1"/>
    <w:pPr>
      <w:spacing w:after="0" w:line="240" w:lineRule="auto"/>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comentario">
    <w:name w:val="annotation text"/>
    <w:basedOn w:val="Normal"/>
    <w:link w:val="TextocomentarioCar"/>
    <w:uiPriority w:val="99"/>
    <w:unhideWhenUsed/>
    <w:rsid w:val="00BE3DDD"/>
    <w:pPr>
      <w:keepNext w:val="0"/>
      <w:keepLines w:val="0"/>
      <w:spacing w:before="0" w:after="200" w:line="240" w:lineRule="auto"/>
      <w:ind w:firstLine="0"/>
      <w:jc w:val="left"/>
      <w:outlineLvl w:val="9"/>
    </w:pPr>
    <w:rPr>
      <w:rFonts w:ascii="Calibri" w:eastAsia="Calibri" w:hAnsi="Calibri"/>
      <w:color w:val="auto"/>
      <w:sz w:val="20"/>
      <w:szCs w:val="20"/>
      <w:lang w:val="es-DO"/>
    </w:rPr>
  </w:style>
  <w:style w:type="character" w:customStyle="1" w:styleId="TextocomentarioCar">
    <w:name w:val="Texto comentario Car"/>
    <w:basedOn w:val="Fuentedeprrafopredeter"/>
    <w:link w:val="Textocomentario"/>
    <w:uiPriority w:val="99"/>
    <w:rsid w:val="00BE3DDD"/>
    <w:rPr>
      <w:rFonts w:ascii="Calibri" w:eastAsia="Calibri" w:hAnsi="Calibri" w:cs="Times New Roman"/>
      <w:sz w:val="20"/>
      <w:szCs w:val="20"/>
    </w:rPr>
  </w:style>
  <w:style w:type="character" w:customStyle="1" w:styleId="Ttulo2Car">
    <w:name w:val="Título 2 Car"/>
    <w:basedOn w:val="Fuentedeprrafopredeter"/>
    <w:link w:val="Ttulo2"/>
    <w:uiPriority w:val="9"/>
    <w:rsid w:val="00A56B15"/>
    <w:rPr>
      <w:rFonts w:ascii="Times New Roman" w:eastAsiaTheme="majorEastAsia" w:hAnsi="Times New Roman" w:cs="Times New Roman"/>
      <w:color w:val="000000" w:themeColor="text1"/>
      <w:sz w:val="28"/>
      <w:szCs w:val="32"/>
      <w:lang w:val="es-ES"/>
    </w:rPr>
  </w:style>
  <w:style w:type="character" w:customStyle="1" w:styleId="Ttulo3Car">
    <w:name w:val="Título 3 Car"/>
    <w:basedOn w:val="Fuentedeprrafopredeter"/>
    <w:link w:val="Ttulo3"/>
    <w:uiPriority w:val="9"/>
    <w:rsid w:val="00D47E42"/>
    <w:rPr>
      <w:rFonts w:asciiTheme="majorHAnsi" w:eastAsiaTheme="majorEastAsia" w:hAnsiTheme="majorHAnsi" w:cstheme="majorBidi"/>
      <w:color w:val="1F4D78" w:themeColor="accent1" w:themeShade="7F"/>
      <w:sz w:val="24"/>
      <w:szCs w:val="24"/>
      <w:lang w:val="es-ES"/>
    </w:rPr>
  </w:style>
  <w:style w:type="character" w:customStyle="1" w:styleId="Ttulo4Car">
    <w:name w:val="Título 4 Car"/>
    <w:basedOn w:val="Fuentedeprrafopredeter"/>
    <w:link w:val="Ttulo4"/>
    <w:uiPriority w:val="9"/>
    <w:rsid w:val="00D47E42"/>
    <w:rPr>
      <w:rFonts w:asciiTheme="majorHAnsi" w:eastAsiaTheme="majorEastAsia" w:hAnsiTheme="majorHAnsi" w:cstheme="majorBidi"/>
      <w:i/>
      <w:iCs/>
      <w:color w:val="2E74B5" w:themeColor="accent1" w:themeShade="BF"/>
      <w:sz w:val="24"/>
      <w:szCs w:val="24"/>
      <w:lang w:val="es-ES"/>
    </w:rPr>
  </w:style>
  <w:style w:type="table" w:customStyle="1" w:styleId="Tabladecuadrcula4-nfasis11">
    <w:name w:val="Tabla de cuadrícula 4 - Énfasis 11"/>
    <w:basedOn w:val="Tablanormal"/>
    <w:next w:val="Tablanormal"/>
    <w:uiPriority w:val="49"/>
    <w:rsid w:val="00D47E42"/>
    <w:pPr>
      <w:spacing w:after="0" w:line="240" w:lineRule="auto"/>
      <w:ind w:firstLine="709"/>
      <w:jc w:val="both"/>
    </w:pPr>
    <w:rPr>
      <w:rFonts w:ascii="Calibri" w:eastAsia="Calibri" w:hAnsi="Calibri" w:cs="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Textodeglobo">
    <w:name w:val="Balloon Text"/>
    <w:basedOn w:val="Normal"/>
    <w:link w:val="TextodegloboCar"/>
    <w:uiPriority w:val="99"/>
    <w:semiHidden/>
    <w:unhideWhenUsed/>
    <w:rsid w:val="00632F6B"/>
    <w:pPr>
      <w:spacing w:before="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32F6B"/>
    <w:rPr>
      <w:rFonts w:ascii="Segoe UI" w:eastAsiaTheme="majorEastAsia" w:hAnsi="Segoe UI" w:cs="Segoe UI"/>
      <w:color w:val="000000" w:themeColor="text1"/>
      <w:sz w:val="18"/>
      <w:szCs w:val="18"/>
      <w:lang w:val="es-ES"/>
    </w:rPr>
  </w:style>
  <w:style w:type="paragraph" w:styleId="Sinespaciado">
    <w:name w:val="No Spacing"/>
    <w:link w:val="SinespaciadoCar"/>
    <w:uiPriority w:val="1"/>
    <w:qFormat/>
    <w:rsid w:val="00DB79B5"/>
    <w:pPr>
      <w:keepNext/>
      <w:keepLines/>
      <w:spacing w:after="0" w:line="240" w:lineRule="auto"/>
      <w:ind w:firstLine="720"/>
      <w:jc w:val="both"/>
      <w:outlineLvl w:val="0"/>
    </w:pPr>
    <w:rPr>
      <w:rFonts w:ascii="Times New Roman" w:eastAsiaTheme="majorEastAsia" w:hAnsi="Times New Roman" w:cs="Times New Roman"/>
      <w:color w:val="000000" w:themeColor="text1"/>
      <w:sz w:val="24"/>
      <w:szCs w:val="24"/>
      <w:lang w:val="es-ES"/>
    </w:rPr>
  </w:style>
  <w:style w:type="table" w:customStyle="1" w:styleId="Tablaconcuadrcula1">
    <w:name w:val="Tabla con cuadrícula1"/>
    <w:basedOn w:val="Tablanormal"/>
    <w:next w:val="Tablaconcuadrcula"/>
    <w:uiPriority w:val="39"/>
    <w:rsid w:val="00183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adestacada">
    <w:name w:val="Intense Quote"/>
    <w:basedOn w:val="Normal"/>
    <w:next w:val="Normal"/>
    <w:link w:val="CitadestacadaCar"/>
    <w:uiPriority w:val="30"/>
    <w:qFormat/>
    <w:rsid w:val="004929C1"/>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itadestacadaCar">
    <w:name w:val="Cita destacada Car"/>
    <w:basedOn w:val="Fuentedeprrafopredeter"/>
    <w:link w:val="Citadestacada"/>
    <w:uiPriority w:val="30"/>
    <w:rsid w:val="004929C1"/>
    <w:rPr>
      <w:rFonts w:ascii="Times New Roman" w:eastAsiaTheme="majorEastAsia" w:hAnsi="Times New Roman" w:cs="Times New Roman"/>
      <w:i/>
      <w:iCs/>
      <w:color w:val="5B9BD5" w:themeColor="accent1"/>
      <w:sz w:val="24"/>
      <w:szCs w:val="24"/>
      <w:lang w:val="es-ES"/>
    </w:rPr>
  </w:style>
  <w:style w:type="character" w:customStyle="1" w:styleId="Ttulo5Car">
    <w:name w:val="Título 5 Car"/>
    <w:basedOn w:val="Fuentedeprrafopredeter"/>
    <w:link w:val="Ttulo5"/>
    <w:uiPriority w:val="9"/>
    <w:rsid w:val="005E6BE7"/>
    <w:rPr>
      <w:rFonts w:asciiTheme="majorHAnsi" w:eastAsiaTheme="majorEastAsia" w:hAnsiTheme="majorHAnsi" w:cstheme="majorBidi"/>
      <w:color w:val="2E74B5" w:themeColor="accent1" w:themeShade="BF"/>
      <w:sz w:val="24"/>
      <w:szCs w:val="24"/>
      <w:lang w:val="es-ES"/>
    </w:rPr>
  </w:style>
  <w:style w:type="paragraph" w:styleId="Textonotapie">
    <w:name w:val="footnote text"/>
    <w:basedOn w:val="Normal"/>
    <w:link w:val="TextonotapieCar"/>
    <w:uiPriority w:val="99"/>
    <w:semiHidden/>
    <w:unhideWhenUsed/>
    <w:rsid w:val="00901323"/>
    <w:pPr>
      <w:keepNext w:val="0"/>
      <w:keepLines w:val="0"/>
      <w:spacing w:before="0" w:line="240" w:lineRule="auto"/>
      <w:ind w:firstLine="0"/>
      <w:jc w:val="left"/>
      <w:outlineLvl w:val="9"/>
    </w:pPr>
    <w:rPr>
      <w:rFonts w:ascii="Calibri" w:eastAsia="Calibri" w:hAnsi="Calibri"/>
      <w:color w:val="auto"/>
      <w:sz w:val="20"/>
      <w:szCs w:val="20"/>
      <w:lang w:val="es-DO"/>
    </w:rPr>
  </w:style>
  <w:style w:type="character" w:customStyle="1" w:styleId="TextonotapieCar">
    <w:name w:val="Texto nota pie Car"/>
    <w:basedOn w:val="Fuentedeprrafopredeter"/>
    <w:link w:val="Textonotapie"/>
    <w:uiPriority w:val="99"/>
    <w:semiHidden/>
    <w:rsid w:val="00901323"/>
    <w:rPr>
      <w:rFonts w:ascii="Calibri" w:eastAsia="Calibri" w:hAnsi="Calibri" w:cs="Times New Roman"/>
      <w:sz w:val="20"/>
      <w:szCs w:val="20"/>
    </w:rPr>
  </w:style>
  <w:style w:type="character" w:styleId="Refdenotaalpie">
    <w:name w:val="footnote reference"/>
    <w:basedOn w:val="Fuentedeprrafopredeter"/>
    <w:uiPriority w:val="99"/>
    <w:semiHidden/>
    <w:unhideWhenUsed/>
    <w:rsid w:val="00901323"/>
    <w:rPr>
      <w:vertAlign w:val="superscript"/>
    </w:rPr>
  </w:style>
  <w:style w:type="table" w:styleId="Cuadrculadetablaclara">
    <w:name w:val="Grid Table Light"/>
    <w:basedOn w:val="Tablanormal"/>
    <w:uiPriority w:val="40"/>
    <w:rsid w:val="00E13048"/>
    <w:pPr>
      <w:spacing w:after="0" w:line="240" w:lineRule="auto"/>
      <w:ind w:firstLine="709"/>
      <w:jc w:val="both"/>
    </w:pPr>
    <w:rPr>
      <w:rFonts w:ascii="Calibri" w:eastAsia="Calibri" w:hAnsi="Calibri" w:cs="Calibri"/>
      <w:color w:val="000000"/>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inespaciadoCar">
    <w:name w:val="Sin espaciado Car"/>
    <w:basedOn w:val="Fuentedeprrafopredeter"/>
    <w:link w:val="Sinespaciado"/>
    <w:uiPriority w:val="1"/>
    <w:rsid w:val="005442F8"/>
    <w:rPr>
      <w:rFonts w:ascii="Times New Roman" w:eastAsiaTheme="majorEastAsia" w:hAnsi="Times New Roman" w:cs="Times New Roman"/>
      <w:color w:val="000000" w:themeColor="text1"/>
      <w:sz w:val="24"/>
      <w:szCs w:val="24"/>
      <w:lang w:val="es-ES"/>
    </w:rPr>
  </w:style>
  <w:style w:type="paragraph" w:styleId="Textonotaalfinal">
    <w:name w:val="endnote text"/>
    <w:basedOn w:val="Normal"/>
    <w:link w:val="TextonotaalfinalCar"/>
    <w:uiPriority w:val="99"/>
    <w:semiHidden/>
    <w:unhideWhenUsed/>
    <w:rsid w:val="00D428CC"/>
    <w:pPr>
      <w:spacing w:before="0" w:line="240" w:lineRule="auto"/>
    </w:pPr>
    <w:rPr>
      <w:sz w:val="20"/>
      <w:szCs w:val="20"/>
    </w:rPr>
  </w:style>
  <w:style w:type="character" w:customStyle="1" w:styleId="TextonotaalfinalCar">
    <w:name w:val="Texto nota al final Car"/>
    <w:basedOn w:val="Fuentedeprrafopredeter"/>
    <w:link w:val="Textonotaalfinal"/>
    <w:uiPriority w:val="99"/>
    <w:semiHidden/>
    <w:rsid w:val="00D428CC"/>
    <w:rPr>
      <w:rFonts w:ascii="Times New Roman" w:eastAsiaTheme="majorEastAsia" w:hAnsi="Times New Roman" w:cs="Times New Roman"/>
      <w:color w:val="000000" w:themeColor="text1"/>
      <w:sz w:val="20"/>
      <w:szCs w:val="20"/>
      <w:lang w:val="es-ES"/>
    </w:rPr>
  </w:style>
  <w:style w:type="character" w:styleId="Refdenotaalfinal">
    <w:name w:val="endnote reference"/>
    <w:basedOn w:val="Fuentedeprrafopredeter"/>
    <w:uiPriority w:val="99"/>
    <w:semiHidden/>
    <w:unhideWhenUsed/>
    <w:rsid w:val="00D428C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89857">
      <w:bodyDiv w:val="1"/>
      <w:marLeft w:val="0"/>
      <w:marRight w:val="0"/>
      <w:marTop w:val="0"/>
      <w:marBottom w:val="0"/>
      <w:divBdr>
        <w:top w:val="none" w:sz="0" w:space="0" w:color="auto"/>
        <w:left w:val="none" w:sz="0" w:space="0" w:color="auto"/>
        <w:bottom w:val="none" w:sz="0" w:space="0" w:color="auto"/>
        <w:right w:val="none" w:sz="0" w:space="0" w:color="auto"/>
      </w:divBdr>
    </w:div>
    <w:div w:id="194928582">
      <w:bodyDiv w:val="1"/>
      <w:marLeft w:val="0"/>
      <w:marRight w:val="0"/>
      <w:marTop w:val="0"/>
      <w:marBottom w:val="0"/>
      <w:divBdr>
        <w:top w:val="none" w:sz="0" w:space="0" w:color="auto"/>
        <w:left w:val="none" w:sz="0" w:space="0" w:color="auto"/>
        <w:bottom w:val="none" w:sz="0" w:space="0" w:color="auto"/>
        <w:right w:val="none" w:sz="0" w:space="0" w:color="auto"/>
      </w:divBdr>
    </w:div>
    <w:div w:id="235016103">
      <w:bodyDiv w:val="1"/>
      <w:marLeft w:val="0"/>
      <w:marRight w:val="0"/>
      <w:marTop w:val="0"/>
      <w:marBottom w:val="0"/>
      <w:divBdr>
        <w:top w:val="none" w:sz="0" w:space="0" w:color="auto"/>
        <w:left w:val="none" w:sz="0" w:space="0" w:color="auto"/>
        <w:bottom w:val="none" w:sz="0" w:space="0" w:color="auto"/>
        <w:right w:val="none" w:sz="0" w:space="0" w:color="auto"/>
      </w:divBdr>
    </w:div>
    <w:div w:id="461928037">
      <w:bodyDiv w:val="1"/>
      <w:marLeft w:val="0"/>
      <w:marRight w:val="0"/>
      <w:marTop w:val="0"/>
      <w:marBottom w:val="0"/>
      <w:divBdr>
        <w:top w:val="none" w:sz="0" w:space="0" w:color="auto"/>
        <w:left w:val="none" w:sz="0" w:space="0" w:color="auto"/>
        <w:bottom w:val="none" w:sz="0" w:space="0" w:color="auto"/>
        <w:right w:val="none" w:sz="0" w:space="0" w:color="auto"/>
      </w:divBdr>
    </w:div>
    <w:div w:id="510610364">
      <w:bodyDiv w:val="1"/>
      <w:marLeft w:val="0"/>
      <w:marRight w:val="0"/>
      <w:marTop w:val="0"/>
      <w:marBottom w:val="0"/>
      <w:divBdr>
        <w:top w:val="none" w:sz="0" w:space="0" w:color="auto"/>
        <w:left w:val="none" w:sz="0" w:space="0" w:color="auto"/>
        <w:bottom w:val="none" w:sz="0" w:space="0" w:color="auto"/>
        <w:right w:val="none" w:sz="0" w:space="0" w:color="auto"/>
      </w:divBdr>
    </w:div>
    <w:div w:id="611132730">
      <w:bodyDiv w:val="1"/>
      <w:marLeft w:val="0"/>
      <w:marRight w:val="0"/>
      <w:marTop w:val="0"/>
      <w:marBottom w:val="0"/>
      <w:divBdr>
        <w:top w:val="none" w:sz="0" w:space="0" w:color="auto"/>
        <w:left w:val="none" w:sz="0" w:space="0" w:color="auto"/>
        <w:bottom w:val="none" w:sz="0" w:space="0" w:color="auto"/>
        <w:right w:val="none" w:sz="0" w:space="0" w:color="auto"/>
      </w:divBdr>
    </w:div>
    <w:div w:id="651324790">
      <w:bodyDiv w:val="1"/>
      <w:marLeft w:val="0"/>
      <w:marRight w:val="0"/>
      <w:marTop w:val="0"/>
      <w:marBottom w:val="0"/>
      <w:divBdr>
        <w:top w:val="none" w:sz="0" w:space="0" w:color="auto"/>
        <w:left w:val="none" w:sz="0" w:space="0" w:color="auto"/>
        <w:bottom w:val="none" w:sz="0" w:space="0" w:color="auto"/>
        <w:right w:val="none" w:sz="0" w:space="0" w:color="auto"/>
      </w:divBdr>
    </w:div>
    <w:div w:id="707531590">
      <w:bodyDiv w:val="1"/>
      <w:marLeft w:val="0"/>
      <w:marRight w:val="0"/>
      <w:marTop w:val="0"/>
      <w:marBottom w:val="0"/>
      <w:divBdr>
        <w:top w:val="none" w:sz="0" w:space="0" w:color="auto"/>
        <w:left w:val="none" w:sz="0" w:space="0" w:color="auto"/>
        <w:bottom w:val="none" w:sz="0" w:space="0" w:color="auto"/>
        <w:right w:val="none" w:sz="0" w:space="0" w:color="auto"/>
      </w:divBdr>
    </w:div>
    <w:div w:id="751120047">
      <w:bodyDiv w:val="1"/>
      <w:marLeft w:val="0"/>
      <w:marRight w:val="0"/>
      <w:marTop w:val="0"/>
      <w:marBottom w:val="0"/>
      <w:divBdr>
        <w:top w:val="none" w:sz="0" w:space="0" w:color="auto"/>
        <w:left w:val="none" w:sz="0" w:space="0" w:color="auto"/>
        <w:bottom w:val="none" w:sz="0" w:space="0" w:color="auto"/>
        <w:right w:val="none" w:sz="0" w:space="0" w:color="auto"/>
      </w:divBdr>
    </w:div>
    <w:div w:id="778791322">
      <w:bodyDiv w:val="1"/>
      <w:marLeft w:val="0"/>
      <w:marRight w:val="0"/>
      <w:marTop w:val="0"/>
      <w:marBottom w:val="0"/>
      <w:divBdr>
        <w:top w:val="none" w:sz="0" w:space="0" w:color="auto"/>
        <w:left w:val="none" w:sz="0" w:space="0" w:color="auto"/>
        <w:bottom w:val="none" w:sz="0" w:space="0" w:color="auto"/>
        <w:right w:val="none" w:sz="0" w:space="0" w:color="auto"/>
      </w:divBdr>
    </w:div>
    <w:div w:id="797604284">
      <w:bodyDiv w:val="1"/>
      <w:marLeft w:val="0"/>
      <w:marRight w:val="0"/>
      <w:marTop w:val="0"/>
      <w:marBottom w:val="0"/>
      <w:divBdr>
        <w:top w:val="none" w:sz="0" w:space="0" w:color="auto"/>
        <w:left w:val="none" w:sz="0" w:space="0" w:color="auto"/>
        <w:bottom w:val="none" w:sz="0" w:space="0" w:color="auto"/>
        <w:right w:val="none" w:sz="0" w:space="0" w:color="auto"/>
      </w:divBdr>
    </w:div>
    <w:div w:id="893808942">
      <w:bodyDiv w:val="1"/>
      <w:marLeft w:val="0"/>
      <w:marRight w:val="0"/>
      <w:marTop w:val="0"/>
      <w:marBottom w:val="0"/>
      <w:divBdr>
        <w:top w:val="none" w:sz="0" w:space="0" w:color="auto"/>
        <w:left w:val="none" w:sz="0" w:space="0" w:color="auto"/>
        <w:bottom w:val="none" w:sz="0" w:space="0" w:color="auto"/>
        <w:right w:val="none" w:sz="0" w:space="0" w:color="auto"/>
      </w:divBdr>
    </w:div>
    <w:div w:id="908729957">
      <w:bodyDiv w:val="1"/>
      <w:marLeft w:val="0"/>
      <w:marRight w:val="0"/>
      <w:marTop w:val="0"/>
      <w:marBottom w:val="0"/>
      <w:divBdr>
        <w:top w:val="none" w:sz="0" w:space="0" w:color="auto"/>
        <w:left w:val="none" w:sz="0" w:space="0" w:color="auto"/>
        <w:bottom w:val="none" w:sz="0" w:space="0" w:color="auto"/>
        <w:right w:val="none" w:sz="0" w:space="0" w:color="auto"/>
      </w:divBdr>
    </w:div>
    <w:div w:id="1106123365">
      <w:bodyDiv w:val="1"/>
      <w:marLeft w:val="0"/>
      <w:marRight w:val="0"/>
      <w:marTop w:val="0"/>
      <w:marBottom w:val="0"/>
      <w:divBdr>
        <w:top w:val="none" w:sz="0" w:space="0" w:color="auto"/>
        <w:left w:val="none" w:sz="0" w:space="0" w:color="auto"/>
        <w:bottom w:val="none" w:sz="0" w:space="0" w:color="auto"/>
        <w:right w:val="none" w:sz="0" w:space="0" w:color="auto"/>
      </w:divBdr>
    </w:div>
    <w:div w:id="1201865332">
      <w:bodyDiv w:val="1"/>
      <w:marLeft w:val="0"/>
      <w:marRight w:val="0"/>
      <w:marTop w:val="0"/>
      <w:marBottom w:val="0"/>
      <w:divBdr>
        <w:top w:val="none" w:sz="0" w:space="0" w:color="auto"/>
        <w:left w:val="none" w:sz="0" w:space="0" w:color="auto"/>
        <w:bottom w:val="none" w:sz="0" w:space="0" w:color="auto"/>
        <w:right w:val="none" w:sz="0" w:space="0" w:color="auto"/>
      </w:divBdr>
    </w:div>
    <w:div w:id="1360088625">
      <w:bodyDiv w:val="1"/>
      <w:marLeft w:val="0"/>
      <w:marRight w:val="0"/>
      <w:marTop w:val="0"/>
      <w:marBottom w:val="0"/>
      <w:divBdr>
        <w:top w:val="none" w:sz="0" w:space="0" w:color="auto"/>
        <w:left w:val="none" w:sz="0" w:space="0" w:color="auto"/>
        <w:bottom w:val="none" w:sz="0" w:space="0" w:color="auto"/>
        <w:right w:val="none" w:sz="0" w:space="0" w:color="auto"/>
      </w:divBdr>
    </w:div>
    <w:div w:id="1413039855">
      <w:bodyDiv w:val="1"/>
      <w:marLeft w:val="0"/>
      <w:marRight w:val="0"/>
      <w:marTop w:val="0"/>
      <w:marBottom w:val="0"/>
      <w:divBdr>
        <w:top w:val="none" w:sz="0" w:space="0" w:color="auto"/>
        <w:left w:val="none" w:sz="0" w:space="0" w:color="auto"/>
        <w:bottom w:val="none" w:sz="0" w:space="0" w:color="auto"/>
        <w:right w:val="none" w:sz="0" w:space="0" w:color="auto"/>
      </w:divBdr>
    </w:div>
    <w:div w:id="1660965800">
      <w:bodyDiv w:val="1"/>
      <w:marLeft w:val="0"/>
      <w:marRight w:val="0"/>
      <w:marTop w:val="0"/>
      <w:marBottom w:val="0"/>
      <w:divBdr>
        <w:top w:val="none" w:sz="0" w:space="0" w:color="auto"/>
        <w:left w:val="none" w:sz="0" w:space="0" w:color="auto"/>
        <w:bottom w:val="none" w:sz="0" w:space="0" w:color="auto"/>
        <w:right w:val="none" w:sz="0" w:space="0" w:color="auto"/>
      </w:divBdr>
    </w:div>
    <w:div w:id="1688747076">
      <w:bodyDiv w:val="1"/>
      <w:marLeft w:val="0"/>
      <w:marRight w:val="0"/>
      <w:marTop w:val="0"/>
      <w:marBottom w:val="0"/>
      <w:divBdr>
        <w:top w:val="none" w:sz="0" w:space="0" w:color="auto"/>
        <w:left w:val="none" w:sz="0" w:space="0" w:color="auto"/>
        <w:bottom w:val="none" w:sz="0" w:space="0" w:color="auto"/>
        <w:right w:val="none" w:sz="0" w:space="0" w:color="auto"/>
      </w:divBdr>
    </w:div>
    <w:div w:id="1712457783">
      <w:bodyDiv w:val="1"/>
      <w:marLeft w:val="0"/>
      <w:marRight w:val="0"/>
      <w:marTop w:val="0"/>
      <w:marBottom w:val="0"/>
      <w:divBdr>
        <w:top w:val="none" w:sz="0" w:space="0" w:color="auto"/>
        <w:left w:val="none" w:sz="0" w:space="0" w:color="auto"/>
        <w:bottom w:val="none" w:sz="0" w:space="0" w:color="auto"/>
        <w:right w:val="none" w:sz="0" w:space="0" w:color="auto"/>
      </w:divBdr>
    </w:div>
    <w:div w:id="1725367382">
      <w:bodyDiv w:val="1"/>
      <w:marLeft w:val="0"/>
      <w:marRight w:val="0"/>
      <w:marTop w:val="0"/>
      <w:marBottom w:val="0"/>
      <w:divBdr>
        <w:top w:val="none" w:sz="0" w:space="0" w:color="auto"/>
        <w:left w:val="none" w:sz="0" w:space="0" w:color="auto"/>
        <w:bottom w:val="none" w:sz="0" w:space="0" w:color="auto"/>
        <w:right w:val="none" w:sz="0" w:space="0" w:color="auto"/>
      </w:divBdr>
    </w:div>
    <w:div w:id="1745226665">
      <w:bodyDiv w:val="1"/>
      <w:marLeft w:val="0"/>
      <w:marRight w:val="0"/>
      <w:marTop w:val="0"/>
      <w:marBottom w:val="0"/>
      <w:divBdr>
        <w:top w:val="none" w:sz="0" w:space="0" w:color="auto"/>
        <w:left w:val="none" w:sz="0" w:space="0" w:color="auto"/>
        <w:bottom w:val="none" w:sz="0" w:space="0" w:color="auto"/>
        <w:right w:val="none" w:sz="0" w:space="0" w:color="auto"/>
      </w:divBdr>
    </w:div>
    <w:div w:id="2036534454">
      <w:bodyDiv w:val="1"/>
      <w:marLeft w:val="0"/>
      <w:marRight w:val="0"/>
      <w:marTop w:val="0"/>
      <w:marBottom w:val="0"/>
      <w:divBdr>
        <w:top w:val="none" w:sz="0" w:space="0" w:color="auto"/>
        <w:left w:val="none" w:sz="0" w:space="0" w:color="auto"/>
        <w:bottom w:val="none" w:sz="0" w:space="0" w:color="auto"/>
        <w:right w:val="none" w:sz="0" w:space="0" w:color="auto"/>
      </w:divBdr>
    </w:div>
    <w:div w:id="2089381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26" Type="http://schemas.openxmlformats.org/officeDocument/2006/relationships/image" Target="media/image14.emf"/><Relationship Id="rId39" Type="http://schemas.openxmlformats.org/officeDocument/2006/relationships/chart" Target="charts/chart9.xml"/><Relationship Id="rId21" Type="http://schemas.openxmlformats.org/officeDocument/2006/relationships/image" Target="media/image12.png"/><Relationship Id="rId34" Type="http://schemas.openxmlformats.org/officeDocument/2006/relationships/chart" Target="charts/chart8.xml"/><Relationship Id="rId42" Type="http://schemas.openxmlformats.org/officeDocument/2006/relationships/chart" Target="charts/chart11.xml"/><Relationship Id="rId47" Type="http://schemas.openxmlformats.org/officeDocument/2006/relationships/chart" Target="charts/chart13.xml"/><Relationship Id="rId50" Type="http://schemas.openxmlformats.org/officeDocument/2006/relationships/hyperlink" Target="javascript:void(0);"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chart" Target="charts/chart3.xml"/><Relationship Id="rId11" Type="http://schemas.openxmlformats.org/officeDocument/2006/relationships/image" Target="media/image4.png"/><Relationship Id="rId24" Type="http://schemas.openxmlformats.org/officeDocument/2006/relationships/image" Target="media/image11.png"/><Relationship Id="rId32" Type="http://schemas.openxmlformats.org/officeDocument/2006/relationships/chart" Target="charts/chart6.xml"/><Relationship Id="rId37" Type="http://schemas.openxmlformats.org/officeDocument/2006/relationships/image" Target="media/image17.jpeg"/><Relationship Id="rId40" Type="http://schemas.openxmlformats.org/officeDocument/2006/relationships/chart" Target="charts/chart10.xml"/><Relationship Id="rId45" Type="http://schemas.openxmlformats.org/officeDocument/2006/relationships/image" Target="media/image20.emf"/><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chart" Target="charts/chart2.xml"/><Relationship Id="rId28" Type="http://schemas.openxmlformats.org/officeDocument/2006/relationships/image" Target="media/image15.png"/><Relationship Id="rId36" Type="http://schemas.openxmlformats.org/officeDocument/2006/relationships/image" Target="cid:image001.jpg@01D5A9FF.3BFA9450" TargetMode="External"/><Relationship Id="rId49" Type="http://schemas.openxmlformats.org/officeDocument/2006/relationships/image" Target="media/image22.emf"/><Relationship Id="rId10" Type="http://schemas.openxmlformats.org/officeDocument/2006/relationships/image" Target="media/image3.png"/><Relationship Id="rId31" Type="http://schemas.openxmlformats.org/officeDocument/2006/relationships/chart" Target="charts/chart5.xml"/><Relationship Id="rId44" Type="http://schemas.openxmlformats.org/officeDocument/2006/relationships/image" Target="media/image19.png"/><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chart" Target="charts/chart1.xml"/><Relationship Id="rId27" Type="http://schemas.openxmlformats.org/officeDocument/2006/relationships/hyperlink" Target="https://www.dgcp.gob.do/index.php/siscompras" TargetMode="External"/><Relationship Id="rId30" Type="http://schemas.openxmlformats.org/officeDocument/2006/relationships/chart" Target="charts/chart4.xml"/><Relationship Id="rId35" Type="http://schemas.openxmlformats.org/officeDocument/2006/relationships/image" Target="media/image16.jpeg"/><Relationship Id="rId43" Type="http://schemas.openxmlformats.org/officeDocument/2006/relationships/chart" Target="charts/chart12.xml"/><Relationship Id="rId48" Type="http://schemas.openxmlformats.org/officeDocument/2006/relationships/chart" Target="charts/chart14.xml"/><Relationship Id="rId8" Type="http://schemas.openxmlformats.org/officeDocument/2006/relationships/image" Target="media/image1.jpeg"/><Relationship Id="rId51"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3.png"/><Relationship Id="rId33" Type="http://schemas.openxmlformats.org/officeDocument/2006/relationships/chart" Target="charts/chart7.xml"/><Relationship Id="rId38" Type="http://schemas.openxmlformats.org/officeDocument/2006/relationships/image" Target="media/image18.jpeg"/><Relationship Id="rId46" Type="http://schemas.openxmlformats.org/officeDocument/2006/relationships/image" Target="media/image21.emf"/><Relationship Id="rId41" Type="http://schemas.openxmlformats.org/officeDocument/2006/relationships/hyperlink" Target="http://sisticge.dominicana.gob.do/" TargetMode="External"/><Relationship Id="rId54"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23.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lpaniagua\Downloads\Solicitudes%20del%20proveedor%20-%202019-10-09T082711.663.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Hoja_de_c_lculo_de_Microsoft_Excel.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caquino\Documents\PyD%20DGCP\Memoria2019\Plan%20de%20trabajo%20Memoria%20Institucional%202019.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caquino\Documents\PyD%20DGCP\Memoria2019\Plan%20de%20trabajo%20Memoria%20Institucional%202019.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lpaniagua\AppData\Local\Packages\Microsoft.MicrosoftEdge_8wekyb3d8bbwe\TempState\Downloads\CIERRE_PROVEEDORES_JUNIO_2019.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lpaniagua\AppData\Local\Packages\Microsoft.MicrosoftEdge_8wekyb3d8bbwe\TempState\Downloads\CIERRE_PROVEEDORES_JUNIO_2019.xlsx" TargetMode="External"/><Relationship Id="rId2" Type="http://schemas.microsoft.com/office/2011/relationships/chartColorStyle" Target="colors14.xml"/><Relationship Id="rId1" Type="http://schemas.microsoft.com/office/2011/relationships/chartStyle" Target="style14.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lpaniagua\Downloads\Solicitudes%20del%20proveedor%20-%202019-10-09T082711.663.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embeddings/oleObject1.bin"/></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embeddings/oleObject2.bin"/></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Users\adelarosa\Desktop\graficos_memorias_UIEE.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Users\adelarosa\Desktop\graficos_memorias_UIEE.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C:\Users\adelarosa\Desktop\graficos_memorias_UIEE.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C:\Users\adelarosa\Desktop\graficos_memorias_UIEE.xlsx" TargetMode="External"/></Relationships>
</file>

<file path=word/charts/_rels/chart9.xml.rels><?xml version="1.0" encoding="UTF-8" standalone="yes"?>
<Relationships xmlns="http://schemas.openxmlformats.org/package/2006/relationships"><Relationship Id="rId3" Type="http://schemas.openxmlformats.org/officeDocument/2006/relationships/oleObject" Target="file:///C:\Users\caquino\Documents\PyD%20DGCP\Memoria2019\Plan%20de%20trabajo%20Memoria%20Institucional%202019.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b="1"/>
              <a:t>Solicitudes</a:t>
            </a:r>
            <a:r>
              <a:rPr lang="es-DO" b="1" baseline="0"/>
              <a:t> RPE en línea-Tipo de solicitud</a:t>
            </a:r>
            <a:endParaRPr lang="es-DO" b="1"/>
          </a:p>
        </c:rich>
      </c:tx>
      <c:layout/>
      <c:overlay val="0"/>
      <c:spPr>
        <a:noFill/>
        <a:ln>
          <a:noFill/>
        </a:ln>
        <a:effectLst/>
      </c:spPr>
      <c:txPr>
        <a:bodyPr rot="0" spcFirstLastPara="1" vertOverflow="ellipsis" vert="horz" wrap="square" anchor="ctr" anchorCtr="1"/>
        <a:lstStyle/>
        <a:p>
          <a:pPr>
            <a:defRPr sz="105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bar"/>
        <c:grouping val="clustered"/>
        <c:varyColors val="0"/>
        <c:ser>
          <c:idx val="0"/>
          <c:order val="0"/>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Hoja2!$C$31:$C$33</c:f>
              <c:strCache>
                <c:ptCount val="3"/>
                <c:pt idx="0">
                  <c:v>Solicitudes Membresía </c:v>
                </c:pt>
                <c:pt idx="1">
                  <c:v>Solicitudes Actualización</c:v>
                </c:pt>
                <c:pt idx="2">
                  <c:v>Solicitudes Creación</c:v>
                </c:pt>
              </c:strCache>
            </c:strRef>
          </c:cat>
          <c:val>
            <c:numRef>
              <c:f>Hoja2!$D$31:$D$33</c:f>
              <c:numCache>
                <c:formatCode>General</c:formatCode>
                <c:ptCount val="3"/>
                <c:pt idx="0">
                  <c:v>1464</c:v>
                </c:pt>
                <c:pt idx="1">
                  <c:v>832</c:v>
                </c:pt>
                <c:pt idx="2">
                  <c:v>722</c:v>
                </c:pt>
              </c:numCache>
            </c:numRef>
          </c:val>
          <c:extLst>
            <c:ext xmlns:c16="http://schemas.microsoft.com/office/drawing/2014/chart" uri="{C3380CC4-5D6E-409C-BE32-E72D297353CC}">
              <c16:uniqueId val="{00000000-85FE-4C6F-B49E-017425CF7181}"/>
            </c:ext>
          </c:extLst>
        </c:ser>
        <c:dLbls>
          <c:showLegendKey val="0"/>
          <c:showVal val="0"/>
          <c:showCatName val="0"/>
          <c:showSerName val="0"/>
          <c:showPercent val="0"/>
          <c:showBubbleSize val="0"/>
        </c:dLbls>
        <c:gapWidth val="182"/>
        <c:axId val="225512128"/>
        <c:axId val="225512688"/>
      </c:barChart>
      <c:catAx>
        <c:axId val="2255121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225512688"/>
        <c:crosses val="autoZero"/>
        <c:auto val="1"/>
        <c:lblAlgn val="ctr"/>
        <c:lblOffset val="100"/>
        <c:noMultiLvlLbl val="0"/>
      </c:catAx>
      <c:valAx>
        <c:axId val="225512688"/>
        <c:scaling>
          <c:orientation val="minMax"/>
        </c:scaling>
        <c:delete val="1"/>
        <c:axPos val="b"/>
        <c:numFmt formatCode="General" sourceLinked="1"/>
        <c:majorTickMark val="none"/>
        <c:minorTickMark val="none"/>
        <c:tickLblPos val="nextTo"/>
        <c:crossAx val="2255121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n-US"/>
              <a:t>Comportamiento del Indice iTICge </a:t>
            </a:r>
          </a:p>
        </c:rich>
      </c:tx>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s-DO"/>
        </a:p>
      </c:txPr>
    </c:title>
    <c:autoTitleDeleted val="0"/>
    <c:plotArea>
      <c:layout/>
      <c:radarChart>
        <c:radarStyle val="marker"/>
        <c:varyColors val="0"/>
        <c:ser>
          <c:idx val="0"/>
          <c:order val="0"/>
          <c:tx>
            <c:strRef>
              <c:f>Hoja1!$B$1:$B$2</c:f>
              <c:strCache>
                <c:ptCount val="2"/>
                <c:pt idx="0">
                  <c:v>Comportamiento del Indice iTICge</c:v>
                </c:pt>
                <c:pt idx="1">
                  <c:v>Indice</c:v>
                </c:pt>
              </c:strCache>
            </c:strRef>
          </c:tx>
          <c:spPr>
            <a:ln w="15875" cap="rnd">
              <a:solidFill>
                <a:schemeClr val="accent1"/>
              </a:solidFill>
              <a:round/>
            </a:ln>
            <a:effectLst/>
          </c:spPr>
          <c:marker>
            <c:symbol val="none"/>
          </c:marker>
          <c:dLbls>
            <c:delete val="1"/>
          </c:dLbls>
          <c:cat>
            <c:strRef>
              <c:f>Hoja1!$A$3:$A$6</c:f>
              <c:strCache>
                <c:ptCount val="4"/>
                <c:pt idx="0">
                  <c:v>1er trimestre</c:v>
                </c:pt>
                <c:pt idx="1">
                  <c:v>2do trimestre</c:v>
                </c:pt>
                <c:pt idx="2">
                  <c:v>3ro trimestre</c:v>
                </c:pt>
                <c:pt idx="3">
                  <c:v>4to trimestre</c:v>
                </c:pt>
              </c:strCache>
            </c:strRef>
          </c:cat>
          <c:val>
            <c:numRef>
              <c:f>Hoja1!$B$3:$B$6</c:f>
              <c:numCache>
                <c:formatCode>0%</c:formatCode>
                <c:ptCount val="4"/>
                <c:pt idx="0">
                  <c:v>1</c:v>
                </c:pt>
                <c:pt idx="1">
                  <c:v>1</c:v>
                </c:pt>
                <c:pt idx="2">
                  <c:v>1</c:v>
                </c:pt>
                <c:pt idx="3" formatCode="0.00%">
                  <c:v>0.88800000000000001</c:v>
                </c:pt>
              </c:numCache>
            </c:numRef>
          </c:val>
          <c:extLst>
            <c:ext xmlns:c16="http://schemas.microsoft.com/office/drawing/2014/chart" uri="{C3380CC4-5D6E-409C-BE32-E72D297353CC}">
              <c16:uniqueId val="{00000000-5360-4906-B689-374471F16C7E}"/>
            </c:ext>
          </c:extLst>
        </c:ser>
        <c:dLbls>
          <c:showLegendKey val="0"/>
          <c:showVal val="1"/>
          <c:showCatName val="0"/>
          <c:showSerName val="0"/>
          <c:showPercent val="0"/>
          <c:showBubbleSize val="0"/>
        </c:dLbls>
        <c:axId val="1457309008"/>
        <c:axId val="1457307760"/>
      </c:radarChart>
      <c:catAx>
        <c:axId val="1457309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DO"/>
          </a:p>
        </c:txPr>
        <c:crossAx val="1457307760"/>
        <c:crosses val="autoZero"/>
        <c:auto val="1"/>
        <c:lblAlgn val="ctr"/>
        <c:lblOffset val="100"/>
        <c:noMultiLvlLbl val="0"/>
      </c:catAx>
      <c:valAx>
        <c:axId val="14573077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DO"/>
          </a:p>
        </c:txPr>
        <c:crossAx val="14573090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all" spc="120" normalizeH="0" baseline="0">
                <a:solidFill>
                  <a:schemeClr val="tx1">
                    <a:lumMod val="65000"/>
                    <a:lumOff val="35000"/>
                  </a:schemeClr>
                </a:solidFill>
                <a:latin typeface="+mn-lt"/>
                <a:ea typeface="+mn-ea"/>
                <a:cs typeface="+mn-cs"/>
              </a:defRPr>
            </a:pPr>
            <a:r>
              <a:rPr lang="en-US" sz="1200"/>
              <a:t>Índice de Gestión Presupuestaria (IGP).</a:t>
            </a:r>
          </a:p>
        </c:rich>
      </c:tx>
      <c:layout/>
      <c:overlay val="0"/>
      <c:spPr>
        <a:noFill/>
        <a:ln>
          <a:noFill/>
        </a:ln>
        <a:effectLst/>
      </c:spPr>
      <c:txPr>
        <a:bodyPr rot="0" spcFirstLastPara="1" vertOverflow="ellipsis" vert="horz" wrap="square" anchor="ctr" anchorCtr="1"/>
        <a:lstStyle/>
        <a:p>
          <a:pPr>
            <a:defRPr sz="1200" b="1" i="0" u="none" strike="noStrike" kern="1200" cap="all" spc="120" normalizeH="0" baseline="0">
              <a:solidFill>
                <a:schemeClr val="tx1">
                  <a:lumMod val="65000"/>
                  <a:lumOff val="35000"/>
                </a:schemeClr>
              </a:solidFill>
              <a:latin typeface="+mn-lt"/>
              <a:ea typeface="+mn-ea"/>
              <a:cs typeface="+mn-cs"/>
            </a:defRPr>
          </a:pPr>
          <a:endParaRPr lang="es-DO"/>
        </a:p>
      </c:txPr>
    </c:title>
    <c:autoTitleDeleted val="0"/>
    <c:plotArea>
      <c:layout/>
      <c:barChart>
        <c:barDir val="col"/>
        <c:grouping val="clustered"/>
        <c:varyColors val="0"/>
        <c:ser>
          <c:idx val="0"/>
          <c:order val="0"/>
          <c:tx>
            <c:strRef>
              <c:f>'Graficos SMMGP'!$C$19</c:f>
              <c:strCache>
                <c:ptCount val="1"/>
                <c:pt idx="0">
                  <c:v>Índice de Gestión Presupuestaria (IGP).</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'Graficos SMMGP'!$D$15:$H$15</c:f>
              <c:strCache>
                <c:ptCount val="3"/>
                <c:pt idx="0">
                  <c:v>T1</c:v>
                </c:pt>
                <c:pt idx="1">
                  <c:v>T2</c:v>
                </c:pt>
                <c:pt idx="2">
                  <c:v>T3</c:v>
                </c:pt>
              </c:strCache>
              <c:extLst/>
            </c:strRef>
          </c:cat>
          <c:val>
            <c:numRef>
              <c:f>'Graficos SMMGP'!$D$19:$H$19</c:f>
              <c:numCache>
                <c:formatCode>0%</c:formatCode>
                <c:ptCount val="3"/>
                <c:pt idx="0" formatCode="0.0%">
                  <c:v>1</c:v>
                </c:pt>
                <c:pt idx="1">
                  <c:v>1</c:v>
                </c:pt>
                <c:pt idx="2">
                  <c:v>1</c:v>
                </c:pt>
              </c:numCache>
              <c:extLst/>
            </c:numRef>
          </c:val>
          <c:extLst>
            <c:ext xmlns:c16="http://schemas.microsoft.com/office/drawing/2014/chart" uri="{C3380CC4-5D6E-409C-BE32-E72D297353CC}">
              <c16:uniqueId val="{00000000-B1C9-42C5-83B8-EE1ADE6A570E}"/>
            </c:ext>
          </c:extLst>
        </c:ser>
        <c:dLbls>
          <c:dLblPos val="outEnd"/>
          <c:showLegendKey val="0"/>
          <c:showVal val="1"/>
          <c:showCatName val="0"/>
          <c:showSerName val="0"/>
          <c:showPercent val="0"/>
          <c:showBubbleSize val="0"/>
        </c:dLbls>
        <c:gapWidth val="444"/>
        <c:overlap val="-90"/>
        <c:axId val="2014791120"/>
        <c:axId val="2014792368"/>
      </c:barChart>
      <c:catAx>
        <c:axId val="20147911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s-DO"/>
          </a:p>
        </c:txPr>
        <c:crossAx val="2014792368"/>
        <c:crosses val="autoZero"/>
        <c:auto val="1"/>
        <c:lblAlgn val="ctr"/>
        <c:lblOffset val="100"/>
        <c:noMultiLvlLbl val="0"/>
      </c:catAx>
      <c:valAx>
        <c:axId val="2014792368"/>
        <c:scaling>
          <c:orientation val="minMax"/>
        </c:scaling>
        <c:delete val="1"/>
        <c:axPos val="l"/>
        <c:numFmt formatCode="0.0%" sourceLinked="1"/>
        <c:majorTickMark val="none"/>
        <c:minorTickMark val="none"/>
        <c:tickLblPos val="nextTo"/>
        <c:crossAx val="2014791120"/>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a:t>Indicador sobre el uso del SNCCP (SISCOMPRAS).</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barChart>
        <c:barDir val="col"/>
        <c:grouping val="clustered"/>
        <c:varyColors val="0"/>
        <c:ser>
          <c:idx val="0"/>
          <c:order val="0"/>
          <c:tx>
            <c:strRef>
              <c:f>'Graficos SMMGP'!$C$20</c:f>
              <c:strCache>
                <c:ptCount val="1"/>
                <c:pt idx="0">
                  <c:v>Indicador sobre el uso del SNCCP (SISCOMPRA).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4"/>
                </a:solidFill>
                <a:prstDash val="sysDot"/>
              </a:ln>
              <a:effectLst/>
            </c:spPr>
            <c:trendlineType val="linear"/>
            <c:dispRSqr val="0"/>
            <c:dispEq val="0"/>
          </c:trendline>
          <c:cat>
            <c:strRef>
              <c:f>'Graficos SMMGP'!$D$15:$H$15</c:f>
              <c:strCache>
                <c:ptCount val="3"/>
                <c:pt idx="0">
                  <c:v>T1</c:v>
                </c:pt>
                <c:pt idx="1">
                  <c:v>T2</c:v>
                </c:pt>
                <c:pt idx="2">
                  <c:v>T3</c:v>
                </c:pt>
              </c:strCache>
              <c:extLst/>
            </c:strRef>
          </c:cat>
          <c:val>
            <c:numRef>
              <c:f>'Graficos SMMGP'!$D$20:$H$20</c:f>
              <c:numCache>
                <c:formatCode>0.0%</c:formatCode>
                <c:ptCount val="3"/>
                <c:pt idx="0">
                  <c:v>0.94399999999999995</c:v>
                </c:pt>
                <c:pt idx="1">
                  <c:v>0.94399999999999995</c:v>
                </c:pt>
                <c:pt idx="2">
                  <c:v>0.91810000000000003</c:v>
                </c:pt>
              </c:numCache>
              <c:extLst/>
            </c:numRef>
          </c:val>
          <c:extLst>
            <c:ext xmlns:c16="http://schemas.microsoft.com/office/drawing/2014/chart" uri="{C3380CC4-5D6E-409C-BE32-E72D297353CC}">
              <c16:uniqueId val="{00000000-6A14-4C7B-86F4-3B4F8F6BBC09}"/>
            </c:ext>
          </c:extLst>
        </c:ser>
        <c:dLbls>
          <c:dLblPos val="outEnd"/>
          <c:showLegendKey val="0"/>
          <c:showVal val="1"/>
          <c:showCatName val="0"/>
          <c:showSerName val="0"/>
          <c:showPercent val="0"/>
          <c:showBubbleSize val="0"/>
        </c:dLbls>
        <c:gapWidth val="219"/>
        <c:overlap val="-27"/>
        <c:axId val="5727840"/>
        <c:axId val="5715360"/>
      </c:barChart>
      <c:catAx>
        <c:axId val="5727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5715360"/>
        <c:crosses val="autoZero"/>
        <c:auto val="1"/>
        <c:lblAlgn val="ctr"/>
        <c:lblOffset val="100"/>
        <c:noMultiLvlLbl val="0"/>
      </c:catAx>
      <c:valAx>
        <c:axId val="5715360"/>
        <c:scaling>
          <c:orientation val="minMax"/>
        </c:scaling>
        <c:delete val="1"/>
        <c:axPos val="l"/>
        <c:numFmt formatCode="0.0%" sourceLinked="1"/>
        <c:majorTickMark val="none"/>
        <c:minorTickMark val="none"/>
        <c:tickLblPos val="nextTo"/>
        <c:crossAx val="57278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399276749627738E-2"/>
          <c:y val="0"/>
          <c:w val="0.95320144650074456"/>
          <c:h val="0.88443330548593713"/>
        </c:manualLayout>
      </c:layout>
      <c:barChart>
        <c:barDir val="col"/>
        <c:grouping val="clustered"/>
        <c:varyColors val="0"/>
        <c:ser>
          <c:idx val="0"/>
          <c:order val="0"/>
          <c:tx>
            <c:strRef>
              <c:f>'[CIERRE_PROVEEDORES_JUNIO_2019.xlsx]RPE General'!$A$3</c:f>
              <c:strCache>
                <c:ptCount val="1"/>
                <c:pt idx="0">
                  <c:v>Inscripción Anual </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trendline>
            <c:spPr>
              <a:ln w="12700" cap="flat" cmpd="sng" algn="ctr">
                <a:solidFill>
                  <a:schemeClr val="accent4"/>
                </a:solidFill>
                <a:prstDash val="solid"/>
                <a:miter lim="800000"/>
              </a:ln>
              <a:effectLst/>
            </c:spPr>
            <c:trendlineType val="linear"/>
            <c:dispRSqr val="0"/>
            <c:dispEq val="0"/>
          </c:trendline>
          <c:cat>
            <c:strRef>
              <c:f>'[CIERRE_PROVEEDORES_JUNIO_2019.xlsx]RPE General'!$B$2:$P$2</c:f>
              <c:strCach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Septiembre 2019</c:v>
                </c:pt>
              </c:strCache>
            </c:strRef>
          </c:cat>
          <c:val>
            <c:numRef>
              <c:f>'[CIERRE_PROVEEDORES_JUNIO_2019.xlsx]RPE General'!$B$3:$P$3</c:f>
              <c:numCache>
                <c:formatCode>_(* #,##0_);_(* \(#,##0\);_(* "-"??_);_(@_)</c:formatCode>
                <c:ptCount val="15"/>
                <c:pt idx="0">
                  <c:v>1157</c:v>
                </c:pt>
                <c:pt idx="1">
                  <c:v>2376</c:v>
                </c:pt>
                <c:pt idx="2">
                  <c:v>4202</c:v>
                </c:pt>
                <c:pt idx="3">
                  <c:v>1418</c:v>
                </c:pt>
                <c:pt idx="4">
                  <c:v>2681</c:v>
                </c:pt>
                <c:pt idx="5">
                  <c:v>2728</c:v>
                </c:pt>
                <c:pt idx="6">
                  <c:v>3383</c:v>
                </c:pt>
                <c:pt idx="7">
                  <c:v>7167</c:v>
                </c:pt>
                <c:pt idx="8">
                  <c:v>13502</c:v>
                </c:pt>
                <c:pt idx="9">
                  <c:v>11493</c:v>
                </c:pt>
                <c:pt idx="10">
                  <c:v>8759</c:v>
                </c:pt>
                <c:pt idx="11">
                  <c:v>6519</c:v>
                </c:pt>
                <c:pt idx="12">
                  <c:v>6279</c:v>
                </c:pt>
                <c:pt idx="13">
                  <c:v>7120</c:v>
                </c:pt>
                <c:pt idx="14">
                  <c:v>4592</c:v>
                </c:pt>
              </c:numCache>
            </c:numRef>
          </c:val>
          <c:extLst>
            <c:ext xmlns:c16="http://schemas.microsoft.com/office/drawing/2014/chart" uri="{C3380CC4-5D6E-409C-BE32-E72D297353CC}">
              <c16:uniqueId val="{00000000-77A8-4121-856B-F903D843B33E}"/>
            </c:ext>
          </c:extLst>
        </c:ser>
        <c:dLbls>
          <c:showLegendKey val="0"/>
          <c:showVal val="0"/>
          <c:showCatName val="0"/>
          <c:showSerName val="0"/>
          <c:showPercent val="0"/>
          <c:showBubbleSize val="0"/>
        </c:dLbls>
        <c:gapWidth val="100"/>
        <c:overlap val="-24"/>
        <c:axId val="225517728"/>
        <c:axId val="225518288"/>
      </c:barChart>
      <c:catAx>
        <c:axId val="22551772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6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crossAx val="225518288"/>
        <c:crosses val="autoZero"/>
        <c:auto val="1"/>
        <c:lblAlgn val="ctr"/>
        <c:lblOffset val="100"/>
        <c:noMultiLvlLbl val="0"/>
      </c:catAx>
      <c:valAx>
        <c:axId val="225518288"/>
        <c:scaling>
          <c:orientation val="minMax"/>
        </c:scaling>
        <c:delete val="1"/>
        <c:axPos val="l"/>
        <c:numFmt formatCode="_(* #,##0_);_(* \(#,##0\);_(* &quot;-&quot;??_);_(@_)" sourceLinked="1"/>
        <c:majorTickMark val="none"/>
        <c:minorTickMark val="none"/>
        <c:tickLblPos val="nextTo"/>
        <c:crossAx val="22551772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lgn="just">
        <a:defRPr>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250898330162757E-2"/>
          <c:y val="1.092896174863388E-2"/>
          <c:w val="0.9534982033396745"/>
          <c:h val="0.86006325029043496"/>
        </c:manualLayout>
      </c:layout>
      <c:barChart>
        <c:barDir val="col"/>
        <c:grouping val="clustered"/>
        <c:varyColors val="0"/>
        <c:ser>
          <c:idx val="0"/>
          <c:order val="0"/>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'[CIERRE_PROVEEDORES_JUNIO_2019.xlsx]RPE General'!$A$73:$A$82</c:f>
              <c:strCache>
                <c:ptCount val="10"/>
                <c:pt idx="0">
                  <c:v>DISTRITO NACIONAL</c:v>
                </c:pt>
                <c:pt idx="1">
                  <c:v>SANTO DOMINGO</c:v>
                </c:pt>
                <c:pt idx="2">
                  <c:v>SANTIAGO</c:v>
                </c:pt>
                <c:pt idx="3">
                  <c:v>SAN CRISTOBAL</c:v>
                </c:pt>
                <c:pt idx="4">
                  <c:v>LA VEGA</c:v>
                </c:pt>
                <c:pt idx="5">
                  <c:v>DUARTE</c:v>
                </c:pt>
                <c:pt idx="6">
                  <c:v>SAN PEDRO DE MACORIS</c:v>
                </c:pt>
                <c:pt idx="7">
                  <c:v>SAN JUAN</c:v>
                </c:pt>
                <c:pt idx="8">
                  <c:v>PUERTO PLATA</c:v>
                </c:pt>
                <c:pt idx="9">
                  <c:v>LA ROMANA</c:v>
                </c:pt>
              </c:strCache>
            </c:strRef>
          </c:cat>
          <c:val>
            <c:numRef>
              <c:f>'[CIERRE_PROVEEDORES_JUNIO_2019.xlsx]RPE General'!$B$73:$B$82</c:f>
              <c:numCache>
                <c:formatCode>_(* #,##0_);_(* \(#,##0\);_(* "-"??_);_(@_)</c:formatCode>
                <c:ptCount val="10"/>
                <c:pt idx="0">
                  <c:v>37421</c:v>
                </c:pt>
                <c:pt idx="1">
                  <c:v>18673</c:v>
                </c:pt>
                <c:pt idx="2">
                  <c:v>5993</c:v>
                </c:pt>
                <c:pt idx="3">
                  <c:v>2382</c:v>
                </c:pt>
                <c:pt idx="4">
                  <c:v>2200</c:v>
                </c:pt>
                <c:pt idx="5">
                  <c:v>1557</c:v>
                </c:pt>
                <c:pt idx="6">
                  <c:v>1423</c:v>
                </c:pt>
                <c:pt idx="7">
                  <c:v>1187</c:v>
                </c:pt>
                <c:pt idx="8">
                  <c:v>1110</c:v>
                </c:pt>
                <c:pt idx="9">
                  <c:v>1036</c:v>
                </c:pt>
              </c:numCache>
            </c:numRef>
          </c:val>
          <c:extLst>
            <c:ext xmlns:c16="http://schemas.microsoft.com/office/drawing/2014/chart" uri="{C3380CC4-5D6E-409C-BE32-E72D297353CC}">
              <c16:uniqueId val="{00000000-7989-49D0-8994-F7733B6C4F8E}"/>
            </c:ext>
          </c:extLst>
        </c:ser>
        <c:dLbls>
          <c:showLegendKey val="0"/>
          <c:showVal val="0"/>
          <c:showCatName val="0"/>
          <c:showSerName val="0"/>
          <c:showPercent val="0"/>
          <c:showBubbleSize val="0"/>
        </c:dLbls>
        <c:gapWidth val="100"/>
        <c:overlap val="-24"/>
        <c:axId val="225524448"/>
        <c:axId val="226576736"/>
      </c:barChart>
      <c:catAx>
        <c:axId val="22552444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crossAx val="226576736"/>
        <c:crosses val="autoZero"/>
        <c:auto val="1"/>
        <c:lblAlgn val="ctr"/>
        <c:lblOffset val="100"/>
        <c:noMultiLvlLbl val="0"/>
      </c:catAx>
      <c:valAx>
        <c:axId val="226576736"/>
        <c:scaling>
          <c:orientation val="minMax"/>
        </c:scaling>
        <c:delete val="1"/>
        <c:axPos val="l"/>
        <c:numFmt formatCode="_(* #,##0_);_(* \(#,##0\);_(* &quot;-&quot;??_);_(@_)" sourceLinked="1"/>
        <c:majorTickMark val="none"/>
        <c:minorTickMark val="none"/>
        <c:tickLblPos val="nextTo"/>
        <c:crossAx val="22552444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D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s-DO" sz="1050">
                <a:latin typeface="Times New Roman" panose="02020603050405020304" pitchFamily="18" charset="0"/>
                <a:cs typeface="Times New Roman" panose="02020603050405020304" pitchFamily="18" charset="0"/>
              </a:rPr>
              <a:t>Solicitudes RPE en</a:t>
            </a:r>
            <a:r>
              <a:rPr lang="es-DO" sz="1050" baseline="0">
                <a:latin typeface="Times New Roman" panose="02020603050405020304" pitchFamily="18" charset="0"/>
                <a:cs typeface="Times New Roman" panose="02020603050405020304" pitchFamily="18" charset="0"/>
              </a:rPr>
              <a:t> línea comparativo</a:t>
            </a:r>
            <a:endParaRPr lang="es-DO" sz="1050">
              <a:latin typeface="Times New Roman" panose="02020603050405020304" pitchFamily="18" charset="0"/>
              <a:cs typeface="Times New Roman" panose="02020603050405020304" pitchFamily="18" charset="0"/>
            </a:endParaRPr>
          </a:p>
        </c:rich>
      </c:tx>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s-DO"/>
        </a:p>
      </c:txPr>
    </c:title>
    <c:autoTitleDeleted val="0"/>
    <c:plotArea>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Pt>
            <c:idx val="0"/>
            <c:invertIfNegative val="0"/>
            <c:bubble3D val="0"/>
            <c:spPr>
              <a:solidFill>
                <a:schemeClr val="accent5"/>
              </a:solidFill>
              <a:ln>
                <a:noFill/>
              </a:ln>
              <a:effectLst/>
            </c:spPr>
            <c:extLst>
              <c:ext xmlns:c16="http://schemas.microsoft.com/office/drawing/2014/chart" uri="{C3380CC4-5D6E-409C-BE32-E72D297353CC}">
                <c16:uniqueId val="{00000000-42FB-46C4-A31C-63D22409C7CA}"/>
              </c:ext>
            </c:extLst>
          </c:dPt>
          <c:dPt>
            <c:idx val="1"/>
            <c:invertIfNegative val="0"/>
            <c:bubble3D val="0"/>
            <c:spPr>
              <a:solidFill>
                <a:schemeClr val="accent5"/>
              </a:solidFill>
              <a:ln>
                <a:noFill/>
              </a:ln>
              <a:effectLst/>
            </c:spPr>
            <c:extLst>
              <c:ext xmlns:c16="http://schemas.microsoft.com/office/drawing/2014/chart" uri="{C3380CC4-5D6E-409C-BE32-E72D297353CC}">
                <c16:uniqueId val="{00000001-42FB-46C4-A31C-63D22409C7CA}"/>
              </c:ext>
            </c:extLst>
          </c:dPt>
          <c:dPt>
            <c:idx val="2"/>
            <c:invertIfNegative val="0"/>
            <c:bubble3D val="0"/>
            <c:spPr>
              <a:solidFill>
                <a:schemeClr val="accent5"/>
              </a:solidFill>
              <a:ln>
                <a:noFill/>
              </a:ln>
              <a:effectLst/>
            </c:spPr>
            <c:extLst>
              <c:ext xmlns:c16="http://schemas.microsoft.com/office/drawing/2014/chart" uri="{C3380CC4-5D6E-409C-BE32-E72D297353CC}">
                <c16:uniqueId val="{00000002-42FB-46C4-A31C-63D22409C7CA}"/>
              </c:ext>
            </c:extLst>
          </c:dPt>
          <c:dLbls>
            <c:dLbl>
              <c:idx val="0"/>
              <c:layout/>
              <c:tx>
                <c:rich>
                  <a:bodyPr/>
                  <a:lstStyle/>
                  <a:p>
                    <a:r>
                      <a:rPr lang="en-US"/>
                      <a:t>2,573</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42FB-46C4-A31C-63D22409C7CA}"/>
                </c:ext>
              </c:extLst>
            </c:dLbl>
            <c:dLbl>
              <c:idx val="1"/>
              <c:layout/>
              <c:tx>
                <c:rich>
                  <a:bodyPr/>
                  <a:lstStyle/>
                  <a:p>
                    <a:r>
                      <a:rPr lang="en-US"/>
                      <a:t>4,108</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42FB-46C4-A31C-63D22409C7CA}"/>
                </c:ext>
              </c:extLst>
            </c:dLbl>
            <c:dLbl>
              <c:idx val="2"/>
              <c:layout/>
              <c:tx>
                <c:rich>
                  <a:bodyPr/>
                  <a:lstStyle/>
                  <a:p>
                    <a:r>
                      <a:rPr lang="en-US"/>
                      <a:t>4,335</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42FB-46C4-A31C-63D22409C7C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trendline>
            <c:spPr>
              <a:ln w="19050" cap="rnd">
                <a:solidFill>
                  <a:schemeClr val="accent4"/>
                </a:solidFill>
                <a:prstDash val="sysDash"/>
              </a:ln>
              <a:effectLst/>
            </c:spPr>
            <c:trendlineType val="linear"/>
            <c:dispRSqr val="0"/>
            <c:dispEq val="0"/>
          </c:trendline>
          <c:cat>
            <c:strRef>
              <c:f>Hoja2!$C$26:$C$28</c:f>
              <c:strCache>
                <c:ptCount val="3"/>
                <c:pt idx="0">
                  <c:v>Enero -spetimebre 2017</c:v>
                </c:pt>
                <c:pt idx="1">
                  <c:v>Enero -spetimebre 2018</c:v>
                </c:pt>
                <c:pt idx="2">
                  <c:v>Enero -spetimebre 2019</c:v>
                </c:pt>
              </c:strCache>
            </c:strRef>
          </c:cat>
          <c:val>
            <c:numRef>
              <c:f>Hoja2!$D$26:$D$28</c:f>
              <c:numCache>
                <c:formatCode>General</c:formatCode>
                <c:ptCount val="3"/>
                <c:pt idx="0">
                  <c:v>2573</c:v>
                </c:pt>
                <c:pt idx="1">
                  <c:v>4108</c:v>
                </c:pt>
                <c:pt idx="2">
                  <c:v>4335</c:v>
                </c:pt>
              </c:numCache>
            </c:numRef>
          </c:val>
          <c:extLst>
            <c:ext xmlns:c16="http://schemas.microsoft.com/office/drawing/2014/chart" uri="{C3380CC4-5D6E-409C-BE32-E72D297353CC}">
              <c16:uniqueId val="{00000003-42FB-46C4-A31C-63D22409C7CA}"/>
            </c:ext>
          </c:extLst>
        </c:ser>
        <c:dLbls>
          <c:showLegendKey val="0"/>
          <c:showVal val="0"/>
          <c:showCatName val="0"/>
          <c:showSerName val="0"/>
          <c:showPercent val="0"/>
          <c:showBubbleSize val="0"/>
        </c:dLbls>
        <c:gapWidth val="100"/>
        <c:overlap val="-24"/>
        <c:axId val="225514928"/>
        <c:axId val="225515488"/>
      </c:barChart>
      <c:catAx>
        <c:axId val="22551492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DO"/>
          </a:p>
        </c:txPr>
        <c:crossAx val="225515488"/>
        <c:crosses val="autoZero"/>
        <c:auto val="1"/>
        <c:lblAlgn val="ctr"/>
        <c:lblOffset val="100"/>
        <c:noMultiLvlLbl val="0"/>
      </c:catAx>
      <c:valAx>
        <c:axId val="225515488"/>
        <c:scaling>
          <c:orientation val="minMax"/>
        </c:scaling>
        <c:delete val="1"/>
        <c:axPos val="l"/>
        <c:numFmt formatCode="General" sourceLinked="1"/>
        <c:majorTickMark val="none"/>
        <c:minorTickMark val="none"/>
        <c:tickLblPos val="nextTo"/>
        <c:crossAx val="2255149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D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[graficos_memorias_UIEE.xlsx]Hoja2!Tabla dinámica10</c:name>
    <c:fmtId val="-1"/>
  </c:pivotSource>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es-DO"/>
              <a:t>Número</a:t>
            </a:r>
            <a:r>
              <a:rPr lang="es-DO" baseline="0"/>
              <a:t> de Proveedores Registrados por Macro Región de Desarrollo</a:t>
            </a:r>
          </a:p>
          <a:p>
            <a:pPr algn="ctr">
              <a:defRPr/>
            </a:pPr>
            <a:r>
              <a:rPr lang="es-DO" baseline="0"/>
              <a:t>Comportamiento Trimestral </a:t>
            </a:r>
            <a:endParaRPr lang="es-DO"/>
          </a:p>
        </c:rich>
      </c:tx>
      <c:layout/>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
        <c:idx val="14"/>
        <c:spPr>
          <a:solidFill>
            <a:schemeClr val="accent1"/>
          </a:solidFill>
          <a:ln>
            <a:noFill/>
          </a:ln>
          <a:effectLst/>
        </c:spPr>
        <c:marker>
          <c:symbol val="none"/>
        </c:marker>
      </c:pivotFmt>
      <c:pivotFmt>
        <c:idx val="15"/>
        <c:spPr>
          <a:solidFill>
            <a:schemeClr val="accent1"/>
          </a:solidFill>
          <a:ln>
            <a:noFill/>
          </a:ln>
          <a:effectLst/>
        </c:spPr>
        <c:marker>
          <c:symbol val="none"/>
        </c:marker>
      </c:pivotFmt>
      <c:pivotFmt>
        <c:idx val="16"/>
        <c:spPr>
          <a:solidFill>
            <a:schemeClr val="accent1"/>
          </a:solidFill>
          <a:ln>
            <a:noFill/>
          </a:ln>
          <a:effectLst/>
        </c:spPr>
        <c:marker>
          <c:symbol val="none"/>
        </c:marker>
      </c:pivotFmt>
      <c:pivotFmt>
        <c:idx val="17"/>
        <c:spPr>
          <a:solidFill>
            <a:schemeClr val="accent1"/>
          </a:solidFill>
          <a:ln>
            <a:noFill/>
          </a:ln>
          <a:effectLst/>
        </c:spPr>
        <c:marker>
          <c:symbol val="none"/>
        </c:marker>
      </c:pivotFmt>
      <c:pivotFmt>
        <c:idx val="18"/>
        <c:spPr>
          <a:solidFill>
            <a:schemeClr val="accent1"/>
          </a:solidFill>
          <a:ln>
            <a:noFill/>
          </a:ln>
          <a:effectLst/>
        </c:spPr>
        <c:marker>
          <c:symbol val="none"/>
        </c:marker>
      </c:pivotFmt>
      <c:pivotFmt>
        <c:idx val="19"/>
        <c:spPr>
          <a:solidFill>
            <a:schemeClr val="accent1"/>
          </a:solidFill>
          <a:ln w="12700" cap="rnd">
            <a:solidFill>
              <a:srgbClr val="0070C0"/>
            </a:solidFill>
            <a:round/>
          </a:ln>
          <a:effectLst/>
        </c:spPr>
        <c:marker>
          <c:symbol val="x"/>
          <c:size val="5"/>
          <c:spPr>
            <a:noFill/>
            <a:ln w="9525">
              <a:solidFill>
                <a:srgbClr val="0070C0"/>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t"/>
          <c:showLegendKey val="0"/>
          <c:showVal val="1"/>
          <c:showCatName val="0"/>
          <c:showSerName val="0"/>
          <c:showPercent val="0"/>
          <c:showBubbleSize val="0"/>
          <c:extLst>
            <c:ext xmlns:c15="http://schemas.microsoft.com/office/drawing/2012/chart" uri="{CE6537A1-D6FC-4f65-9D91-7224C49458BB}"/>
          </c:extLst>
        </c:dLbl>
      </c:pivotFmt>
      <c:pivotFmt>
        <c:idx val="20"/>
        <c:spPr>
          <a:solidFill>
            <a:schemeClr val="accent1"/>
          </a:solidFill>
          <a:ln w="12700" cap="rnd">
            <a:solidFill>
              <a:srgbClr val="002060"/>
            </a:solidFill>
            <a:round/>
          </a:ln>
          <a:effectLst/>
        </c:spPr>
        <c:marker>
          <c:symbol val="triangle"/>
          <c:size val="5"/>
          <c:spPr>
            <a:solidFill>
              <a:srgbClr val="002060"/>
            </a:solidFill>
            <a:ln w="9525">
              <a:solidFill>
                <a:srgbClr val="002060"/>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t"/>
          <c:showLegendKey val="0"/>
          <c:showVal val="1"/>
          <c:showCatName val="0"/>
          <c:showSerName val="0"/>
          <c:showPercent val="0"/>
          <c:showBubbleSize val="0"/>
          <c:extLst>
            <c:ext xmlns:c15="http://schemas.microsoft.com/office/drawing/2012/chart" uri="{CE6537A1-D6FC-4f65-9D91-7224C49458BB}"/>
          </c:extLst>
        </c:dLbl>
      </c:pivotFmt>
      <c:pivotFmt>
        <c:idx val="21"/>
        <c:spPr>
          <a:solidFill>
            <a:schemeClr val="accent1"/>
          </a:solidFill>
          <a:ln w="12700" cap="rnd">
            <a:solidFill>
              <a:srgbClr val="00B0F0"/>
            </a:solidFill>
            <a:round/>
          </a:ln>
          <a:effectLst/>
        </c:spPr>
        <c:marker>
          <c:symbol val="circle"/>
          <c:size val="6"/>
          <c:spPr>
            <a:solidFill>
              <a:srgbClr val="00B0F0"/>
            </a:solidFill>
            <a:ln w="9525">
              <a:solidFill>
                <a:srgbClr val="00B0F0"/>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t"/>
          <c:showLegendKey val="0"/>
          <c:showVal val="1"/>
          <c:showCatName val="0"/>
          <c:showSerName val="0"/>
          <c:showPercent val="0"/>
          <c:showBubbleSize val="0"/>
          <c:extLst>
            <c:ext xmlns:c15="http://schemas.microsoft.com/office/drawing/2012/chart" uri="{CE6537A1-D6FC-4f65-9D91-7224C49458BB}"/>
          </c:extLst>
        </c:dLbl>
      </c:pivotFmt>
      <c:pivotFmt>
        <c:idx val="22"/>
        <c:spPr>
          <a:solidFill>
            <a:schemeClr val="accent1"/>
          </a:solidFill>
          <a:ln w="12700" cap="rnd">
            <a:solidFill>
              <a:srgbClr val="0070C0"/>
            </a:solidFill>
            <a:round/>
          </a:ln>
          <a:effectLst/>
        </c:spPr>
        <c:marker>
          <c:symbol val="x"/>
          <c:size val="5"/>
          <c:spPr>
            <a:noFill/>
            <a:ln w="9525">
              <a:solidFill>
                <a:srgbClr val="0070C0"/>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t"/>
          <c:showLegendKey val="0"/>
          <c:showVal val="1"/>
          <c:showCatName val="0"/>
          <c:showSerName val="0"/>
          <c:showPercent val="0"/>
          <c:showBubbleSize val="0"/>
          <c:extLst>
            <c:ext xmlns:c15="http://schemas.microsoft.com/office/drawing/2012/chart" uri="{CE6537A1-D6FC-4f65-9D91-7224C49458BB}"/>
          </c:extLst>
        </c:dLbl>
      </c:pivotFmt>
      <c:pivotFmt>
        <c:idx val="23"/>
        <c:spPr>
          <a:solidFill>
            <a:schemeClr val="accent1"/>
          </a:solidFill>
          <a:ln w="12700" cap="rnd">
            <a:solidFill>
              <a:srgbClr val="002060"/>
            </a:solidFill>
            <a:round/>
          </a:ln>
          <a:effectLst/>
        </c:spPr>
        <c:marker>
          <c:symbol val="triangle"/>
          <c:size val="5"/>
          <c:spPr>
            <a:solidFill>
              <a:srgbClr val="002060"/>
            </a:solidFill>
            <a:ln w="9525">
              <a:solidFill>
                <a:srgbClr val="002060"/>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t"/>
          <c:showLegendKey val="0"/>
          <c:showVal val="1"/>
          <c:showCatName val="0"/>
          <c:showSerName val="0"/>
          <c:showPercent val="0"/>
          <c:showBubbleSize val="0"/>
          <c:extLst>
            <c:ext xmlns:c15="http://schemas.microsoft.com/office/drawing/2012/chart" uri="{CE6537A1-D6FC-4f65-9D91-7224C49458BB}"/>
          </c:extLst>
        </c:dLbl>
      </c:pivotFmt>
      <c:pivotFmt>
        <c:idx val="24"/>
        <c:spPr>
          <a:solidFill>
            <a:schemeClr val="accent1"/>
          </a:solidFill>
          <a:ln w="12700" cap="rnd">
            <a:solidFill>
              <a:srgbClr val="00B0F0"/>
            </a:solidFill>
            <a:round/>
          </a:ln>
          <a:effectLst/>
        </c:spPr>
        <c:marker>
          <c:symbol val="circle"/>
          <c:size val="6"/>
          <c:spPr>
            <a:solidFill>
              <a:srgbClr val="00B0F0"/>
            </a:solidFill>
            <a:ln w="9525">
              <a:solidFill>
                <a:srgbClr val="00B0F0"/>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t"/>
          <c:showLegendKey val="0"/>
          <c:showVal val="1"/>
          <c:showCatName val="0"/>
          <c:showSerName val="0"/>
          <c:showPercent val="0"/>
          <c:showBubbleSize val="0"/>
          <c:extLst>
            <c:ext xmlns:c15="http://schemas.microsoft.com/office/drawing/2012/chart" uri="{CE6537A1-D6FC-4f65-9D91-7224C49458BB}"/>
          </c:extLst>
        </c:dLbl>
      </c:pivotFmt>
      <c:pivotFmt>
        <c:idx val="25"/>
        <c:spPr>
          <a:solidFill>
            <a:schemeClr val="accent1"/>
          </a:solidFill>
          <a:ln w="12700" cap="rnd">
            <a:solidFill>
              <a:srgbClr val="0070C0"/>
            </a:solidFill>
            <a:round/>
          </a:ln>
          <a:effectLst/>
        </c:spPr>
        <c:marker>
          <c:symbol val="x"/>
          <c:size val="5"/>
          <c:spPr>
            <a:noFill/>
            <a:ln w="9525">
              <a:solidFill>
                <a:srgbClr val="0070C0"/>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t"/>
          <c:showLegendKey val="0"/>
          <c:showVal val="1"/>
          <c:showCatName val="0"/>
          <c:showSerName val="0"/>
          <c:showPercent val="0"/>
          <c:showBubbleSize val="0"/>
          <c:extLst>
            <c:ext xmlns:c15="http://schemas.microsoft.com/office/drawing/2012/chart" uri="{CE6537A1-D6FC-4f65-9D91-7224C49458BB}"/>
          </c:extLst>
        </c:dLbl>
      </c:pivotFmt>
      <c:pivotFmt>
        <c:idx val="26"/>
        <c:spPr>
          <a:solidFill>
            <a:schemeClr val="accent1"/>
          </a:solidFill>
          <a:ln w="12700" cap="rnd">
            <a:solidFill>
              <a:srgbClr val="002060"/>
            </a:solidFill>
            <a:round/>
          </a:ln>
          <a:effectLst/>
        </c:spPr>
        <c:marker>
          <c:symbol val="triangle"/>
          <c:size val="5"/>
          <c:spPr>
            <a:solidFill>
              <a:srgbClr val="002060"/>
            </a:solidFill>
            <a:ln w="9525">
              <a:solidFill>
                <a:srgbClr val="002060"/>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t"/>
          <c:showLegendKey val="0"/>
          <c:showVal val="1"/>
          <c:showCatName val="0"/>
          <c:showSerName val="0"/>
          <c:showPercent val="0"/>
          <c:showBubbleSize val="0"/>
          <c:extLst>
            <c:ext xmlns:c15="http://schemas.microsoft.com/office/drawing/2012/chart" uri="{CE6537A1-D6FC-4f65-9D91-7224C49458BB}"/>
          </c:extLst>
        </c:dLbl>
      </c:pivotFmt>
      <c:pivotFmt>
        <c:idx val="27"/>
        <c:spPr>
          <a:solidFill>
            <a:schemeClr val="accent1"/>
          </a:solidFill>
          <a:ln w="12700" cap="rnd">
            <a:solidFill>
              <a:srgbClr val="00B0F0"/>
            </a:solidFill>
            <a:round/>
          </a:ln>
          <a:effectLst/>
        </c:spPr>
        <c:marker>
          <c:symbol val="circle"/>
          <c:size val="6"/>
          <c:spPr>
            <a:solidFill>
              <a:srgbClr val="00B0F0"/>
            </a:solidFill>
            <a:ln w="9525">
              <a:solidFill>
                <a:srgbClr val="00B0F0"/>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t"/>
          <c:showLegendKey val="0"/>
          <c:showVal val="1"/>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2.1792212115440381E-2"/>
          <c:y val="0.20378592820169197"/>
          <c:w val="0.95641557576911929"/>
          <c:h val="0.48576285820355292"/>
        </c:manualLayout>
      </c:layout>
      <c:lineChart>
        <c:grouping val="standard"/>
        <c:varyColors val="0"/>
        <c:ser>
          <c:idx val="0"/>
          <c:order val="0"/>
          <c:tx>
            <c:strRef>
              <c:f>Hoja2!$B$55:$B$56</c:f>
              <c:strCache>
                <c:ptCount val="1"/>
                <c:pt idx="0">
                  <c:v>Número de Proveedores Registrados en la Región Este</c:v>
                </c:pt>
              </c:strCache>
            </c:strRef>
          </c:tx>
          <c:spPr>
            <a:ln w="12700" cap="rnd">
              <a:solidFill>
                <a:srgbClr val="0070C0"/>
              </a:solidFill>
              <a:round/>
            </a:ln>
            <a:effectLst/>
          </c:spPr>
          <c:marker>
            <c:symbol val="x"/>
            <c:size val="5"/>
            <c:spPr>
              <a:noFill/>
              <a:ln w="9525">
                <a:solidFill>
                  <a:srgbClr val="0070C0"/>
                </a:solidFill>
              </a:ln>
              <a:effectLst/>
            </c:spPr>
          </c:marker>
          <c:dLbls>
            <c:dLbl>
              <c:idx val="0"/>
              <c:layout>
                <c:manualLayout>
                  <c:x val="-4.3966752651189454E-2"/>
                  <c:y val="2.8207703606840617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5C77-41C7-B961-1547A3CF60E4}"/>
                </c:ext>
              </c:extLst>
            </c:dLbl>
            <c:dLbl>
              <c:idx val="1"/>
              <c:layout>
                <c:manualLayout>
                  <c:x val="-4.6832903410719433E-2"/>
                  <c:y val="3.1964983336316477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5C77-41C7-B961-1547A3CF60E4}"/>
                </c:ext>
              </c:extLst>
            </c:dLbl>
            <c:dLbl>
              <c:idx val="3"/>
              <c:layout>
                <c:manualLayout>
                  <c:x val="-3.4565778159931212E-2"/>
                  <c:y val="3.5722263065792195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5C77-41C7-B961-1547A3CF60E4}"/>
                </c:ext>
              </c:extLst>
            </c:dLbl>
            <c:dLbl>
              <c:idx val="4"/>
              <c:layout>
                <c:manualLayout>
                  <c:x val="-2.8833476640871415E-2"/>
                  <c:y val="-3.5666051794248997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5C77-41C7-B961-1547A3CF60E4}"/>
                </c:ext>
              </c:extLst>
            </c:dLbl>
            <c:dLbl>
              <c:idx val="6"/>
              <c:layout>
                <c:manualLayout>
                  <c:x val="-3.4565778159931212E-2"/>
                  <c:y val="3.1964983336316546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5C77-41C7-B961-1547A3CF60E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Hoja2!$A$57:$A$64</c:f>
              <c:strCache>
                <c:ptCount val="7"/>
                <c:pt idx="0">
                  <c:v>1TRIM2018</c:v>
                </c:pt>
                <c:pt idx="1">
                  <c:v>2TRIM2018</c:v>
                </c:pt>
                <c:pt idx="2">
                  <c:v>3TRIM2018</c:v>
                </c:pt>
                <c:pt idx="3">
                  <c:v>4TRIM2018</c:v>
                </c:pt>
                <c:pt idx="4">
                  <c:v>1TRIM2019</c:v>
                </c:pt>
                <c:pt idx="5">
                  <c:v>2TRIM2019</c:v>
                </c:pt>
                <c:pt idx="6">
                  <c:v>3TRIM2019</c:v>
                </c:pt>
              </c:strCache>
            </c:strRef>
          </c:cat>
          <c:val>
            <c:numRef>
              <c:f>Hoja2!$B$57:$B$64</c:f>
              <c:numCache>
                <c:formatCode>General</c:formatCode>
                <c:ptCount val="7"/>
                <c:pt idx="0">
                  <c:v>124</c:v>
                </c:pt>
                <c:pt idx="1">
                  <c:v>108</c:v>
                </c:pt>
                <c:pt idx="2">
                  <c:v>87</c:v>
                </c:pt>
                <c:pt idx="3">
                  <c:v>92</c:v>
                </c:pt>
                <c:pt idx="4">
                  <c:v>82</c:v>
                </c:pt>
                <c:pt idx="5">
                  <c:v>61</c:v>
                </c:pt>
                <c:pt idx="6">
                  <c:v>97</c:v>
                </c:pt>
              </c:numCache>
            </c:numRef>
          </c:val>
          <c:smooth val="0"/>
          <c:extLst>
            <c:ext xmlns:c16="http://schemas.microsoft.com/office/drawing/2014/chart" uri="{C3380CC4-5D6E-409C-BE32-E72D297353CC}">
              <c16:uniqueId val="{00000005-5C77-41C7-B961-1547A3CF60E4}"/>
            </c:ext>
          </c:extLst>
        </c:ser>
        <c:ser>
          <c:idx val="1"/>
          <c:order val="1"/>
          <c:tx>
            <c:strRef>
              <c:f>Hoja2!$C$55:$C$56</c:f>
              <c:strCache>
                <c:ptCount val="1"/>
                <c:pt idx="0">
                  <c:v>Número de Proveedores Registrados en la Región Norte</c:v>
                </c:pt>
              </c:strCache>
            </c:strRef>
          </c:tx>
          <c:spPr>
            <a:ln w="12700" cap="rnd">
              <a:solidFill>
                <a:srgbClr val="002060"/>
              </a:solidFill>
              <a:round/>
            </a:ln>
            <a:effectLst/>
          </c:spPr>
          <c:marker>
            <c:symbol val="triangle"/>
            <c:size val="5"/>
            <c:spPr>
              <a:solidFill>
                <a:srgbClr val="002060"/>
              </a:solidFill>
              <a:ln w="9525">
                <a:solidFill>
                  <a:srgbClr val="002060"/>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Hoja2!$A$57:$A$64</c:f>
              <c:strCache>
                <c:ptCount val="7"/>
                <c:pt idx="0">
                  <c:v>1TRIM2018</c:v>
                </c:pt>
                <c:pt idx="1">
                  <c:v>2TRIM2018</c:v>
                </c:pt>
                <c:pt idx="2">
                  <c:v>3TRIM2018</c:v>
                </c:pt>
                <c:pt idx="3">
                  <c:v>4TRIM2018</c:v>
                </c:pt>
                <c:pt idx="4">
                  <c:v>1TRIM2019</c:v>
                </c:pt>
                <c:pt idx="5">
                  <c:v>2TRIM2019</c:v>
                </c:pt>
                <c:pt idx="6">
                  <c:v>3TRIM2019</c:v>
                </c:pt>
              </c:strCache>
            </c:strRef>
          </c:cat>
          <c:val>
            <c:numRef>
              <c:f>Hoja2!$C$57:$C$64</c:f>
              <c:numCache>
                <c:formatCode>General</c:formatCode>
                <c:ptCount val="7"/>
                <c:pt idx="0">
                  <c:v>477</c:v>
                </c:pt>
                <c:pt idx="1">
                  <c:v>427</c:v>
                </c:pt>
                <c:pt idx="2">
                  <c:v>347</c:v>
                </c:pt>
                <c:pt idx="3">
                  <c:v>266</c:v>
                </c:pt>
                <c:pt idx="4">
                  <c:v>342</c:v>
                </c:pt>
                <c:pt idx="5">
                  <c:v>339</c:v>
                </c:pt>
                <c:pt idx="6">
                  <c:v>268</c:v>
                </c:pt>
              </c:numCache>
            </c:numRef>
          </c:val>
          <c:smooth val="0"/>
          <c:extLst>
            <c:ext xmlns:c16="http://schemas.microsoft.com/office/drawing/2014/chart" uri="{C3380CC4-5D6E-409C-BE32-E72D297353CC}">
              <c16:uniqueId val="{00000006-5C77-41C7-B961-1547A3CF60E4}"/>
            </c:ext>
          </c:extLst>
        </c:ser>
        <c:ser>
          <c:idx val="2"/>
          <c:order val="2"/>
          <c:tx>
            <c:strRef>
              <c:f>Hoja2!$D$55:$D$56</c:f>
              <c:strCache>
                <c:ptCount val="1"/>
                <c:pt idx="0">
                  <c:v>Número de Proveedores Registrados en la Región Sur</c:v>
                </c:pt>
              </c:strCache>
            </c:strRef>
          </c:tx>
          <c:spPr>
            <a:ln w="12700" cap="rnd">
              <a:solidFill>
                <a:srgbClr val="00B0F0"/>
              </a:solidFill>
              <a:round/>
            </a:ln>
            <a:effectLst/>
          </c:spPr>
          <c:marker>
            <c:symbol val="circle"/>
            <c:size val="6"/>
            <c:spPr>
              <a:solidFill>
                <a:srgbClr val="00B0F0"/>
              </a:solidFill>
              <a:ln w="9525">
                <a:solidFill>
                  <a:srgbClr val="00B0F0"/>
                </a:solidFill>
              </a:ln>
              <a:effectLst/>
            </c:spPr>
          </c:marker>
          <c:dLbls>
            <c:dLbl>
              <c:idx val="3"/>
              <c:layout>
                <c:manualLayout>
                  <c:x val="-4.2533677271424479E-2"/>
                  <c:y val="-4.881653084741457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5C77-41C7-B961-1547A3CF60E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Hoja2!$A$57:$A$64</c:f>
              <c:strCache>
                <c:ptCount val="7"/>
                <c:pt idx="0">
                  <c:v>1TRIM2018</c:v>
                </c:pt>
                <c:pt idx="1">
                  <c:v>2TRIM2018</c:v>
                </c:pt>
                <c:pt idx="2">
                  <c:v>3TRIM2018</c:v>
                </c:pt>
                <c:pt idx="3">
                  <c:v>4TRIM2018</c:v>
                </c:pt>
                <c:pt idx="4">
                  <c:v>1TRIM2019</c:v>
                </c:pt>
                <c:pt idx="5">
                  <c:v>2TRIM2019</c:v>
                </c:pt>
                <c:pt idx="6">
                  <c:v>3TRIM2019</c:v>
                </c:pt>
              </c:strCache>
            </c:strRef>
          </c:cat>
          <c:val>
            <c:numRef>
              <c:f>Hoja2!$D$57:$D$64</c:f>
              <c:numCache>
                <c:formatCode>General</c:formatCode>
                <c:ptCount val="7"/>
                <c:pt idx="0">
                  <c:v>163</c:v>
                </c:pt>
                <c:pt idx="1">
                  <c:v>170</c:v>
                </c:pt>
                <c:pt idx="2">
                  <c:v>180</c:v>
                </c:pt>
                <c:pt idx="3">
                  <c:v>101</c:v>
                </c:pt>
                <c:pt idx="4">
                  <c:v>161</c:v>
                </c:pt>
                <c:pt idx="5">
                  <c:v>161</c:v>
                </c:pt>
                <c:pt idx="6">
                  <c:v>150</c:v>
                </c:pt>
              </c:numCache>
            </c:numRef>
          </c:val>
          <c:smooth val="0"/>
          <c:extLst>
            <c:ext xmlns:c16="http://schemas.microsoft.com/office/drawing/2014/chart" uri="{C3380CC4-5D6E-409C-BE32-E72D297353CC}">
              <c16:uniqueId val="{00000008-5C77-41C7-B961-1547A3CF60E4}"/>
            </c:ext>
          </c:extLst>
        </c:ser>
        <c:dLbls>
          <c:dLblPos val="t"/>
          <c:showLegendKey val="0"/>
          <c:showVal val="1"/>
          <c:showCatName val="0"/>
          <c:showSerName val="0"/>
          <c:showPercent val="0"/>
          <c:showBubbleSize val="0"/>
        </c:dLbls>
        <c:marker val="1"/>
        <c:smooth val="0"/>
        <c:axId val="-16244768"/>
        <c:axId val="-16243680"/>
      </c:lineChart>
      <c:catAx>
        <c:axId val="-16244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6243680"/>
        <c:crosses val="autoZero"/>
        <c:auto val="1"/>
        <c:lblAlgn val="ctr"/>
        <c:lblOffset val="100"/>
        <c:noMultiLvlLbl val="0"/>
      </c:catAx>
      <c:valAx>
        <c:axId val="-16243680"/>
        <c:scaling>
          <c:orientation val="minMax"/>
        </c:scaling>
        <c:delete val="1"/>
        <c:axPos val="l"/>
        <c:numFmt formatCode="General" sourceLinked="1"/>
        <c:majorTickMark val="none"/>
        <c:minorTickMark val="none"/>
        <c:tickLblPos val="nextTo"/>
        <c:crossAx val="-1624476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pivotOptions>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[graficos_memorias_UIEE.xlsx]Hoja2!Tabla dinámica11</c:name>
    <c:fmtId val="-1"/>
  </c:pivotSource>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
        <c:idx val="14"/>
        <c:spPr>
          <a:solidFill>
            <a:schemeClr val="accent1"/>
          </a:solidFill>
          <a:ln>
            <a:noFill/>
          </a:ln>
          <a:effectLst/>
        </c:spPr>
        <c:marker>
          <c:symbol val="none"/>
        </c:marker>
      </c:pivotFmt>
      <c:pivotFmt>
        <c:idx val="15"/>
        <c:spPr>
          <a:solidFill>
            <a:schemeClr val="accent1"/>
          </a:solidFill>
          <a:ln>
            <a:noFill/>
          </a:ln>
          <a:effectLst/>
        </c:spPr>
        <c:marker>
          <c:symbol val="none"/>
        </c:marker>
      </c:pivotFmt>
      <c:pivotFmt>
        <c:idx val="16"/>
        <c:spPr>
          <a:solidFill>
            <a:schemeClr val="accent1"/>
          </a:solidFill>
          <a:ln>
            <a:noFill/>
          </a:ln>
          <a:effectLst/>
        </c:spPr>
        <c:marker>
          <c:symbol val="none"/>
        </c:marker>
      </c:pivotFmt>
      <c:pivotFmt>
        <c:idx val="17"/>
        <c:spPr>
          <a:solidFill>
            <a:schemeClr val="accent1"/>
          </a:solidFill>
          <a:ln>
            <a:noFill/>
          </a:ln>
          <a:effectLst/>
        </c:spPr>
        <c:marker>
          <c:symbol val="none"/>
        </c:marker>
      </c:pivotFmt>
      <c:pivotFmt>
        <c:idx val="18"/>
        <c:spPr>
          <a:solidFill>
            <a:schemeClr val="accent1"/>
          </a:solidFill>
          <a:ln>
            <a:noFill/>
          </a:ln>
          <a:effectLst/>
        </c:spPr>
        <c:marker>
          <c:symbol val="none"/>
        </c:marker>
      </c:pivotFmt>
      <c:pivotFmt>
        <c:idx val="19"/>
        <c:spPr>
          <a:solidFill>
            <a:schemeClr val="accent1"/>
          </a:solidFill>
          <a:ln w="12700" cap="rnd">
            <a:solidFill>
              <a:srgbClr val="0070C0"/>
            </a:solidFill>
            <a:round/>
          </a:ln>
          <a:effectLst/>
        </c:spPr>
        <c:marker>
          <c:symbol val="star"/>
          <c:size val="6"/>
          <c:spPr>
            <a:no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t"/>
          <c:showLegendKey val="0"/>
          <c:showVal val="1"/>
          <c:showCatName val="0"/>
          <c:showSerName val="0"/>
          <c:showPercent val="0"/>
          <c:showBubbleSize val="0"/>
          <c:extLst>
            <c:ext xmlns:c15="http://schemas.microsoft.com/office/drawing/2012/chart" uri="{CE6537A1-D6FC-4f65-9D91-7224C49458BB}"/>
          </c:extLst>
        </c:dLbl>
      </c:pivotFmt>
      <c:pivotFmt>
        <c:idx val="20"/>
        <c:spPr>
          <a:solidFill>
            <a:schemeClr val="accent1"/>
          </a:solidFill>
          <a:ln w="12700" cap="rnd">
            <a:solidFill>
              <a:srgbClr val="0070C0"/>
            </a:solidFill>
            <a:round/>
          </a:ln>
          <a:effectLst/>
        </c:spPr>
        <c:marker>
          <c:symbol val="star"/>
          <c:size val="6"/>
          <c:spPr>
            <a:no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t"/>
          <c:showLegendKey val="0"/>
          <c:showVal val="1"/>
          <c:showCatName val="0"/>
          <c:showSerName val="0"/>
          <c:showPercent val="0"/>
          <c:showBubbleSize val="0"/>
          <c:extLst>
            <c:ext xmlns:c15="http://schemas.microsoft.com/office/drawing/2012/chart" uri="{CE6537A1-D6FC-4f65-9D91-7224C49458BB}"/>
          </c:extLst>
        </c:dLbl>
      </c:pivotFmt>
      <c:pivotFmt>
        <c:idx val="21"/>
        <c:spPr>
          <a:solidFill>
            <a:schemeClr val="accent1"/>
          </a:solidFill>
          <a:ln w="12700" cap="rnd">
            <a:solidFill>
              <a:srgbClr val="0070C0"/>
            </a:solidFill>
            <a:round/>
          </a:ln>
          <a:effectLst/>
        </c:spPr>
        <c:marker>
          <c:symbol val="star"/>
          <c:size val="6"/>
          <c:spPr>
            <a:no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t"/>
          <c:showLegendKey val="0"/>
          <c:showVal val="1"/>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Hoja2!$B$85:$B$86</c:f>
              <c:strCache>
                <c:ptCount val="1"/>
                <c:pt idx="0">
                  <c:v>Número de Proveedores Registrados en la Región Metropolitana</c:v>
                </c:pt>
              </c:strCache>
            </c:strRef>
          </c:tx>
          <c:spPr>
            <a:ln w="12700" cap="rnd">
              <a:solidFill>
                <a:srgbClr val="0070C0"/>
              </a:solidFill>
              <a:round/>
            </a:ln>
            <a:effectLst/>
          </c:spPr>
          <c:marker>
            <c:symbol val="star"/>
            <c:size val="7"/>
            <c:spPr>
              <a:no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Hoja2!$A$87:$A$94</c:f>
              <c:strCache>
                <c:ptCount val="7"/>
                <c:pt idx="0">
                  <c:v>1TRIM2018</c:v>
                </c:pt>
                <c:pt idx="1">
                  <c:v>2TRIM2018</c:v>
                </c:pt>
                <c:pt idx="2">
                  <c:v>3TRIM2018</c:v>
                </c:pt>
                <c:pt idx="3">
                  <c:v>4TRIM2018</c:v>
                </c:pt>
                <c:pt idx="4">
                  <c:v>1TRIM2019</c:v>
                </c:pt>
                <c:pt idx="5">
                  <c:v>2TRIM2019</c:v>
                </c:pt>
                <c:pt idx="6">
                  <c:v>3TRIM2019</c:v>
                </c:pt>
              </c:strCache>
            </c:strRef>
          </c:cat>
          <c:val>
            <c:numRef>
              <c:f>Hoja2!$B$87:$B$94</c:f>
              <c:numCache>
                <c:formatCode>#,##0</c:formatCode>
                <c:ptCount val="7"/>
                <c:pt idx="0">
                  <c:v>1092</c:v>
                </c:pt>
                <c:pt idx="1">
                  <c:v>1277</c:v>
                </c:pt>
                <c:pt idx="2">
                  <c:v>1077</c:v>
                </c:pt>
                <c:pt idx="3">
                  <c:v>971</c:v>
                </c:pt>
                <c:pt idx="4">
                  <c:v>870</c:v>
                </c:pt>
                <c:pt idx="5">
                  <c:v>1119</c:v>
                </c:pt>
                <c:pt idx="6">
                  <c:v>962</c:v>
                </c:pt>
              </c:numCache>
            </c:numRef>
          </c:val>
          <c:smooth val="0"/>
          <c:extLst>
            <c:ext xmlns:c16="http://schemas.microsoft.com/office/drawing/2014/chart" uri="{C3380CC4-5D6E-409C-BE32-E72D297353CC}">
              <c16:uniqueId val="{00000000-66F6-473F-A33F-3000DDAA0003}"/>
            </c:ext>
          </c:extLst>
        </c:ser>
        <c:dLbls>
          <c:dLblPos val="t"/>
          <c:showLegendKey val="0"/>
          <c:showVal val="1"/>
          <c:showCatName val="0"/>
          <c:showSerName val="0"/>
          <c:showPercent val="0"/>
          <c:showBubbleSize val="0"/>
        </c:dLbls>
        <c:marker val="1"/>
        <c:smooth val="0"/>
        <c:axId val="-16242592"/>
        <c:axId val="-16242048"/>
      </c:lineChart>
      <c:catAx>
        <c:axId val="-16242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6242048"/>
        <c:crosses val="autoZero"/>
        <c:auto val="1"/>
        <c:lblAlgn val="ctr"/>
        <c:lblOffset val="100"/>
        <c:noMultiLvlLbl val="0"/>
      </c:catAx>
      <c:valAx>
        <c:axId val="-16242048"/>
        <c:scaling>
          <c:orientation val="minMax"/>
        </c:scaling>
        <c:delete val="1"/>
        <c:axPos val="l"/>
        <c:numFmt formatCode="#,##0" sourceLinked="1"/>
        <c:majorTickMark val="none"/>
        <c:minorTickMark val="none"/>
        <c:tickLblPos val="nextTo"/>
        <c:crossAx val="-1624259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pivotOptions>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[graficos_memorias_UIEE.xlsx]Hoja2!Tabla dinámica14</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sz="1200" b="0" i="0" baseline="0">
                <a:effectLst/>
              </a:rPr>
              <a:t>Participación Regional de las Compras Públicas</a:t>
            </a:r>
            <a:endParaRPr lang="es-DO" sz="1200" b="0">
              <a:effectLst/>
            </a:endParaRPr>
          </a:p>
        </c:rich>
      </c:tx>
      <c:layout>
        <c:manualLayout>
          <c:xMode val="edge"/>
          <c:yMode val="edge"/>
          <c:x val="0.15895288454377424"/>
          <c:y val="7.498494869242228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
        <c:idx val="14"/>
        <c:spPr>
          <a:solidFill>
            <a:schemeClr val="accent1"/>
          </a:solidFill>
          <a:ln>
            <a:noFill/>
          </a:ln>
          <a:effectLst/>
        </c:spPr>
        <c:marker>
          <c:symbol val="none"/>
        </c:marker>
      </c:pivotFmt>
      <c:pivotFmt>
        <c:idx val="15"/>
        <c:spPr>
          <a:solidFill>
            <a:schemeClr val="accent1"/>
          </a:solidFill>
          <a:ln>
            <a:noFill/>
          </a:ln>
          <a:effectLst/>
        </c:spPr>
        <c:marker>
          <c:symbol val="none"/>
        </c:marker>
      </c:pivotFmt>
      <c:pivotFmt>
        <c:idx val="16"/>
        <c:spPr>
          <a:solidFill>
            <a:schemeClr val="accent1"/>
          </a:solidFill>
          <a:ln>
            <a:noFill/>
          </a:ln>
          <a:effectLst/>
        </c:spPr>
        <c:marker>
          <c:symbol val="none"/>
        </c:marker>
      </c:pivotFmt>
      <c:pivotFmt>
        <c:idx val="17"/>
        <c:spPr>
          <a:solidFill>
            <a:schemeClr val="accent1"/>
          </a:solidFill>
          <a:ln>
            <a:noFill/>
          </a:ln>
          <a:effectLst/>
        </c:spPr>
        <c:marker>
          <c:symbol val="none"/>
        </c:marker>
      </c:pivotFmt>
      <c:pivotFmt>
        <c:idx val="18"/>
        <c:spPr>
          <a:solidFill>
            <a:schemeClr val="accent1"/>
          </a:solidFill>
          <a:ln>
            <a:noFill/>
          </a:ln>
          <a:effectLst/>
        </c:spPr>
        <c:marker>
          <c:symbol val="none"/>
        </c:marker>
      </c:pivotFmt>
      <c:pivotFmt>
        <c:idx val="19"/>
        <c:spPr>
          <a:solidFill>
            <a:schemeClr val="accent1"/>
          </a:solidFill>
          <a:ln w="12700" cap="rnd">
            <a:solidFill>
              <a:srgbClr val="0070C0"/>
            </a:solidFill>
            <a:round/>
          </a:ln>
          <a:effectLst/>
        </c:spPr>
        <c:marker>
          <c:symbol val="x"/>
          <c:size val="5"/>
          <c:spPr>
            <a:no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t"/>
          <c:showLegendKey val="0"/>
          <c:showVal val="1"/>
          <c:showCatName val="0"/>
          <c:showSerName val="0"/>
          <c:showPercent val="0"/>
          <c:showBubbleSize val="0"/>
          <c:extLst>
            <c:ext xmlns:c15="http://schemas.microsoft.com/office/drawing/2012/chart" uri="{CE6537A1-D6FC-4f65-9D91-7224C49458BB}"/>
          </c:extLst>
        </c:dLbl>
      </c:pivotFmt>
      <c:pivotFmt>
        <c:idx val="20"/>
        <c:spPr>
          <a:solidFill>
            <a:schemeClr val="accent1"/>
          </a:solidFill>
          <a:ln w="12700" cap="rnd">
            <a:solidFill>
              <a:srgbClr val="002060"/>
            </a:solidFill>
            <a:round/>
          </a:ln>
          <a:effectLst/>
        </c:spPr>
        <c:marker>
          <c:symbol val="triangle"/>
          <c:size val="6"/>
          <c:spPr>
            <a:solidFill>
              <a:srgbClr val="002060"/>
            </a:solidFill>
            <a:ln w="9525">
              <a:solidFill>
                <a:srgbClr val="002060"/>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t"/>
          <c:showLegendKey val="0"/>
          <c:showVal val="1"/>
          <c:showCatName val="0"/>
          <c:showSerName val="0"/>
          <c:showPercent val="0"/>
          <c:showBubbleSize val="0"/>
          <c:extLst>
            <c:ext xmlns:c15="http://schemas.microsoft.com/office/drawing/2012/chart" uri="{CE6537A1-D6FC-4f65-9D91-7224C49458BB}"/>
          </c:extLst>
        </c:dLbl>
      </c:pivotFmt>
      <c:pivotFmt>
        <c:idx val="21"/>
        <c:spPr>
          <a:solidFill>
            <a:schemeClr val="accent1"/>
          </a:solidFill>
          <a:ln w="12700" cap="rnd">
            <a:solidFill>
              <a:srgbClr val="00B0F0"/>
            </a:solidFill>
            <a:round/>
          </a:ln>
          <a:effectLst/>
        </c:spPr>
        <c:marker>
          <c:symbol val="circle"/>
          <c:size val="6"/>
          <c:spPr>
            <a:solidFill>
              <a:srgbClr val="00B0F0"/>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t"/>
          <c:showLegendKey val="0"/>
          <c:showVal val="1"/>
          <c:showCatName val="0"/>
          <c:showSerName val="0"/>
          <c:showPercent val="0"/>
          <c:showBubbleSize val="0"/>
          <c:extLst>
            <c:ext xmlns:c15="http://schemas.microsoft.com/office/drawing/2012/chart" uri="{CE6537A1-D6FC-4f65-9D91-7224C49458BB}"/>
          </c:extLst>
        </c:dLbl>
      </c:pivotFmt>
      <c:pivotFmt>
        <c:idx val="22"/>
        <c:spPr>
          <a:solidFill>
            <a:schemeClr val="accent1"/>
          </a:solidFill>
          <a:ln w="12700" cap="rnd">
            <a:solidFill>
              <a:srgbClr val="00B0F0"/>
            </a:solidFill>
            <a:round/>
          </a:ln>
          <a:effectLst/>
        </c:spPr>
        <c:marker>
          <c:symbol val="circle"/>
          <c:size val="6"/>
          <c:spPr>
            <a:solidFill>
              <a:srgbClr val="00B0F0"/>
            </a:solidFill>
            <a:ln w="9525">
              <a:solidFill>
                <a:schemeClr val="accent3"/>
              </a:solidFill>
            </a:ln>
            <a:effectLst/>
          </c:spPr>
        </c:marker>
        <c:dLbl>
          <c:idx val="0"/>
          <c:layout>
            <c:manualLayout>
              <c:x val="-3.5389708478346674E-2"/>
              <c:y val="-6.6062002293376734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r"/>
          <c:showLegendKey val="0"/>
          <c:showVal val="1"/>
          <c:showCatName val="0"/>
          <c:showSerName val="0"/>
          <c:showPercent val="0"/>
          <c:showBubbleSize val="0"/>
          <c:extLst>
            <c:ext xmlns:c15="http://schemas.microsoft.com/office/drawing/2012/chart" uri="{CE6537A1-D6FC-4f65-9D91-7224C49458BB}"/>
          </c:extLst>
        </c:dLbl>
      </c:pivotFmt>
      <c:pivotFmt>
        <c:idx val="23"/>
        <c:spPr>
          <a:solidFill>
            <a:schemeClr val="accent1"/>
          </a:solidFill>
          <a:ln w="12700" cap="rnd">
            <a:solidFill>
              <a:srgbClr val="0070C0"/>
            </a:solidFill>
            <a:round/>
          </a:ln>
          <a:effectLst/>
        </c:spPr>
        <c:marker>
          <c:symbol val="x"/>
          <c:size val="5"/>
          <c:spPr>
            <a:noFill/>
            <a:ln w="9525">
              <a:solidFill>
                <a:schemeClr val="accent1"/>
              </a:solidFill>
            </a:ln>
            <a:effectLst/>
          </c:spPr>
        </c:marker>
        <c:dLbl>
          <c:idx val="0"/>
          <c:layout>
            <c:manualLayout>
              <c:x val="-3.4007162723379586E-2"/>
              <c:y val="-3.1795150141786632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r"/>
          <c:showLegendKey val="0"/>
          <c:showVal val="1"/>
          <c:showCatName val="0"/>
          <c:showSerName val="0"/>
          <c:showPercent val="0"/>
          <c:showBubbleSize val="0"/>
          <c:extLst>
            <c:ext xmlns:c15="http://schemas.microsoft.com/office/drawing/2012/chart" uri="{CE6537A1-D6FC-4f65-9D91-7224C49458BB}"/>
          </c:extLst>
        </c:dLbl>
      </c:pivotFmt>
      <c:pivotFmt>
        <c:idx val="24"/>
        <c:spPr>
          <a:solidFill>
            <a:schemeClr val="accent1"/>
          </a:solidFill>
          <a:ln w="12700" cap="rnd">
            <a:solidFill>
              <a:srgbClr val="0070C0"/>
            </a:solidFill>
            <a:round/>
          </a:ln>
          <a:effectLst/>
        </c:spPr>
        <c:marker>
          <c:symbol val="x"/>
          <c:size val="5"/>
          <c:spPr>
            <a:noFill/>
            <a:ln w="9525">
              <a:solidFill>
                <a:schemeClr val="accent1"/>
              </a:solidFill>
            </a:ln>
            <a:effectLst/>
          </c:spPr>
        </c:marker>
      </c:pivotFmt>
      <c:pivotFmt>
        <c:idx val="25"/>
        <c:spPr>
          <a:solidFill>
            <a:schemeClr val="accent1"/>
          </a:solidFill>
          <a:ln w="12700" cap="rnd">
            <a:solidFill>
              <a:srgbClr val="0070C0"/>
            </a:solidFill>
            <a:round/>
          </a:ln>
          <a:effectLst/>
        </c:spPr>
        <c:marker>
          <c:symbol val="x"/>
          <c:size val="5"/>
          <c:spPr>
            <a:no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t"/>
          <c:showLegendKey val="0"/>
          <c:showVal val="1"/>
          <c:showCatName val="0"/>
          <c:showSerName val="0"/>
          <c:showPercent val="0"/>
          <c:showBubbleSize val="0"/>
          <c:extLst>
            <c:ext xmlns:c15="http://schemas.microsoft.com/office/drawing/2012/chart" uri="{CE6537A1-D6FC-4f65-9D91-7224C49458BB}"/>
          </c:extLst>
        </c:dLbl>
      </c:pivotFmt>
      <c:pivotFmt>
        <c:idx val="26"/>
        <c:spPr>
          <a:solidFill>
            <a:schemeClr val="accent1"/>
          </a:solidFill>
          <a:ln w="12700" cap="rnd">
            <a:solidFill>
              <a:srgbClr val="0070C0"/>
            </a:solidFill>
            <a:round/>
          </a:ln>
          <a:effectLst/>
        </c:spPr>
        <c:marker>
          <c:symbol val="x"/>
          <c:size val="5"/>
          <c:spPr>
            <a:noFill/>
            <a:ln w="9525">
              <a:solidFill>
                <a:schemeClr val="accent1"/>
              </a:solidFill>
            </a:ln>
            <a:effectLst/>
          </c:spPr>
        </c:marker>
        <c:dLbl>
          <c:idx val="0"/>
          <c:layout>
            <c:manualLayout>
              <c:x val="-3.4007162723379586E-2"/>
              <c:y val="-3.1795150141786632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r"/>
          <c:showLegendKey val="0"/>
          <c:showVal val="1"/>
          <c:showCatName val="0"/>
          <c:showSerName val="0"/>
          <c:showPercent val="0"/>
          <c:showBubbleSize val="0"/>
          <c:extLst>
            <c:ext xmlns:c15="http://schemas.microsoft.com/office/drawing/2012/chart" uri="{CE6537A1-D6FC-4f65-9D91-7224C49458BB}"/>
          </c:extLst>
        </c:dLbl>
      </c:pivotFmt>
      <c:pivotFmt>
        <c:idx val="27"/>
        <c:spPr>
          <a:solidFill>
            <a:schemeClr val="accent1"/>
          </a:solidFill>
          <a:ln w="12700" cap="rnd">
            <a:solidFill>
              <a:srgbClr val="002060"/>
            </a:solidFill>
            <a:round/>
          </a:ln>
          <a:effectLst/>
        </c:spPr>
        <c:marker>
          <c:symbol val="triangle"/>
          <c:size val="6"/>
          <c:spPr>
            <a:solidFill>
              <a:srgbClr val="002060"/>
            </a:solidFill>
            <a:ln w="9525">
              <a:solidFill>
                <a:srgbClr val="002060"/>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t"/>
          <c:showLegendKey val="0"/>
          <c:showVal val="1"/>
          <c:showCatName val="0"/>
          <c:showSerName val="0"/>
          <c:showPercent val="0"/>
          <c:showBubbleSize val="0"/>
          <c:extLst>
            <c:ext xmlns:c15="http://schemas.microsoft.com/office/drawing/2012/chart" uri="{CE6537A1-D6FC-4f65-9D91-7224C49458BB}"/>
          </c:extLst>
        </c:dLbl>
      </c:pivotFmt>
      <c:pivotFmt>
        <c:idx val="28"/>
        <c:spPr>
          <a:solidFill>
            <a:schemeClr val="accent1"/>
          </a:solidFill>
          <a:ln w="12700" cap="rnd">
            <a:solidFill>
              <a:srgbClr val="00B0F0"/>
            </a:solidFill>
            <a:round/>
          </a:ln>
          <a:effectLst/>
        </c:spPr>
        <c:marker>
          <c:symbol val="circle"/>
          <c:size val="6"/>
          <c:spPr>
            <a:solidFill>
              <a:srgbClr val="00B0F0"/>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t"/>
          <c:showLegendKey val="0"/>
          <c:showVal val="1"/>
          <c:showCatName val="0"/>
          <c:showSerName val="0"/>
          <c:showPercent val="0"/>
          <c:showBubbleSize val="0"/>
          <c:extLst>
            <c:ext xmlns:c15="http://schemas.microsoft.com/office/drawing/2012/chart" uri="{CE6537A1-D6FC-4f65-9D91-7224C49458BB}"/>
          </c:extLst>
        </c:dLbl>
      </c:pivotFmt>
      <c:pivotFmt>
        <c:idx val="29"/>
        <c:spPr>
          <a:solidFill>
            <a:schemeClr val="accent1"/>
          </a:solidFill>
          <a:ln w="12700" cap="rnd">
            <a:solidFill>
              <a:srgbClr val="00B0F0"/>
            </a:solidFill>
            <a:round/>
          </a:ln>
          <a:effectLst/>
        </c:spPr>
        <c:marker>
          <c:symbol val="circle"/>
          <c:size val="6"/>
          <c:spPr>
            <a:solidFill>
              <a:srgbClr val="00B0F0"/>
            </a:solidFill>
            <a:ln w="9525">
              <a:solidFill>
                <a:schemeClr val="accent3"/>
              </a:solidFill>
            </a:ln>
            <a:effectLst/>
          </c:spPr>
        </c:marker>
        <c:dLbl>
          <c:idx val="0"/>
          <c:layout>
            <c:manualLayout>
              <c:x val="-3.5389708478346674E-2"/>
              <c:y val="-6.6062002293376734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r"/>
          <c:showLegendKey val="0"/>
          <c:showVal val="1"/>
          <c:showCatName val="0"/>
          <c:showSerName val="0"/>
          <c:showPercent val="0"/>
          <c:showBubbleSize val="0"/>
          <c:extLst>
            <c:ext xmlns:c15="http://schemas.microsoft.com/office/drawing/2012/chart" uri="{CE6537A1-D6FC-4f65-9D91-7224C49458BB}"/>
          </c:extLst>
        </c:dLbl>
      </c:pivotFmt>
      <c:pivotFmt>
        <c:idx val="30"/>
        <c:spPr>
          <a:solidFill>
            <a:schemeClr val="accent1"/>
          </a:solidFill>
          <a:ln w="12700" cap="rnd">
            <a:solidFill>
              <a:srgbClr val="0070C0"/>
            </a:solidFill>
            <a:round/>
          </a:ln>
          <a:effectLst/>
        </c:spPr>
        <c:marker>
          <c:symbol val="x"/>
          <c:size val="5"/>
          <c:spPr>
            <a:no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t"/>
          <c:showLegendKey val="0"/>
          <c:showVal val="1"/>
          <c:showCatName val="0"/>
          <c:showSerName val="0"/>
          <c:showPercent val="0"/>
          <c:showBubbleSize val="0"/>
          <c:extLst>
            <c:ext xmlns:c15="http://schemas.microsoft.com/office/drawing/2012/chart" uri="{CE6537A1-D6FC-4f65-9D91-7224C49458BB}"/>
          </c:extLst>
        </c:dLbl>
      </c:pivotFmt>
      <c:pivotFmt>
        <c:idx val="31"/>
        <c:spPr>
          <a:solidFill>
            <a:schemeClr val="accent1"/>
          </a:solidFill>
          <a:ln w="12700" cap="rnd">
            <a:solidFill>
              <a:srgbClr val="0070C0"/>
            </a:solidFill>
            <a:round/>
          </a:ln>
          <a:effectLst/>
        </c:spPr>
        <c:marker>
          <c:symbol val="x"/>
          <c:size val="5"/>
          <c:spPr>
            <a:noFill/>
            <a:ln w="9525">
              <a:solidFill>
                <a:schemeClr val="accent1"/>
              </a:solidFill>
            </a:ln>
            <a:effectLst/>
          </c:spPr>
        </c:marker>
        <c:dLbl>
          <c:idx val="0"/>
          <c:layout>
            <c:manualLayout>
              <c:x val="-3.4007162723379586E-2"/>
              <c:y val="-3.1795150141786632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r"/>
          <c:showLegendKey val="0"/>
          <c:showVal val="1"/>
          <c:showCatName val="0"/>
          <c:showSerName val="0"/>
          <c:showPercent val="0"/>
          <c:showBubbleSize val="0"/>
          <c:extLst>
            <c:ext xmlns:c15="http://schemas.microsoft.com/office/drawing/2012/chart" uri="{CE6537A1-D6FC-4f65-9D91-7224C49458BB}"/>
          </c:extLst>
        </c:dLbl>
      </c:pivotFmt>
      <c:pivotFmt>
        <c:idx val="32"/>
        <c:spPr>
          <a:solidFill>
            <a:schemeClr val="accent1"/>
          </a:solidFill>
          <a:ln w="12700" cap="rnd">
            <a:solidFill>
              <a:srgbClr val="002060"/>
            </a:solidFill>
            <a:round/>
          </a:ln>
          <a:effectLst/>
        </c:spPr>
        <c:marker>
          <c:symbol val="triangle"/>
          <c:size val="6"/>
          <c:spPr>
            <a:solidFill>
              <a:srgbClr val="002060"/>
            </a:solidFill>
            <a:ln w="9525">
              <a:solidFill>
                <a:srgbClr val="002060"/>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t"/>
          <c:showLegendKey val="0"/>
          <c:showVal val="1"/>
          <c:showCatName val="0"/>
          <c:showSerName val="0"/>
          <c:showPercent val="0"/>
          <c:showBubbleSize val="0"/>
          <c:extLst>
            <c:ext xmlns:c15="http://schemas.microsoft.com/office/drawing/2012/chart" uri="{CE6537A1-D6FC-4f65-9D91-7224C49458BB}"/>
          </c:extLst>
        </c:dLbl>
      </c:pivotFmt>
      <c:pivotFmt>
        <c:idx val="33"/>
        <c:spPr>
          <a:solidFill>
            <a:schemeClr val="accent1"/>
          </a:solidFill>
          <a:ln w="12700" cap="rnd">
            <a:solidFill>
              <a:srgbClr val="00B0F0"/>
            </a:solidFill>
            <a:round/>
          </a:ln>
          <a:effectLst/>
        </c:spPr>
        <c:marker>
          <c:symbol val="circle"/>
          <c:size val="6"/>
          <c:spPr>
            <a:solidFill>
              <a:srgbClr val="00B0F0"/>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t"/>
          <c:showLegendKey val="0"/>
          <c:showVal val="1"/>
          <c:showCatName val="0"/>
          <c:showSerName val="0"/>
          <c:showPercent val="0"/>
          <c:showBubbleSize val="0"/>
          <c:extLst>
            <c:ext xmlns:c15="http://schemas.microsoft.com/office/drawing/2012/chart" uri="{CE6537A1-D6FC-4f65-9D91-7224C49458BB}"/>
          </c:extLst>
        </c:dLbl>
      </c:pivotFmt>
      <c:pivotFmt>
        <c:idx val="34"/>
        <c:spPr>
          <a:solidFill>
            <a:schemeClr val="accent1"/>
          </a:solidFill>
          <a:ln w="12700" cap="rnd">
            <a:solidFill>
              <a:srgbClr val="00B0F0"/>
            </a:solidFill>
            <a:round/>
          </a:ln>
          <a:effectLst/>
        </c:spPr>
        <c:marker>
          <c:symbol val="circle"/>
          <c:size val="6"/>
          <c:spPr>
            <a:solidFill>
              <a:srgbClr val="00B0F0"/>
            </a:solidFill>
            <a:ln w="9525">
              <a:solidFill>
                <a:schemeClr val="accent3"/>
              </a:solidFill>
            </a:ln>
            <a:effectLst/>
          </c:spPr>
        </c:marker>
        <c:dLbl>
          <c:idx val="0"/>
          <c:layout>
            <c:manualLayout>
              <c:x val="-3.5389708478346674E-2"/>
              <c:y val="-6.6062002293376734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r"/>
          <c:showLegendKey val="0"/>
          <c:showVal val="1"/>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2.7752207086606775E-2"/>
          <c:y val="9.4147459793190474E-2"/>
          <c:w val="0.9571830949400375"/>
          <c:h val="0.63576857688991195"/>
        </c:manualLayout>
      </c:layout>
      <c:lineChart>
        <c:grouping val="standard"/>
        <c:varyColors val="0"/>
        <c:ser>
          <c:idx val="0"/>
          <c:order val="0"/>
          <c:tx>
            <c:strRef>
              <c:f>Hoja2!$B$180:$B$181</c:f>
              <c:strCache>
                <c:ptCount val="1"/>
                <c:pt idx="0">
                  <c:v>Participación de lo Contratado en la Región Este en el Total Contratado</c:v>
                </c:pt>
              </c:strCache>
            </c:strRef>
          </c:tx>
          <c:spPr>
            <a:ln w="12700" cap="rnd">
              <a:solidFill>
                <a:srgbClr val="0070C0"/>
              </a:solidFill>
              <a:round/>
            </a:ln>
            <a:effectLst/>
          </c:spPr>
          <c:marker>
            <c:symbol val="x"/>
            <c:size val="5"/>
            <c:spPr>
              <a:noFill/>
              <a:ln w="9525">
                <a:solidFill>
                  <a:schemeClr val="accent1"/>
                </a:solidFill>
              </a:ln>
              <a:effectLst/>
            </c:spPr>
          </c:marker>
          <c:dLbls>
            <c:dLbl>
              <c:idx val="4"/>
              <c:layout>
                <c:manualLayout>
                  <c:x val="-3.4007162723379586E-2"/>
                  <c:y val="-3.1795150141786632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6D5D-4CB4-AE66-6C987ADA171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Hoja2!$A$182:$A$189</c:f>
              <c:strCache>
                <c:ptCount val="7"/>
                <c:pt idx="0">
                  <c:v>1TRIM2018</c:v>
                </c:pt>
                <c:pt idx="1">
                  <c:v>2TRIM2018</c:v>
                </c:pt>
                <c:pt idx="2">
                  <c:v>3TRIM2018</c:v>
                </c:pt>
                <c:pt idx="3">
                  <c:v>4TRIM2018</c:v>
                </c:pt>
                <c:pt idx="4">
                  <c:v>1TRIM2019</c:v>
                </c:pt>
                <c:pt idx="5">
                  <c:v>2TRIM2019</c:v>
                </c:pt>
                <c:pt idx="6">
                  <c:v>3TRIM2019</c:v>
                </c:pt>
              </c:strCache>
            </c:strRef>
          </c:cat>
          <c:val>
            <c:numRef>
              <c:f>Hoja2!$B$182:$B$189</c:f>
              <c:numCache>
                <c:formatCode>0.00%</c:formatCode>
                <c:ptCount val="7"/>
                <c:pt idx="0">
                  <c:v>3.3507725966680098E-3</c:v>
                </c:pt>
                <c:pt idx="1">
                  <c:v>3.0772794155741199E-3</c:v>
                </c:pt>
                <c:pt idx="2">
                  <c:v>2.8625994351854801E-3</c:v>
                </c:pt>
                <c:pt idx="3">
                  <c:v>4.7428684922739899E-4</c:v>
                </c:pt>
                <c:pt idx="4">
                  <c:v>1.9552006103954502E-2</c:v>
                </c:pt>
                <c:pt idx="5">
                  <c:v>1.36107531436908E-3</c:v>
                </c:pt>
                <c:pt idx="6">
                  <c:v>9.5045153930219237E-4</c:v>
                </c:pt>
              </c:numCache>
            </c:numRef>
          </c:val>
          <c:smooth val="0"/>
          <c:extLst>
            <c:ext xmlns:c16="http://schemas.microsoft.com/office/drawing/2014/chart" uri="{C3380CC4-5D6E-409C-BE32-E72D297353CC}">
              <c16:uniqueId val="{00000001-6D5D-4CB4-AE66-6C987ADA1710}"/>
            </c:ext>
          </c:extLst>
        </c:ser>
        <c:ser>
          <c:idx val="1"/>
          <c:order val="1"/>
          <c:tx>
            <c:strRef>
              <c:f>Hoja2!$C$180:$C$181</c:f>
              <c:strCache>
                <c:ptCount val="1"/>
                <c:pt idx="0">
                  <c:v>Participación de lo Contratado en la Región Norte en el Total Contratado</c:v>
                </c:pt>
              </c:strCache>
            </c:strRef>
          </c:tx>
          <c:spPr>
            <a:ln w="12700" cap="rnd">
              <a:solidFill>
                <a:srgbClr val="002060"/>
              </a:solidFill>
              <a:round/>
            </a:ln>
            <a:effectLst/>
          </c:spPr>
          <c:marker>
            <c:symbol val="triangle"/>
            <c:size val="6"/>
            <c:spPr>
              <a:solidFill>
                <a:srgbClr val="002060"/>
              </a:solidFill>
              <a:ln w="9525">
                <a:solidFill>
                  <a:srgbClr val="002060"/>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Hoja2!$A$182:$A$189</c:f>
              <c:strCache>
                <c:ptCount val="7"/>
                <c:pt idx="0">
                  <c:v>1TRIM2018</c:v>
                </c:pt>
                <c:pt idx="1">
                  <c:v>2TRIM2018</c:v>
                </c:pt>
                <c:pt idx="2">
                  <c:v>3TRIM2018</c:v>
                </c:pt>
                <c:pt idx="3">
                  <c:v>4TRIM2018</c:v>
                </c:pt>
                <c:pt idx="4">
                  <c:v>1TRIM2019</c:v>
                </c:pt>
                <c:pt idx="5">
                  <c:v>2TRIM2019</c:v>
                </c:pt>
                <c:pt idx="6">
                  <c:v>3TRIM2019</c:v>
                </c:pt>
              </c:strCache>
            </c:strRef>
          </c:cat>
          <c:val>
            <c:numRef>
              <c:f>Hoja2!$C$182:$C$189</c:f>
              <c:numCache>
                <c:formatCode>0.00%</c:formatCode>
                <c:ptCount val="7"/>
                <c:pt idx="0">
                  <c:v>0.17207848768154699</c:v>
                </c:pt>
                <c:pt idx="1">
                  <c:v>7.1886243274599901E-2</c:v>
                </c:pt>
                <c:pt idx="2">
                  <c:v>0.120255331108754</c:v>
                </c:pt>
                <c:pt idx="3">
                  <c:v>0.13780679839898799</c:v>
                </c:pt>
                <c:pt idx="4">
                  <c:v>0.13971942296796599</c:v>
                </c:pt>
                <c:pt idx="5">
                  <c:v>0.14927256040409301</c:v>
                </c:pt>
                <c:pt idx="6">
                  <c:v>0.24882339238444159</c:v>
                </c:pt>
              </c:numCache>
            </c:numRef>
          </c:val>
          <c:smooth val="0"/>
          <c:extLst>
            <c:ext xmlns:c16="http://schemas.microsoft.com/office/drawing/2014/chart" uri="{C3380CC4-5D6E-409C-BE32-E72D297353CC}">
              <c16:uniqueId val="{00000002-6D5D-4CB4-AE66-6C987ADA1710}"/>
            </c:ext>
          </c:extLst>
        </c:ser>
        <c:ser>
          <c:idx val="2"/>
          <c:order val="2"/>
          <c:tx>
            <c:strRef>
              <c:f>Hoja2!$D$180:$D$181</c:f>
              <c:strCache>
                <c:ptCount val="1"/>
                <c:pt idx="0">
                  <c:v>Participación de lo Contratado en la Región Sur en el Total Contratado</c:v>
                </c:pt>
              </c:strCache>
            </c:strRef>
          </c:tx>
          <c:spPr>
            <a:ln w="12700" cap="rnd">
              <a:solidFill>
                <a:srgbClr val="00B0F0"/>
              </a:solidFill>
              <a:round/>
            </a:ln>
            <a:effectLst/>
          </c:spPr>
          <c:marker>
            <c:symbol val="circle"/>
            <c:size val="6"/>
            <c:spPr>
              <a:solidFill>
                <a:srgbClr val="00B0F0"/>
              </a:solidFill>
              <a:ln w="9525">
                <a:solidFill>
                  <a:schemeClr val="accent3"/>
                </a:solidFill>
              </a:ln>
              <a:effectLst/>
            </c:spPr>
          </c:marker>
          <c:dLbls>
            <c:dLbl>
              <c:idx val="5"/>
              <c:layout>
                <c:manualLayout>
                  <c:x val="-3.5389708478346674E-2"/>
                  <c:y val="-6.6062002293376734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6D5D-4CB4-AE66-6C987ADA171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Hoja2!$A$182:$A$189</c:f>
              <c:strCache>
                <c:ptCount val="7"/>
                <c:pt idx="0">
                  <c:v>1TRIM2018</c:v>
                </c:pt>
                <c:pt idx="1">
                  <c:v>2TRIM2018</c:v>
                </c:pt>
                <c:pt idx="2">
                  <c:v>3TRIM2018</c:v>
                </c:pt>
                <c:pt idx="3">
                  <c:v>4TRIM2018</c:v>
                </c:pt>
                <c:pt idx="4">
                  <c:v>1TRIM2019</c:v>
                </c:pt>
                <c:pt idx="5">
                  <c:v>2TRIM2019</c:v>
                </c:pt>
                <c:pt idx="6">
                  <c:v>3TRIM2019</c:v>
                </c:pt>
              </c:strCache>
            </c:strRef>
          </c:cat>
          <c:val>
            <c:numRef>
              <c:f>Hoja2!$D$182:$D$189</c:f>
              <c:numCache>
                <c:formatCode>0.00%</c:formatCode>
                <c:ptCount val="7"/>
                <c:pt idx="0">
                  <c:v>1.6217429302066402E-2</c:v>
                </c:pt>
                <c:pt idx="1">
                  <c:v>1.5326706890380499E-2</c:v>
                </c:pt>
                <c:pt idx="2">
                  <c:v>1.2018381644791401E-2</c:v>
                </c:pt>
                <c:pt idx="3">
                  <c:v>1.3046048786479299E-2</c:v>
                </c:pt>
                <c:pt idx="4">
                  <c:v>3.8130896597985402E-2</c:v>
                </c:pt>
                <c:pt idx="5">
                  <c:v>7.3239898731975797E-3</c:v>
                </c:pt>
                <c:pt idx="6">
                  <c:v>9.4031584509028238E-3</c:v>
                </c:pt>
              </c:numCache>
            </c:numRef>
          </c:val>
          <c:smooth val="0"/>
          <c:extLst>
            <c:ext xmlns:c16="http://schemas.microsoft.com/office/drawing/2014/chart" uri="{C3380CC4-5D6E-409C-BE32-E72D297353CC}">
              <c16:uniqueId val="{00000004-6D5D-4CB4-AE66-6C987ADA1710}"/>
            </c:ext>
          </c:extLst>
        </c:ser>
        <c:dLbls>
          <c:dLblPos val="t"/>
          <c:showLegendKey val="0"/>
          <c:showVal val="1"/>
          <c:showCatName val="0"/>
          <c:showSerName val="0"/>
          <c:showPercent val="0"/>
          <c:showBubbleSize val="0"/>
        </c:dLbls>
        <c:marker val="1"/>
        <c:smooth val="0"/>
        <c:axId val="-16245856"/>
        <c:axId val="-16240960"/>
      </c:lineChart>
      <c:catAx>
        <c:axId val="-16245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6240960"/>
        <c:crosses val="autoZero"/>
        <c:auto val="1"/>
        <c:lblAlgn val="ctr"/>
        <c:lblOffset val="100"/>
        <c:noMultiLvlLbl val="0"/>
      </c:catAx>
      <c:valAx>
        <c:axId val="-16240960"/>
        <c:scaling>
          <c:orientation val="minMax"/>
        </c:scaling>
        <c:delete val="1"/>
        <c:axPos val="l"/>
        <c:numFmt formatCode="0.00%" sourceLinked="1"/>
        <c:majorTickMark val="none"/>
        <c:minorTickMark val="none"/>
        <c:tickLblPos val="nextTo"/>
        <c:crossAx val="-16245856"/>
        <c:crosses val="autoZero"/>
        <c:crossBetween val="between"/>
      </c:valAx>
      <c:spPr>
        <a:noFill/>
        <a:ln>
          <a:noFill/>
        </a:ln>
        <a:effectLst/>
      </c:spPr>
    </c:plotArea>
    <c:legend>
      <c:legendPos val="b"/>
      <c:layout>
        <c:manualLayout>
          <c:xMode val="edge"/>
          <c:yMode val="edge"/>
          <c:x val="8.4209766126611643E-2"/>
          <c:y val="0.82716572414170564"/>
          <c:w val="0.8527349171637294"/>
          <c:h val="0.13372720669920019"/>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pivotOptions>
    </c:ext>
  </c:extLst>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[graficos_memorias_UIEE.xlsx]Hoja2!Tabla dinámica15</c:name>
    <c:fmtId val="-1"/>
  </c:pivotSource>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
        <c:idx val="14"/>
        <c:spPr>
          <a:solidFill>
            <a:schemeClr val="accent1"/>
          </a:solidFill>
          <a:ln>
            <a:noFill/>
          </a:ln>
          <a:effectLst/>
        </c:spPr>
        <c:marker>
          <c:symbol val="none"/>
        </c:marker>
      </c:pivotFmt>
      <c:pivotFmt>
        <c:idx val="15"/>
        <c:spPr>
          <a:solidFill>
            <a:schemeClr val="accent1"/>
          </a:solidFill>
          <a:ln>
            <a:noFill/>
          </a:ln>
          <a:effectLst/>
        </c:spPr>
        <c:marker>
          <c:symbol val="none"/>
        </c:marker>
      </c:pivotFmt>
      <c:pivotFmt>
        <c:idx val="16"/>
        <c:spPr>
          <a:solidFill>
            <a:schemeClr val="accent1"/>
          </a:solidFill>
          <a:ln>
            <a:noFill/>
          </a:ln>
          <a:effectLst/>
        </c:spPr>
        <c:marker>
          <c:symbol val="none"/>
        </c:marker>
      </c:pivotFmt>
      <c:pivotFmt>
        <c:idx val="17"/>
        <c:spPr>
          <a:solidFill>
            <a:schemeClr val="accent1"/>
          </a:solidFill>
          <a:ln>
            <a:noFill/>
          </a:ln>
          <a:effectLst/>
        </c:spPr>
        <c:marker>
          <c:symbol val="none"/>
        </c:marker>
      </c:pivotFmt>
      <c:pivotFmt>
        <c:idx val="18"/>
        <c:spPr>
          <a:solidFill>
            <a:schemeClr val="accent1"/>
          </a:solidFill>
          <a:ln>
            <a:noFill/>
          </a:ln>
          <a:effectLst/>
        </c:spPr>
        <c:marker>
          <c:symbol val="none"/>
        </c:marker>
      </c:pivotFmt>
      <c:pivotFmt>
        <c:idx val="19"/>
        <c:spPr>
          <a:solidFill>
            <a:schemeClr val="accent1"/>
          </a:solidFill>
          <a:ln w="12700" cap="rnd">
            <a:solidFill>
              <a:srgbClr val="0070C0"/>
            </a:solidFill>
            <a:round/>
          </a:ln>
          <a:effectLst/>
        </c:spPr>
        <c:marker>
          <c:symbol val="star"/>
          <c:size val="6"/>
          <c:spPr>
            <a:no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t"/>
          <c:showLegendKey val="0"/>
          <c:showVal val="1"/>
          <c:showCatName val="0"/>
          <c:showSerName val="0"/>
          <c:showPercent val="0"/>
          <c:showBubbleSize val="0"/>
          <c:extLst>
            <c:ext xmlns:c15="http://schemas.microsoft.com/office/drawing/2012/chart" uri="{CE6537A1-D6FC-4f65-9D91-7224C49458BB}"/>
          </c:extLst>
        </c:dLbl>
      </c:pivotFmt>
      <c:pivotFmt>
        <c:idx val="20"/>
        <c:spPr>
          <a:solidFill>
            <a:schemeClr val="accent1"/>
          </a:solidFill>
          <a:ln w="12700" cap="rnd">
            <a:solidFill>
              <a:srgbClr val="0070C0"/>
            </a:solidFill>
            <a:round/>
          </a:ln>
          <a:effectLst/>
        </c:spPr>
        <c:marker>
          <c:symbol val="star"/>
          <c:size val="6"/>
          <c:spPr>
            <a:no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t"/>
          <c:showLegendKey val="0"/>
          <c:showVal val="1"/>
          <c:showCatName val="0"/>
          <c:showSerName val="0"/>
          <c:showPercent val="0"/>
          <c:showBubbleSize val="0"/>
          <c:extLst>
            <c:ext xmlns:c15="http://schemas.microsoft.com/office/drawing/2012/chart" uri="{CE6537A1-D6FC-4f65-9D91-7224C49458BB}"/>
          </c:extLst>
        </c:dLbl>
      </c:pivotFmt>
      <c:pivotFmt>
        <c:idx val="21"/>
        <c:spPr>
          <a:solidFill>
            <a:schemeClr val="accent1"/>
          </a:solidFill>
          <a:ln w="12700" cap="rnd">
            <a:solidFill>
              <a:srgbClr val="0070C0"/>
            </a:solidFill>
            <a:round/>
          </a:ln>
          <a:effectLst/>
        </c:spPr>
        <c:marker>
          <c:symbol val="star"/>
          <c:size val="6"/>
          <c:spPr>
            <a:no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t"/>
          <c:showLegendKey val="0"/>
          <c:showVal val="1"/>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3.4445941462820158E-2"/>
          <c:y val="0.13588660707285721"/>
          <c:w val="0.94978901825452833"/>
          <c:h val="0.70406866058894624"/>
        </c:manualLayout>
      </c:layout>
      <c:lineChart>
        <c:grouping val="standard"/>
        <c:varyColors val="0"/>
        <c:ser>
          <c:idx val="0"/>
          <c:order val="0"/>
          <c:tx>
            <c:strRef>
              <c:f>Hoja2!$B$217:$B$218</c:f>
              <c:strCache>
                <c:ptCount val="1"/>
                <c:pt idx="0">
                  <c:v>Participación de lo Contratado en la Región Metropolitana en el Total Contratado</c:v>
                </c:pt>
              </c:strCache>
            </c:strRef>
          </c:tx>
          <c:spPr>
            <a:ln w="12700" cap="rnd">
              <a:solidFill>
                <a:srgbClr val="0070C0"/>
              </a:solidFill>
              <a:round/>
            </a:ln>
            <a:effectLst/>
          </c:spPr>
          <c:marker>
            <c:symbol val="star"/>
            <c:size val="7"/>
            <c:spPr>
              <a:no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Hoja2!$A$219:$A$226</c:f>
              <c:strCache>
                <c:ptCount val="7"/>
                <c:pt idx="0">
                  <c:v>1TRIM2018</c:v>
                </c:pt>
                <c:pt idx="1">
                  <c:v>2TRIM2018</c:v>
                </c:pt>
                <c:pt idx="2">
                  <c:v>3TRIM2018</c:v>
                </c:pt>
                <c:pt idx="3">
                  <c:v>4TRIM2018</c:v>
                </c:pt>
                <c:pt idx="4">
                  <c:v>1TRIM2019</c:v>
                </c:pt>
                <c:pt idx="5">
                  <c:v>2TRIM2019</c:v>
                </c:pt>
                <c:pt idx="6">
                  <c:v>3TRIM2019</c:v>
                </c:pt>
              </c:strCache>
            </c:strRef>
          </c:cat>
          <c:val>
            <c:numRef>
              <c:f>Hoja2!$B$219:$B$226</c:f>
              <c:numCache>
                <c:formatCode>0%</c:formatCode>
                <c:ptCount val="7"/>
                <c:pt idx="0">
                  <c:v>0.80735201838191095</c:v>
                </c:pt>
                <c:pt idx="1">
                  <c:v>0.80432896350191296</c:v>
                </c:pt>
                <c:pt idx="2">
                  <c:v>0.85647623602971301</c:v>
                </c:pt>
                <c:pt idx="3">
                  <c:v>0.84189195819979701</c:v>
                </c:pt>
                <c:pt idx="4">
                  <c:v>0.80156208092598003</c:v>
                </c:pt>
                <c:pt idx="5">
                  <c:v>0.76850058123810805</c:v>
                </c:pt>
                <c:pt idx="6">
                  <c:v>0.72938875608098663</c:v>
                </c:pt>
              </c:numCache>
            </c:numRef>
          </c:val>
          <c:smooth val="0"/>
          <c:extLst>
            <c:ext xmlns:c16="http://schemas.microsoft.com/office/drawing/2014/chart" uri="{C3380CC4-5D6E-409C-BE32-E72D297353CC}">
              <c16:uniqueId val="{00000000-B5C7-4D9A-B231-BF3AAE9AF040}"/>
            </c:ext>
          </c:extLst>
        </c:ser>
        <c:dLbls>
          <c:dLblPos val="t"/>
          <c:showLegendKey val="0"/>
          <c:showVal val="1"/>
          <c:showCatName val="0"/>
          <c:showSerName val="0"/>
          <c:showPercent val="0"/>
          <c:showBubbleSize val="0"/>
        </c:dLbls>
        <c:marker val="1"/>
        <c:smooth val="0"/>
        <c:axId val="-16246400"/>
        <c:axId val="-16245312"/>
      </c:lineChart>
      <c:catAx>
        <c:axId val="-16246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6245312"/>
        <c:crosses val="autoZero"/>
        <c:auto val="1"/>
        <c:lblAlgn val="ctr"/>
        <c:lblOffset val="100"/>
        <c:noMultiLvlLbl val="0"/>
      </c:catAx>
      <c:valAx>
        <c:axId val="-16245312"/>
        <c:scaling>
          <c:orientation val="minMax"/>
        </c:scaling>
        <c:delete val="1"/>
        <c:axPos val="l"/>
        <c:numFmt formatCode="0%" sourceLinked="1"/>
        <c:majorTickMark val="none"/>
        <c:minorTickMark val="none"/>
        <c:tickLblPos val="nextTo"/>
        <c:crossAx val="-16246400"/>
        <c:crosses val="autoZero"/>
        <c:crossBetween val="between"/>
      </c:valAx>
      <c:spPr>
        <a:noFill/>
        <a:ln>
          <a:noFill/>
        </a:ln>
        <a:effectLst/>
      </c:spPr>
    </c:plotArea>
    <c:legend>
      <c:legendPos val="b"/>
      <c:layout>
        <c:manualLayout>
          <c:xMode val="edge"/>
          <c:yMode val="edge"/>
          <c:x val="4.9999887159418908E-2"/>
          <c:y val="0.91858980712137628"/>
          <c:w val="0.9"/>
          <c:h val="5.8866514501768434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pivotOptions>
    </c:ext>
  </c:extLst>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[graficos_memorias_UIEE.xlsx]Hoja2!Tabla dinámica8</c:name>
    <c:fmtId val="-1"/>
  </c:pivotSource>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s-DO" sz="1200" b="0" i="0" baseline="0">
                <a:effectLst/>
              </a:rPr>
              <a:t>Número de Proveedores Adjudicados por Macro Región de Desarrollo - Trimestral </a:t>
            </a:r>
            <a:endParaRPr lang="es-DO" sz="1200" b="0">
              <a:effectLst/>
            </a:endParaRPr>
          </a:p>
        </c:rich>
      </c:tx>
      <c:layout>
        <c:manualLayout>
          <c:xMode val="edge"/>
          <c:yMode val="edge"/>
          <c:x val="0.11072992445940263"/>
          <c:y val="4.6200320601069524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s-DO"/>
        </a:p>
      </c:txPr>
    </c:title>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
        <c:idx val="14"/>
        <c:spPr>
          <a:solidFill>
            <a:schemeClr val="accent1"/>
          </a:solidFill>
          <a:ln>
            <a:noFill/>
          </a:ln>
          <a:effectLst/>
        </c:spPr>
        <c:marker>
          <c:symbol val="none"/>
        </c:marker>
      </c:pivotFmt>
      <c:pivotFmt>
        <c:idx val="15"/>
        <c:spPr>
          <a:solidFill>
            <a:schemeClr val="accent1"/>
          </a:solidFill>
          <a:ln>
            <a:noFill/>
          </a:ln>
          <a:effectLst/>
        </c:spPr>
        <c:marker>
          <c:symbol val="none"/>
        </c:marker>
      </c:pivotFmt>
      <c:pivotFmt>
        <c:idx val="16"/>
        <c:spPr>
          <a:solidFill>
            <a:schemeClr val="accent1"/>
          </a:solidFill>
          <a:ln>
            <a:noFill/>
          </a:ln>
          <a:effectLst/>
        </c:spPr>
        <c:marker>
          <c:symbol val="none"/>
        </c:marker>
      </c:pivotFmt>
      <c:pivotFmt>
        <c:idx val="17"/>
        <c:spPr>
          <a:solidFill>
            <a:schemeClr val="accent1"/>
          </a:solidFill>
          <a:ln>
            <a:noFill/>
          </a:ln>
          <a:effectLst/>
        </c:spPr>
        <c:marker>
          <c:symbol val="none"/>
        </c:marker>
      </c:pivotFmt>
      <c:pivotFmt>
        <c:idx val="18"/>
        <c:spPr>
          <a:solidFill>
            <a:schemeClr val="accent1"/>
          </a:solidFill>
          <a:ln>
            <a:noFill/>
          </a:ln>
          <a:effectLst/>
        </c:spPr>
        <c:marker>
          <c:symbol val="none"/>
        </c:marker>
      </c:pivotFmt>
      <c:pivotFmt>
        <c:idx val="19"/>
        <c:spPr>
          <a:solidFill>
            <a:schemeClr val="accent1"/>
          </a:solidFill>
          <a:ln w="12700" cap="rnd">
            <a:solidFill>
              <a:srgbClr val="7030A0"/>
            </a:solidFill>
            <a:round/>
          </a:ln>
          <a:effectLst/>
        </c:spPr>
        <c:marker>
          <c:symbol val="x"/>
          <c:size val="6"/>
          <c:spPr>
            <a:noFill/>
            <a:ln w="9525">
              <a:solidFill>
                <a:srgbClr val="7030A0"/>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t"/>
          <c:showLegendKey val="0"/>
          <c:showVal val="1"/>
          <c:showCatName val="0"/>
          <c:showSerName val="0"/>
          <c:showPercent val="0"/>
          <c:showBubbleSize val="0"/>
          <c:extLst>
            <c:ext xmlns:c15="http://schemas.microsoft.com/office/drawing/2012/chart" uri="{CE6537A1-D6FC-4f65-9D91-7224C49458BB}"/>
          </c:extLst>
        </c:dLbl>
      </c:pivotFmt>
      <c:pivotFmt>
        <c:idx val="20"/>
        <c:spPr>
          <a:solidFill>
            <a:schemeClr val="accent1"/>
          </a:solidFill>
          <a:ln w="9525" cap="rnd">
            <a:solidFill>
              <a:srgbClr val="002060"/>
            </a:solidFill>
            <a:round/>
          </a:ln>
          <a:effectLst/>
        </c:spPr>
        <c:marker>
          <c:symbol val="triangle"/>
          <c:size val="6"/>
          <c:spPr>
            <a:solidFill>
              <a:srgbClr val="002060"/>
            </a:solidFill>
            <a:ln w="9525">
              <a:solidFill>
                <a:srgbClr val="002060"/>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t"/>
          <c:showLegendKey val="0"/>
          <c:showVal val="1"/>
          <c:showCatName val="0"/>
          <c:showSerName val="0"/>
          <c:showPercent val="0"/>
          <c:showBubbleSize val="0"/>
          <c:extLst>
            <c:ext xmlns:c15="http://schemas.microsoft.com/office/drawing/2012/chart" uri="{CE6537A1-D6FC-4f65-9D91-7224C49458BB}"/>
          </c:extLst>
        </c:dLbl>
      </c:pivotFmt>
      <c:pivotFmt>
        <c:idx val="21"/>
        <c:spPr>
          <a:solidFill>
            <a:schemeClr val="accent1"/>
          </a:solidFill>
          <a:ln w="12700" cap="rnd">
            <a:solidFill>
              <a:srgbClr val="0070C0"/>
            </a:solidFill>
            <a:round/>
          </a:ln>
          <a:effectLst/>
        </c:spPr>
        <c:marker>
          <c:symbol val="circle"/>
          <c:size val="7"/>
          <c:spPr>
            <a:solidFill>
              <a:srgbClr val="0070C0"/>
            </a:solidFill>
            <a:ln w="9525">
              <a:solidFill>
                <a:srgbClr val="0070C0"/>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t"/>
          <c:showLegendKey val="0"/>
          <c:showVal val="1"/>
          <c:showCatName val="0"/>
          <c:showSerName val="0"/>
          <c:showPercent val="0"/>
          <c:showBubbleSize val="0"/>
          <c:extLst>
            <c:ext xmlns:c15="http://schemas.microsoft.com/office/drawing/2012/chart" uri="{CE6537A1-D6FC-4f65-9D91-7224C49458BB}"/>
          </c:extLst>
        </c:dLbl>
      </c:pivotFmt>
      <c:pivotFmt>
        <c:idx val="22"/>
        <c:spPr>
          <a:solidFill>
            <a:schemeClr val="accent1"/>
          </a:solidFill>
          <a:ln w="12700" cap="rnd">
            <a:solidFill>
              <a:srgbClr val="7030A0"/>
            </a:solidFill>
            <a:round/>
          </a:ln>
          <a:effectLst/>
        </c:spPr>
        <c:marker>
          <c:symbol val="x"/>
          <c:size val="6"/>
          <c:spPr>
            <a:noFill/>
            <a:ln w="9525">
              <a:solidFill>
                <a:srgbClr val="7030A0"/>
              </a:solidFill>
            </a:ln>
            <a:effectLst/>
          </c:spPr>
        </c:marker>
        <c:dLbl>
          <c:idx val="0"/>
          <c:layout>
            <c:manualLayout>
              <c:x val="-2.8515395253461348E-2"/>
              <c:y val="-4.0869201165805044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r"/>
          <c:showLegendKey val="0"/>
          <c:showVal val="1"/>
          <c:showCatName val="0"/>
          <c:showSerName val="0"/>
          <c:showPercent val="0"/>
          <c:showBubbleSize val="0"/>
          <c:extLst>
            <c:ext xmlns:c15="http://schemas.microsoft.com/office/drawing/2012/chart" uri="{CE6537A1-D6FC-4f65-9D91-7224C49458BB}"/>
          </c:extLst>
        </c:dLbl>
      </c:pivotFmt>
      <c:pivotFmt>
        <c:idx val="23"/>
        <c:spPr>
          <a:solidFill>
            <a:schemeClr val="accent1"/>
          </a:solidFill>
          <a:ln w="12700" cap="rnd">
            <a:solidFill>
              <a:srgbClr val="7030A0"/>
            </a:solidFill>
            <a:round/>
          </a:ln>
          <a:effectLst/>
        </c:spPr>
        <c:marker>
          <c:symbol val="x"/>
          <c:size val="6"/>
          <c:spPr>
            <a:noFill/>
            <a:ln w="9525">
              <a:solidFill>
                <a:srgbClr val="7030A0"/>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t"/>
          <c:showLegendKey val="0"/>
          <c:showVal val="1"/>
          <c:showCatName val="0"/>
          <c:showSerName val="0"/>
          <c:showPercent val="0"/>
          <c:showBubbleSize val="0"/>
          <c:extLst>
            <c:ext xmlns:c15="http://schemas.microsoft.com/office/drawing/2012/chart" uri="{CE6537A1-D6FC-4f65-9D91-7224C49458BB}"/>
          </c:extLst>
        </c:dLbl>
      </c:pivotFmt>
      <c:pivotFmt>
        <c:idx val="24"/>
        <c:spPr>
          <a:solidFill>
            <a:schemeClr val="accent1"/>
          </a:solidFill>
          <a:ln w="12700" cap="rnd">
            <a:solidFill>
              <a:srgbClr val="7030A0"/>
            </a:solidFill>
            <a:round/>
          </a:ln>
          <a:effectLst/>
        </c:spPr>
        <c:marker>
          <c:symbol val="x"/>
          <c:size val="6"/>
          <c:spPr>
            <a:noFill/>
            <a:ln w="9525">
              <a:solidFill>
                <a:srgbClr val="7030A0"/>
              </a:solidFill>
            </a:ln>
            <a:effectLst/>
          </c:spPr>
        </c:marker>
        <c:dLbl>
          <c:idx val="0"/>
          <c:layout>
            <c:manualLayout>
              <c:x val="-2.8515395253461348E-2"/>
              <c:y val="-4.0869201165805044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r"/>
          <c:showLegendKey val="0"/>
          <c:showVal val="1"/>
          <c:showCatName val="0"/>
          <c:showSerName val="0"/>
          <c:showPercent val="0"/>
          <c:showBubbleSize val="0"/>
          <c:extLst>
            <c:ext xmlns:c15="http://schemas.microsoft.com/office/drawing/2012/chart" uri="{CE6537A1-D6FC-4f65-9D91-7224C49458BB}"/>
          </c:extLst>
        </c:dLbl>
      </c:pivotFmt>
      <c:pivotFmt>
        <c:idx val="25"/>
        <c:spPr>
          <a:solidFill>
            <a:schemeClr val="accent1"/>
          </a:solidFill>
          <a:ln w="9525" cap="rnd">
            <a:solidFill>
              <a:srgbClr val="002060"/>
            </a:solidFill>
            <a:round/>
          </a:ln>
          <a:effectLst/>
        </c:spPr>
        <c:marker>
          <c:symbol val="triangle"/>
          <c:size val="6"/>
          <c:spPr>
            <a:solidFill>
              <a:srgbClr val="002060"/>
            </a:solidFill>
            <a:ln w="9525">
              <a:solidFill>
                <a:srgbClr val="002060"/>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t"/>
          <c:showLegendKey val="0"/>
          <c:showVal val="1"/>
          <c:showCatName val="0"/>
          <c:showSerName val="0"/>
          <c:showPercent val="0"/>
          <c:showBubbleSize val="0"/>
          <c:extLst>
            <c:ext xmlns:c15="http://schemas.microsoft.com/office/drawing/2012/chart" uri="{CE6537A1-D6FC-4f65-9D91-7224C49458BB}"/>
          </c:extLst>
        </c:dLbl>
      </c:pivotFmt>
      <c:pivotFmt>
        <c:idx val="26"/>
        <c:spPr>
          <a:solidFill>
            <a:schemeClr val="accent1"/>
          </a:solidFill>
          <a:ln w="12700" cap="rnd">
            <a:solidFill>
              <a:srgbClr val="0070C0"/>
            </a:solidFill>
            <a:round/>
          </a:ln>
          <a:effectLst/>
        </c:spPr>
        <c:marker>
          <c:symbol val="circle"/>
          <c:size val="7"/>
          <c:spPr>
            <a:solidFill>
              <a:srgbClr val="0070C0"/>
            </a:solidFill>
            <a:ln w="9525">
              <a:solidFill>
                <a:srgbClr val="0070C0"/>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t"/>
          <c:showLegendKey val="0"/>
          <c:showVal val="1"/>
          <c:showCatName val="0"/>
          <c:showSerName val="0"/>
          <c:showPercent val="0"/>
          <c:showBubbleSize val="0"/>
          <c:extLst>
            <c:ext xmlns:c15="http://schemas.microsoft.com/office/drawing/2012/chart" uri="{CE6537A1-D6FC-4f65-9D91-7224C49458BB}"/>
          </c:extLst>
        </c:dLbl>
      </c:pivotFmt>
      <c:pivotFmt>
        <c:idx val="27"/>
        <c:spPr>
          <a:solidFill>
            <a:schemeClr val="accent1"/>
          </a:solidFill>
          <a:ln w="12700" cap="rnd">
            <a:solidFill>
              <a:srgbClr val="7030A0"/>
            </a:solidFill>
            <a:round/>
          </a:ln>
          <a:effectLst/>
        </c:spPr>
        <c:marker>
          <c:symbol val="x"/>
          <c:size val="6"/>
          <c:spPr>
            <a:noFill/>
            <a:ln w="9525">
              <a:solidFill>
                <a:srgbClr val="7030A0"/>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t"/>
          <c:showLegendKey val="0"/>
          <c:showVal val="1"/>
          <c:showCatName val="0"/>
          <c:showSerName val="0"/>
          <c:showPercent val="0"/>
          <c:showBubbleSize val="0"/>
          <c:extLst>
            <c:ext xmlns:c15="http://schemas.microsoft.com/office/drawing/2012/chart" uri="{CE6537A1-D6FC-4f65-9D91-7224C49458BB}"/>
          </c:extLst>
        </c:dLbl>
      </c:pivotFmt>
      <c:pivotFmt>
        <c:idx val="28"/>
        <c:spPr>
          <a:solidFill>
            <a:schemeClr val="accent1"/>
          </a:solidFill>
          <a:ln w="12700" cap="rnd">
            <a:solidFill>
              <a:srgbClr val="7030A0"/>
            </a:solidFill>
            <a:round/>
          </a:ln>
          <a:effectLst/>
        </c:spPr>
        <c:marker>
          <c:symbol val="x"/>
          <c:size val="6"/>
          <c:spPr>
            <a:noFill/>
            <a:ln w="9525">
              <a:solidFill>
                <a:srgbClr val="7030A0"/>
              </a:solidFill>
            </a:ln>
            <a:effectLst/>
          </c:spPr>
        </c:marker>
        <c:dLbl>
          <c:idx val="0"/>
          <c:layout>
            <c:manualLayout>
              <c:x val="-2.8515395253461348E-2"/>
              <c:y val="-4.0869201165805044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r"/>
          <c:showLegendKey val="0"/>
          <c:showVal val="1"/>
          <c:showCatName val="0"/>
          <c:showSerName val="0"/>
          <c:showPercent val="0"/>
          <c:showBubbleSize val="0"/>
          <c:extLst>
            <c:ext xmlns:c15="http://schemas.microsoft.com/office/drawing/2012/chart" uri="{CE6537A1-D6FC-4f65-9D91-7224C49458BB}"/>
          </c:extLst>
        </c:dLbl>
      </c:pivotFmt>
      <c:pivotFmt>
        <c:idx val="29"/>
        <c:spPr>
          <a:solidFill>
            <a:schemeClr val="accent1"/>
          </a:solidFill>
          <a:ln w="9525" cap="rnd">
            <a:solidFill>
              <a:srgbClr val="002060"/>
            </a:solidFill>
            <a:round/>
          </a:ln>
          <a:effectLst/>
        </c:spPr>
        <c:marker>
          <c:symbol val="triangle"/>
          <c:size val="6"/>
          <c:spPr>
            <a:solidFill>
              <a:srgbClr val="002060"/>
            </a:solidFill>
            <a:ln w="9525">
              <a:solidFill>
                <a:srgbClr val="002060"/>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t"/>
          <c:showLegendKey val="0"/>
          <c:showVal val="1"/>
          <c:showCatName val="0"/>
          <c:showSerName val="0"/>
          <c:showPercent val="0"/>
          <c:showBubbleSize val="0"/>
          <c:extLst>
            <c:ext xmlns:c15="http://schemas.microsoft.com/office/drawing/2012/chart" uri="{CE6537A1-D6FC-4f65-9D91-7224C49458BB}"/>
          </c:extLst>
        </c:dLbl>
      </c:pivotFmt>
      <c:pivotFmt>
        <c:idx val="30"/>
        <c:spPr>
          <a:solidFill>
            <a:schemeClr val="accent1"/>
          </a:solidFill>
          <a:ln w="12700" cap="rnd">
            <a:solidFill>
              <a:srgbClr val="0070C0"/>
            </a:solidFill>
            <a:round/>
          </a:ln>
          <a:effectLst/>
        </c:spPr>
        <c:marker>
          <c:symbol val="circle"/>
          <c:size val="7"/>
          <c:spPr>
            <a:solidFill>
              <a:srgbClr val="0070C0"/>
            </a:solidFill>
            <a:ln w="9525">
              <a:solidFill>
                <a:srgbClr val="0070C0"/>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t"/>
          <c:showLegendKey val="0"/>
          <c:showVal val="1"/>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3.2234151640639391E-2"/>
          <c:y val="0.15126497767500943"/>
          <c:w val="0.93035081402456565"/>
          <c:h val="0.60363105824373786"/>
        </c:manualLayout>
      </c:layout>
      <c:lineChart>
        <c:grouping val="standard"/>
        <c:varyColors val="0"/>
        <c:ser>
          <c:idx val="0"/>
          <c:order val="0"/>
          <c:tx>
            <c:strRef>
              <c:f>Hoja2!$B$1:$B$2</c:f>
              <c:strCache>
                <c:ptCount val="1"/>
                <c:pt idx="0">
                  <c:v>Número de Proveedores Adjudicados en la Región Este </c:v>
                </c:pt>
              </c:strCache>
            </c:strRef>
          </c:tx>
          <c:spPr>
            <a:ln w="12700" cap="rnd">
              <a:solidFill>
                <a:srgbClr val="7030A0"/>
              </a:solidFill>
              <a:round/>
            </a:ln>
            <a:effectLst/>
          </c:spPr>
          <c:marker>
            <c:symbol val="x"/>
            <c:size val="6"/>
            <c:spPr>
              <a:noFill/>
              <a:ln w="9525">
                <a:solidFill>
                  <a:srgbClr val="7030A0"/>
                </a:solidFill>
              </a:ln>
              <a:effectLst/>
            </c:spPr>
          </c:marker>
          <c:dLbls>
            <c:dLbl>
              <c:idx val="5"/>
              <c:layout>
                <c:manualLayout>
                  <c:x val="-2.8515395253461348E-2"/>
                  <c:y val="-4.0869201165805044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4AB1-4688-B1EA-0C2BDAC1DF1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Hoja2!$A$3:$A$10</c:f>
              <c:strCache>
                <c:ptCount val="7"/>
                <c:pt idx="0">
                  <c:v>1TRIM2018</c:v>
                </c:pt>
                <c:pt idx="1">
                  <c:v>2TRIM2018</c:v>
                </c:pt>
                <c:pt idx="2">
                  <c:v>3TRIM2018</c:v>
                </c:pt>
                <c:pt idx="3">
                  <c:v>4TRIM2018</c:v>
                </c:pt>
                <c:pt idx="4">
                  <c:v>1TRIM2019</c:v>
                </c:pt>
                <c:pt idx="5">
                  <c:v>2TRIM2019</c:v>
                </c:pt>
                <c:pt idx="6">
                  <c:v>3TRIM2019</c:v>
                </c:pt>
              </c:strCache>
            </c:strRef>
          </c:cat>
          <c:val>
            <c:numRef>
              <c:f>Hoja2!$B$3:$B$10</c:f>
              <c:numCache>
                <c:formatCode>General</c:formatCode>
                <c:ptCount val="7"/>
                <c:pt idx="0">
                  <c:v>67</c:v>
                </c:pt>
                <c:pt idx="1">
                  <c:v>81</c:v>
                </c:pt>
                <c:pt idx="2">
                  <c:v>69</c:v>
                </c:pt>
                <c:pt idx="3">
                  <c:v>66</c:v>
                </c:pt>
                <c:pt idx="4">
                  <c:v>71</c:v>
                </c:pt>
                <c:pt idx="5">
                  <c:v>82</c:v>
                </c:pt>
                <c:pt idx="6">
                  <c:v>66</c:v>
                </c:pt>
              </c:numCache>
            </c:numRef>
          </c:val>
          <c:smooth val="0"/>
          <c:extLst>
            <c:ext xmlns:c16="http://schemas.microsoft.com/office/drawing/2014/chart" uri="{C3380CC4-5D6E-409C-BE32-E72D297353CC}">
              <c16:uniqueId val="{00000001-4AB1-4688-B1EA-0C2BDAC1DF19}"/>
            </c:ext>
          </c:extLst>
        </c:ser>
        <c:ser>
          <c:idx val="1"/>
          <c:order val="1"/>
          <c:tx>
            <c:strRef>
              <c:f>Hoja2!$C$1:$C$2</c:f>
              <c:strCache>
                <c:ptCount val="1"/>
                <c:pt idx="0">
                  <c:v>Número de Proveedores Adjudicados en la Región Norte </c:v>
                </c:pt>
              </c:strCache>
            </c:strRef>
          </c:tx>
          <c:spPr>
            <a:ln w="9525" cap="rnd">
              <a:solidFill>
                <a:srgbClr val="002060"/>
              </a:solidFill>
              <a:round/>
            </a:ln>
            <a:effectLst/>
          </c:spPr>
          <c:marker>
            <c:symbol val="triangle"/>
            <c:size val="6"/>
            <c:spPr>
              <a:solidFill>
                <a:srgbClr val="002060"/>
              </a:solidFill>
              <a:ln w="9525">
                <a:solidFill>
                  <a:srgbClr val="002060"/>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Hoja2!$A$3:$A$10</c:f>
              <c:strCache>
                <c:ptCount val="7"/>
                <c:pt idx="0">
                  <c:v>1TRIM2018</c:v>
                </c:pt>
                <c:pt idx="1">
                  <c:v>2TRIM2018</c:v>
                </c:pt>
                <c:pt idx="2">
                  <c:v>3TRIM2018</c:v>
                </c:pt>
                <c:pt idx="3">
                  <c:v>4TRIM2018</c:v>
                </c:pt>
                <c:pt idx="4">
                  <c:v>1TRIM2019</c:v>
                </c:pt>
                <c:pt idx="5">
                  <c:v>2TRIM2019</c:v>
                </c:pt>
                <c:pt idx="6">
                  <c:v>3TRIM2019</c:v>
                </c:pt>
              </c:strCache>
            </c:strRef>
          </c:cat>
          <c:val>
            <c:numRef>
              <c:f>Hoja2!$C$3:$C$10</c:f>
              <c:numCache>
                <c:formatCode>General</c:formatCode>
                <c:ptCount val="7"/>
                <c:pt idx="0">
                  <c:v>331</c:v>
                </c:pt>
                <c:pt idx="1">
                  <c:v>473</c:v>
                </c:pt>
                <c:pt idx="2">
                  <c:v>543</c:v>
                </c:pt>
                <c:pt idx="3">
                  <c:v>492</c:v>
                </c:pt>
                <c:pt idx="4">
                  <c:v>525</c:v>
                </c:pt>
                <c:pt idx="5">
                  <c:v>477</c:v>
                </c:pt>
                <c:pt idx="6">
                  <c:v>612</c:v>
                </c:pt>
              </c:numCache>
            </c:numRef>
          </c:val>
          <c:smooth val="0"/>
          <c:extLst>
            <c:ext xmlns:c16="http://schemas.microsoft.com/office/drawing/2014/chart" uri="{C3380CC4-5D6E-409C-BE32-E72D297353CC}">
              <c16:uniqueId val="{00000002-4AB1-4688-B1EA-0C2BDAC1DF19}"/>
            </c:ext>
          </c:extLst>
        </c:ser>
        <c:ser>
          <c:idx val="2"/>
          <c:order val="2"/>
          <c:tx>
            <c:strRef>
              <c:f>Hoja2!$D$1:$D$2</c:f>
              <c:strCache>
                <c:ptCount val="1"/>
                <c:pt idx="0">
                  <c:v>Número de Proveedores Adjudicados en la Región Sur</c:v>
                </c:pt>
              </c:strCache>
            </c:strRef>
          </c:tx>
          <c:spPr>
            <a:ln w="12700" cap="rnd">
              <a:solidFill>
                <a:srgbClr val="0070C0"/>
              </a:solidFill>
              <a:round/>
            </a:ln>
            <a:effectLst/>
          </c:spPr>
          <c:marker>
            <c:symbol val="circle"/>
            <c:size val="7"/>
            <c:spPr>
              <a:solidFill>
                <a:srgbClr val="0070C0"/>
              </a:solidFill>
              <a:ln w="9525">
                <a:solidFill>
                  <a:srgbClr val="0070C0"/>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Hoja2!$A$3:$A$10</c:f>
              <c:strCache>
                <c:ptCount val="7"/>
                <c:pt idx="0">
                  <c:v>1TRIM2018</c:v>
                </c:pt>
                <c:pt idx="1">
                  <c:v>2TRIM2018</c:v>
                </c:pt>
                <c:pt idx="2">
                  <c:v>3TRIM2018</c:v>
                </c:pt>
                <c:pt idx="3">
                  <c:v>4TRIM2018</c:v>
                </c:pt>
                <c:pt idx="4">
                  <c:v>1TRIM2019</c:v>
                </c:pt>
                <c:pt idx="5">
                  <c:v>2TRIM2019</c:v>
                </c:pt>
                <c:pt idx="6">
                  <c:v>3TRIM2019</c:v>
                </c:pt>
              </c:strCache>
            </c:strRef>
          </c:cat>
          <c:val>
            <c:numRef>
              <c:f>Hoja2!$D$3:$D$10</c:f>
              <c:numCache>
                <c:formatCode>General</c:formatCode>
                <c:ptCount val="7"/>
                <c:pt idx="0">
                  <c:v>152</c:v>
                </c:pt>
                <c:pt idx="1">
                  <c:v>187</c:v>
                </c:pt>
                <c:pt idx="2">
                  <c:v>185</c:v>
                </c:pt>
                <c:pt idx="3">
                  <c:v>180</c:v>
                </c:pt>
                <c:pt idx="4">
                  <c:v>186</c:v>
                </c:pt>
                <c:pt idx="5">
                  <c:v>162</c:v>
                </c:pt>
                <c:pt idx="6">
                  <c:v>188</c:v>
                </c:pt>
              </c:numCache>
            </c:numRef>
          </c:val>
          <c:smooth val="0"/>
          <c:extLst>
            <c:ext xmlns:c16="http://schemas.microsoft.com/office/drawing/2014/chart" uri="{C3380CC4-5D6E-409C-BE32-E72D297353CC}">
              <c16:uniqueId val="{00000003-4AB1-4688-B1EA-0C2BDAC1DF19}"/>
            </c:ext>
          </c:extLst>
        </c:ser>
        <c:dLbls>
          <c:dLblPos val="t"/>
          <c:showLegendKey val="0"/>
          <c:showVal val="1"/>
          <c:showCatName val="0"/>
          <c:showSerName val="0"/>
          <c:showPercent val="0"/>
          <c:showBubbleSize val="0"/>
        </c:dLbls>
        <c:marker val="1"/>
        <c:smooth val="0"/>
        <c:axId val="-7789712"/>
        <c:axId val="-7792976"/>
      </c:lineChart>
      <c:catAx>
        <c:axId val="-7789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DO"/>
          </a:p>
        </c:txPr>
        <c:crossAx val="-7792976"/>
        <c:crosses val="autoZero"/>
        <c:auto val="1"/>
        <c:lblAlgn val="ctr"/>
        <c:lblOffset val="100"/>
        <c:noMultiLvlLbl val="0"/>
      </c:catAx>
      <c:valAx>
        <c:axId val="-7792976"/>
        <c:scaling>
          <c:orientation val="minMax"/>
        </c:scaling>
        <c:delete val="1"/>
        <c:axPos val="l"/>
        <c:numFmt formatCode="General" sourceLinked="1"/>
        <c:majorTickMark val="none"/>
        <c:minorTickMark val="none"/>
        <c:tickLblPos val="nextTo"/>
        <c:crossAx val="-7789712"/>
        <c:crosses val="autoZero"/>
        <c:crossBetween val="between"/>
      </c:valAx>
      <c:spPr>
        <a:noFill/>
        <a:ln>
          <a:noFill/>
        </a:ln>
        <a:effectLst/>
      </c:spPr>
    </c:plotArea>
    <c:legend>
      <c:legendPos val="b"/>
      <c:layout>
        <c:manualLayout>
          <c:xMode val="edge"/>
          <c:yMode val="edge"/>
          <c:x val="0.18527924182100139"/>
          <c:y val="0.84484554205362583"/>
          <c:w val="0.64018243424461518"/>
          <c:h val="0.10507242034770935"/>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pivotOptions>
    </c:ext>
  </c:extLst>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[graficos_memorias_UIEE.xlsx]Hoja2!Tabla dinámica9</c:name>
    <c:fmtId val="-1"/>
  </c:pivotSource>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s-DO" sz="1200" b="0" i="0" baseline="0">
                <a:effectLst/>
              </a:rPr>
              <a:t>Número de Proveedores Adjudicados en la Región Metropolitana - Trimestral </a:t>
            </a:r>
            <a:endParaRPr lang="es-DO" sz="1200" b="0">
              <a:effectLst/>
            </a:endParaRPr>
          </a:p>
        </c:rich>
      </c:tx>
      <c:layout>
        <c:manualLayout>
          <c:xMode val="edge"/>
          <c:yMode val="edge"/>
          <c:x val="0.1692127077382021"/>
          <c:y val="8.7106951546230452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s-DO"/>
        </a:p>
      </c:txPr>
    </c:title>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
        <c:idx val="14"/>
        <c:spPr>
          <a:solidFill>
            <a:schemeClr val="accent1"/>
          </a:solidFill>
          <a:ln>
            <a:noFill/>
          </a:ln>
          <a:effectLst/>
        </c:spPr>
        <c:marker>
          <c:symbol val="none"/>
        </c:marker>
      </c:pivotFmt>
      <c:pivotFmt>
        <c:idx val="15"/>
        <c:spPr>
          <a:solidFill>
            <a:schemeClr val="accent1"/>
          </a:solidFill>
          <a:ln>
            <a:noFill/>
          </a:ln>
          <a:effectLst/>
        </c:spPr>
        <c:marker>
          <c:symbol val="none"/>
        </c:marker>
      </c:pivotFmt>
      <c:pivotFmt>
        <c:idx val="16"/>
        <c:spPr>
          <a:solidFill>
            <a:schemeClr val="accent1"/>
          </a:solidFill>
          <a:ln>
            <a:noFill/>
          </a:ln>
          <a:effectLst/>
        </c:spPr>
        <c:marker>
          <c:symbol val="none"/>
        </c:marker>
      </c:pivotFmt>
      <c:pivotFmt>
        <c:idx val="17"/>
        <c:spPr>
          <a:solidFill>
            <a:schemeClr val="accent1"/>
          </a:solidFill>
          <a:ln>
            <a:noFill/>
          </a:ln>
          <a:effectLst/>
        </c:spPr>
        <c:marker>
          <c:symbol val="none"/>
        </c:marker>
      </c:pivotFmt>
      <c:pivotFmt>
        <c:idx val="18"/>
        <c:spPr>
          <a:solidFill>
            <a:schemeClr val="accent1"/>
          </a:solidFill>
          <a:ln>
            <a:noFill/>
          </a:ln>
          <a:effectLst/>
        </c:spPr>
        <c:marker>
          <c:symbol val="none"/>
        </c:marker>
      </c:pivotFmt>
      <c:pivotFmt>
        <c:idx val="19"/>
        <c:spPr>
          <a:solidFill>
            <a:schemeClr val="accent1"/>
          </a:solidFill>
          <a:ln w="12700" cap="rnd">
            <a:solidFill>
              <a:srgbClr val="0070C0"/>
            </a:solidFill>
            <a:round/>
          </a:ln>
          <a:effectLst/>
        </c:spPr>
        <c:marker>
          <c:symbol val="star"/>
          <c:size val="7"/>
          <c:spPr>
            <a:noFill/>
            <a:ln w="9525">
              <a:solidFill>
                <a:srgbClr val="0070C0"/>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t"/>
          <c:showLegendKey val="0"/>
          <c:showVal val="1"/>
          <c:showCatName val="0"/>
          <c:showSerName val="0"/>
          <c:showPercent val="0"/>
          <c:showBubbleSize val="0"/>
          <c:extLst>
            <c:ext xmlns:c15="http://schemas.microsoft.com/office/drawing/2012/chart" uri="{CE6537A1-D6FC-4f65-9D91-7224C49458BB}"/>
          </c:extLst>
        </c:dLbl>
      </c:pivotFmt>
      <c:pivotFmt>
        <c:idx val="20"/>
        <c:spPr>
          <a:solidFill>
            <a:schemeClr val="accent1"/>
          </a:solidFill>
          <a:ln w="12700" cap="rnd">
            <a:solidFill>
              <a:srgbClr val="0070C0"/>
            </a:solidFill>
            <a:round/>
          </a:ln>
          <a:effectLst/>
        </c:spPr>
        <c:marker>
          <c:symbol val="star"/>
          <c:size val="7"/>
          <c:spPr>
            <a:noFill/>
            <a:ln w="9525">
              <a:solidFill>
                <a:srgbClr val="0070C0"/>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t"/>
          <c:showLegendKey val="0"/>
          <c:showVal val="1"/>
          <c:showCatName val="0"/>
          <c:showSerName val="0"/>
          <c:showPercent val="0"/>
          <c:showBubbleSize val="0"/>
          <c:extLst>
            <c:ext xmlns:c15="http://schemas.microsoft.com/office/drawing/2012/chart" uri="{CE6537A1-D6FC-4f65-9D91-7224C49458BB}"/>
          </c:extLst>
        </c:dLbl>
      </c:pivotFmt>
      <c:pivotFmt>
        <c:idx val="21"/>
        <c:spPr>
          <a:solidFill>
            <a:schemeClr val="accent1"/>
          </a:solidFill>
          <a:ln w="12700" cap="rnd">
            <a:solidFill>
              <a:srgbClr val="0070C0"/>
            </a:solidFill>
            <a:round/>
          </a:ln>
          <a:effectLst/>
        </c:spPr>
        <c:marker>
          <c:symbol val="star"/>
          <c:size val="7"/>
          <c:spPr>
            <a:noFill/>
            <a:ln w="9525">
              <a:solidFill>
                <a:srgbClr val="0070C0"/>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t"/>
          <c:showLegendKey val="0"/>
          <c:showVal val="1"/>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2.5644468257658044E-2"/>
          <c:y val="0.2913882346441608"/>
          <c:w val="0.94871095428648111"/>
          <c:h val="0.52827320563084745"/>
        </c:manualLayout>
      </c:layout>
      <c:lineChart>
        <c:grouping val="standard"/>
        <c:varyColors val="0"/>
        <c:ser>
          <c:idx val="0"/>
          <c:order val="0"/>
          <c:tx>
            <c:strRef>
              <c:f>Hoja2!$B$28:$B$29</c:f>
              <c:strCache>
                <c:ptCount val="1"/>
                <c:pt idx="0">
                  <c:v>Número de Proveedores Adjudicados en la Región Metropolitana</c:v>
                </c:pt>
              </c:strCache>
            </c:strRef>
          </c:tx>
          <c:spPr>
            <a:ln w="12700" cap="rnd">
              <a:solidFill>
                <a:srgbClr val="0070C0"/>
              </a:solidFill>
              <a:round/>
            </a:ln>
            <a:effectLst/>
          </c:spPr>
          <c:marker>
            <c:symbol val="star"/>
            <c:size val="7"/>
            <c:spPr>
              <a:noFill/>
              <a:ln w="9525">
                <a:solidFill>
                  <a:srgbClr val="0070C0"/>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Hoja2!$A$30:$A$37</c:f>
              <c:strCache>
                <c:ptCount val="7"/>
                <c:pt idx="0">
                  <c:v>1TRIM2018</c:v>
                </c:pt>
                <c:pt idx="1">
                  <c:v>2TRIM2018</c:v>
                </c:pt>
                <c:pt idx="2">
                  <c:v>3TRIM2018</c:v>
                </c:pt>
                <c:pt idx="3">
                  <c:v>4TRIM2018</c:v>
                </c:pt>
                <c:pt idx="4">
                  <c:v>1TRIM2019</c:v>
                </c:pt>
                <c:pt idx="5">
                  <c:v>2TRIM2019</c:v>
                </c:pt>
                <c:pt idx="6">
                  <c:v>3TRIM2019</c:v>
                </c:pt>
              </c:strCache>
            </c:strRef>
          </c:cat>
          <c:val>
            <c:numRef>
              <c:f>Hoja2!$B$30:$B$37</c:f>
              <c:numCache>
                <c:formatCode>#,##0</c:formatCode>
                <c:ptCount val="7"/>
                <c:pt idx="0">
                  <c:v>2580</c:v>
                </c:pt>
                <c:pt idx="1">
                  <c:v>3720</c:v>
                </c:pt>
                <c:pt idx="2">
                  <c:v>3622</c:v>
                </c:pt>
                <c:pt idx="3">
                  <c:v>3960</c:v>
                </c:pt>
                <c:pt idx="4">
                  <c:v>3419</c:v>
                </c:pt>
                <c:pt idx="5">
                  <c:v>3683</c:v>
                </c:pt>
                <c:pt idx="6">
                  <c:v>3806</c:v>
                </c:pt>
              </c:numCache>
            </c:numRef>
          </c:val>
          <c:smooth val="0"/>
          <c:extLst>
            <c:ext xmlns:c16="http://schemas.microsoft.com/office/drawing/2014/chart" uri="{C3380CC4-5D6E-409C-BE32-E72D297353CC}">
              <c16:uniqueId val="{00000000-C71F-46C8-9BDC-FA6B1102B35A}"/>
            </c:ext>
          </c:extLst>
        </c:ser>
        <c:dLbls>
          <c:dLblPos val="t"/>
          <c:showLegendKey val="0"/>
          <c:showVal val="1"/>
          <c:showCatName val="0"/>
          <c:showSerName val="0"/>
          <c:showPercent val="0"/>
          <c:showBubbleSize val="0"/>
        </c:dLbls>
        <c:marker val="1"/>
        <c:smooth val="0"/>
        <c:axId val="-7788624"/>
        <c:axId val="-7786992"/>
      </c:lineChart>
      <c:catAx>
        <c:axId val="-7788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7786992"/>
        <c:crosses val="autoZero"/>
        <c:auto val="1"/>
        <c:lblAlgn val="ctr"/>
        <c:lblOffset val="100"/>
        <c:noMultiLvlLbl val="0"/>
      </c:catAx>
      <c:valAx>
        <c:axId val="-7786992"/>
        <c:scaling>
          <c:orientation val="minMax"/>
        </c:scaling>
        <c:delete val="1"/>
        <c:axPos val="l"/>
        <c:numFmt formatCode="#,##0" sourceLinked="1"/>
        <c:majorTickMark val="none"/>
        <c:minorTickMark val="none"/>
        <c:tickLblPos val="nextTo"/>
        <c:crossAx val="-778862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pivotOptions>
    </c:ext>
  </c:extLst>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lineChart>
        <c:grouping val="standard"/>
        <c:varyColors val="0"/>
        <c:ser>
          <c:idx val="0"/>
          <c:order val="0"/>
          <c:tx>
            <c:strRef>
              <c:f>'Graficos SMMGP'!$C$16:$D$16</c:f>
              <c:strCache>
                <c:ptCount val="2"/>
                <c:pt idx="0">
                  <c:v>Índice de Transparencia (DIGEIG)</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circle"/>
              <c:size val="5"/>
              <c:spPr>
                <a:solidFill>
                  <a:schemeClr val="accent1"/>
                </a:solidFill>
                <a:ln w="9525">
                  <a:solidFill>
                    <a:schemeClr val="accent1"/>
                  </a:solidFill>
                </a:ln>
                <a:effectLst/>
              </c:spPr>
            </c:marker>
            <c:bubble3D val="0"/>
            <c:spPr>
              <a:ln w="28575" cap="rnd">
                <a:solidFill>
                  <a:srgbClr val="002060"/>
                </a:solidFill>
                <a:round/>
              </a:ln>
              <a:effectLst/>
            </c:spPr>
            <c:extLst>
              <c:ext xmlns:c16="http://schemas.microsoft.com/office/drawing/2014/chart" uri="{C3380CC4-5D6E-409C-BE32-E72D297353CC}">
                <c16:uniqueId val="{00000001-2F6B-4919-813E-CF0F8EE50213}"/>
              </c:ext>
            </c:extLst>
          </c:dPt>
          <c:dPt>
            <c:idx val="2"/>
            <c:marker>
              <c:symbol val="circle"/>
              <c:size val="5"/>
              <c:spPr>
                <a:solidFill>
                  <a:schemeClr val="accent1"/>
                </a:solidFill>
                <a:ln w="9525">
                  <a:solidFill>
                    <a:schemeClr val="accent1"/>
                  </a:solidFill>
                </a:ln>
                <a:effectLst/>
              </c:spPr>
            </c:marker>
            <c:bubble3D val="0"/>
            <c:spPr>
              <a:ln w="28575" cap="rnd">
                <a:solidFill>
                  <a:srgbClr val="002060"/>
                </a:solidFill>
                <a:round/>
              </a:ln>
              <a:effectLst/>
            </c:spPr>
            <c:extLst>
              <c:ext xmlns:c16="http://schemas.microsoft.com/office/drawing/2014/chart" uri="{C3380CC4-5D6E-409C-BE32-E72D297353CC}">
                <c16:uniqueId val="{00000003-2F6B-4919-813E-CF0F8EE5021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exp"/>
            <c:dispRSqr val="0"/>
            <c:dispEq val="0"/>
          </c:trendline>
          <c:cat>
            <c:strRef>
              <c:f>'Graficos SMMGP'!$E$15:$H$15</c:f>
              <c:strCache>
                <c:ptCount val="3"/>
                <c:pt idx="0">
                  <c:v>T1</c:v>
                </c:pt>
                <c:pt idx="1">
                  <c:v>T2</c:v>
                </c:pt>
                <c:pt idx="2">
                  <c:v>T3</c:v>
                </c:pt>
              </c:strCache>
              <c:extLst/>
            </c:strRef>
          </c:cat>
          <c:val>
            <c:numRef>
              <c:f>'Graficos SMMGP'!$E$16:$H$16</c:f>
              <c:numCache>
                <c:formatCode>0.0%</c:formatCode>
                <c:ptCount val="3"/>
                <c:pt idx="0">
                  <c:v>0.97</c:v>
                </c:pt>
                <c:pt idx="1">
                  <c:v>0.97</c:v>
                </c:pt>
                <c:pt idx="2">
                  <c:v>0.98</c:v>
                </c:pt>
              </c:numCache>
              <c:extLst/>
            </c:numRef>
          </c:val>
          <c:smooth val="0"/>
          <c:extLst>
            <c:ext xmlns:c16="http://schemas.microsoft.com/office/drawing/2014/chart" uri="{C3380CC4-5D6E-409C-BE32-E72D297353CC}">
              <c16:uniqueId val="{00000004-2F6B-4919-813E-CF0F8EE50213}"/>
            </c:ext>
          </c:extLst>
        </c:ser>
        <c:dLbls>
          <c:dLblPos val="t"/>
          <c:showLegendKey val="0"/>
          <c:showVal val="1"/>
          <c:showCatName val="0"/>
          <c:showSerName val="0"/>
          <c:showPercent val="0"/>
          <c:showBubbleSize val="0"/>
        </c:dLbls>
        <c:marker val="1"/>
        <c:smooth val="0"/>
        <c:axId val="210207504"/>
        <c:axId val="210218320"/>
      </c:lineChart>
      <c:catAx>
        <c:axId val="210207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210218320"/>
        <c:crosses val="autoZero"/>
        <c:auto val="1"/>
        <c:lblAlgn val="ctr"/>
        <c:lblOffset val="100"/>
        <c:noMultiLvlLbl val="0"/>
      </c:catAx>
      <c:valAx>
        <c:axId val="210218320"/>
        <c:scaling>
          <c:orientation val="minMax"/>
        </c:scaling>
        <c:delete val="1"/>
        <c:axPos val="l"/>
        <c:numFmt formatCode="0.0%" sourceLinked="1"/>
        <c:majorTickMark val="none"/>
        <c:minorTickMark val="none"/>
        <c:tickLblPos val="nextTo"/>
        <c:crossAx val="2102075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4">
  <a:schemeClr val="accent1"/>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4.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Agency FB">
    <w:panose1 w:val="020B0503020202020204"/>
    <w:charset w:val="00"/>
    <w:family w:val="swiss"/>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E11"/>
    <w:rsid w:val="007F4E11"/>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DO" w:eastAsia="es-D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009CD58CBCC742978CA8C4A4F7EABC40">
    <w:name w:val="009CD58CBCC742978CA8C4A4F7EABC40"/>
    <w:rsid w:val="007F4E11"/>
  </w:style>
  <w:style w:type="paragraph" w:customStyle="1" w:styleId="0C397C326FCF49A2B47D65A8E46AD1F7">
    <w:name w:val="0C397C326FCF49A2B47D65A8E46AD1F7"/>
    <w:rsid w:val="007F4E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rgbClr val="FFFFFF"/>
        </a:solidFill>
        <a:ln w="9525">
          <a:solidFill>
            <a:schemeClr val="accent5"/>
          </a:solidFill>
          <a:prstDash val="dash"/>
          <a:miter lim="800000"/>
          <a:headEnd/>
          <a:tailEnd/>
        </a:ln>
      </a:spPr>
      <a:bodyPr rot="0" vert="horz" wrap="square" lIns="91440" tIns="45720" rIns="91440" bIns="45720" anchor="t" anchorCtr="0">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6AD2BB-C2FD-4248-BC60-B21811C31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141</Pages>
  <Words>24746</Words>
  <Characters>136109</Characters>
  <Application>Microsoft Office Word</Application>
  <DocSecurity>0</DocSecurity>
  <Lines>1134</Lines>
  <Paragraphs>321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160534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Del Castillo</dc:creator>
  <cp:keywords/>
  <dc:description/>
  <cp:lastModifiedBy>Clara Maria  Aquino Smester</cp:lastModifiedBy>
  <cp:revision>3</cp:revision>
  <cp:lastPrinted>2019-12-02T23:59:00Z</cp:lastPrinted>
  <dcterms:created xsi:type="dcterms:W3CDTF">2019-12-14T00:25:00Z</dcterms:created>
  <dcterms:modified xsi:type="dcterms:W3CDTF">2019-12-14T00:33:00Z</dcterms:modified>
</cp:coreProperties>
</file>