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permStart w:id="1025519059" w:edGrp="everyone" w:displacedByCustomXml="next"/>
    <w:sdt>
      <w:sdtPr>
        <w:rPr>
          <w:rFonts w:ascii="Arial" w:eastAsia="Times New Roman" w:hAnsi="Arial" w:cs="Times New Roman"/>
          <w:color w:val="auto"/>
          <w:sz w:val="24"/>
          <w:szCs w:val="24"/>
          <w:lang w:val="es-ES"/>
        </w:rPr>
        <w:id w:val="-1559626283"/>
        <w:docPartObj>
          <w:docPartGallery w:val="Table of Contents"/>
          <w:docPartUnique/>
        </w:docPartObj>
      </w:sdtPr>
      <w:sdtEndPr>
        <w:rPr>
          <w:b/>
          <w:bCs/>
        </w:rPr>
      </w:sdtEndPr>
      <w:sdtContent>
        <w:p w14:paraId="376275D6" w14:textId="3AB3E11B" w:rsidR="00BC5EEF" w:rsidRPr="00E406B4" w:rsidRDefault="007B76C9" w:rsidP="007B76C9">
          <w:pPr>
            <w:pStyle w:val="TtulodeTDC"/>
            <w:numPr>
              <w:ilvl w:val="0"/>
              <w:numId w:val="50"/>
            </w:numPr>
            <w:rPr>
              <w:rFonts w:ascii="Arial" w:hAnsi="Arial"/>
              <w:b/>
              <w:sz w:val="24"/>
              <w:lang w:val="es-ES"/>
            </w:rPr>
          </w:pPr>
          <w:r w:rsidRPr="00E406B4">
            <w:rPr>
              <w:rFonts w:ascii="Arial" w:hAnsi="Arial"/>
              <w:b/>
              <w:sz w:val="24"/>
              <w:lang w:val="es-ES"/>
            </w:rPr>
            <w:t>Indice de Contenido</w:t>
          </w:r>
        </w:p>
        <w:p w14:paraId="3957E4F4" w14:textId="77777777" w:rsidR="00C14D91" w:rsidRDefault="00BC5EEF">
          <w:pPr>
            <w:pStyle w:val="TDC1"/>
            <w:tabs>
              <w:tab w:val="right" w:leader="dot" w:pos="9926"/>
            </w:tabs>
            <w:rPr>
              <w:rFonts w:cstheme="minorBidi"/>
              <w:noProof/>
              <w:lang w:val="en-US"/>
            </w:rPr>
          </w:pPr>
          <w:r w:rsidRPr="00E406B4">
            <w:rPr>
              <w:rFonts w:ascii="Arial" w:hAnsi="Arial"/>
              <w:b/>
              <w:bCs/>
              <w:sz w:val="24"/>
              <w:lang w:val="es-ES"/>
            </w:rPr>
            <w:fldChar w:fldCharType="begin"/>
          </w:r>
          <w:r w:rsidRPr="00E406B4">
            <w:rPr>
              <w:rFonts w:ascii="Arial" w:hAnsi="Arial"/>
              <w:b/>
              <w:bCs/>
              <w:sz w:val="24"/>
              <w:lang w:val="es-ES"/>
            </w:rPr>
            <w:instrText xml:space="preserve"> TOC \o "1-3" \h \z \u </w:instrText>
          </w:r>
          <w:r w:rsidRPr="00E406B4">
            <w:rPr>
              <w:rFonts w:ascii="Arial" w:hAnsi="Arial"/>
              <w:b/>
              <w:bCs/>
              <w:sz w:val="24"/>
              <w:lang w:val="es-ES"/>
            </w:rPr>
            <w:fldChar w:fldCharType="separate"/>
          </w:r>
          <w:hyperlink w:anchor="_Toc29406129" w:history="1">
            <w:r w:rsidR="00C14D91" w:rsidRPr="00A97070">
              <w:rPr>
                <w:rStyle w:val="Hipervnculo"/>
                <w:rFonts w:ascii="Times New Roman" w:hAnsi="Times New Roman"/>
                <w:b/>
                <w:noProof/>
                <w:lang w:val="es-ES"/>
              </w:rPr>
              <w:t>II.       Resumen Ejecutivo</w:t>
            </w:r>
            <w:r w:rsidR="00C14D91">
              <w:rPr>
                <w:noProof/>
                <w:webHidden/>
              </w:rPr>
              <w:tab/>
            </w:r>
            <w:r w:rsidR="00C14D91">
              <w:rPr>
                <w:noProof/>
                <w:webHidden/>
              </w:rPr>
              <w:fldChar w:fldCharType="begin"/>
            </w:r>
            <w:r w:rsidR="00C14D91">
              <w:rPr>
                <w:noProof/>
                <w:webHidden/>
              </w:rPr>
              <w:instrText xml:space="preserve"> PAGEREF _Toc29406129 \h </w:instrText>
            </w:r>
            <w:r w:rsidR="00C14D91">
              <w:rPr>
                <w:noProof/>
                <w:webHidden/>
              </w:rPr>
            </w:r>
            <w:r w:rsidR="00C14D91">
              <w:rPr>
                <w:noProof/>
                <w:webHidden/>
              </w:rPr>
              <w:fldChar w:fldCharType="separate"/>
            </w:r>
            <w:r w:rsidR="00E87F5C">
              <w:rPr>
                <w:noProof/>
                <w:webHidden/>
              </w:rPr>
              <w:t>2</w:t>
            </w:r>
            <w:r w:rsidR="00C14D91">
              <w:rPr>
                <w:noProof/>
                <w:webHidden/>
              </w:rPr>
              <w:fldChar w:fldCharType="end"/>
            </w:r>
          </w:hyperlink>
        </w:p>
        <w:p w14:paraId="7BF749A4" w14:textId="77777777" w:rsidR="00C14D91" w:rsidRDefault="008F2677">
          <w:pPr>
            <w:pStyle w:val="TDC1"/>
            <w:tabs>
              <w:tab w:val="left" w:pos="660"/>
              <w:tab w:val="right" w:leader="dot" w:pos="9926"/>
            </w:tabs>
            <w:rPr>
              <w:rFonts w:cstheme="minorBidi"/>
              <w:noProof/>
              <w:lang w:val="en-US"/>
            </w:rPr>
          </w:pPr>
          <w:hyperlink w:anchor="_Toc29406145" w:history="1">
            <w:r w:rsidR="00C14D91" w:rsidRPr="00A97070">
              <w:rPr>
                <w:rStyle w:val="Hipervnculo"/>
                <w:rFonts w:ascii="Times New Roman" w:hAnsi="Times New Roman"/>
                <w:b/>
                <w:noProof/>
                <w:lang w:val="es-ES"/>
              </w:rPr>
              <w:t>III.</w:t>
            </w:r>
            <w:r w:rsidR="00C14D91">
              <w:rPr>
                <w:rFonts w:cstheme="minorBidi"/>
                <w:noProof/>
                <w:lang w:val="en-US"/>
              </w:rPr>
              <w:tab/>
            </w:r>
            <w:r w:rsidR="00C14D91" w:rsidRPr="00A97070">
              <w:rPr>
                <w:rStyle w:val="Hipervnculo"/>
                <w:rFonts w:ascii="Times New Roman" w:hAnsi="Times New Roman"/>
                <w:b/>
                <w:noProof/>
                <w:lang w:val="es-ES"/>
              </w:rPr>
              <w:t>Información Institucional (Misión, Visión, Funcionarios, Base Legal)</w:t>
            </w:r>
            <w:r w:rsidR="00C14D91">
              <w:rPr>
                <w:noProof/>
                <w:webHidden/>
              </w:rPr>
              <w:tab/>
            </w:r>
            <w:r w:rsidR="00C14D91">
              <w:rPr>
                <w:noProof/>
                <w:webHidden/>
              </w:rPr>
              <w:fldChar w:fldCharType="begin"/>
            </w:r>
            <w:r w:rsidR="00C14D91">
              <w:rPr>
                <w:noProof/>
                <w:webHidden/>
              </w:rPr>
              <w:instrText xml:space="preserve"> PAGEREF _Toc29406145 \h </w:instrText>
            </w:r>
            <w:r w:rsidR="00C14D91">
              <w:rPr>
                <w:noProof/>
                <w:webHidden/>
              </w:rPr>
            </w:r>
            <w:r w:rsidR="00C14D91">
              <w:rPr>
                <w:noProof/>
                <w:webHidden/>
              </w:rPr>
              <w:fldChar w:fldCharType="separate"/>
            </w:r>
            <w:r w:rsidR="00E87F5C">
              <w:rPr>
                <w:noProof/>
                <w:webHidden/>
              </w:rPr>
              <w:t>5</w:t>
            </w:r>
            <w:r w:rsidR="00C14D91">
              <w:rPr>
                <w:noProof/>
                <w:webHidden/>
              </w:rPr>
              <w:fldChar w:fldCharType="end"/>
            </w:r>
          </w:hyperlink>
        </w:p>
        <w:p w14:paraId="58D11316" w14:textId="77777777" w:rsidR="00C14D91" w:rsidRDefault="008F2677">
          <w:pPr>
            <w:pStyle w:val="TDC1"/>
            <w:tabs>
              <w:tab w:val="left" w:pos="660"/>
              <w:tab w:val="right" w:leader="dot" w:pos="9926"/>
            </w:tabs>
            <w:rPr>
              <w:rFonts w:cstheme="minorBidi"/>
              <w:noProof/>
              <w:lang w:val="en-US"/>
            </w:rPr>
          </w:pPr>
          <w:hyperlink w:anchor="_Toc29406147" w:history="1">
            <w:r w:rsidR="00C14D91" w:rsidRPr="00A97070">
              <w:rPr>
                <w:rStyle w:val="Hipervnculo"/>
                <w:rFonts w:ascii="Times New Roman" w:hAnsi="Times New Roman"/>
                <w:b/>
                <w:noProof/>
                <w:lang w:val="es-MX"/>
              </w:rPr>
              <w:t>IV.</w:t>
            </w:r>
            <w:r w:rsidR="00C14D91">
              <w:rPr>
                <w:rFonts w:cstheme="minorBidi"/>
                <w:noProof/>
                <w:lang w:val="en-US"/>
              </w:rPr>
              <w:tab/>
            </w:r>
            <w:r w:rsidR="00C14D91" w:rsidRPr="00A97070">
              <w:rPr>
                <w:rStyle w:val="Hipervnculo"/>
                <w:rFonts w:ascii="Times New Roman" w:hAnsi="Times New Roman"/>
                <w:b/>
                <w:noProof/>
                <w:lang w:val="es-MX"/>
              </w:rPr>
              <w:t>Resultados de la Gestión del Año</w:t>
            </w:r>
            <w:r w:rsidR="00C14D91">
              <w:rPr>
                <w:noProof/>
                <w:webHidden/>
              </w:rPr>
              <w:tab/>
            </w:r>
            <w:r w:rsidR="00C14D91">
              <w:rPr>
                <w:noProof/>
                <w:webHidden/>
              </w:rPr>
              <w:fldChar w:fldCharType="begin"/>
            </w:r>
            <w:r w:rsidR="00C14D91">
              <w:rPr>
                <w:noProof/>
                <w:webHidden/>
              </w:rPr>
              <w:instrText xml:space="preserve"> PAGEREF _Toc29406147 \h </w:instrText>
            </w:r>
            <w:r w:rsidR="00C14D91">
              <w:rPr>
                <w:noProof/>
                <w:webHidden/>
              </w:rPr>
            </w:r>
            <w:r w:rsidR="00C14D91">
              <w:rPr>
                <w:noProof/>
                <w:webHidden/>
              </w:rPr>
              <w:fldChar w:fldCharType="separate"/>
            </w:r>
            <w:r w:rsidR="00E87F5C">
              <w:rPr>
                <w:noProof/>
                <w:webHidden/>
              </w:rPr>
              <w:t>8</w:t>
            </w:r>
            <w:r w:rsidR="00C14D91">
              <w:rPr>
                <w:noProof/>
                <w:webHidden/>
              </w:rPr>
              <w:fldChar w:fldCharType="end"/>
            </w:r>
          </w:hyperlink>
        </w:p>
        <w:p w14:paraId="67D60C3B" w14:textId="77777777" w:rsidR="00C14D91" w:rsidRDefault="008F2677">
          <w:pPr>
            <w:pStyle w:val="TDC2"/>
            <w:tabs>
              <w:tab w:val="left" w:pos="660"/>
              <w:tab w:val="right" w:leader="dot" w:pos="9926"/>
            </w:tabs>
            <w:rPr>
              <w:rFonts w:cstheme="minorBidi"/>
              <w:noProof/>
              <w:lang w:val="en-US"/>
            </w:rPr>
          </w:pPr>
          <w:hyperlink w:anchor="_Toc29406149" w:history="1">
            <w:r w:rsidR="00C14D91" w:rsidRPr="00A97070">
              <w:rPr>
                <w:rStyle w:val="Hipervnculo"/>
                <w:rFonts w:ascii="Times New Roman" w:hAnsi="Times New Roman"/>
                <w:b/>
                <w:noProof/>
                <w:lang w:val="es-MX"/>
              </w:rPr>
              <w:t>a)</w:t>
            </w:r>
            <w:r w:rsidR="00C14D91">
              <w:rPr>
                <w:rFonts w:cstheme="minorBidi"/>
                <w:noProof/>
                <w:lang w:val="en-US"/>
              </w:rPr>
              <w:tab/>
            </w:r>
            <w:r w:rsidR="00C14D91" w:rsidRPr="00A97070">
              <w:rPr>
                <w:rStyle w:val="Hipervnculo"/>
                <w:rFonts w:ascii="Times New Roman" w:hAnsi="Times New Roman"/>
                <w:b/>
                <w:noProof/>
                <w:lang w:val="es-MX"/>
              </w:rPr>
              <w:t>Metas Institucionales de Impacto a la Ciudadanía</w:t>
            </w:r>
            <w:r w:rsidR="00C14D91">
              <w:rPr>
                <w:noProof/>
                <w:webHidden/>
              </w:rPr>
              <w:tab/>
            </w:r>
            <w:r w:rsidR="00C14D91">
              <w:rPr>
                <w:noProof/>
                <w:webHidden/>
              </w:rPr>
              <w:fldChar w:fldCharType="begin"/>
            </w:r>
            <w:r w:rsidR="00C14D91">
              <w:rPr>
                <w:noProof/>
                <w:webHidden/>
              </w:rPr>
              <w:instrText xml:space="preserve"> PAGEREF _Toc29406149 \h </w:instrText>
            </w:r>
            <w:r w:rsidR="00C14D91">
              <w:rPr>
                <w:noProof/>
                <w:webHidden/>
              </w:rPr>
            </w:r>
            <w:r w:rsidR="00C14D91">
              <w:rPr>
                <w:noProof/>
                <w:webHidden/>
              </w:rPr>
              <w:fldChar w:fldCharType="separate"/>
            </w:r>
            <w:r w:rsidR="00E87F5C">
              <w:rPr>
                <w:noProof/>
                <w:webHidden/>
              </w:rPr>
              <w:t>8</w:t>
            </w:r>
            <w:r w:rsidR="00C14D91">
              <w:rPr>
                <w:noProof/>
                <w:webHidden/>
              </w:rPr>
              <w:fldChar w:fldCharType="end"/>
            </w:r>
          </w:hyperlink>
        </w:p>
        <w:p w14:paraId="19A01A17" w14:textId="77777777" w:rsidR="00C14D91" w:rsidRDefault="008F2677">
          <w:pPr>
            <w:pStyle w:val="TDC2"/>
            <w:tabs>
              <w:tab w:val="left" w:pos="660"/>
              <w:tab w:val="right" w:leader="dot" w:pos="9926"/>
            </w:tabs>
            <w:rPr>
              <w:rFonts w:cstheme="minorBidi"/>
              <w:noProof/>
              <w:lang w:val="en-US"/>
            </w:rPr>
          </w:pPr>
          <w:hyperlink w:anchor="_Toc29406163" w:history="1">
            <w:r w:rsidR="00C14D91" w:rsidRPr="00A97070">
              <w:rPr>
                <w:rStyle w:val="Hipervnculo"/>
                <w:rFonts w:ascii="Times New Roman" w:hAnsi="Times New Roman"/>
                <w:b/>
                <w:noProof/>
                <w:lang w:val="es-ES"/>
              </w:rPr>
              <w:t>b)</w:t>
            </w:r>
            <w:r w:rsidR="00C14D91">
              <w:rPr>
                <w:rFonts w:cstheme="minorBidi"/>
                <w:noProof/>
                <w:lang w:val="en-US"/>
              </w:rPr>
              <w:tab/>
            </w:r>
            <w:r w:rsidR="00C14D91" w:rsidRPr="00A97070">
              <w:rPr>
                <w:rStyle w:val="Hipervnculo"/>
                <w:rFonts w:ascii="Times New Roman" w:hAnsi="Times New Roman"/>
                <w:b/>
                <w:noProof/>
                <w:lang w:val="es-ES"/>
              </w:rPr>
              <w:t>Indicadores de Gestión</w:t>
            </w:r>
            <w:r w:rsidR="00C14D91">
              <w:rPr>
                <w:noProof/>
                <w:webHidden/>
              </w:rPr>
              <w:tab/>
            </w:r>
            <w:r w:rsidR="00C14D91">
              <w:rPr>
                <w:noProof/>
                <w:webHidden/>
              </w:rPr>
              <w:fldChar w:fldCharType="begin"/>
            </w:r>
            <w:r w:rsidR="00C14D91">
              <w:rPr>
                <w:noProof/>
                <w:webHidden/>
              </w:rPr>
              <w:instrText xml:space="preserve"> PAGEREF _Toc29406163 \h </w:instrText>
            </w:r>
            <w:r w:rsidR="00C14D91">
              <w:rPr>
                <w:noProof/>
                <w:webHidden/>
              </w:rPr>
            </w:r>
            <w:r w:rsidR="00C14D91">
              <w:rPr>
                <w:noProof/>
                <w:webHidden/>
              </w:rPr>
              <w:fldChar w:fldCharType="separate"/>
            </w:r>
            <w:r w:rsidR="00E87F5C">
              <w:rPr>
                <w:noProof/>
                <w:webHidden/>
              </w:rPr>
              <w:t>30</w:t>
            </w:r>
            <w:r w:rsidR="00C14D91">
              <w:rPr>
                <w:noProof/>
                <w:webHidden/>
              </w:rPr>
              <w:fldChar w:fldCharType="end"/>
            </w:r>
          </w:hyperlink>
        </w:p>
        <w:p w14:paraId="2E1591FD" w14:textId="77777777" w:rsidR="00C14D91" w:rsidRDefault="008F2677">
          <w:pPr>
            <w:pStyle w:val="TDC2"/>
            <w:tabs>
              <w:tab w:val="left" w:pos="660"/>
              <w:tab w:val="right" w:leader="dot" w:pos="9926"/>
            </w:tabs>
            <w:rPr>
              <w:rFonts w:cstheme="minorBidi"/>
              <w:noProof/>
              <w:lang w:val="en-US"/>
            </w:rPr>
          </w:pPr>
          <w:hyperlink w:anchor="_Toc29406164" w:history="1">
            <w:r w:rsidR="00C14D91" w:rsidRPr="00A97070">
              <w:rPr>
                <w:rStyle w:val="Hipervnculo"/>
                <w:rFonts w:ascii="Times New Roman" w:hAnsi="Times New Roman"/>
                <w:b/>
                <w:noProof/>
                <w:lang w:val="es-ES"/>
              </w:rPr>
              <w:t>1.</w:t>
            </w:r>
            <w:r w:rsidR="00C14D91">
              <w:rPr>
                <w:rFonts w:cstheme="minorBidi"/>
                <w:noProof/>
                <w:lang w:val="en-US"/>
              </w:rPr>
              <w:tab/>
            </w:r>
            <w:r w:rsidR="00C14D91" w:rsidRPr="00A97070">
              <w:rPr>
                <w:rStyle w:val="Hipervnculo"/>
                <w:rFonts w:ascii="Times New Roman" w:hAnsi="Times New Roman"/>
                <w:b/>
                <w:noProof/>
                <w:lang w:val="es-ES"/>
              </w:rPr>
              <w:t>Perspectiva Estratégica</w:t>
            </w:r>
            <w:r w:rsidR="00C14D91">
              <w:rPr>
                <w:noProof/>
                <w:webHidden/>
              </w:rPr>
              <w:tab/>
            </w:r>
            <w:r w:rsidR="00C14D91">
              <w:rPr>
                <w:noProof/>
                <w:webHidden/>
              </w:rPr>
              <w:fldChar w:fldCharType="begin"/>
            </w:r>
            <w:r w:rsidR="00C14D91">
              <w:rPr>
                <w:noProof/>
                <w:webHidden/>
              </w:rPr>
              <w:instrText xml:space="preserve"> PAGEREF _Toc29406164 \h </w:instrText>
            </w:r>
            <w:r w:rsidR="00C14D91">
              <w:rPr>
                <w:noProof/>
                <w:webHidden/>
              </w:rPr>
            </w:r>
            <w:r w:rsidR="00C14D91">
              <w:rPr>
                <w:noProof/>
                <w:webHidden/>
              </w:rPr>
              <w:fldChar w:fldCharType="separate"/>
            </w:r>
            <w:r w:rsidR="00E87F5C">
              <w:rPr>
                <w:noProof/>
                <w:webHidden/>
              </w:rPr>
              <w:t>30</w:t>
            </w:r>
            <w:r w:rsidR="00C14D91">
              <w:rPr>
                <w:noProof/>
                <w:webHidden/>
              </w:rPr>
              <w:fldChar w:fldCharType="end"/>
            </w:r>
          </w:hyperlink>
        </w:p>
        <w:p w14:paraId="0C8E6224" w14:textId="77777777" w:rsidR="00C14D91" w:rsidRDefault="008F2677">
          <w:pPr>
            <w:pStyle w:val="TDC3"/>
            <w:tabs>
              <w:tab w:val="right" w:leader="dot" w:pos="9926"/>
            </w:tabs>
            <w:rPr>
              <w:rFonts w:cstheme="minorBidi"/>
              <w:noProof/>
              <w:lang w:val="en-US"/>
            </w:rPr>
          </w:pPr>
          <w:hyperlink w:anchor="_Toc29406165" w:history="1">
            <w:r w:rsidR="00C14D91" w:rsidRPr="00A97070">
              <w:rPr>
                <w:rStyle w:val="Hipervnculo"/>
                <w:noProof/>
                <w:lang w:val="es-ES"/>
              </w:rPr>
              <w:t xml:space="preserve">i. </w:t>
            </w:r>
            <w:r w:rsidR="00C14D91" w:rsidRPr="00A97070">
              <w:rPr>
                <w:rStyle w:val="Hipervnculo"/>
                <w:rFonts w:ascii="Times New Roman" w:hAnsi="Times New Roman"/>
                <w:noProof/>
                <w:lang w:val="es-ES"/>
              </w:rPr>
              <w:t>Metas Presidenciales</w:t>
            </w:r>
            <w:r w:rsidR="00C14D91">
              <w:rPr>
                <w:noProof/>
                <w:webHidden/>
              </w:rPr>
              <w:tab/>
            </w:r>
            <w:r w:rsidR="00C14D91">
              <w:rPr>
                <w:noProof/>
                <w:webHidden/>
              </w:rPr>
              <w:fldChar w:fldCharType="begin"/>
            </w:r>
            <w:r w:rsidR="00C14D91">
              <w:rPr>
                <w:noProof/>
                <w:webHidden/>
              </w:rPr>
              <w:instrText xml:space="preserve"> PAGEREF _Toc29406165 \h </w:instrText>
            </w:r>
            <w:r w:rsidR="00C14D91">
              <w:rPr>
                <w:noProof/>
                <w:webHidden/>
              </w:rPr>
            </w:r>
            <w:r w:rsidR="00C14D91">
              <w:rPr>
                <w:noProof/>
                <w:webHidden/>
              </w:rPr>
              <w:fldChar w:fldCharType="separate"/>
            </w:r>
            <w:r w:rsidR="00E87F5C">
              <w:rPr>
                <w:noProof/>
                <w:webHidden/>
              </w:rPr>
              <w:t>30</w:t>
            </w:r>
            <w:r w:rsidR="00C14D91">
              <w:rPr>
                <w:noProof/>
                <w:webHidden/>
              </w:rPr>
              <w:fldChar w:fldCharType="end"/>
            </w:r>
          </w:hyperlink>
        </w:p>
        <w:p w14:paraId="4D57C0A4" w14:textId="77777777" w:rsidR="00C14D91" w:rsidRDefault="008F2677">
          <w:pPr>
            <w:pStyle w:val="TDC3"/>
            <w:tabs>
              <w:tab w:val="right" w:leader="dot" w:pos="9926"/>
            </w:tabs>
            <w:rPr>
              <w:rFonts w:cstheme="minorBidi"/>
              <w:noProof/>
              <w:lang w:val="en-US"/>
            </w:rPr>
          </w:pPr>
          <w:hyperlink w:anchor="_Toc29406166" w:history="1">
            <w:r w:rsidR="00C14D91" w:rsidRPr="00A97070">
              <w:rPr>
                <w:rStyle w:val="Hipervnculo"/>
                <w:noProof/>
                <w:lang w:val="es-ES"/>
              </w:rPr>
              <w:t>ii. Sistema de Monitoreo y Medición de la Gestión Pública (SMMGP)</w:t>
            </w:r>
            <w:r w:rsidR="00C14D91">
              <w:rPr>
                <w:noProof/>
                <w:webHidden/>
              </w:rPr>
              <w:tab/>
            </w:r>
            <w:r w:rsidR="00C14D91">
              <w:rPr>
                <w:noProof/>
                <w:webHidden/>
              </w:rPr>
              <w:fldChar w:fldCharType="begin"/>
            </w:r>
            <w:r w:rsidR="00C14D91">
              <w:rPr>
                <w:noProof/>
                <w:webHidden/>
              </w:rPr>
              <w:instrText xml:space="preserve"> PAGEREF _Toc29406166 \h </w:instrText>
            </w:r>
            <w:r w:rsidR="00C14D91">
              <w:rPr>
                <w:noProof/>
                <w:webHidden/>
              </w:rPr>
            </w:r>
            <w:r w:rsidR="00C14D91">
              <w:rPr>
                <w:noProof/>
                <w:webHidden/>
              </w:rPr>
              <w:fldChar w:fldCharType="separate"/>
            </w:r>
            <w:r w:rsidR="00E87F5C">
              <w:rPr>
                <w:noProof/>
                <w:webHidden/>
              </w:rPr>
              <w:t>34</w:t>
            </w:r>
            <w:r w:rsidR="00C14D91">
              <w:rPr>
                <w:noProof/>
                <w:webHidden/>
              </w:rPr>
              <w:fldChar w:fldCharType="end"/>
            </w:r>
          </w:hyperlink>
        </w:p>
        <w:p w14:paraId="3A862AF2" w14:textId="77777777" w:rsidR="00C14D91" w:rsidRDefault="008F2677">
          <w:pPr>
            <w:pStyle w:val="TDC3"/>
            <w:tabs>
              <w:tab w:val="right" w:leader="dot" w:pos="9926"/>
            </w:tabs>
            <w:rPr>
              <w:rFonts w:cstheme="minorBidi"/>
              <w:noProof/>
              <w:lang w:val="en-US"/>
            </w:rPr>
          </w:pPr>
          <w:hyperlink w:anchor="_Toc29406167" w:history="1">
            <w:r w:rsidR="00C14D91" w:rsidRPr="00A97070">
              <w:rPr>
                <w:rStyle w:val="Hipervnculo"/>
                <w:noProof/>
                <w:lang w:val="es-ES"/>
              </w:rPr>
              <w:t xml:space="preserve">iii. </w:t>
            </w:r>
            <w:r w:rsidR="00C14D91" w:rsidRPr="00A97070">
              <w:rPr>
                <w:rStyle w:val="Hipervnculo"/>
                <w:rFonts w:ascii="Times New Roman" w:hAnsi="Times New Roman"/>
                <w:noProof/>
                <w:lang w:val="es-ES"/>
              </w:rPr>
              <w:t>Sistema de Monitoreo de la Administración Pública (SISMAP)</w:t>
            </w:r>
            <w:r w:rsidR="00C14D91">
              <w:rPr>
                <w:noProof/>
                <w:webHidden/>
              </w:rPr>
              <w:tab/>
            </w:r>
            <w:r w:rsidR="00C14D91">
              <w:rPr>
                <w:noProof/>
                <w:webHidden/>
              </w:rPr>
              <w:fldChar w:fldCharType="begin"/>
            </w:r>
            <w:r w:rsidR="00C14D91">
              <w:rPr>
                <w:noProof/>
                <w:webHidden/>
              </w:rPr>
              <w:instrText xml:space="preserve"> PAGEREF _Toc29406167 \h </w:instrText>
            </w:r>
            <w:r w:rsidR="00C14D91">
              <w:rPr>
                <w:noProof/>
                <w:webHidden/>
              </w:rPr>
            </w:r>
            <w:r w:rsidR="00C14D91">
              <w:rPr>
                <w:noProof/>
                <w:webHidden/>
              </w:rPr>
              <w:fldChar w:fldCharType="separate"/>
            </w:r>
            <w:r w:rsidR="00E87F5C">
              <w:rPr>
                <w:noProof/>
                <w:webHidden/>
              </w:rPr>
              <w:t>39</w:t>
            </w:r>
            <w:r w:rsidR="00C14D91">
              <w:rPr>
                <w:noProof/>
                <w:webHidden/>
              </w:rPr>
              <w:fldChar w:fldCharType="end"/>
            </w:r>
          </w:hyperlink>
        </w:p>
        <w:p w14:paraId="482A57CF" w14:textId="77777777" w:rsidR="00C14D91" w:rsidRDefault="008F2677">
          <w:pPr>
            <w:pStyle w:val="TDC2"/>
            <w:tabs>
              <w:tab w:val="left" w:pos="660"/>
              <w:tab w:val="right" w:leader="dot" w:pos="9926"/>
            </w:tabs>
            <w:rPr>
              <w:rFonts w:cstheme="minorBidi"/>
              <w:noProof/>
              <w:lang w:val="en-US"/>
            </w:rPr>
          </w:pPr>
          <w:hyperlink w:anchor="_Toc29406170" w:history="1">
            <w:r w:rsidR="00C14D91" w:rsidRPr="00A97070">
              <w:rPr>
                <w:rStyle w:val="Hipervnculo"/>
                <w:rFonts w:ascii="Times New Roman" w:hAnsi="Times New Roman"/>
                <w:b/>
                <w:noProof/>
                <w:lang w:val="es-ES"/>
              </w:rPr>
              <w:t>2.</w:t>
            </w:r>
            <w:r w:rsidR="00C14D91">
              <w:rPr>
                <w:rFonts w:cstheme="minorBidi"/>
                <w:noProof/>
                <w:lang w:val="en-US"/>
              </w:rPr>
              <w:tab/>
            </w:r>
            <w:r w:rsidR="00C14D91" w:rsidRPr="00A97070">
              <w:rPr>
                <w:rStyle w:val="Hipervnculo"/>
                <w:rFonts w:ascii="Times New Roman" w:hAnsi="Times New Roman"/>
                <w:b/>
                <w:noProof/>
                <w:lang w:val="es-ES"/>
              </w:rPr>
              <w:t>Perspectiva Operativa</w:t>
            </w:r>
            <w:r w:rsidR="00C14D91">
              <w:rPr>
                <w:noProof/>
                <w:webHidden/>
              </w:rPr>
              <w:tab/>
            </w:r>
            <w:r w:rsidR="00C14D91">
              <w:rPr>
                <w:noProof/>
                <w:webHidden/>
              </w:rPr>
              <w:fldChar w:fldCharType="begin"/>
            </w:r>
            <w:r w:rsidR="00C14D91">
              <w:rPr>
                <w:noProof/>
                <w:webHidden/>
              </w:rPr>
              <w:instrText xml:space="preserve"> PAGEREF _Toc29406170 \h </w:instrText>
            </w:r>
            <w:r w:rsidR="00C14D91">
              <w:rPr>
                <w:noProof/>
                <w:webHidden/>
              </w:rPr>
            </w:r>
            <w:r w:rsidR="00C14D91">
              <w:rPr>
                <w:noProof/>
                <w:webHidden/>
              </w:rPr>
              <w:fldChar w:fldCharType="separate"/>
            </w:r>
            <w:r w:rsidR="00E87F5C">
              <w:rPr>
                <w:noProof/>
                <w:webHidden/>
              </w:rPr>
              <w:t>40</w:t>
            </w:r>
            <w:r w:rsidR="00C14D91">
              <w:rPr>
                <w:noProof/>
                <w:webHidden/>
              </w:rPr>
              <w:fldChar w:fldCharType="end"/>
            </w:r>
          </w:hyperlink>
        </w:p>
        <w:p w14:paraId="1B778E7F" w14:textId="77777777" w:rsidR="00C14D91" w:rsidRDefault="008F2677">
          <w:pPr>
            <w:pStyle w:val="TDC3"/>
            <w:tabs>
              <w:tab w:val="left" w:pos="880"/>
              <w:tab w:val="right" w:leader="dot" w:pos="9926"/>
            </w:tabs>
            <w:rPr>
              <w:rFonts w:cstheme="minorBidi"/>
              <w:noProof/>
              <w:lang w:val="en-US"/>
            </w:rPr>
          </w:pPr>
          <w:hyperlink w:anchor="_Toc29406171" w:history="1">
            <w:r w:rsidR="00C14D91" w:rsidRPr="00A97070">
              <w:rPr>
                <w:rStyle w:val="Hipervnculo"/>
                <w:rFonts w:ascii="Times New Roman" w:hAnsi="Times New Roman"/>
                <w:noProof/>
                <w:lang w:val="es-ES"/>
              </w:rPr>
              <w:t>i.</w:t>
            </w:r>
            <w:r w:rsidR="00C14D91">
              <w:rPr>
                <w:rFonts w:cstheme="minorBidi"/>
                <w:noProof/>
                <w:lang w:val="en-US"/>
              </w:rPr>
              <w:tab/>
            </w:r>
            <w:r w:rsidR="00C14D91" w:rsidRPr="00A97070">
              <w:rPr>
                <w:rStyle w:val="Hipervnculo"/>
                <w:rFonts w:ascii="Times New Roman" w:hAnsi="Times New Roman"/>
                <w:noProof/>
                <w:lang w:val="es-ES"/>
              </w:rPr>
              <w:t>Índice de Transparencia</w:t>
            </w:r>
            <w:r w:rsidR="00C14D91">
              <w:rPr>
                <w:noProof/>
                <w:webHidden/>
              </w:rPr>
              <w:tab/>
            </w:r>
            <w:r w:rsidR="00C14D91">
              <w:rPr>
                <w:noProof/>
                <w:webHidden/>
              </w:rPr>
              <w:fldChar w:fldCharType="begin"/>
            </w:r>
            <w:r w:rsidR="00C14D91">
              <w:rPr>
                <w:noProof/>
                <w:webHidden/>
              </w:rPr>
              <w:instrText xml:space="preserve"> PAGEREF _Toc29406171 \h </w:instrText>
            </w:r>
            <w:r w:rsidR="00C14D91">
              <w:rPr>
                <w:noProof/>
                <w:webHidden/>
              </w:rPr>
            </w:r>
            <w:r w:rsidR="00C14D91">
              <w:rPr>
                <w:noProof/>
                <w:webHidden/>
              </w:rPr>
              <w:fldChar w:fldCharType="separate"/>
            </w:r>
            <w:r w:rsidR="00E87F5C">
              <w:rPr>
                <w:noProof/>
                <w:webHidden/>
              </w:rPr>
              <w:t>40</w:t>
            </w:r>
            <w:r w:rsidR="00C14D91">
              <w:rPr>
                <w:noProof/>
                <w:webHidden/>
              </w:rPr>
              <w:fldChar w:fldCharType="end"/>
            </w:r>
          </w:hyperlink>
        </w:p>
        <w:p w14:paraId="54A25FFF" w14:textId="77777777" w:rsidR="00C14D91" w:rsidRDefault="008F2677">
          <w:pPr>
            <w:pStyle w:val="TDC3"/>
            <w:tabs>
              <w:tab w:val="right" w:leader="dot" w:pos="9926"/>
            </w:tabs>
            <w:rPr>
              <w:rFonts w:cstheme="minorBidi"/>
              <w:noProof/>
              <w:lang w:val="en-US"/>
            </w:rPr>
          </w:pPr>
          <w:hyperlink w:anchor="_Toc29406172" w:history="1">
            <w:r w:rsidR="00C14D91" w:rsidRPr="00A97070">
              <w:rPr>
                <w:rStyle w:val="Hipervnculo"/>
                <w:rFonts w:ascii="Times New Roman" w:hAnsi="Times New Roman"/>
                <w:noProof/>
                <w:lang w:val="es-ES"/>
              </w:rPr>
              <w:t>Auditorias y Declaraciones Juradas</w:t>
            </w:r>
            <w:r w:rsidR="00C14D91">
              <w:rPr>
                <w:noProof/>
                <w:webHidden/>
              </w:rPr>
              <w:tab/>
            </w:r>
            <w:r w:rsidR="00C14D91">
              <w:rPr>
                <w:noProof/>
                <w:webHidden/>
              </w:rPr>
              <w:fldChar w:fldCharType="begin"/>
            </w:r>
            <w:r w:rsidR="00C14D91">
              <w:rPr>
                <w:noProof/>
                <w:webHidden/>
              </w:rPr>
              <w:instrText xml:space="preserve"> PAGEREF _Toc29406172 \h </w:instrText>
            </w:r>
            <w:r w:rsidR="00C14D91">
              <w:rPr>
                <w:noProof/>
                <w:webHidden/>
              </w:rPr>
            </w:r>
            <w:r w:rsidR="00C14D91">
              <w:rPr>
                <w:noProof/>
                <w:webHidden/>
              </w:rPr>
              <w:fldChar w:fldCharType="separate"/>
            </w:r>
            <w:r w:rsidR="00E87F5C">
              <w:rPr>
                <w:noProof/>
                <w:webHidden/>
              </w:rPr>
              <w:t>42</w:t>
            </w:r>
            <w:r w:rsidR="00C14D91">
              <w:rPr>
                <w:noProof/>
                <w:webHidden/>
              </w:rPr>
              <w:fldChar w:fldCharType="end"/>
            </w:r>
          </w:hyperlink>
        </w:p>
        <w:p w14:paraId="7449ACE0" w14:textId="77777777" w:rsidR="00C14D91" w:rsidRDefault="008F2677">
          <w:pPr>
            <w:pStyle w:val="TDC2"/>
            <w:tabs>
              <w:tab w:val="left" w:pos="660"/>
              <w:tab w:val="right" w:leader="dot" w:pos="9926"/>
            </w:tabs>
            <w:rPr>
              <w:rFonts w:cstheme="minorBidi"/>
              <w:noProof/>
              <w:lang w:val="en-US"/>
            </w:rPr>
          </w:pPr>
          <w:hyperlink w:anchor="_Toc29406173" w:history="1">
            <w:r w:rsidR="00C14D91" w:rsidRPr="00A97070">
              <w:rPr>
                <w:rStyle w:val="Hipervnculo"/>
                <w:rFonts w:ascii="Times New Roman" w:hAnsi="Times New Roman"/>
                <w:b/>
                <w:noProof/>
                <w:lang w:val="es-ES"/>
              </w:rPr>
              <w:t>3.</w:t>
            </w:r>
            <w:r w:rsidR="00C14D91">
              <w:rPr>
                <w:rFonts w:cstheme="minorBidi"/>
                <w:noProof/>
                <w:lang w:val="en-US"/>
              </w:rPr>
              <w:tab/>
            </w:r>
            <w:r w:rsidR="00C14D91" w:rsidRPr="00A97070">
              <w:rPr>
                <w:rStyle w:val="Hipervnculo"/>
                <w:rFonts w:ascii="Times New Roman" w:hAnsi="Times New Roman"/>
                <w:b/>
                <w:noProof/>
                <w:lang w:val="es-ES"/>
              </w:rPr>
              <w:t>Perspectiva de los Usuarios</w:t>
            </w:r>
            <w:r w:rsidR="00C14D91">
              <w:rPr>
                <w:noProof/>
                <w:webHidden/>
              </w:rPr>
              <w:tab/>
            </w:r>
            <w:r w:rsidR="00C14D91">
              <w:rPr>
                <w:noProof/>
                <w:webHidden/>
              </w:rPr>
              <w:fldChar w:fldCharType="begin"/>
            </w:r>
            <w:r w:rsidR="00C14D91">
              <w:rPr>
                <w:noProof/>
                <w:webHidden/>
              </w:rPr>
              <w:instrText xml:space="preserve"> PAGEREF _Toc29406173 \h </w:instrText>
            </w:r>
            <w:r w:rsidR="00C14D91">
              <w:rPr>
                <w:noProof/>
                <w:webHidden/>
              </w:rPr>
            </w:r>
            <w:r w:rsidR="00C14D91">
              <w:rPr>
                <w:noProof/>
                <w:webHidden/>
              </w:rPr>
              <w:fldChar w:fldCharType="separate"/>
            </w:r>
            <w:r w:rsidR="00E87F5C">
              <w:rPr>
                <w:noProof/>
                <w:webHidden/>
              </w:rPr>
              <w:t>43</w:t>
            </w:r>
            <w:r w:rsidR="00C14D91">
              <w:rPr>
                <w:noProof/>
                <w:webHidden/>
              </w:rPr>
              <w:fldChar w:fldCharType="end"/>
            </w:r>
          </w:hyperlink>
        </w:p>
        <w:p w14:paraId="4979F527" w14:textId="77777777" w:rsidR="00C14D91" w:rsidRDefault="008F2677">
          <w:pPr>
            <w:pStyle w:val="TDC3"/>
            <w:tabs>
              <w:tab w:val="left" w:pos="880"/>
              <w:tab w:val="right" w:leader="dot" w:pos="9926"/>
            </w:tabs>
            <w:rPr>
              <w:rFonts w:cstheme="minorBidi"/>
              <w:noProof/>
              <w:lang w:val="en-US"/>
            </w:rPr>
          </w:pPr>
          <w:hyperlink w:anchor="_Toc29406174" w:history="1">
            <w:r w:rsidR="00C14D91" w:rsidRPr="00A97070">
              <w:rPr>
                <w:rStyle w:val="Hipervnculo"/>
                <w:rFonts w:ascii="Times New Roman" w:hAnsi="Times New Roman"/>
                <w:noProof/>
              </w:rPr>
              <w:t>i.</w:t>
            </w:r>
            <w:r w:rsidR="00C14D91">
              <w:rPr>
                <w:rFonts w:cstheme="minorBidi"/>
                <w:noProof/>
                <w:lang w:val="en-US"/>
              </w:rPr>
              <w:tab/>
            </w:r>
            <w:r w:rsidR="00C14D91" w:rsidRPr="00A97070">
              <w:rPr>
                <w:rStyle w:val="Hipervnculo"/>
                <w:rFonts w:ascii="Times New Roman" w:hAnsi="Times New Roman"/>
                <w:noProof/>
              </w:rPr>
              <w:t>Sistema de Atención Ciudadana 3-1-1</w:t>
            </w:r>
            <w:r w:rsidR="00C14D91">
              <w:rPr>
                <w:noProof/>
                <w:webHidden/>
              </w:rPr>
              <w:tab/>
            </w:r>
            <w:r w:rsidR="00C14D91">
              <w:rPr>
                <w:noProof/>
                <w:webHidden/>
              </w:rPr>
              <w:fldChar w:fldCharType="begin"/>
            </w:r>
            <w:r w:rsidR="00C14D91">
              <w:rPr>
                <w:noProof/>
                <w:webHidden/>
              </w:rPr>
              <w:instrText xml:space="preserve"> PAGEREF _Toc29406174 \h </w:instrText>
            </w:r>
            <w:r w:rsidR="00C14D91">
              <w:rPr>
                <w:noProof/>
                <w:webHidden/>
              </w:rPr>
            </w:r>
            <w:r w:rsidR="00C14D91">
              <w:rPr>
                <w:noProof/>
                <w:webHidden/>
              </w:rPr>
              <w:fldChar w:fldCharType="separate"/>
            </w:r>
            <w:r w:rsidR="00E87F5C">
              <w:rPr>
                <w:noProof/>
                <w:webHidden/>
              </w:rPr>
              <w:t>43</w:t>
            </w:r>
            <w:r w:rsidR="00C14D91">
              <w:rPr>
                <w:noProof/>
                <w:webHidden/>
              </w:rPr>
              <w:fldChar w:fldCharType="end"/>
            </w:r>
          </w:hyperlink>
        </w:p>
        <w:p w14:paraId="66BEA2AC" w14:textId="77777777" w:rsidR="00C14D91" w:rsidRDefault="008F2677">
          <w:pPr>
            <w:pStyle w:val="TDC3"/>
            <w:tabs>
              <w:tab w:val="right" w:leader="dot" w:pos="9926"/>
            </w:tabs>
            <w:rPr>
              <w:rFonts w:cstheme="minorBidi"/>
              <w:noProof/>
              <w:lang w:val="en-US"/>
            </w:rPr>
          </w:pPr>
          <w:hyperlink w:anchor="_Toc29406175" w:history="1">
            <w:r w:rsidR="00C14D91" w:rsidRPr="00A97070">
              <w:rPr>
                <w:rStyle w:val="Hipervnculo"/>
                <w:noProof/>
                <w:lang w:val="es-ES"/>
              </w:rPr>
              <w:t xml:space="preserve">ii. </w:t>
            </w:r>
            <w:r w:rsidR="00C14D91" w:rsidRPr="00A97070">
              <w:rPr>
                <w:rStyle w:val="Hipervnculo"/>
                <w:rFonts w:ascii="Times New Roman" w:hAnsi="Times New Roman"/>
                <w:noProof/>
                <w:lang w:val="es-ES"/>
              </w:rPr>
              <w:t>Índice Uso TIC e Implementación Gobierno Electrónico</w:t>
            </w:r>
            <w:r w:rsidR="00C14D91">
              <w:rPr>
                <w:noProof/>
                <w:webHidden/>
              </w:rPr>
              <w:tab/>
            </w:r>
            <w:r w:rsidR="00C14D91">
              <w:rPr>
                <w:noProof/>
                <w:webHidden/>
              </w:rPr>
              <w:fldChar w:fldCharType="begin"/>
            </w:r>
            <w:r w:rsidR="00C14D91">
              <w:rPr>
                <w:noProof/>
                <w:webHidden/>
              </w:rPr>
              <w:instrText xml:space="preserve"> PAGEREF _Toc29406175 \h </w:instrText>
            </w:r>
            <w:r w:rsidR="00C14D91">
              <w:rPr>
                <w:noProof/>
                <w:webHidden/>
              </w:rPr>
            </w:r>
            <w:r w:rsidR="00C14D91">
              <w:rPr>
                <w:noProof/>
                <w:webHidden/>
              </w:rPr>
              <w:fldChar w:fldCharType="separate"/>
            </w:r>
            <w:r w:rsidR="00E87F5C">
              <w:rPr>
                <w:noProof/>
                <w:webHidden/>
              </w:rPr>
              <w:t>43</w:t>
            </w:r>
            <w:r w:rsidR="00C14D91">
              <w:rPr>
                <w:noProof/>
                <w:webHidden/>
              </w:rPr>
              <w:fldChar w:fldCharType="end"/>
            </w:r>
          </w:hyperlink>
        </w:p>
        <w:p w14:paraId="3A738198" w14:textId="77777777" w:rsidR="00C14D91" w:rsidRDefault="008F2677">
          <w:pPr>
            <w:pStyle w:val="TDC3"/>
            <w:tabs>
              <w:tab w:val="right" w:leader="dot" w:pos="9926"/>
            </w:tabs>
            <w:rPr>
              <w:rFonts w:cstheme="minorBidi"/>
              <w:noProof/>
              <w:lang w:val="en-US"/>
            </w:rPr>
          </w:pPr>
          <w:hyperlink w:anchor="_Toc29406176" w:history="1">
            <w:r w:rsidR="00C14D91" w:rsidRPr="00A97070">
              <w:rPr>
                <w:rStyle w:val="Hipervnculo"/>
                <w:noProof/>
                <w:lang w:val="es-ES"/>
              </w:rPr>
              <w:t xml:space="preserve">iii. </w:t>
            </w:r>
            <w:r w:rsidR="00C14D91" w:rsidRPr="00A97070">
              <w:rPr>
                <w:rStyle w:val="Hipervnculo"/>
                <w:rFonts w:ascii="Times New Roman" w:hAnsi="Times New Roman"/>
                <w:noProof/>
                <w:lang w:val="es-ES"/>
              </w:rPr>
              <w:t>Normas Básicas de Control Interno (NOBACI)</w:t>
            </w:r>
            <w:r w:rsidR="00C14D91">
              <w:rPr>
                <w:noProof/>
                <w:webHidden/>
              </w:rPr>
              <w:tab/>
            </w:r>
            <w:r w:rsidR="00C14D91">
              <w:rPr>
                <w:noProof/>
                <w:webHidden/>
              </w:rPr>
              <w:fldChar w:fldCharType="begin"/>
            </w:r>
            <w:r w:rsidR="00C14D91">
              <w:rPr>
                <w:noProof/>
                <w:webHidden/>
              </w:rPr>
              <w:instrText xml:space="preserve"> PAGEREF _Toc29406176 \h </w:instrText>
            </w:r>
            <w:r w:rsidR="00C14D91">
              <w:rPr>
                <w:noProof/>
                <w:webHidden/>
              </w:rPr>
            </w:r>
            <w:r w:rsidR="00C14D91">
              <w:rPr>
                <w:noProof/>
                <w:webHidden/>
              </w:rPr>
              <w:fldChar w:fldCharType="separate"/>
            </w:r>
            <w:r w:rsidR="00E87F5C">
              <w:rPr>
                <w:noProof/>
                <w:webHidden/>
              </w:rPr>
              <w:t>45</w:t>
            </w:r>
            <w:r w:rsidR="00C14D91">
              <w:rPr>
                <w:noProof/>
                <w:webHidden/>
              </w:rPr>
              <w:fldChar w:fldCharType="end"/>
            </w:r>
          </w:hyperlink>
        </w:p>
        <w:p w14:paraId="7C3F6747" w14:textId="77777777" w:rsidR="00C14D91" w:rsidRDefault="008F2677">
          <w:pPr>
            <w:pStyle w:val="TDC3"/>
            <w:tabs>
              <w:tab w:val="right" w:leader="dot" w:pos="9926"/>
            </w:tabs>
            <w:rPr>
              <w:rFonts w:cstheme="minorBidi"/>
              <w:noProof/>
              <w:lang w:val="en-US"/>
            </w:rPr>
          </w:pPr>
          <w:hyperlink w:anchor="_Toc29406177" w:history="1">
            <w:r w:rsidR="00C14D91" w:rsidRPr="00A97070">
              <w:rPr>
                <w:rStyle w:val="Hipervnculo"/>
                <w:noProof/>
                <w:lang w:val="es-ES"/>
              </w:rPr>
              <w:t xml:space="preserve">iv. </w:t>
            </w:r>
            <w:r w:rsidR="00C14D91" w:rsidRPr="00A97070">
              <w:rPr>
                <w:rStyle w:val="Hipervnculo"/>
                <w:rFonts w:ascii="Times New Roman" w:hAnsi="Times New Roman"/>
                <w:noProof/>
                <w:lang w:val="es-ES"/>
              </w:rPr>
              <w:t>Gestión Presupuestaria</w:t>
            </w:r>
            <w:r w:rsidR="00C14D91">
              <w:rPr>
                <w:noProof/>
                <w:webHidden/>
              </w:rPr>
              <w:tab/>
            </w:r>
            <w:r w:rsidR="00C14D91">
              <w:rPr>
                <w:noProof/>
                <w:webHidden/>
              </w:rPr>
              <w:fldChar w:fldCharType="begin"/>
            </w:r>
            <w:r w:rsidR="00C14D91">
              <w:rPr>
                <w:noProof/>
                <w:webHidden/>
              </w:rPr>
              <w:instrText xml:space="preserve"> PAGEREF _Toc29406177 \h </w:instrText>
            </w:r>
            <w:r w:rsidR="00C14D91">
              <w:rPr>
                <w:noProof/>
                <w:webHidden/>
              </w:rPr>
            </w:r>
            <w:r w:rsidR="00C14D91">
              <w:rPr>
                <w:noProof/>
                <w:webHidden/>
              </w:rPr>
              <w:fldChar w:fldCharType="separate"/>
            </w:r>
            <w:r w:rsidR="00E87F5C">
              <w:rPr>
                <w:noProof/>
                <w:webHidden/>
              </w:rPr>
              <w:t>46</w:t>
            </w:r>
            <w:r w:rsidR="00C14D91">
              <w:rPr>
                <w:noProof/>
                <w:webHidden/>
              </w:rPr>
              <w:fldChar w:fldCharType="end"/>
            </w:r>
          </w:hyperlink>
        </w:p>
        <w:p w14:paraId="2769FE70" w14:textId="77777777" w:rsidR="00C14D91" w:rsidRDefault="008F2677">
          <w:pPr>
            <w:pStyle w:val="TDC3"/>
            <w:tabs>
              <w:tab w:val="right" w:leader="dot" w:pos="9926"/>
            </w:tabs>
            <w:rPr>
              <w:rFonts w:cstheme="minorBidi"/>
              <w:noProof/>
              <w:lang w:val="en-US"/>
            </w:rPr>
          </w:pPr>
          <w:hyperlink w:anchor="_Toc29406178" w:history="1">
            <w:r w:rsidR="00C14D91" w:rsidRPr="00A97070">
              <w:rPr>
                <w:rStyle w:val="Hipervnculo"/>
                <w:noProof/>
                <w:lang w:val="es-ES"/>
              </w:rPr>
              <w:t xml:space="preserve">v. </w:t>
            </w:r>
            <w:r w:rsidR="00C14D91" w:rsidRPr="00A97070">
              <w:rPr>
                <w:rStyle w:val="Hipervnculo"/>
                <w:rFonts w:ascii="Times New Roman" w:hAnsi="Times New Roman"/>
                <w:noProof/>
                <w:lang w:val="es-ES"/>
              </w:rPr>
              <w:t>Plan Anual de Compras y Contrataciones (PACC)</w:t>
            </w:r>
            <w:r w:rsidR="00C14D91">
              <w:rPr>
                <w:noProof/>
                <w:webHidden/>
              </w:rPr>
              <w:tab/>
            </w:r>
            <w:r w:rsidR="00C14D91">
              <w:rPr>
                <w:noProof/>
                <w:webHidden/>
              </w:rPr>
              <w:fldChar w:fldCharType="begin"/>
            </w:r>
            <w:r w:rsidR="00C14D91">
              <w:rPr>
                <w:noProof/>
                <w:webHidden/>
              </w:rPr>
              <w:instrText xml:space="preserve"> PAGEREF _Toc29406178 \h </w:instrText>
            </w:r>
            <w:r w:rsidR="00C14D91">
              <w:rPr>
                <w:noProof/>
                <w:webHidden/>
              </w:rPr>
            </w:r>
            <w:r w:rsidR="00C14D91">
              <w:rPr>
                <w:noProof/>
                <w:webHidden/>
              </w:rPr>
              <w:fldChar w:fldCharType="separate"/>
            </w:r>
            <w:r w:rsidR="00E87F5C">
              <w:rPr>
                <w:noProof/>
                <w:webHidden/>
              </w:rPr>
              <w:t>48</w:t>
            </w:r>
            <w:r w:rsidR="00C14D91">
              <w:rPr>
                <w:noProof/>
                <w:webHidden/>
              </w:rPr>
              <w:fldChar w:fldCharType="end"/>
            </w:r>
          </w:hyperlink>
        </w:p>
        <w:p w14:paraId="2852DB0B" w14:textId="77777777" w:rsidR="00C14D91" w:rsidRDefault="008F2677">
          <w:pPr>
            <w:pStyle w:val="TDC3"/>
            <w:tabs>
              <w:tab w:val="right" w:leader="dot" w:pos="9926"/>
            </w:tabs>
            <w:rPr>
              <w:rFonts w:cstheme="minorBidi"/>
              <w:noProof/>
              <w:lang w:val="en-US"/>
            </w:rPr>
          </w:pPr>
          <w:hyperlink w:anchor="_Toc29406179" w:history="1">
            <w:r w:rsidR="00C14D91" w:rsidRPr="00A97070">
              <w:rPr>
                <w:rStyle w:val="Hipervnculo"/>
                <w:noProof/>
                <w:lang w:val="es-ES"/>
              </w:rPr>
              <w:t xml:space="preserve">vi. </w:t>
            </w:r>
            <w:r w:rsidR="00C14D91" w:rsidRPr="00A97070">
              <w:rPr>
                <w:rStyle w:val="Hipervnculo"/>
                <w:rFonts w:ascii="Times New Roman" w:hAnsi="Times New Roman"/>
                <w:noProof/>
                <w:lang w:val="es-ES"/>
              </w:rPr>
              <w:t>Sistema Nacional de Compras y Contrataciones Públicas (SNCCP)</w:t>
            </w:r>
            <w:r w:rsidR="00C14D91">
              <w:rPr>
                <w:noProof/>
                <w:webHidden/>
              </w:rPr>
              <w:tab/>
            </w:r>
            <w:r w:rsidR="00C14D91">
              <w:rPr>
                <w:noProof/>
                <w:webHidden/>
              </w:rPr>
              <w:fldChar w:fldCharType="begin"/>
            </w:r>
            <w:r w:rsidR="00C14D91">
              <w:rPr>
                <w:noProof/>
                <w:webHidden/>
              </w:rPr>
              <w:instrText xml:space="preserve"> PAGEREF _Toc29406179 \h </w:instrText>
            </w:r>
            <w:r w:rsidR="00C14D91">
              <w:rPr>
                <w:noProof/>
                <w:webHidden/>
              </w:rPr>
            </w:r>
            <w:r w:rsidR="00C14D91">
              <w:rPr>
                <w:noProof/>
                <w:webHidden/>
              </w:rPr>
              <w:fldChar w:fldCharType="separate"/>
            </w:r>
            <w:r w:rsidR="00E87F5C">
              <w:rPr>
                <w:noProof/>
                <w:webHidden/>
              </w:rPr>
              <w:t>50</w:t>
            </w:r>
            <w:r w:rsidR="00C14D91">
              <w:rPr>
                <w:noProof/>
                <w:webHidden/>
              </w:rPr>
              <w:fldChar w:fldCharType="end"/>
            </w:r>
          </w:hyperlink>
        </w:p>
        <w:p w14:paraId="0DA9EBFF" w14:textId="77777777" w:rsidR="00C14D91" w:rsidRDefault="008F2677">
          <w:pPr>
            <w:pStyle w:val="TDC3"/>
            <w:tabs>
              <w:tab w:val="right" w:leader="dot" w:pos="9926"/>
            </w:tabs>
            <w:rPr>
              <w:rFonts w:cstheme="minorBidi"/>
              <w:noProof/>
              <w:lang w:val="en-US"/>
            </w:rPr>
          </w:pPr>
          <w:hyperlink w:anchor="_Toc29406180" w:history="1">
            <w:r w:rsidR="00C14D91" w:rsidRPr="00A97070">
              <w:rPr>
                <w:rStyle w:val="Hipervnculo"/>
                <w:noProof/>
                <w:lang w:val="es-ES"/>
              </w:rPr>
              <w:t xml:space="preserve">vii. </w:t>
            </w:r>
            <w:r w:rsidR="00C14D91" w:rsidRPr="00A97070">
              <w:rPr>
                <w:rStyle w:val="Hipervnculo"/>
                <w:rFonts w:ascii="Times New Roman" w:hAnsi="Times New Roman"/>
                <w:noProof/>
                <w:lang w:val="es-ES"/>
              </w:rPr>
              <w:t>Comisiones de Veedurías Ciudadanas</w:t>
            </w:r>
            <w:r w:rsidR="00C14D91">
              <w:rPr>
                <w:noProof/>
                <w:webHidden/>
              </w:rPr>
              <w:tab/>
            </w:r>
            <w:r w:rsidR="00C14D91">
              <w:rPr>
                <w:noProof/>
                <w:webHidden/>
              </w:rPr>
              <w:fldChar w:fldCharType="begin"/>
            </w:r>
            <w:r w:rsidR="00C14D91">
              <w:rPr>
                <w:noProof/>
                <w:webHidden/>
              </w:rPr>
              <w:instrText xml:space="preserve"> PAGEREF _Toc29406180 \h </w:instrText>
            </w:r>
            <w:r w:rsidR="00C14D91">
              <w:rPr>
                <w:noProof/>
                <w:webHidden/>
              </w:rPr>
            </w:r>
            <w:r w:rsidR="00C14D91">
              <w:rPr>
                <w:noProof/>
                <w:webHidden/>
              </w:rPr>
              <w:fldChar w:fldCharType="separate"/>
            </w:r>
            <w:r w:rsidR="00E87F5C">
              <w:rPr>
                <w:noProof/>
                <w:webHidden/>
              </w:rPr>
              <w:t>51</w:t>
            </w:r>
            <w:r w:rsidR="00C14D91">
              <w:rPr>
                <w:noProof/>
                <w:webHidden/>
              </w:rPr>
              <w:fldChar w:fldCharType="end"/>
            </w:r>
          </w:hyperlink>
        </w:p>
        <w:p w14:paraId="4ACF558D" w14:textId="77777777" w:rsidR="00C14D91" w:rsidRDefault="008F2677">
          <w:pPr>
            <w:pStyle w:val="TDC3"/>
            <w:tabs>
              <w:tab w:val="right" w:leader="dot" w:pos="9926"/>
            </w:tabs>
            <w:rPr>
              <w:rFonts w:cstheme="minorBidi"/>
              <w:noProof/>
              <w:lang w:val="en-US"/>
            </w:rPr>
          </w:pPr>
          <w:hyperlink w:anchor="_Toc29406181" w:history="1">
            <w:r w:rsidR="00C14D91" w:rsidRPr="00A97070">
              <w:rPr>
                <w:rStyle w:val="Hipervnculo"/>
                <w:noProof/>
                <w:lang w:val="es-ES"/>
              </w:rPr>
              <w:t xml:space="preserve">viii. </w:t>
            </w:r>
            <w:r w:rsidR="00C14D91" w:rsidRPr="00A97070">
              <w:rPr>
                <w:rStyle w:val="Hipervnculo"/>
                <w:rFonts w:ascii="Times New Roman" w:hAnsi="Times New Roman"/>
                <w:noProof/>
                <w:lang w:val="es-ES"/>
              </w:rPr>
              <w:t>Auditorias y Declaraciones Juradas</w:t>
            </w:r>
            <w:r w:rsidR="00C14D91">
              <w:rPr>
                <w:noProof/>
                <w:webHidden/>
              </w:rPr>
              <w:tab/>
            </w:r>
            <w:r w:rsidR="00C14D91">
              <w:rPr>
                <w:noProof/>
                <w:webHidden/>
              </w:rPr>
              <w:fldChar w:fldCharType="begin"/>
            </w:r>
            <w:r w:rsidR="00C14D91">
              <w:rPr>
                <w:noProof/>
                <w:webHidden/>
              </w:rPr>
              <w:instrText xml:space="preserve"> PAGEREF _Toc29406181 \h </w:instrText>
            </w:r>
            <w:r w:rsidR="00C14D91">
              <w:rPr>
                <w:noProof/>
                <w:webHidden/>
              </w:rPr>
            </w:r>
            <w:r w:rsidR="00C14D91">
              <w:rPr>
                <w:noProof/>
                <w:webHidden/>
              </w:rPr>
              <w:fldChar w:fldCharType="separate"/>
            </w:r>
            <w:r w:rsidR="00E87F5C">
              <w:rPr>
                <w:noProof/>
                <w:webHidden/>
              </w:rPr>
              <w:t>52</w:t>
            </w:r>
            <w:r w:rsidR="00C14D91">
              <w:rPr>
                <w:noProof/>
                <w:webHidden/>
              </w:rPr>
              <w:fldChar w:fldCharType="end"/>
            </w:r>
          </w:hyperlink>
        </w:p>
        <w:p w14:paraId="0F11D9BE" w14:textId="77777777" w:rsidR="00C14D91" w:rsidRDefault="008F2677">
          <w:pPr>
            <w:pStyle w:val="TDC2"/>
            <w:tabs>
              <w:tab w:val="left" w:pos="660"/>
              <w:tab w:val="right" w:leader="dot" w:pos="9926"/>
            </w:tabs>
            <w:rPr>
              <w:rFonts w:cstheme="minorBidi"/>
              <w:noProof/>
              <w:lang w:val="en-US"/>
            </w:rPr>
          </w:pPr>
          <w:hyperlink w:anchor="_Toc29406182" w:history="1">
            <w:r w:rsidR="00C14D91" w:rsidRPr="00A97070">
              <w:rPr>
                <w:rStyle w:val="Hipervnculo"/>
                <w:rFonts w:ascii="Times New Roman" w:hAnsi="Times New Roman"/>
                <w:b/>
                <w:noProof/>
                <w:lang w:val="es-ES"/>
              </w:rPr>
              <w:t>c)</w:t>
            </w:r>
            <w:r w:rsidR="00C14D91">
              <w:rPr>
                <w:rFonts w:cstheme="minorBidi"/>
                <w:noProof/>
                <w:lang w:val="en-US"/>
              </w:rPr>
              <w:tab/>
            </w:r>
            <w:r w:rsidR="00C14D91" w:rsidRPr="00A97070">
              <w:rPr>
                <w:rStyle w:val="Hipervnculo"/>
                <w:rFonts w:ascii="Times New Roman" w:hAnsi="Times New Roman"/>
                <w:b/>
                <w:noProof/>
                <w:lang w:val="es-ES"/>
              </w:rPr>
              <w:t>Otras acciones desarrolladas</w:t>
            </w:r>
            <w:r w:rsidR="00C14D91">
              <w:rPr>
                <w:noProof/>
                <w:webHidden/>
              </w:rPr>
              <w:tab/>
            </w:r>
            <w:r w:rsidR="00C14D91">
              <w:rPr>
                <w:noProof/>
                <w:webHidden/>
              </w:rPr>
              <w:fldChar w:fldCharType="begin"/>
            </w:r>
            <w:r w:rsidR="00C14D91">
              <w:rPr>
                <w:noProof/>
                <w:webHidden/>
              </w:rPr>
              <w:instrText xml:space="preserve"> PAGEREF _Toc29406182 \h </w:instrText>
            </w:r>
            <w:r w:rsidR="00C14D91">
              <w:rPr>
                <w:noProof/>
                <w:webHidden/>
              </w:rPr>
            </w:r>
            <w:r w:rsidR="00C14D91">
              <w:rPr>
                <w:noProof/>
                <w:webHidden/>
              </w:rPr>
              <w:fldChar w:fldCharType="separate"/>
            </w:r>
            <w:r w:rsidR="00E87F5C">
              <w:rPr>
                <w:noProof/>
                <w:webHidden/>
              </w:rPr>
              <w:t>53</w:t>
            </w:r>
            <w:r w:rsidR="00C14D91">
              <w:rPr>
                <w:noProof/>
                <w:webHidden/>
              </w:rPr>
              <w:fldChar w:fldCharType="end"/>
            </w:r>
          </w:hyperlink>
        </w:p>
        <w:p w14:paraId="3ADB077E" w14:textId="77777777" w:rsidR="00C14D91" w:rsidRDefault="008F2677">
          <w:pPr>
            <w:pStyle w:val="TDC1"/>
            <w:tabs>
              <w:tab w:val="left" w:pos="440"/>
              <w:tab w:val="right" w:leader="dot" w:pos="9926"/>
            </w:tabs>
            <w:rPr>
              <w:rFonts w:cstheme="minorBidi"/>
              <w:noProof/>
              <w:lang w:val="en-US"/>
            </w:rPr>
          </w:pPr>
          <w:hyperlink w:anchor="_Toc29406186" w:history="1">
            <w:r w:rsidR="00C14D91" w:rsidRPr="00A97070">
              <w:rPr>
                <w:rStyle w:val="Hipervnculo"/>
                <w:rFonts w:ascii="Times New Roman" w:hAnsi="Times New Roman"/>
                <w:b/>
                <w:noProof/>
                <w:lang w:val="es-ES"/>
              </w:rPr>
              <w:t>V.</w:t>
            </w:r>
            <w:r w:rsidR="00C14D91">
              <w:rPr>
                <w:rFonts w:cstheme="minorBidi"/>
                <w:noProof/>
                <w:lang w:val="en-US"/>
              </w:rPr>
              <w:tab/>
            </w:r>
            <w:r w:rsidR="00C14D91" w:rsidRPr="00A97070">
              <w:rPr>
                <w:rStyle w:val="Hipervnculo"/>
                <w:rFonts w:ascii="Times New Roman" w:hAnsi="Times New Roman"/>
                <w:b/>
                <w:noProof/>
                <w:lang w:val="es-ES"/>
              </w:rPr>
              <w:t>Gestión Interna</w:t>
            </w:r>
            <w:r w:rsidR="00C14D91">
              <w:rPr>
                <w:noProof/>
                <w:webHidden/>
              </w:rPr>
              <w:tab/>
            </w:r>
            <w:r w:rsidR="00C14D91">
              <w:rPr>
                <w:noProof/>
                <w:webHidden/>
              </w:rPr>
              <w:fldChar w:fldCharType="begin"/>
            </w:r>
            <w:r w:rsidR="00C14D91">
              <w:rPr>
                <w:noProof/>
                <w:webHidden/>
              </w:rPr>
              <w:instrText xml:space="preserve"> PAGEREF _Toc29406186 \h </w:instrText>
            </w:r>
            <w:r w:rsidR="00C14D91">
              <w:rPr>
                <w:noProof/>
                <w:webHidden/>
              </w:rPr>
            </w:r>
            <w:r w:rsidR="00C14D91">
              <w:rPr>
                <w:noProof/>
                <w:webHidden/>
              </w:rPr>
              <w:fldChar w:fldCharType="separate"/>
            </w:r>
            <w:r w:rsidR="00E87F5C">
              <w:rPr>
                <w:noProof/>
                <w:webHidden/>
              </w:rPr>
              <w:t>53</w:t>
            </w:r>
            <w:r w:rsidR="00C14D91">
              <w:rPr>
                <w:noProof/>
                <w:webHidden/>
              </w:rPr>
              <w:fldChar w:fldCharType="end"/>
            </w:r>
          </w:hyperlink>
        </w:p>
        <w:p w14:paraId="7FBB52D2" w14:textId="77777777" w:rsidR="00C14D91" w:rsidRDefault="008F2677">
          <w:pPr>
            <w:pStyle w:val="TDC2"/>
            <w:tabs>
              <w:tab w:val="left" w:pos="660"/>
              <w:tab w:val="right" w:leader="dot" w:pos="9926"/>
            </w:tabs>
            <w:rPr>
              <w:rFonts w:cstheme="minorBidi"/>
              <w:noProof/>
              <w:lang w:val="en-US"/>
            </w:rPr>
          </w:pPr>
          <w:hyperlink w:anchor="_Toc29406188" w:history="1">
            <w:r w:rsidR="00C14D91" w:rsidRPr="00A97070">
              <w:rPr>
                <w:rStyle w:val="Hipervnculo"/>
                <w:b/>
                <w:noProof/>
                <w:lang w:val="es-ES"/>
              </w:rPr>
              <w:t>a)</w:t>
            </w:r>
            <w:r w:rsidR="00C14D91">
              <w:rPr>
                <w:rFonts w:cstheme="minorBidi"/>
                <w:noProof/>
                <w:lang w:val="en-US"/>
              </w:rPr>
              <w:tab/>
            </w:r>
            <w:r w:rsidR="00C14D91" w:rsidRPr="00A97070">
              <w:rPr>
                <w:rStyle w:val="Hipervnculo"/>
                <w:b/>
                <w:noProof/>
                <w:lang w:val="es-ES"/>
              </w:rPr>
              <w:t>Desempeño Financiero</w:t>
            </w:r>
            <w:r w:rsidR="00C14D91">
              <w:rPr>
                <w:noProof/>
                <w:webHidden/>
              </w:rPr>
              <w:tab/>
            </w:r>
            <w:r w:rsidR="00C14D91">
              <w:rPr>
                <w:noProof/>
                <w:webHidden/>
              </w:rPr>
              <w:fldChar w:fldCharType="begin"/>
            </w:r>
            <w:r w:rsidR="00C14D91">
              <w:rPr>
                <w:noProof/>
                <w:webHidden/>
              </w:rPr>
              <w:instrText xml:space="preserve"> PAGEREF _Toc29406188 \h </w:instrText>
            </w:r>
            <w:r w:rsidR="00C14D91">
              <w:rPr>
                <w:noProof/>
                <w:webHidden/>
              </w:rPr>
            </w:r>
            <w:r w:rsidR="00C14D91">
              <w:rPr>
                <w:noProof/>
                <w:webHidden/>
              </w:rPr>
              <w:fldChar w:fldCharType="separate"/>
            </w:r>
            <w:r w:rsidR="00E87F5C">
              <w:rPr>
                <w:noProof/>
                <w:webHidden/>
              </w:rPr>
              <w:t>53</w:t>
            </w:r>
            <w:r w:rsidR="00C14D91">
              <w:rPr>
                <w:noProof/>
                <w:webHidden/>
              </w:rPr>
              <w:fldChar w:fldCharType="end"/>
            </w:r>
          </w:hyperlink>
        </w:p>
        <w:p w14:paraId="506551A0" w14:textId="77777777" w:rsidR="00C14D91" w:rsidRDefault="008F2677">
          <w:pPr>
            <w:pStyle w:val="TDC2"/>
            <w:tabs>
              <w:tab w:val="left" w:pos="660"/>
              <w:tab w:val="right" w:leader="dot" w:pos="9926"/>
            </w:tabs>
            <w:rPr>
              <w:rFonts w:cstheme="minorBidi"/>
              <w:noProof/>
              <w:lang w:val="en-US"/>
            </w:rPr>
          </w:pPr>
          <w:hyperlink w:anchor="_Toc29406189" w:history="1">
            <w:r w:rsidR="00C14D91" w:rsidRPr="00A97070">
              <w:rPr>
                <w:rStyle w:val="Hipervnculo"/>
                <w:b/>
                <w:noProof/>
                <w:lang w:val="es-ES"/>
              </w:rPr>
              <w:t>b)</w:t>
            </w:r>
            <w:r w:rsidR="00C14D91">
              <w:rPr>
                <w:rFonts w:cstheme="minorBidi"/>
                <w:noProof/>
                <w:lang w:val="en-US"/>
              </w:rPr>
              <w:tab/>
            </w:r>
            <w:r w:rsidR="00C14D91" w:rsidRPr="00A97070">
              <w:rPr>
                <w:rStyle w:val="Hipervnculo"/>
                <w:b/>
                <w:noProof/>
                <w:lang w:val="es-ES"/>
              </w:rPr>
              <w:t>Contrataciones y Adquisiciones</w:t>
            </w:r>
            <w:r w:rsidR="00C14D91">
              <w:rPr>
                <w:noProof/>
                <w:webHidden/>
              </w:rPr>
              <w:tab/>
            </w:r>
            <w:r w:rsidR="00C14D91">
              <w:rPr>
                <w:noProof/>
                <w:webHidden/>
              </w:rPr>
              <w:fldChar w:fldCharType="begin"/>
            </w:r>
            <w:r w:rsidR="00C14D91">
              <w:rPr>
                <w:noProof/>
                <w:webHidden/>
              </w:rPr>
              <w:instrText xml:space="preserve"> PAGEREF _Toc29406189 \h </w:instrText>
            </w:r>
            <w:r w:rsidR="00C14D91">
              <w:rPr>
                <w:noProof/>
                <w:webHidden/>
              </w:rPr>
            </w:r>
            <w:r w:rsidR="00C14D91">
              <w:rPr>
                <w:noProof/>
                <w:webHidden/>
              </w:rPr>
              <w:fldChar w:fldCharType="separate"/>
            </w:r>
            <w:r w:rsidR="00E87F5C">
              <w:rPr>
                <w:noProof/>
                <w:webHidden/>
              </w:rPr>
              <w:t>54</w:t>
            </w:r>
            <w:r w:rsidR="00C14D91">
              <w:rPr>
                <w:noProof/>
                <w:webHidden/>
              </w:rPr>
              <w:fldChar w:fldCharType="end"/>
            </w:r>
          </w:hyperlink>
        </w:p>
        <w:p w14:paraId="59F95365" w14:textId="77777777" w:rsidR="00C14D91" w:rsidRDefault="008F2677">
          <w:pPr>
            <w:pStyle w:val="TDC1"/>
            <w:tabs>
              <w:tab w:val="left" w:pos="660"/>
              <w:tab w:val="right" w:leader="dot" w:pos="9926"/>
            </w:tabs>
            <w:rPr>
              <w:rFonts w:cstheme="minorBidi"/>
              <w:noProof/>
              <w:lang w:val="en-US"/>
            </w:rPr>
          </w:pPr>
          <w:hyperlink w:anchor="_Toc29406202" w:history="1">
            <w:r w:rsidR="00C14D91" w:rsidRPr="00A97070">
              <w:rPr>
                <w:rStyle w:val="Hipervnculo"/>
                <w:b/>
                <w:noProof/>
              </w:rPr>
              <w:t>VI.</w:t>
            </w:r>
            <w:r w:rsidR="00C14D91">
              <w:rPr>
                <w:rFonts w:cstheme="minorBidi"/>
                <w:noProof/>
                <w:lang w:val="en-US"/>
              </w:rPr>
              <w:tab/>
            </w:r>
            <w:r w:rsidR="00C14D91" w:rsidRPr="00A97070">
              <w:rPr>
                <w:rStyle w:val="Hipervnculo"/>
                <w:b/>
                <w:noProof/>
              </w:rPr>
              <w:t>Reconocimientos</w:t>
            </w:r>
            <w:r w:rsidR="00C14D91">
              <w:rPr>
                <w:noProof/>
                <w:webHidden/>
              </w:rPr>
              <w:tab/>
            </w:r>
            <w:r w:rsidR="00C14D91">
              <w:rPr>
                <w:noProof/>
                <w:webHidden/>
              </w:rPr>
              <w:fldChar w:fldCharType="begin"/>
            </w:r>
            <w:r w:rsidR="00C14D91">
              <w:rPr>
                <w:noProof/>
                <w:webHidden/>
              </w:rPr>
              <w:instrText xml:space="preserve"> PAGEREF _Toc29406202 \h </w:instrText>
            </w:r>
            <w:r w:rsidR="00C14D91">
              <w:rPr>
                <w:noProof/>
                <w:webHidden/>
              </w:rPr>
            </w:r>
            <w:r w:rsidR="00C14D91">
              <w:rPr>
                <w:noProof/>
                <w:webHidden/>
              </w:rPr>
              <w:fldChar w:fldCharType="separate"/>
            </w:r>
            <w:r w:rsidR="00E87F5C">
              <w:rPr>
                <w:noProof/>
                <w:webHidden/>
              </w:rPr>
              <w:t>56</w:t>
            </w:r>
            <w:r w:rsidR="00C14D91">
              <w:rPr>
                <w:noProof/>
                <w:webHidden/>
              </w:rPr>
              <w:fldChar w:fldCharType="end"/>
            </w:r>
          </w:hyperlink>
        </w:p>
        <w:p w14:paraId="4D013596" w14:textId="77777777" w:rsidR="00C14D91" w:rsidRDefault="008F2677">
          <w:pPr>
            <w:pStyle w:val="TDC1"/>
            <w:tabs>
              <w:tab w:val="left" w:pos="660"/>
              <w:tab w:val="right" w:leader="dot" w:pos="9926"/>
            </w:tabs>
            <w:rPr>
              <w:rFonts w:cstheme="minorBidi"/>
              <w:noProof/>
              <w:lang w:val="en-US"/>
            </w:rPr>
          </w:pPr>
          <w:hyperlink w:anchor="_Toc29406203" w:history="1">
            <w:r w:rsidR="00C14D91" w:rsidRPr="00A97070">
              <w:rPr>
                <w:rStyle w:val="Hipervnculo"/>
                <w:b/>
                <w:noProof/>
              </w:rPr>
              <w:t>VII.</w:t>
            </w:r>
            <w:r w:rsidR="00C14D91">
              <w:rPr>
                <w:rFonts w:cstheme="minorBidi"/>
                <w:noProof/>
                <w:lang w:val="en-US"/>
              </w:rPr>
              <w:tab/>
            </w:r>
            <w:r w:rsidR="00C14D91" w:rsidRPr="00A97070">
              <w:rPr>
                <w:rStyle w:val="Hipervnculo"/>
                <w:b/>
                <w:noProof/>
              </w:rPr>
              <w:t>Proyecciones al Próximo Año</w:t>
            </w:r>
            <w:r w:rsidR="00C14D91">
              <w:rPr>
                <w:noProof/>
                <w:webHidden/>
              </w:rPr>
              <w:tab/>
            </w:r>
            <w:r w:rsidR="00C14D91">
              <w:rPr>
                <w:noProof/>
                <w:webHidden/>
              </w:rPr>
              <w:fldChar w:fldCharType="begin"/>
            </w:r>
            <w:r w:rsidR="00C14D91">
              <w:rPr>
                <w:noProof/>
                <w:webHidden/>
              </w:rPr>
              <w:instrText xml:space="preserve"> PAGEREF _Toc29406203 \h </w:instrText>
            </w:r>
            <w:r w:rsidR="00C14D91">
              <w:rPr>
                <w:noProof/>
                <w:webHidden/>
              </w:rPr>
            </w:r>
            <w:r w:rsidR="00C14D91">
              <w:rPr>
                <w:noProof/>
                <w:webHidden/>
              </w:rPr>
              <w:fldChar w:fldCharType="separate"/>
            </w:r>
            <w:r w:rsidR="00E87F5C">
              <w:rPr>
                <w:noProof/>
                <w:webHidden/>
              </w:rPr>
              <w:t>56</w:t>
            </w:r>
            <w:r w:rsidR="00C14D91">
              <w:rPr>
                <w:noProof/>
                <w:webHidden/>
              </w:rPr>
              <w:fldChar w:fldCharType="end"/>
            </w:r>
          </w:hyperlink>
        </w:p>
        <w:p w14:paraId="4271AAE9" w14:textId="77777777" w:rsidR="00C14D91" w:rsidRDefault="008F2677">
          <w:pPr>
            <w:pStyle w:val="TDC1"/>
            <w:tabs>
              <w:tab w:val="left" w:pos="880"/>
              <w:tab w:val="right" w:leader="dot" w:pos="9926"/>
            </w:tabs>
            <w:rPr>
              <w:rFonts w:cstheme="minorBidi"/>
              <w:noProof/>
              <w:lang w:val="en-US"/>
            </w:rPr>
          </w:pPr>
          <w:hyperlink w:anchor="_Toc29406208" w:history="1">
            <w:r w:rsidR="00C14D91" w:rsidRPr="00A97070">
              <w:rPr>
                <w:rStyle w:val="Hipervnculo"/>
                <w:rFonts w:ascii="Times New Roman" w:hAnsi="Times New Roman"/>
                <w:b/>
                <w:noProof/>
              </w:rPr>
              <w:t>VIII.</w:t>
            </w:r>
            <w:r w:rsidR="00C14D91">
              <w:rPr>
                <w:rFonts w:cstheme="minorBidi"/>
                <w:noProof/>
                <w:lang w:val="en-US"/>
              </w:rPr>
              <w:tab/>
            </w:r>
            <w:r w:rsidR="00C14D91" w:rsidRPr="00A97070">
              <w:rPr>
                <w:rStyle w:val="Hipervnculo"/>
                <w:rFonts w:ascii="Times New Roman" w:hAnsi="Times New Roman"/>
                <w:b/>
                <w:noProof/>
              </w:rPr>
              <w:t>Anexos</w:t>
            </w:r>
            <w:r w:rsidR="00C14D91">
              <w:rPr>
                <w:noProof/>
                <w:webHidden/>
              </w:rPr>
              <w:tab/>
            </w:r>
            <w:r w:rsidR="00C14D91">
              <w:rPr>
                <w:noProof/>
                <w:webHidden/>
              </w:rPr>
              <w:fldChar w:fldCharType="begin"/>
            </w:r>
            <w:r w:rsidR="00C14D91">
              <w:rPr>
                <w:noProof/>
                <w:webHidden/>
              </w:rPr>
              <w:instrText xml:space="preserve"> PAGEREF _Toc29406208 \h </w:instrText>
            </w:r>
            <w:r w:rsidR="00C14D91">
              <w:rPr>
                <w:noProof/>
                <w:webHidden/>
              </w:rPr>
            </w:r>
            <w:r w:rsidR="00C14D91">
              <w:rPr>
                <w:noProof/>
                <w:webHidden/>
              </w:rPr>
              <w:fldChar w:fldCharType="separate"/>
            </w:r>
            <w:r w:rsidR="00E87F5C">
              <w:rPr>
                <w:noProof/>
                <w:webHidden/>
              </w:rPr>
              <w:t>57</w:t>
            </w:r>
            <w:r w:rsidR="00C14D91">
              <w:rPr>
                <w:noProof/>
                <w:webHidden/>
              </w:rPr>
              <w:fldChar w:fldCharType="end"/>
            </w:r>
          </w:hyperlink>
        </w:p>
        <w:p w14:paraId="574F75B9" w14:textId="0065EC60" w:rsidR="00BC5EEF" w:rsidRDefault="00BC5EEF">
          <w:r w:rsidRPr="00E406B4">
            <w:rPr>
              <w:rFonts w:ascii="Arial" w:hAnsi="Arial"/>
              <w:b/>
              <w:bCs/>
              <w:lang w:val="es-ES"/>
            </w:rPr>
            <w:lastRenderedPageBreak/>
            <w:fldChar w:fldCharType="end"/>
          </w:r>
        </w:p>
      </w:sdtContent>
    </w:sdt>
    <w:p w14:paraId="3CE6195E" w14:textId="5EF6BABB" w:rsidR="00A46C69" w:rsidRPr="00E406B4" w:rsidRDefault="00BC5EEF" w:rsidP="00047B8A">
      <w:pPr>
        <w:pStyle w:val="Ttulo1"/>
        <w:spacing w:before="0"/>
        <w:rPr>
          <w:rFonts w:ascii="Times New Roman" w:hAnsi="Times New Roman" w:cs="Times New Roman"/>
          <w:b/>
          <w:lang w:val="es-ES"/>
        </w:rPr>
      </w:pPr>
      <w:bookmarkStart w:id="1" w:name="_Toc29406129"/>
      <w:permEnd w:id="1025519059"/>
      <w:r w:rsidRPr="00E406B4">
        <w:rPr>
          <w:rFonts w:ascii="Times New Roman" w:hAnsi="Times New Roman" w:cs="Times New Roman"/>
          <w:b/>
          <w:lang w:val="es-ES"/>
        </w:rPr>
        <w:t>II</w:t>
      </w:r>
      <w:r w:rsidR="007B76C9" w:rsidRPr="00E406B4">
        <w:rPr>
          <w:rFonts w:ascii="Times New Roman" w:hAnsi="Times New Roman" w:cs="Times New Roman"/>
          <w:b/>
          <w:lang w:val="es-ES"/>
        </w:rPr>
        <w:t xml:space="preserve">. </w:t>
      </w:r>
      <w:r w:rsidR="00AD5BF6">
        <w:rPr>
          <w:rFonts w:ascii="Times New Roman" w:hAnsi="Times New Roman" w:cs="Times New Roman"/>
          <w:b/>
          <w:lang w:val="es-ES"/>
        </w:rPr>
        <w:t xml:space="preserve">      </w:t>
      </w:r>
      <w:r w:rsidR="007B76C9" w:rsidRPr="00E406B4">
        <w:rPr>
          <w:rFonts w:ascii="Times New Roman" w:hAnsi="Times New Roman" w:cs="Times New Roman"/>
          <w:b/>
          <w:lang w:val="es-ES"/>
        </w:rPr>
        <w:t>Resumen</w:t>
      </w:r>
      <w:r w:rsidR="00A46C69" w:rsidRPr="00E406B4">
        <w:rPr>
          <w:rFonts w:ascii="Times New Roman" w:hAnsi="Times New Roman" w:cs="Times New Roman"/>
          <w:b/>
          <w:lang w:val="es-ES"/>
        </w:rPr>
        <w:t xml:space="preserve"> Ejecutivo</w:t>
      </w:r>
      <w:bookmarkEnd w:id="1"/>
    </w:p>
    <w:p w14:paraId="626810C0" w14:textId="77777777" w:rsidR="00A46C69" w:rsidRPr="008463C3" w:rsidRDefault="00A46C69" w:rsidP="0023232B">
      <w:pPr>
        <w:rPr>
          <w:lang w:val="es-ES"/>
        </w:rPr>
      </w:pPr>
    </w:p>
    <w:p w14:paraId="4D577B47" w14:textId="32F3FF5F" w:rsidR="00E15AF0" w:rsidRPr="00770825" w:rsidRDefault="00A46C69" w:rsidP="00442B65">
      <w:pPr>
        <w:spacing w:after="200" w:line="480" w:lineRule="auto"/>
        <w:jc w:val="both"/>
        <w:rPr>
          <w:lang w:val="es-ES"/>
        </w:rPr>
      </w:pPr>
      <w:r w:rsidRPr="00C14D91">
        <w:rPr>
          <w:lang w:val="es-ES"/>
        </w:rPr>
        <w:t xml:space="preserve">La </w:t>
      </w:r>
      <w:r w:rsidR="00171410" w:rsidRPr="00C14D91">
        <w:rPr>
          <w:lang w:val="es-ES"/>
        </w:rPr>
        <w:t xml:space="preserve">Dirección General de Minería, </w:t>
      </w:r>
      <w:r w:rsidRPr="00770825">
        <w:rPr>
          <w:lang w:val="es-ES"/>
        </w:rPr>
        <w:t xml:space="preserve">es la institución gubernamental </w:t>
      </w:r>
      <w:r w:rsidR="00B9669D" w:rsidRPr="00770825">
        <w:rPr>
          <w:lang w:val="es-ES"/>
        </w:rPr>
        <w:t xml:space="preserve">adscrita al Ministerio de Energía y Minas, </w:t>
      </w:r>
      <w:r w:rsidRPr="00770825">
        <w:rPr>
          <w:lang w:val="es-ES"/>
        </w:rPr>
        <w:t xml:space="preserve">responsable de </w:t>
      </w:r>
      <w:r w:rsidR="00DE1E69" w:rsidRPr="00770825">
        <w:rPr>
          <w:lang w:val="es-ES"/>
        </w:rPr>
        <w:t>recibi</w:t>
      </w:r>
      <w:r w:rsidR="00171410" w:rsidRPr="00770825">
        <w:rPr>
          <w:lang w:val="es-ES"/>
        </w:rPr>
        <w:t xml:space="preserve">r las solicitudes de concesión </w:t>
      </w:r>
      <w:r w:rsidR="00701AF6" w:rsidRPr="00770825">
        <w:rPr>
          <w:lang w:val="es-ES"/>
        </w:rPr>
        <w:t xml:space="preserve">mineras </w:t>
      </w:r>
      <w:r w:rsidR="00171410" w:rsidRPr="00770825">
        <w:rPr>
          <w:lang w:val="es-ES"/>
        </w:rPr>
        <w:t xml:space="preserve">para </w:t>
      </w:r>
      <w:r w:rsidR="00B33F2C" w:rsidRPr="00770825">
        <w:rPr>
          <w:lang w:val="es-ES"/>
        </w:rPr>
        <w:t>e</w:t>
      </w:r>
      <w:r w:rsidR="00171410" w:rsidRPr="00770825">
        <w:rPr>
          <w:lang w:val="es-ES"/>
        </w:rPr>
        <w:t xml:space="preserve">xploración y </w:t>
      </w:r>
      <w:r w:rsidR="00B33F2C" w:rsidRPr="00770825">
        <w:rPr>
          <w:lang w:val="es-ES"/>
        </w:rPr>
        <w:t>e</w:t>
      </w:r>
      <w:r w:rsidR="00171410" w:rsidRPr="00770825">
        <w:rPr>
          <w:lang w:val="es-ES"/>
        </w:rPr>
        <w:t>xplotación</w:t>
      </w:r>
      <w:r w:rsidR="00770825">
        <w:rPr>
          <w:lang w:val="es-ES"/>
        </w:rPr>
        <w:t>, así como las denuncias</w:t>
      </w:r>
      <w:r w:rsidR="00171410" w:rsidRPr="00C14D91">
        <w:rPr>
          <w:lang w:val="es-ES"/>
        </w:rPr>
        <w:t xml:space="preserve"> de sustancias mineras dentro del territorio</w:t>
      </w:r>
      <w:r w:rsidR="00DE1E69" w:rsidRPr="00C14D91">
        <w:rPr>
          <w:lang w:val="es-ES"/>
        </w:rPr>
        <w:t xml:space="preserve"> nacional</w:t>
      </w:r>
      <w:r w:rsidR="00701AF6" w:rsidRPr="00770825">
        <w:rPr>
          <w:lang w:val="es-ES"/>
        </w:rPr>
        <w:t xml:space="preserve">, </w:t>
      </w:r>
      <w:r w:rsidR="00E15AF0" w:rsidRPr="00770825">
        <w:rPr>
          <w:lang w:val="es-ES"/>
        </w:rPr>
        <w:t>de acuerdo a lo estipulado en la Ley No. 146/71</w:t>
      </w:r>
      <w:r w:rsidR="00701AF6" w:rsidRPr="00770825">
        <w:rPr>
          <w:lang w:val="es-ES"/>
        </w:rPr>
        <w:t>, sobre las relaciones de los concesionarios mineros y el Estado Dominicano</w:t>
      </w:r>
      <w:r w:rsidR="00E15AF0" w:rsidRPr="00770825">
        <w:rPr>
          <w:lang w:val="es-ES"/>
        </w:rPr>
        <w:t>.</w:t>
      </w:r>
    </w:p>
    <w:p w14:paraId="6CD068A9" w14:textId="19AF3B33" w:rsidR="00695014" w:rsidRPr="00C14D91" w:rsidRDefault="00E15AF0">
      <w:pPr>
        <w:spacing w:after="200" w:line="480" w:lineRule="auto"/>
        <w:jc w:val="both"/>
        <w:rPr>
          <w:lang w:val="es-ES"/>
        </w:rPr>
      </w:pPr>
      <w:r w:rsidRPr="00770825">
        <w:rPr>
          <w:lang w:val="es-ES"/>
        </w:rPr>
        <w:t>Por tanto</w:t>
      </w:r>
      <w:r w:rsidR="00DE5B67" w:rsidRPr="00770825">
        <w:rPr>
          <w:lang w:val="es-ES"/>
        </w:rPr>
        <w:t xml:space="preserve">, </w:t>
      </w:r>
      <w:r w:rsidRPr="00770825">
        <w:rPr>
          <w:lang w:val="es-ES"/>
        </w:rPr>
        <w:t xml:space="preserve">en pleno cumplimiento </w:t>
      </w:r>
      <w:r w:rsidR="00B4146A" w:rsidRPr="00770825">
        <w:rPr>
          <w:lang w:val="es-ES"/>
        </w:rPr>
        <w:t>de lo estipulado en articulo No. 194 de la Ley No. 14</w:t>
      </w:r>
      <w:r w:rsidR="00701AF6" w:rsidRPr="00770825">
        <w:rPr>
          <w:lang w:val="es-ES"/>
        </w:rPr>
        <w:t>6</w:t>
      </w:r>
      <w:r w:rsidR="00B4146A" w:rsidRPr="00770825">
        <w:rPr>
          <w:lang w:val="es-ES"/>
        </w:rPr>
        <w:t xml:space="preserve">/71, nos hemos encargado de promover el desarrollo </w:t>
      </w:r>
      <w:r w:rsidR="00701AF6" w:rsidRPr="00770825">
        <w:rPr>
          <w:lang w:val="es-ES"/>
        </w:rPr>
        <w:t xml:space="preserve">minero </w:t>
      </w:r>
      <w:r w:rsidR="00B4146A" w:rsidRPr="00770825">
        <w:rPr>
          <w:lang w:val="es-ES"/>
        </w:rPr>
        <w:t>de</w:t>
      </w:r>
      <w:r w:rsidR="00701AF6" w:rsidRPr="00770825">
        <w:rPr>
          <w:lang w:val="es-ES"/>
        </w:rPr>
        <w:t xml:space="preserve">l país, </w:t>
      </w:r>
      <w:r w:rsidR="00B4146A" w:rsidRPr="00770825">
        <w:rPr>
          <w:lang w:val="es-ES"/>
        </w:rPr>
        <w:t>así como de salvaguardar el interés nacional en lo concerniente a l</w:t>
      </w:r>
      <w:r w:rsidR="00701AF6" w:rsidRPr="00770825">
        <w:rPr>
          <w:lang w:val="es-ES"/>
        </w:rPr>
        <w:t>a industria minero- metalúrgica</w:t>
      </w:r>
      <w:r w:rsidR="00B4146A" w:rsidRPr="00770825">
        <w:rPr>
          <w:lang w:val="es-ES"/>
        </w:rPr>
        <w:t xml:space="preserve"> y el cumplimiento de nuestras atribuciones Técnico - científico y administrativas.</w:t>
      </w:r>
      <w:r w:rsidR="00C27C5E" w:rsidRPr="00770825">
        <w:rPr>
          <w:lang w:val="es-ES"/>
        </w:rPr>
        <w:t xml:space="preserve"> </w:t>
      </w:r>
      <w:r w:rsidR="00B4146A" w:rsidRPr="00770825">
        <w:rPr>
          <w:lang w:val="es-ES"/>
        </w:rPr>
        <w:t xml:space="preserve">Esto se evidencia con las </w:t>
      </w:r>
      <w:r w:rsidR="00845AB0" w:rsidRPr="00770825">
        <w:rPr>
          <w:lang w:val="es-ES"/>
        </w:rPr>
        <w:t xml:space="preserve">recomendaciones de otorgamiento de las solicitudes de concesiones mineras, presentadas al Ministerio de Energía y Minas, luego de haber realizado </w:t>
      </w:r>
      <w:r w:rsidR="00825F6C" w:rsidRPr="00770825">
        <w:rPr>
          <w:lang w:val="es-ES"/>
        </w:rPr>
        <w:t xml:space="preserve">sus </w:t>
      </w:r>
      <w:r w:rsidR="00B4146A" w:rsidRPr="00770825">
        <w:rPr>
          <w:lang w:val="es-ES"/>
        </w:rPr>
        <w:t>evaluaciones técnico – legal</w:t>
      </w:r>
      <w:r w:rsidR="00DE5B67" w:rsidRPr="00770825">
        <w:rPr>
          <w:lang w:val="es-ES"/>
        </w:rPr>
        <w:t>es</w:t>
      </w:r>
      <w:r w:rsidR="00B4146A" w:rsidRPr="00770825">
        <w:rPr>
          <w:lang w:val="es-ES"/>
        </w:rPr>
        <w:t>,  las cuales para el presente ejercicio fiscal 201</w:t>
      </w:r>
      <w:r w:rsidR="00770825" w:rsidRPr="00770825">
        <w:rPr>
          <w:lang w:val="es-ES"/>
        </w:rPr>
        <w:t>9</w:t>
      </w:r>
      <w:r w:rsidR="00E14EA1" w:rsidRPr="00C14D91">
        <w:rPr>
          <w:lang w:val="es-ES"/>
        </w:rPr>
        <w:t xml:space="preserve">, </w:t>
      </w:r>
      <w:r w:rsidR="00E14EA1" w:rsidRPr="00770825">
        <w:rPr>
          <w:lang w:val="es-ES"/>
        </w:rPr>
        <w:t xml:space="preserve">suman unas </w:t>
      </w:r>
      <w:r w:rsidR="00770825" w:rsidRPr="00770825">
        <w:rPr>
          <w:lang w:val="es-ES"/>
        </w:rPr>
        <w:t>treinta</w:t>
      </w:r>
      <w:r w:rsidR="00FA361E" w:rsidRPr="00770825">
        <w:rPr>
          <w:lang w:val="es-ES"/>
        </w:rPr>
        <w:t xml:space="preserve"> y </w:t>
      </w:r>
      <w:r w:rsidR="00770825" w:rsidRPr="00770825">
        <w:rPr>
          <w:lang w:val="es-ES"/>
        </w:rPr>
        <w:t>dos</w:t>
      </w:r>
      <w:r w:rsidR="00FA361E" w:rsidRPr="00770825">
        <w:rPr>
          <w:lang w:val="es-ES"/>
        </w:rPr>
        <w:t xml:space="preserve"> (</w:t>
      </w:r>
      <w:r w:rsidR="00770825" w:rsidRPr="00770825">
        <w:rPr>
          <w:lang w:val="es-ES"/>
        </w:rPr>
        <w:t>32</w:t>
      </w:r>
      <w:r w:rsidR="00FA361E" w:rsidRPr="00770825">
        <w:rPr>
          <w:lang w:val="es-ES"/>
        </w:rPr>
        <w:t xml:space="preserve">), </w:t>
      </w:r>
      <w:r w:rsidR="00701AF6" w:rsidRPr="00770825">
        <w:rPr>
          <w:lang w:val="es-ES"/>
        </w:rPr>
        <w:t xml:space="preserve">solicitudes </w:t>
      </w:r>
      <w:r w:rsidR="00E14EA1" w:rsidRPr="00770825">
        <w:rPr>
          <w:lang w:val="es-ES"/>
        </w:rPr>
        <w:t xml:space="preserve">concesión mineras, </w:t>
      </w:r>
      <w:r w:rsidR="00825F6C" w:rsidRPr="00C14D91">
        <w:rPr>
          <w:lang w:val="es-ES"/>
        </w:rPr>
        <w:t>siendo</w:t>
      </w:r>
      <w:r w:rsidR="00E14EA1" w:rsidRPr="00770825">
        <w:rPr>
          <w:lang w:val="es-ES"/>
        </w:rPr>
        <w:t xml:space="preserve"> </w:t>
      </w:r>
      <w:r w:rsidR="00770825" w:rsidRPr="00770825">
        <w:rPr>
          <w:lang w:val="es-ES"/>
        </w:rPr>
        <w:t>vente</w:t>
      </w:r>
      <w:r w:rsidR="00845AB0" w:rsidRPr="00770825">
        <w:rPr>
          <w:lang w:val="es-ES"/>
        </w:rPr>
        <w:t xml:space="preserve"> y </w:t>
      </w:r>
      <w:r w:rsidR="00770825" w:rsidRPr="00770825">
        <w:rPr>
          <w:lang w:val="es-ES"/>
        </w:rPr>
        <w:t xml:space="preserve">ocho </w:t>
      </w:r>
      <w:r w:rsidR="00E14EA1" w:rsidRPr="00770825">
        <w:rPr>
          <w:lang w:val="es-ES"/>
        </w:rPr>
        <w:t>(</w:t>
      </w:r>
      <w:r w:rsidR="00770825" w:rsidRPr="00770825">
        <w:rPr>
          <w:lang w:val="es-ES"/>
        </w:rPr>
        <w:t>28</w:t>
      </w:r>
      <w:r w:rsidR="00E14EA1" w:rsidRPr="00770825">
        <w:rPr>
          <w:lang w:val="es-ES"/>
        </w:rPr>
        <w:t xml:space="preserve">) </w:t>
      </w:r>
      <w:r w:rsidR="00FF008F" w:rsidRPr="00C14D91">
        <w:rPr>
          <w:lang w:val="es-ES"/>
        </w:rPr>
        <w:t>de</w:t>
      </w:r>
      <w:r w:rsidR="00E14EA1" w:rsidRPr="00770825">
        <w:rPr>
          <w:lang w:val="es-ES"/>
        </w:rPr>
        <w:t xml:space="preserve"> exploración, </w:t>
      </w:r>
      <w:r w:rsidR="00845AB0" w:rsidRPr="00770825">
        <w:rPr>
          <w:lang w:val="es-ES"/>
        </w:rPr>
        <w:t xml:space="preserve">representando un </w:t>
      </w:r>
      <w:r w:rsidR="00FF008F" w:rsidRPr="00C14D91">
        <w:rPr>
          <w:lang w:val="es-ES"/>
        </w:rPr>
        <w:t>8</w:t>
      </w:r>
      <w:r w:rsidR="00770825" w:rsidRPr="00770825">
        <w:rPr>
          <w:lang w:val="es-ES"/>
        </w:rPr>
        <w:t>7</w:t>
      </w:r>
      <w:r w:rsidR="004E510D" w:rsidRPr="00770825">
        <w:rPr>
          <w:lang w:val="es-ES"/>
        </w:rPr>
        <w:t>.</w:t>
      </w:r>
      <w:r w:rsidR="00770825" w:rsidRPr="00770825">
        <w:rPr>
          <w:lang w:val="es-ES"/>
        </w:rPr>
        <w:t>5</w:t>
      </w:r>
      <w:r w:rsidR="00845AB0" w:rsidRPr="00770825">
        <w:rPr>
          <w:lang w:val="es-ES"/>
        </w:rPr>
        <w:t>%</w:t>
      </w:r>
      <w:r w:rsidR="00770825" w:rsidRPr="00770825">
        <w:rPr>
          <w:lang w:val="es-ES"/>
        </w:rPr>
        <w:t xml:space="preserve"> y cuatro</w:t>
      </w:r>
      <w:r w:rsidR="004E510D" w:rsidRPr="00770825">
        <w:rPr>
          <w:lang w:val="es-ES"/>
        </w:rPr>
        <w:t xml:space="preserve"> </w:t>
      </w:r>
      <w:r w:rsidR="00FA361E" w:rsidRPr="00770825">
        <w:rPr>
          <w:lang w:val="es-ES"/>
        </w:rPr>
        <w:t>(</w:t>
      </w:r>
      <w:r w:rsidR="00770825" w:rsidRPr="00770825">
        <w:rPr>
          <w:lang w:val="es-ES"/>
        </w:rPr>
        <w:t>4</w:t>
      </w:r>
      <w:r w:rsidR="00FA361E" w:rsidRPr="00770825">
        <w:rPr>
          <w:lang w:val="es-ES"/>
        </w:rPr>
        <w:t>)</w:t>
      </w:r>
      <w:r w:rsidR="00B4146A" w:rsidRPr="00770825">
        <w:rPr>
          <w:lang w:val="es-ES"/>
        </w:rPr>
        <w:t xml:space="preserve"> solicitudes </w:t>
      </w:r>
      <w:r w:rsidR="00E14EA1" w:rsidRPr="00770825">
        <w:rPr>
          <w:lang w:val="es-ES"/>
        </w:rPr>
        <w:t xml:space="preserve">de explotación </w:t>
      </w:r>
      <w:r w:rsidR="00695014" w:rsidRPr="00C14D91">
        <w:rPr>
          <w:lang w:val="es-ES"/>
        </w:rPr>
        <w:t xml:space="preserve">no </w:t>
      </w:r>
      <w:r w:rsidR="00DE213D" w:rsidRPr="00770825">
        <w:rPr>
          <w:lang w:val="es-ES"/>
        </w:rPr>
        <w:t xml:space="preserve">metálicas, representando un </w:t>
      </w:r>
      <w:r w:rsidR="00770825" w:rsidRPr="00770825">
        <w:rPr>
          <w:lang w:val="es-ES"/>
        </w:rPr>
        <w:t>12.</w:t>
      </w:r>
      <w:r w:rsidR="00FF008F" w:rsidRPr="00C14D91">
        <w:rPr>
          <w:lang w:val="es-ES"/>
        </w:rPr>
        <w:t>5</w:t>
      </w:r>
      <w:r w:rsidR="00DE213D" w:rsidRPr="00770825">
        <w:rPr>
          <w:lang w:val="es-ES"/>
        </w:rPr>
        <w:t>%</w:t>
      </w:r>
      <w:r w:rsidR="00770825" w:rsidRPr="00770825">
        <w:rPr>
          <w:lang w:val="es-ES"/>
        </w:rPr>
        <w:t xml:space="preserve">. </w:t>
      </w:r>
      <w:r w:rsidR="00DE213D" w:rsidRPr="00770825">
        <w:rPr>
          <w:lang w:val="es-ES"/>
        </w:rPr>
        <w:t xml:space="preserve"> De estas recomendaciones de otorgamiento para concesiones mineras de exploración y explotación, las mismas tendrán un impacto </w:t>
      </w:r>
      <w:r w:rsidR="00695014" w:rsidRPr="00C14D91">
        <w:rPr>
          <w:lang w:val="es-ES"/>
        </w:rPr>
        <w:t xml:space="preserve">positivo </w:t>
      </w:r>
      <w:r w:rsidR="00DE213D" w:rsidRPr="00770825">
        <w:rPr>
          <w:lang w:val="es-ES"/>
        </w:rPr>
        <w:t>al ciudadano</w:t>
      </w:r>
      <w:r w:rsidR="00695014" w:rsidRPr="00C14D91">
        <w:rPr>
          <w:lang w:val="es-ES"/>
        </w:rPr>
        <w:t xml:space="preserve"> y al estado. </w:t>
      </w:r>
      <w:r w:rsidR="00C27C5E" w:rsidRPr="00C14D91">
        <w:rPr>
          <w:lang w:val="es-ES"/>
        </w:rPr>
        <w:t xml:space="preserve"> </w:t>
      </w:r>
      <w:r w:rsidR="00695014" w:rsidRPr="00C14D91">
        <w:rPr>
          <w:lang w:val="es-ES"/>
        </w:rPr>
        <w:t xml:space="preserve">Las </w:t>
      </w:r>
      <w:r w:rsidR="00770825" w:rsidRPr="00770825">
        <w:rPr>
          <w:lang w:val="es-ES"/>
        </w:rPr>
        <w:t>cuatro</w:t>
      </w:r>
      <w:r w:rsidR="00695014" w:rsidRPr="00C14D91">
        <w:rPr>
          <w:lang w:val="es-ES"/>
        </w:rPr>
        <w:t xml:space="preserve"> (</w:t>
      </w:r>
      <w:r w:rsidR="00770825" w:rsidRPr="00770825">
        <w:rPr>
          <w:lang w:val="es-ES"/>
        </w:rPr>
        <w:t>4</w:t>
      </w:r>
      <w:r w:rsidR="00695014" w:rsidRPr="00C14D91">
        <w:rPr>
          <w:lang w:val="es-ES"/>
        </w:rPr>
        <w:t xml:space="preserve">) solicitudes de </w:t>
      </w:r>
      <w:r w:rsidR="00B132AE" w:rsidRPr="00C14D91">
        <w:rPr>
          <w:lang w:val="es-ES"/>
        </w:rPr>
        <w:t>concesiones</w:t>
      </w:r>
      <w:r w:rsidR="00695014" w:rsidRPr="00C14D91">
        <w:rPr>
          <w:lang w:val="es-ES"/>
        </w:rPr>
        <w:t xml:space="preserve"> </w:t>
      </w:r>
      <w:r w:rsidR="00FF008F" w:rsidRPr="00770825">
        <w:rPr>
          <w:lang w:val="es-ES"/>
        </w:rPr>
        <w:t xml:space="preserve">de explotación </w:t>
      </w:r>
      <w:r w:rsidR="00695014" w:rsidRPr="00770825">
        <w:rPr>
          <w:lang w:val="es-ES"/>
        </w:rPr>
        <w:t xml:space="preserve">mineras recomendadas al Ministerio de </w:t>
      </w:r>
      <w:r w:rsidR="00B132AE" w:rsidRPr="00770825">
        <w:rPr>
          <w:lang w:val="es-ES"/>
        </w:rPr>
        <w:t>Energía</w:t>
      </w:r>
      <w:r w:rsidR="00695014" w:rsidRPr="00770825">
        <w:rPr>
          <w:lang w:val="es-ES"/>
        </w:rPr>
        <w:t xml:space="preserve"> y Minas, tendrán una inversión de capital total </w:t>
      </w:r>
      <w:r w:rsidR="009C28B3" w:rsidRPr="00770825">
        <w:rPr>
          <w:lang w:val="es-ES"/>
        </w:rPr>
        <w:t xml:space="preserve">por la suma </w:t>
      </w:r>
      <w:r w:rsidR="00695014" w:rsidRPr="00770825">
        <w:rPr>
          <w:lang w:val="es-ES"/>
        </w:rPr>
        <w:t>de</w:t>
      </w:r>
      <w:r w:rsidR="009C28B3" w:rsidRPr="00770825">
        <w:rPr>
          <w:lang w:val="es-ES"/>
        </w:rPr>
        <w:t xml:space="preserve"> </w:t>
      </w:r>
      <w:r w:rsidR="00770825" w:rsidRPr="00770825">
        <w:rPr>
          <w:lang w:val="es-ES"/>
        </w:rPr>
        <w:t>novecientos</w:t>
      </w:r>
      <w:r w:rsidR="009C28B3" w:rsidRPr="00C14D91">
        <w:rPr>
          <w:lang w:val="es-ES"/>
        </w:rPr>
        <w:t xml:space="preserve"> </w:t>
      </w:r>
      <w:r w:rsidR="00770825" w:rsidRPr="00770825">
        <w:rPr>
          <w:lang w:val="es-ES"/>
        </w:rPr>
        <w:t>diez y nueve millones</w:t>
      </w:r>
      <w:r w:rsidR="00695014" w:rsidRPr="00C14D91">
        <w:rPr>
          <w:lang w:val="es-ES"/>
        </w:rPr>
        <w:t xml:space="preserve">, </w:t>
      </w:r>
      <w:r w:rsidR="00770825" w:rsidRPr="00770825">
        <w:rPr>
          <w:lang w:val="es-ES"/>
        </w:rPr>
        <w:t xml:space="preserve">ochocientos setenta y cuatro </w:t>
      </w:r>
      <w:r w:rsidR="009C28B3" w:rsidRPr="00C14D91">
        <w:rPr>
          <w:lang w:val="es-ES"/>
        </w:rPr>
        <w:t xml:space="preserve">mil, </w:t>
      </w:r>
      <w:r w:rsidR="00770825" w:rsidRPr="00770825">
        <w:rPr>
          <w:lang w:val="es-ES"/>
        </w:rPr>
        <w:t>quinie</w:t>
      </w:r>
      <w:r w:rsidR="009C28B3" w:rsidRPr="00C14D91">
        <w:rPr>
          <w:lang w:val="es-ES"/>
        </w:rPr>
        <w:t xml:space="preserve">ntos </w:t>
      </w:r>
      <w:r w:rsidR="00770825" w:rsidRPr="00770825">
        <w:rPr>
          <w:lang w:val="es-ES"/>
        </w:rPr>
        <w:t>diez</w:t>
      </w:r>
      <w:r w:rsidR="009C28B3" w:rsidRPr="00C14D91">
        <w:rPr>
          <w:lang w:val="es-ES"/>
        </w:rPr>
        <w:t xml:space="preserve"> y siete </w:t>
      </w:r>
      <w:r w:rsidR="00695014" w:rsidRPr="00C14D91">
        <w:rPr>
          <w:lang w:val="es-ES"/>
        </w:rPr>
        <w:t xml:space="preserve">pesos con </w:t>
      </w:r>
      <w:r w:rsidR="009C28B3" w:rsidRPr="00C14D91">
        <w:rPr>
          <w:lang w:val="es-ES"/>
        </w:rPr>
        <w:t>cero</w:t>
      </w:r>
      <w:r w:rsidR="00695014" w:rsidRPr="00770825">
        <w:rPr>
          <w:lang w:val="es-ES"/>
        </w:rPr>
        <w:t xml:space="preserve"> </w:t>
      </w:r>
      <w:r w:rsidR="009C28B3" w:rsidRPr="00770825">
        <w:rPr>
          <w:lang w:val="es-ES"/>
        </w:rPr>
        <w:t>c</w:t>
      </w:r>
      <w:r w:rsidR="00695014" w:rsidRPr="00770825">
        <w:rPr>
          <w:lang w:val="es-ES"/>
        </w:rPr>
        <w:t>entavos (RD$</w:t>
      </w:r>
      <w:r w:rsidR="00770825" w:rsidRPr="00770825">
        <w:rPr>
          <w:lang w:val="es-ES"/>
        </w:rPr>
        <w:t>919</w:t>
      </w:r>
      <w:r w:rsidR="00B132AE" w:rsidRPr="00C14D91">
        <w:rPr>
          <w:lang w:val="es-ES"/>
        </w:rPr>
        <w:t xml:space="preserve">, </w:t>
      </w:r>
      <w:r w:rsidR="00770825" w:rsidRPr="00770825">
        <w:rPr>
          <w:lang w:val="es-ES"/>
        </w:rPr>
        <w:t>874</w:t>
      </w:r>
      <w:r w:rsidR="00B132AE" w:rsidRPr="00C14D91">
        <w:rPr>
          <w:lang w:val="es-ES"/>
        </w:rPr>
        <w:t>,</w:t>
      </w:r>
      <w:r w:rsidR="00770825" w:rsidRPr="00770825">
        <w:rPr>
          <w:lang w:val="es-ES"/>
        </w:rPr>
        <w:t>51</w:t>
      </w:r>
      <w:r w:rsidR="009C28B3" w:rsidRPr="00C14D91">
        <w:rPr>
          <w:lang w:val="es-ES"/>
        </w:rPr>
        <w:t>7.00</w:t>
      </w:r>
      <w:r w:rsidR="00695014" w:rsidRPr="00C14D91">
        <w:rPr>
          <w:lang w:val="es-ES"/>
        </w:rPr>
        <w:t>).</w:t>
      </w:r>
    </w:p>
    <w:p w14:paraId="13083DAD" w14:textId="53C37D69" w:rsidR="00B132AE" w:rsidRPr="00C14D91" w:rsidRDefault="00B132AE">
      <w:pPr>
        <w:spacing w:after="200" w:line="480" w:lineRule="auto"/>
        <w:jc w:val="both"/>
        <w:rPr>
          <w:lang w:val="es-ES"/>
        </w:rPr>
      </w:pPr>
      <w:r w:rsidRPr="00770825">
        <w:rPr>
          <w:lang w:val="es-ES"/>
        </w:rPr>
        <w:t>Proveyendo</w:t>
      </w:r>
      <w:r w:rsidR="00695014" w:rsidRPr="00770825">
        <w:rPr>
          <w:lang w:val="es-ES"/>
        </w:rPr>
        <w:t xml:space="preserve"> un total de </w:t>
      </w:r>
      <w:r w:rsidR="00770825" w:rsidRPr="00770825">
        <w:rPr>
          <w:lang w:val="es-ES"/>
        </w:rPr>
        <w:t xml:space="preserve">ciento cincuenta </w:t>
      </w:r>
      <w:r w:rsidR="009C28B3" w:rsidRPr="00C14D91">
        <w:rPr>
          <w:lang w:val="es-ES"/>
        </w:rPr>
        <w:t xml:space="preserve">y </w:t>
      </w:r>
      <w:r w:rsidR="00770825" w:rsidRPr="00770825">
        <w:rPr>
          <w:lang w:val="es-ES"/>
        </w:rPr>
        <w:t>seis</w:t>
      </w:r>
      <w:r w:rsidR="009C28B3" w:rsidRPr="00C14D91">
        <w:rPr>
          <w:lang w:val="es-ES"/>
        </w:rPr>
        <w:t xml:space="preserve"> </w:t>
      </w:r>
      <w:r w:rsidR="00695014" w:rsidRPr="00C14D91">
        <w:rPr>
          <w:lang w:val="es-ES"/>
        </w:rPr>
        <w:t>(</w:t>
      </w:r>
      <w:r w:rsidR="00770825" w:rsidRPr="00770825">
        <w:rPr>
          <w:lang w:val="es-ES"/>
        </w:rPr>
        <w:t>156</w:t>
      </w:r>
      <w:r w:rsidR="00695014" w:rsidRPr="00C14D91">
        <w:rPr>
          <w:lang w:val="es-ES"/>
        </w:rPr>
        <w:t xml:space="preserve">) empleos para los ciudadanos del país, estas explotaciones no metálicas, aportaran al estado un monto en impuestos </w:t>
      </w:r>
      <w:r w:rsidRPr="00C14D91">
        <w:rPr>
          <w:lang w:val="es-ES"/>
        </w:rPr>
        <w:t xml:space="preserve">directos a la Direccion General </w:t>
      </w:r>
      <w:r w:rsidRPr="00C14D91">
        <w:rPr>
          <w:lang w:val="es-ES"/>
        </w:rPr>
        <w:lastRenderedPageBreak/>
        <w:t xml:space="preserve">de Impuestos Internos por la suma de </w:t>
      </w:r>
      <w:r w:rsidR="00770825" w:rsidRPr="00770825">
        <w:rPr>
          <w:lang w:val="es-ES"/>
        </w:rPr>
        <w:t xml:space="preserve">novecientos vente y cinco </w:t>
      </w:r>
      <w:r w:rsidR="009C28B3" w:rsidRPr="00C14D91">
        <w:rPr>
          <w:lang w:val="es-ES"/>
        </w:rPr>
        <w:t>m</w:t>
      </w:r>
      <w:r w:rsidRPr="00C14D91">
        <w:rPr>
          <w:lang w:val="es-ES"/>
        </w:rPr>
        <w:t xml:space="preserve">illones, </w:t>
      </w:r>
      <w:r w:rsidR="00770825" w:rsidRPr="00770825">
        <w:rPr>
          <w:lang w:val="es-ES"/>
        </w:rPr>
        <w:t>cuatro</w:t>
      </w:r>
      <w:r w:rsidR="009C28B3" w:rsidRPr="00C14D91">
        <w:rPr>
          <w:lang w:val="es-ES"/>
        </w:rPr>
        <w:t xml:space="preserve">cientos </w:t>
      </w:r>
      <w:r w:rsidR="00770825" w:rsidRPr="00770825">
        <w:rPr>
          <w:lang w:val="es-ES"/>
        </w:rPr>
        <w:t xml:space="preserve">veinte y cuatro </w:t>
      </w:r>
      <w:r w:rsidR="009C28B3" w:rsidRPr="00C14D91">
        <w:rPr>
          <w:lang w:val="es-ES"/>
        </w:rPr>
        <w:t>m</w:t>
      </w:r>
      <w:r w:rsidRPr="00C14D91">
        <w:rPr>
          <w:lang w:val="es-ES"/>
        </w:rPr>
        <w:t>il</w:t>
      </w:r>
      <w:r w:rsidR="00770825" w:rsidRPr="00770825">
        <w:rPr>
          <w:lang w:val="es-ES"/>
        </w:rPr>
        <w:t>, noventa y cuatro</w:t>
      </w:r>
      <w:r w:rsidR="009C28B3" w:rsidRPr="00C14D91">
        <w:rPr>
          <w:lang w:val="es-ES"/>
        </w:rPr>
        <w:t xml:space="preserve"> p</w:t>
      </w:r>
      <w:r w:rsidRPr="00C14D91">
        <w:rPr>
          <w:lang w:val="es-ES"/>
        </w:rPr>
        <w:t xml:space="preserve">esos con </w:t>
      </w:r>
      <w:r w:rsidR="00397668" w:rsidRPr="00C14D91">
        <w:rPr>
          <w:lang w:val="es-ES"/>
        </w:rPr>
        <w:t>cero</w:t>
      </w:r>
      <w:r w:rsidRPr="00770825">
        <w:rPr>
          <w:lang w:val="es-ES"/>
        </w:rPr>
        <w:t xml:space="preserve"> </w:t>
      </w:r>
      <w:r w:rsidR="00397668" w:rsidRPr="00770825">
        <w:rPr>
          <w:lang w:val="es-ES"/>
        </w:rPr>
        <w:t>c</w:t>
      </w:r>
      <w:r w:rsidRPr="00770825">
        <w:rPr>
          <w:lang w:val="es-ES"/>
        </w:rPr>
        <w:t>entavos (RD$</w:t>
      </w:r>
      <w:r w:rsidR="00770825" w:rsidRPr="00770825">
        <w:rPr>
          <w:lang w:val="es-ES"/>
        </w:rPr>
        <w:t>925</w:t>
      </w:r>
      <w:r w:rsidR="00AD5BF6" w:rsidRPr="00C14D91">
        <w:rPr>
          <w:lang w:val="es-ES"/>
        </w:rPr>
        <w:t xml:space="preserve">, </w:t>
      </w:r>
      <w:r w:rsidR="00770825" w:rsidRPr="00770825">
        <w:rPr>
          <w:lang w:val="es-ES"/>
        </w:rPr>
        <w:t>424</w:t>
      </w:r>
      <w:r w:rsidR="00AD5BF6" w:rsidRPr="00C14D91">
        <w:rPr>
          <w:lang w:val="es-ES"/>
        </w:rPr>
        <w:t>,0</w:t>
      </w:r>
      <w:r w:rsidR="00770825" w:rsidRPr="00770825">
        <w:rPr>
          <w:lang w:val="es-ES"/>
        </w:rPr>
        <w:t>94</w:t>
      </w:r>
      <w:r w:rsidR="00AD5BF6" w:rsidRPr="00C14D91">
        <w:rPr>
          <w:lang w:val="es-ES"/>
        </w:rPr>
        <w:t>.00</w:t>
      </w:r>
      <w:r w:rsidRPr="00C14D91">
        <w:rPr>
          <w:lang w:val="es-ES"/>
        </w:rPr>
        <w:t xml:space="preserve">) y un aporte en impuestos municipales </w:t>
      </w:r>
      <w:r w:rsidR="00397668" w:rsidRPr="00C14D91">
        <w:rPr>
          <w:lang w:val="es-ES"/>
        </w:rPr>
        <w:t xml:space="preserve">por la suma de </w:t>
      </w:r>
      <w:r w:rsidR="00770825" w:rsidRPr="00770825">
        <w:rPr>
          <w:lang w:val="es-ES"/>
        </w:rPr>
        <w:t xml:space="preserve">ciento sesenta y dos </w:t>
      </w:r>
      <w:r w:rsidR="00397668" w:rsidRPr="00C14D91">
        <w:rPr>
          <w:lang w:val="es-ES"/>
        </w:rPr>
        <w:t xml:space="preserve">millones, </w:t>
      </w:r>
      <w:r w:rsidR="00770825" w:rsidRPr="00770825">
        <w:rPr>
          <w:lang w:val="es-ES"/>
        </w:rPr>
        <w:t xml:space="preserve">doscientos setenta </w:t>
      </w:r>
      <w:r w:rsidR="00397668" w:rsidRPr="00C14D91">
        <w:rPr>
          <w:lang w:val="es-ES"/>
        </w:rPr>
        <w:t>mil</w:t>
      </w:r>
      <w:r w:rsidR="00770825" w:rsidRPr="00770825">
        <w:rPr>
          <w:lang w:val="es-ES"/>
        </w:rPr>
        <w:t xml:space="preserve">, doscientos dos </w:t>
      </w:r>
      <w:r w:rsidR="00397668" w:rsidRPr="00C14D91">
        <w:rPr>
          <w:lang w:val="es-ES"/>
        </w:rPr>
        <w:t>p</w:t>
      </w:r>
      <w:r w:rsidRPr="00C14D91">
        <w:rPr>
          <w:lang w:val="es-ES"/>
        </w:rPr>
        <w:t xml:space="preserve">esos con </w:t>
      </w:r>
      <w:r w:rsidR="00397668" w:rsidRPr="00C14D91">
        <w:rPr>
          <w:lang w:val="es-ES"/>
        </w:rPr>
        <w:t>cero</w:t>
      </w:r>
      <w:r w:rsidRPr="00770825">
        <w:rPr>
          <w:lang w:val="es-ES"/>
        </w:rPr>
        <w:t xml:space="preserve"> </w:t>
      </w:r>
      <w:r w:rsidR="00397668" w:rsidRPr="00770825">
        <w:rPr>
          <w:lang w:val="es-ES"/>
        </w:rPr>
        <w:t>c</w:t>
      </w:r>
      <w:r w:rsidRPr="00770825">
        <w:rPr>
          <w:lang w:val="es-ES"/>
        </w:rPr>
        <w:t>entavos (RD$</w:t>
      </w:r>
      <w:r w:rsidR="00770825" w:rsidRPr="00770825">
        <w:rPr>
          <w:lang w:val="es-ES"/>
        </w:rPr>
        <w:t>162</w:t>
      </w:r>
      <w:r w:rsidR="00AD5BF6" w:rsidRPr="00C14D91">
        <w:rPr>
          <w:lang w:val="es-ES"/>
        </w:rPr>
        <w:t xml:space="preserve">, </w:t>
      </w:r>
      <w:r w:rsidR="00770825" w:rsidRPr="00770825">
        <w:rPr>
          <w:lang w:val="es-ES"/>
        </w:rPr>
        <w:t>270</w:t>
      </w:r>
      <w:r w:rsidR="00AD5BF6" w:rsidRPr="00C14D91">
        <w:rPr>
          <w:lang w:val="es-ES"/>
        </w:rPr>
        <w:t>,</w:t>
      </w:r>
      <w:r w:rsidR="00770825" w:rsidRPr="00770825">
        <w:rPr>
          <w:lang w:val="es-ES"/>
        </w:rPr>
        <w:t>202</w:t>
      </w:r>
      <w:r w:rsidR="00AD5BF6" w:rsidRPr="00C14D91">
        <w:rPr>
          <w:lang w:val="es-ES"/>
        </w:rPr>
        <w:t>.00</w:t>
      </w:r>
      <w:r w:rsidRPr="00C14D91">
        <w:rPr>
          <w:lang w:val="es-ES"/>
        </w:rPr>
        <w:t>).</w:t>
      </w:r>
    </w:p>
    <w:p w14:paraId="13730653" w14:textId="0399EF11" w:rsidR="00DE213D" w:rsidRPr="00C14D91" w:rsidRDefault="00B132AE" w:rsidP="00FA361E">
      <w:pPr>
        <w:spacing w:after="200" w:line="480" w:lineRule="auto"/>
        <w:jc w:val="both"/>
        <w:rPr>
          <w:lang w:val="es-ES"/>
        </w:rPr>
      </w:pPr>
      <w:r w:rsidRPr="00C14D91">
        <w:rPr>
          <w:lang w:val="es-ES"/>
        </w:rPr>
        <w:t xml:space="preserve">De las </w:t>
      </w:r>
      <w:r w:rsidR="00770825" w:rsidRPr="00770825">
        <w:rPr>
          <w:lang w:val="es-ES"/>
        </w:rPr>
        <w:t>vente</w:t>
      </w:r>
      <w:r w:rsidRPr="00C14D91">
        <w:rPr>
          <w:lang w:val="es-ES"/>
        </w:rPr>
        <w:t xml:space="preserve"> y </w:t>
      </w:r>
      <w:r w:rsidR="00770825" w:rsidRPr="00770825">
        <w:rPr>
          <w:lang w:val="es-ES"/>
        </w:rPr>
        <w:t>ocho</w:t>
      </w:r>
      <w:r w:rsidRPr="00C14D91">
        <w:rPr>
          <w:lang w:val="es-ES"/>
        </w:rPr>
        <w:t xml:space="preserve"> (</w:t>
      </w:r>
      <w:r w:rsidR="00770825" w:rsidRPr="00770825">
        <w:rPr>
          <w:lang w:val="es-ES"/>
        </w:rPr>
        <w:t>28</w:t>
      </w:r>
      <w:r w:rsidRPr="00C14D91">
        <w:rPr>
          <w:lang w:val="es-ES"/>
        </w:rPr>
        <w:t>) solicitudes de concesiones de exploración mineras</w:t>
      </w:r>
      <w:r w:rsidRPr="00770825">
        <w:rPr>
          <w:lang w:val="es-ES"/>
        </w:rPr>
        <w:t xml:space="preserve">, </w:t>
      </w:r>
      <w:r w:rsidR="00770825" w:rsidRPr="00770825">
        <w:rPr>
          <w:lang w:val="es-ES"/>
        </w:rPr>
        <w:t xml:space="preserve">vente </w:t>
      </w:r>
      <w:r w:rsidRPr="00C14D91">
        <w:rPr>
          <w:lang w:val="es-ES"/>
        </w:rPr>
        <w:t xml:space="preserve">y </w:t>
      </w:r>
      <w:r w:rsidR="00770825" w:rsidRPr="00770825">
        <w:rPr>
          <w:lang w:val="es-ES"/>
        </w:rPr>
        <w:t>una</w:t>
      </w:r>
      <w:r w:rsidRPr="00C14D91">
        <w:rPr>
          <w:lang w:val="es-ES"/>
        </w:rPr>
        <w:t xml:space="preserve"> son de minerales no metálicos y </w:t>
      </w:r>
      <w:r w:rsidR="00770825" w:rsidRPr="00770825">
        <w:rPr>
          <w:lang w:val="es-ES"/>
        </w:rPr>
        <w:t>siete</w:t>
      </w:r>
      <w:r w:rsidRPr="00C14D91">
        <w:rPr>
          <w:lang w:val="es-ES"/>
        </w:rPr>
        <w:t xml:space="preserve"> (</w:t>
      </w:r>
      <w:r w:rsidR="00770825" w:rsidRPr="00770825">
        <w:rPr>
          <w:lang w:val="es-ES"/>
        </w:rPr>
        <w:t>7</w:t>
      </w:r>
      <w:r w:rsidRPr="00C14D91">
        <w:rPr>
          <w:lang w:val="es-ES"/>
        </w:rPr>
        <w:t>) de minerales metálicos. La inversión en gastos de capital para las etapas de exploración</w:t>
      </w:r>
      <w:r w:rsidRPr="00770825">
        <w:rPr>
          <w:lang w:val="es-ES"/>
        </w:rPr>
        <w:t>, de estas solicitudes recomendadas al Ministerio de Energía y Minas</w:t>
      </w:r>
      <w:r w:rsidR="00770825" w:rsidRPr="00770825">
        <w:rPr>
          <w:lang w:val="es-ES"/>
        </w:rPr>
        <w:t>, donde solo las solicitudes de concesiones de exploración minera no metálicos, ascienden a un monto total de doscientos dos millones, setenta y cinco mil, pesos con treinta centavos (RD$202, 075,000.30).</w:t>
      </w:r>
    </w:p>
    <w:p w14:paraId="2DAAF1EF" w14:textId="30B2EEE9" w:rsidR="00BF2636" w:rsidRPr="00770825" w:rsidRDefault="00397668" w:rsidP="00FA361E">
      <w:pPr>
        <w:spacing w:after="200" w:line="480" w:lineRule="auto"/>
        <w:jc w:val="both"/>
        <w:rPr>
          <w:lang w:val="es-ES"/>
        </w:rPr>
      </w:pPr>
      <w:r w:rsidRPr="00C14D91">
        <w:rPr>
          <w:lang w:val="es-ES"/>
        </w:rPr>
        <w:t xml:space="preserve">Con el fin de seguir incentivando la inversión en concesiones mineras en el país, fueron </w:t>
      </w:r>
      <w:r w:rsidR="006364FF" w:rsidRPr="00C14D91">
        <w:rPr>
          <w:lang w:val="es-ES"/>
        </w:rPr>
        <w:t>entrega</w:t>
      </w:r>
      <w:r w:rsidRPr="00770825">
        <w:rPr>
          <w:lang w:val="es-ES"/>
        </w:rPr>
        <w:t xml:space="preserve">das </w:t>
      </w:r>
      <w:r w:rsidR="006364FF" w:rsidRPr="00770825">
        <w:rPr>
          <w:lang w:val="es-ES"/>
        </w:rPr>
        <w:t xml:space="preserve">a los ciudadanos, </w:t>
      </w:r>
      <w:r w:rsidR="00770825" w:rsidRPr="00770825">
        <w:rPr>
          <w:lang w:val="es-ES"/>
        </w:rPr>
        <w:t>treinta</w:t>
      </w:r>
      <w:r w:rsidR="00DE213D" w:rsidRPr="00C14D91">
        <w:rPr>
          <w:lang w:val="es-ES"/>
        </w:rPr>
        <w:t xml:space="preserve"> y </w:t>
      </w:r>
      <w:r w:rsidR="00770825" w:rsidRPr="00770825">
        <w:rPr>
          <w:lang w:val="es-ES"/>
        </w:rPr>
        <w:t>seis</w:t>
      </w:r>
      <w:r w:rsidR="00DE213D" w:rsidRPr="00C14D91">
        <w:rPr>
          <w:lang w:val="es-ES"/>
        </w:rPr>
        <w:t xml:space="preserve"> </w:t>
      </w:r>
      <w:r w:rsidR="00FA361E" w:rsidRPr="00C14D91">
        <w:rPr>
          <w:lang w:val="es-ES"/>
        </w:rPr>
        <w:t>(</w:t>
      </w:r>
      <w:r w:rsidR="00770825" w:rsidRPr="00770825">
        <w:rPr>
          <w:lang w:val="es-ES"/>
        </w:rPr>
        <w:t>36</w:t>
      </w:r>
      <w:r w:rsidR="001C7BEF" w:rsidRPr="00C14D91">
        <w:rPr>
          <w:lang w:val="es-ES"/>
        </w:rPr>
        <w:t>) certificaciones</w:t>
      </w:r>
      <w:r w:rsidR="00B4146A" w:rsidRPr="00C14D91">
        <w:rPr>
          <w:lang w:val="es-ES"/>
        </w:rPr>
        <w:t xml:space="preserve"> de no existencia de concesiones mineras en áreas de proyectos de extracción de agregados</w:t>
      </w:r>
      <w:r w:rsidR="007D1ABC" w:rsidRPr="00C14D91">
        <w:rPr>
          <w:lang w:val="es-ES"/>
        </w:rPr>
        <w:t>, solicitados</w:t>
      </w:r>
      <w:r w:rsidR="00B4146A" w:rsidRPr="00770825">
        <w:rPr>
          <w:lang w:val="es-ES"/>
        </w:rPr>
        <w:t xml:space="preserve"> bajo la ley 123/71, en cumplimiento a la </w:t>
      </w:r>
      <w:r w:rsidR="007D1ABC" w:rsidRPr="00770825">
        <w:rPr>
          <w:lang w:val="es-ES"/>
        </w:rPr>
        <w:t>resolu</w:t>
      </w:r>
      <w:r w:rsidR="00B4146A" w:rsidRPr="00770825">
        <w:rPr>
          <w:lang w:val="es-ES"/>
        </w:rPr>
        <w:t xml:space="preserve">ción No. 0001/2007 </w:t>
      </w:r>
      <w:r w:rsidR="007D1ABC" w:rsidRPr="00770825">
        <w:rPr>
          <w:lang w:val="es-ES"/>
        </w:rPr>
        <w:t>del</w:t>
      </w:r>
      <w:r w:rsidR="00B4146A" w:rsidRPr="00770825">
        <w:rPr>
          <w:lang w:val="es-ES"/>
        </w:rPr>
        <w:t xml:space="preserve"> </w:t>
      </w:r>
      <w:r w:rsidR="007D1ABC" w:rsidRPr="00770825">
        <w:rPr>
          <w:lang w:val="es-ES"/>
        </w:rPr>
        <w:t>M</w:t>
      </w:r>
      <w:r w:rsidR="00B4146A" w:rsidRPr="00770825">
        <w:rPr>
          <w:lang w:val="es-ES"/>
        </w:rPr>
        <w:t xml:space="preserve">inisterio de Medio Ambiente y </w:t>
      </w:r>
      <w:r w:rsidR="001C7BEF" w:rsidRPr="00770825">
        <w:rPr>
          <w:lang w:val="es-ES"/>
        </w:rPr>
        <w:t>R</w:t>
      </w:r>
      <w:r w:rsidR="00B4146A" w:rsidRPr="00770825">
        <w:rPr>
          <w:lang w:val="es-ES"/>
        </w:rPr>
        <w:t xml:space="preserve">ecursos </w:t>
      </w:r>
      <w:r w:rsidR="001C7BEF" w:rsidRPr="00770825">
        <w:rPr>
          <w:lang w:val="es-ES"/>
        </w:rPr>
        <w:t>N</w:t>
      </w:r>
      <w:r w:rsidR="00B4146A" w:rsidRPr="00770825">
        <w:rPr>
          <w:lang w:val="es-ES"/>
        </w:rPr>
        <w:t>aturales</w:t>
      </w:r>
      <w:r w:rsidR="006364FF" w:rsidRPr="00770825">
        <w:rPr>
          <w:lang w:val="es-ES"/>
        </w:rPr>
        <w:t>.</w:t>
      </w:r>
    </w:p>
    <w:p w14:paraId="1639185D" w14:textId="5F92A931" w:rsidR="003C2425" w:rsidRPr="00770825" w:rsidRDefault="00397668" w:rsidP="003C2425">
      <w:pPr>
        <w:spacing w:line="480" w:lineRule="auto"/>
        <w:jc w:val="both"/>
        <w:rPr>
          <w:lang w:val="es-ES"/>
        </w:rPr>
      </w:pPr>
      <w:r w:rsidRPr="00770825">
        <w:rPr>
          <w:lang w:val="es-ES"/>
        </w:rPr>
        <w:t>Y para</w:t>
      </w:r>
      <w:r w:rsidR="002B70A6" w:rsidRPr="00770825">
        <w:rPr>
          <w:lang w:val="es-ES"/>
        </w:rPr>
        <w:t xml:space="preserve"> cumpli</w:t>
      </w:r>
      <w:r w:rsidR="00770825" w:rsidRPr="00770825">
        <w:rPr>
          <w:lang w:val="es-ES"/>
        </w:rPr>
        <w:t>r con</w:t>
      </w:r>
      <w:r w:rsidR="002B70A6" w:rsidRPr="00770825">
        <w:rPr>
          <w:lang w:val="es-ES"/>
        </w:rPr>
        <w:t xml:space="preserve"> las promesas realizadas por el Señor Presidente Danilo Medina Sánchez, </w:t>
      </w:r>
      <w:r w:rsidR="00E34D86" w:rsidRPr="00770825">
        <w:rPr>
          <w:lang w:val="es-ES"/>
        </w:rPr>
        <w:t>de</w:t>
      </w:r>
      <w:r w:rsidR="002B70A6" w:rsidRPr="00770825">
        <w:rPr>
          <w:lang w:val="es-ES"/>
        </w:rPr>
        <w:t xml:space="preserve"> dar apoyo a los pequeños mineros del ámbar en la zona de El Valle, Hato Mayor, orientándolos sobre el potencial actual del ámbar, su localización y profundidades de parición, esta Dirección General de Minería, </w:t>
      </w:r>
      <w:r w:rsidR="00442B65" w:rsidRPr="00770825">
        <w:rPr>
          <w:lang w:val="es-ES"/>
        </w:rPr>
        <w:t xml:space="preserve">se ha comprometido </w:t>
      </w:r>
      <w:r w:rsidR="002B70A6" w:rsidRPr="00770825">
        <w:rPr>
          <w:lang w:val="es-ES"/>
        </w:rPr>
        <w:t xml:space="preserve">en el portal de Metas Presidenciales </w:t>
      </w:r>
      <w:r w:rsidR="00442B65" w:rsidRPr="00770825">
        <w:rPr>
          <w:lang w:val="es-ES"/>
        </w:rPr>
        <w:t xml:space="preserve">y ha colocado la </w:t>
      </w:r>
      <w:r w:rsidR="002B70A6" w:rsidRPr="00770825">
        <w:rPr>
          <w:lang w:val="es-ES"/>
        </w:rPr>
        <w:t xml:space="preserve">meta </w:t>
      </w:r>
      <w:r w:rsidR="00E34D86" w:rsidRPr="00E406B4">
        <w:rPr>
          <w:b/>
          <w:lang w:val="es-ES"/>
        </w:rPr>
        <w:t>“Evaluación</w:t>
      </w:r>
      <w:r w:rsidR="002B70A6" w:rsidRPr="00E406B4">
        <w:rPr>
          <w:b/>
          <w:lang w:val="es-ES"/>
        </w:rPr>
        <w:t xml:space="preserve"> de los Recursos de Ambar en el</w:t>
      </w:r>
      <w:r w:rsidR="00E34D86" w:rsidRPr="00E406B4">
        <w:rPr>
          <w:b/>
          <w:lang w:val="es-ES"/>
        </w:rPr>
        <w:t xml:space="preserve"> Valle, Provincia de Hato Mayor”</w:t>
      </w:r>
      <w:r w:rsidR="00C27C5E" w:rsidRPr="00C14D91">
        <w:rPr>
          <w:lang w:val="es-ES"/>
        </w:rPr>
        <w:t xml:space="preserve">, </w:t>
      </w:r>
      <w:r w:rsidR="00770825">
        <w:rPr>
          <w:lang w:val="es-ES"/>
        </w:rPr>
        <w:t xml:space="preserve">donde </w:t>
      </w:r>
      <w:r w:rsidR="00770825" w:rsidRPr="00770825">
        <w:rPr>
          <w:lang w:val="es-ES"/>
        </w:rPr>
        <w:t xml:space="preserve">hemos concluido con </w:t>
      </w:r>
      <w:r w:rsidR="000E1A50" w:rsidRPr="00C14D91">
        <w:rPr>
          <w:lang w:val="es-ES"/>
        </w:rPr>
        <w:t xml:space="preserve">la etapa de las </w:t>
      </w:r>
      <w:r w:rsidR="00C27C5E" w:rsidRPr="00C14D91">
        <w:rPr>
          <w:lang w:val="es-ES"/>
        </w:rPr>
        <w:t>Perforaciones</w:t>
      </w:r>
      <w:r w:rsidR="000E1A50" w:rsidRPr="00C14D91">
        <w:rPr>
          <w:lang w:val="es-ES"/>
        </w:rPr>
        <w:t xml:space="preserve"> exploratorias para definir la geología y estratigrafía</w:t>
      </w:r>
      <w:r w:rsidR="00770825">
        <w:rPr>
          <w:lang w:val="es-ES"/>
        </w:rPr>
        <w:t xml:space="preserve">. </w:t>
      </w:r>
      <w:r w:rsidR="000E1A50" w:rsidRPr="00C14D91">
        <w:rPr>
          <w:lang w:val="es-ES"/>
        </w:rPr>
        <w:t>En total se perforar</w:t>
      </w:r>
      <w:r w:rsidR="00770825" w:rsidRPr="00770825">
        <w:rPr>
          <w:lang w:val="es-ES"/>
        </w:rPr>
        <w:t>on</w:t>
      </w:r>
      <w:r w:rsidR="000E1A50" w:rsidRPr="00C14D91">
        <w:rPr>
          <w:lang w:val="es-ES"/>
        </w:rPr>
        <w:t xml:space="preserve"> 700 metros lineales en un total de 14 sondeos, de los cuales se han realizado seis (6), tres (3) en </w:t>
      </w:r>
      <w:r w:rsidRPr="00C14D91">
        <w:rPr>
          <w:lang w:val="es-ES"/>
        </w:rPr>
        <w:t>s</w:t>
      </w:r>
      <w:r w:rsidR="000E1A50" w:rsidRPr="00C14D91">
        <w:rPr>
          <w:lang w:val="es-ES"/>
        </w:rPr>
        <w:t>iete (</w:t>
      </w:r>
      <w:r w:rsidR="000E1A50" w:rsidRPr="00770825">
        <w:rPr>
          <w:lang w:val="es-ES"/>
        </w:rPr>
        <w:t xml:space="preserve">7) </w:t>
      </w:r>
      <w:r w:rsidR="000E1A50" w:rsidRPr="00770825">
        <w:rPr>
          <w:lang w:val="es-ES"/>
        </w:rPr>
        <w:lastRenderedPageBreak/>
        <w:t xml:space="preserve">Cañadas y tres (3) en Yanigua, con un total de 307.35 metros perforados. </w:t>
      </w:r>
      <w:r w:rsidR="00770825">
        <w:rPr>
          <w:lang w:val="es-ES"/>
        </w:rPr>
        <w:t xml:space="preserve"> </w:t>
      </w:r>
      <w:r w:rsidR="003C2425" w:rsidRPr="00C14D91">
        <w:rPr>
          <w:lang w:val="es-ES"/>
        </w:rPr>
        <w:t xml:space="preserve">En la zona del Valle, entre </w:t>
      </w:r>
      <w:r w:rsidRPr="00C14D91">
        <w:rPr>
          <w:lang w:val="es-ES"/>
        </w:rPr>
        <w:t>m</w:t>
      </w:r>
      <w:r w:rsidR="003C2425" w:rsidRPr="00C14D91">
        <w:rPr>
          <w:lang w:val="es-ES"/>
        </w:rPr>
        <w:t xml:space="preserve">il (1,000) </w:t>
      </w:r>
      <w:r w:rsidR="003C2425" w:rsidRPr="00770825">
        <w:rPr>
          <w:lang w:val="es-ES"/>
        </w:rPr>
        <w:t xml:space="preserve">y </w:t>
      </w:r>
      <w:r w:rsidRPr="00770825">
        <w:rPr>
          <w:lang w:val="es-ES"/>
        </w:rPr>
        <w:t>m</w:t>
      </w:r>
      <w:r w:rsidR="003C2425" w:rsidRPr="00770825">
        <w:rPr>
          <w:lang w:val="es-ES"/>
        </w:rPr>
        <w:t xml:space="preserve">il </w:t>
      </w:r>
      <w:r w:rsidR="00DF2A4D" w:rsidRPr="00770825">
        <w:rPr>
          <w:lang w:val="es-ES"/>
        </w:rPr>
        <w:t>Quinientos</w:t>
      </w:r>
      <w:r w:rsidR="003C2425" w:rsidRPr="00770825">
        <w:rPr>
          <w:lang w:val="es-ES"/>
        </w:rPr>
        <w:t xml:space="preserve"> (1,500) mineros artesanales viven de esta extracción, además, la sostenibilidad en el minado del ámbar proveerá las cantidades adecuadas para el desarrollo de la escuela/taller finalizada en el municipio del Valle para el fomento joyero del ámbar, esta iniciativa impulsará más las actividades turísticas del entorno.</w:t>
      </w:r>
    </w:p>
    <w:p w14:paraId="41B2AAF6" w14:textId="32DD9EE4" w:rsidR="00770825" w:rsidRDefault="00770825" w:rsidP="00770825">
      <w:pPr>
        <w:spacing w:line="360" w:lineRule="auto"/>
        <w:jc w:val="both"/>
        <w:rPr>
          <w:lang w:val="es-ES"/>
        </w:rPr>
      </w:pPr>
      <w:r w:rsidRPr="00770825">
        <w:rPr>
          <w:lang w:val="es-ES"/>
        </w:rPr>
        <w:t xml:space="preserve">Se evaluó el potencial de oro aluvial en área entre Sabana Nisibón y comunidad del Cedro, cercanías de Miches, provincia del Seybo.  Donde para la </w:t>
      </w:r>
      <w:r w:rsidRPr="00C86CA3">
        <w:rPr>
          <w:lang w:val="es-ES"/>
        </w:rPr>
        <w:t xml:space="preserve">zona de Miches </w:t>
      </w:r>
      <w:r>
        <w:rPr>
          <w:lang w:val="es-ES"/>
        </w:rPr>
        <w:t xml:space="preserve">se finalizó, </w:t>
      </w:r>
      <w:r w:rsidRPr="00C86CA3">
        <w:rPr>
          <w:lang w:val="es-ES"/>
        </w:rPr>
        <w:t xml:space="preserve">apoyada como plan piloto por el gobierno alemán a finales del año 2018. </w:t>
      </w:r>
    </w:p>
    <w:p w14:paraId="7E5585CA" w14:textId="77777777" w:rsidR="00770825" w:rsidRPr="00C86CA3" w:rsidRDefault="00770825" w:rsidP="00770825">
      <w:pPr>
        <w:spacing w:line="480" w:lineRule="auto"/>
        <w:jc w:val="both"/>
        <w:rPr>
          <w:lang w:val="es-ES"/>
        </w:rPr>
      </w:pPr>
    </w:p>
    <w:p w14:paraId="31FAA233" w14:textId="0ED30952" w:rsidR="00770825" w:rsidRDefault="00770825" w:rsidP="00770825">
      <w:pPr>
        <w:spacing w:line="360" w:lineRule="auto"/>
        <w:jc w:val="both"/>
        <w:rPr>
          <w:lang w:val="es-ES"/>
        </w:rPr>
      </w:pPr>
      <w:r w:rsidRPr="00C86CA3">
        <w:rPr>
          <w:lang w:val="es-ES"/>
        </w:rPr>
        <w:t>En este año 2019 se inició la evaluación del oro aluvial en 11 cuencas hidrográficas distribuidas en todo el país, cuencas de los ríos Haina ( zona de Villa Altagracia), rio Isa, rio Guayubín, río Mao, río Amina, río Bao, río Inoa, y otras 4 cuencas más de la zona norte y este del país, con la finalidad de seleccionar aquellas terrazas aluviales con suficiente extensión y contenido de oro para ser explotada</w:t>
      </w:r>
      <w:r>
        <w:rPr>
          <w:lang w:val="es-ES"/>
        </w:rPr>
        <w:t>s de manera mecánica.</w:t>
      </w:r>
      <w:r w:rsidRPr="00C86CA3">
        <w:rPr>
          <w:lang w:val="es-ES"/>
        </w:rPr>
        <w:t xml:space="preserve"> </w:t>
      </w:r>
    </w:p>
    <w:p w14:paraId="772D5644" w14:textId="77777777" w:rsidR="00770825" w:rsidRDefault="00770825" w:rsidP="00770825">
      <w:pPr>
        <w:spacing w:line="360" w:lineRule="auto"/>
        <w:jc w:val="both"/>
        <w:rPr>
          <w:lang w:val="es-ES"/>
        </w:rPr>
      </w:pPr>
    </w:p>
    <w:p w14:paraId="4FB26558" w14:textId="15C4CF22" w:rsidR="00770825" w:rsidRPr="00C31985" w:rsidRDefault="00C07300" w:rsidP="00770825">
      <w:pPr>
        <w:spacing w:line="480" w:lineRule="auto"/>
        <w:jc w:val="both"/>
        <w:rPr>
          <w:color w:val="000000"/>
          <w:lang w:val="es-ES"/>
        </w:rPr>
      </w:pPr>
      <w:r w:rsidRPr="00C14D91">
        <w:rPr>
          <w:lang w:val="es-ES"/>
        </w:rPr>
        <w:t>Se</w:t>
      </w:r>
      <w:r w:rsidR="00442B65" w:rsidRPr="00770825">
        <w:rPr>
          <w:lang w:val="es-ES"/>
        </w:rPr>
        <w:t xml:space="preserve"> </w:t>
      </w:r>
      <w:r w:rsidR="003A671E" w:rsidRPr="00770825">
        <w:rPr>
          <w:lang w:val="es-ES"/>
        </w:rPr>
        <w:t xml:space="preserve">continuó </w:t>
      </w:r>
      <w:r w:rsidR="00442B65" w:rsidRPr="00770825">
        <w:rPr>
          <w:lang w:val="es-ES"/>
        </w:rPr>
        <w:t xml:space="preserve">el </w:t>
      </w:r>
      <w:r w:rsidR="00A252FB" w:rsidRPr="00770825">
        <w:rPr>
          <w:lang w:val="es-ES"/>
        </w:rPr>
        <w:t xml:space="preserve">apoyo </w:t>
      </w:r>
      <w:r w:rsidR="00442B65" w:rsidRPr="00770825">
        <w:rPr>
          <w:lang w:val="es-ES"/>
        </w:rPr>
        <w:t xml:space="preserve">técnico </w:t>
      </w:r>
      <w:r w:rsidR="004A569B" w:rsidRPr="00770825">
        <w:rPr>
          <w:lang w:val="es-ES"/>
        </w:rPr>
        <w:t>a</w:t>
      </w:r>
      <w:r w:rsidR="00770825">
        <w:rPr>
          <w:lang w:val="es-ES"/>
        </w:rPr>
        <w:t xml:space="preserve"> los </w:t>
      </w:r>
      <w:r w:rsidR="007E4FD0" w:rsidRPr="00C14D91">
        <w:rPr>
          <w:lang w:val="es-ES"/>
        </w:rPr>
        <w:t xml:space="preserve">mineros que laboran en el túnel y otras áreas de la mina de larimar </w:t>
      </w:r>
      <w:r w:rsidR="003A671E" w:rsidRPr="00770825">
        <w:rPr>
          <w:lang w:val="es-ES"/>
        </w:rPr>
        <w:t xml:space="preserve">los </w:t>
      </w:r>
      <w:r w:rsidR="00442B65" w:rsidRPr="00770825">
        <w:rPr>
          <w:lang w:val="es-ES"/>
        </w:rPr>
        <w:t xml:space="preserve">mineros </w:t>
      </w:r>
      <w:r w:rsidR="003A671E" w:rsidRPr="00770825">
        <w:rPr>
          <w:lang w:val="es-ES"/>
        </w:rPr>
        <w:t>artesanales, supervisando la seguridad de los pozos de extracción</w:t>
      </w:r>
      <w:r w:rsidRPr="00C14D91">
        <w:rPr>
          <w:lang w:val="es-ES"/>
        </w:rPr>
        <w:t xml:space="preserve"> en la comunidad de Las Filipinas de la provincia Barahona. </w:t>
      </w:r>
      <w:r w:rsidRPr="00770825">
        <w:rPr>
          <w:lang w:val="es-ES"/>
        </w:rPr>
        <w:t xml:space="preserve"> </w:t>
      </w:r>
      <w:r w:rsidR="00770825" w:rsidRPr="00C31985">
        <w:rPr>
          <w:color w:val="000000"/>
          <w:lang w:val="es-ES"/>
        </w:rPr>
        <w:t xml:space="preserve">Durante este año se han generado </w:t>
      </w:r>
      <w:r w:rsidR="00770825">
        <w:rPr>
          <w:color w:val="000000"/>
          <w:lang w:val="es-ES"/>
        </w:rPr>
        <w:t>cuatrocientos veintiséis</w:t>
      </w:r>
      <w:r w:rsidR="00770825" w:rsidRPr="00C31985">
        <w:rPr>
          <w:color w:val="000000"/>
          <w:lang w:val="es-ES"/>
        </w:rPr>
        <w:t xml:space="preserve"> (</w:t>
      </w:r>
      <w:r w:rsidR="00770825">
        <w:rPr>
          <w:color w:val="000000"/>
          <w:lang w:val="es-ES"/>
        </w:rPr>
        <w:t>426</w:t>
      </w:r>
      <w:r w:rsidR="00770825" w:rsidRPr="00C31985">
        <w:rPr>
          <w:color w:val="000000"/>
          <w:lang w:val="es-ES"/>
        </w:rPr>
        <w:t xml:space="preserve">) nuevos empleos directos informales, los cuales agregados a los generados el año pasado totalizan setecientos </w:t>
      </w:r>
      <w:r w:rsidR="00770825">
        <w:rPr>
          <w:color w:val="000000"/>
          <w:lang w:val="es-ES"/>
        </w:rPr>
        <w:t>veintitrés</w:t>
      </w:r>
      <w:r w:rsidR="00770825" w:rsidRPr="00C31985">
        <w:rPr>
          <w:color w:val="000000"/>
          <w:lang w:val="es-ES"/>
        </w:rPr>
        <w:t xml:space="preserve"> (</w:t>
      </w:r>
      <w:r w:rsidR="00770825">
        <w:rPr>
          <w:color w:val="000000"/>
          <w:lang w:val="es-ES"/>
        </w:rPr>
        <w:t>723</w:t>
      </w:r>
      <w:r w:rsidR="00770825" w:rsidRPr="00C31985">
        <w:rPr>
          <w:color w:val="000000"/>
          <w:lang w:val="es-ES"/>
        </w:rPr>
        <w:t>) empleos, esto ha generado un importante dinamismo económico en las comunidades mineras de ámbar, larimar y oro aluvial, en las provincias de Santiago, Hato Mayor y Barahona respectivamente.</w:t>
      </w:r>
    </w:p>
    <w:p w14:paraId="544CCB18" w14:textId="77777777" w:rsidR="00770825" w:rsidRDefault="00770825" w:rsidP="00770825">
      <w:pPr>
        <w:spacing w:line="480" w:lineRule="auto"/>
        <w:jc w:val="both"/>
        <w:rPr>
          <w:highlight w:val="yellow"/>
          <w:lang w:val="es-ES"/>
        </w:rPr>
      </w:pPr>
    </w:p>
    <w:p w14:paraId="37414818" w14:textId="25B99148" w:rsidR="001E481E" w:rsidRPr="00E406B4" w:rsidRDefault="00906F9E" w:rsidP="00047B8A">
      <w:pPr>
        <w:pStyle w:val="Ttulo1"/>
        <w:numPr>
          <w:ilvl w:val="0"/>
          <w:numId w:val="42"/>
        </w:numPr>
        <w:spacing w:before="0"/>
        <w:ind w:hanging="1080"/>
        <w:rPr>
          <w:rFonts w:ascii="Times New Roman" w:hAnsi="Times New Roman" w:cs="Times New Roman"/>
          <w:b/>
          <w:lang w:val="es-ES"/>
        </w:rPr>
      </w:pPr>
      <w:bookmarkStart w:id="2" w:name="_Toc534151858"/>
      <w:bookmarkStart w:id="3" w:name="_Toc534151992"/>
      <w:bookmarkStart w:id="4" w:name="_Toc534152117"/>
      <w:bookmarkStart w:id="5" w:name="_Toc534152189"/>
      <w:bookmarkStart w:id="6" w:name="_Toc534152261"/>
      <w:bookmarkStart w:id="7" w:name="_Toc534152333"/>
      <w:bookmarkStart w:id="8" w:name="_Toc534152405"/>
      <w:bookmarkStart w:id="9" w:name="_Toc534152734"/>
      <w:bookmarkStart w:id="10" w:name="_Toc433959"/>
      <w:bookmarkStart w:id="11" w:name="_Toc881846"/>
      <w:bookmarkStart w:id="12" w:name="_Toc961949"/>
      <w:bookmarkStart w:id="13" w:name="_Toc29405455"/>
      <w:bookmarkStart w:id="14" w:name="_Toc29405859"/>
      <w:bookmarkStart w:id="15" w:name="_Toc29406130"/>
      <w:bookmarkStart w:id="16" w:name="_Toc534151859"/>
      <w:bookmarkStart w:id="17" w:name="_Toc534151993"/>
      <w:bookmarkStart w:id="18" w:name="_Toc534152118"/>
      <w:bookmarkStart w:id="19" w:name="_Toc534152190"/>
      <w:bookmarkStart w:id="20" w:name="_Toc534152262"/>
      <w:bookmarkStart w:id="21" w:name="_Toc534152334"/>
      <w:bookmarkStart w:id="22" w:name="_Toc534152406"/>
      <w:bookmarkStart w:id="23" w:name="_Toc534152735"/>
      <w:bookmarkStart w:id="24" w:name="_Toc433960"/>
      <w:bookmarkStart w:id="25" w:name="_Toc881847"/>
      <w:bookmarkStart w:id="26" w:name="_Toc961950"/>
      <w:bookmarkStart w:id="27" w:name="_Toc29405456"/>
      <w:bookmarkStart w:id="28" w:name="_Toc29405860"/>
      <w:bookmarkStart w:id="29" w:name="_Toc29406131"/>
      <w:bookmarkStart w:id="30" w:name="_Toc534151860"/>
      <w:bookmarkStart w:id="31" w:name="_Toc534151994"/>
      <w:bookmarkStart w:id="32" w:name="_Toc534152119"/>
      <w:bookmarkStart w:id="33" w:name="_Toc534152191"/>
      <w:bookmarkStart w:id="34" w:name="_Toc534152263"/>
      <w:bookmarkStart w:id="35" w:name="_Toc534152335"/>
      <w:bookmarkStart w:id="36" w:name="_Toc534152407"/>
      <w:bookmarkStart w:id="37" w:name="_Toc534152736"/>
      <w:bookmarkStart w:id="38" w:name="_Toc433961"/>
      <w:bookmarkStart w:id="39" w:name="_Toc881848"/>
      <w:bookmarkStart w:id="40" w:name="_Toc961951"/>
      <w:bookmarkStart w:id="41" w:name="_Toc29405457"/>
      <w:bookmarkStart w:id="42" w:name="_Toc29405861"/>
      <w:bookmarkStart w:id="43" w:name="_Toc29406132"/>
      <w:bookmarkStart w:id="44" w:name="_Toc534151861"/>
      <w:bookmarkStart w:id="45" w:name="_Toc534151995"/>
      <w:bookmarkStart w:id="46" w:name="_Toc534152120"/>
      <w:bookmarkStart w:id="47" w:name="_Toc534152192"/>
      <w:bookmarkStart w:id="48" w:name="_Toc534152264"/>
      <w:bookmarkStart w:id="49" w:name="_Toc534152336"/>
      <w:bookmarkStart w:id="50" w:name="_Toc534152408"/>
      <w:bookmarkStart w:id="51" w:name="_Toc534152737"/>
      <w:bookmarkStart w:id="52" w:name="_Toc433962"/>
      <w:bookmarkStart w:id="53" w:name="_Toc881849"/>
      <w:bookmarkStart w:id="54" w:name="_Toc961952"/>
      <w:bookmarkStart w:id="55" w:name="_Toc29405458"/>
      <w:bookmarkStart w:id="56" w:name="_Toc29405862"/>
      <w:bookmarkStart w:id="57" w:name="_Toc29406133"/>
      <w:bookmarkStart w:id="58" w:name="_Toc534151862"/>
      <w:bookmarkStart w:id="59" w:name="_Toc534151996"/>
      <w:bookmarkStart w:id="60" w:name="_Toc534152121"/>
      <w:bookmarkStart w:id="61" w:name="_Toc534152193"/>
      <w:bookmarkStart w:id="62" w:name="_Toc534152265"/>
      <w:bookmarkStart w:id="63" w:name="_Toc534152337"/>
      <w:bookmarkStart w:id="64" w:name="_Toc534152409"/>
      <w:bookmarkStart w:id="65" w:name="_Toc534152738"/>
      <w:bookmarkStart w:id="66" w:name="_Toc433963"/>
      <w:bookmarkStart w:id="67" w:name="_Toc881850"/>
      <w:bookmarkStart w:id="68" w:name="_Toc961953"/>
      <w:bookmarkStart w:id="69" w:name="_Toc29405459"/>
      <w:bookmarkStart w:id="70" w:name="_Toc29405863"/>
      <w:bookmarkStart w:id="71" w:name="_Toc29406134"/>
      <w:bookmarkStart w:id="72" w:name="_Toc534151863"/>
      <w:bookmarkStart w:id="73" w:name="_Toc534151997"/>
      <w:bookmarkStart w:id="74" w:name="_Toc534152122"/>
      <w:bookmarkStart w:id="75" w:name="_Toc534152194"/>
      <w:bookmarkStart w:id="76" w:name="_Toc534152266"/>
      <w:bookmarkStart w:id="77" w:name="_Toc534152338"/>
      <w:bookmarkStart w:id="78" w:name="_Toc534152410"/>
      <w:bookmarkStart w:id="79" w:name="_Toc534152739"/>
      <w:bookmarkStart w:id="80" w:name="_Toc433964"/>
      <w:bookmarkStart w:id="81" w:name="_Toc881851"/>
      <w:bookmarkStart w:id="82" w:name="_Toc961954"/>
      <w:bookmarkStart w:id="83" w:name="_Toc29405460"/>
      <w:bookmarkStart w:id="84" w:name="_Toc29405864"/>
      <w:bookmarkStart w:id="85" w:name="_Toc29406135"/>
      <w:bookmarkStart w:id="86" w:name="_Toc534151864"/>
      <w:bookmarkStart w:id="87" w:name="_Toc534151998"/>
      <w:bookmarkStart w:id="88" w:name="_Toc534152123"/>
      <w:bookmarkStart w:id="89" w:name="_Toc534152195"/>
      <w:bookmarkStart w:id="90" w:name="_Toc534152267"/>
      <w:bookmarkStart w:id="91" w:name="_Toc534152339"/>
      <w:bookmarkStart w:id="92" w:name="_Toc534152411"/>
      <w:bookmarkStart w:id="93" w:name="_Toc534152740"/>
      <w:bookmarkStart w:id="94" w:name="_Toc433965"/>
      <w:bookmarkStart w:id="95" w:name="_Toc881852"/>
      <w:bookmarkStart w:id="96" w:name="_Toc961955"/>
      <w:bookmarkStart w:id="97" w:name="_Toc29405461"/>
      <w:bookmarkStart w:id="98" w:name="_Toc29405865"/>
      <w:bookmarkStart w:id="99" w:name="_Toc29406136"/>
      <w:bookmarkStart w:id="100" w:name="_Toc534151865"/>
      <w:bookmarkStart w:id="101" w:name="_Toc534151999"/>
      <w:bookmarkStart w:id="102" w:name="_Toc534152124"/>
      <w:bookmarkStart w:id="103" w:name="_Toc534152196"/>
      <w:bookmarkStart w:id="104" w:name="_Toc534152268"/>
      <w:bookmarkStart w:id="105" w:name="_Toc534152340"/>
      <w:bookmarkStart w:id="106" w:name="_Toc534152412"/>
      <w:bookmarkStart w:id="107" w:name="_Toc534152741"/>
      <w:bookmarkStart w:id="108" w:name="_Toc433966"/>
      <w:bookmarkStart w:id="109" w:name="_Toc881853"/>
      <w:bookmarkStart w:id="110" w:name="_Toc961956"/>
      <w:bookmarkStart w:id="111" w:name="_Toc29405462"/>
      <w:bookmarkStart w:id="112" w:name="_Toc29405866"/>
      <w:bookmarkStart w:id="113" w:name="_Toc29406137"/>
      <w:bookmarkStart w:id="114" w:name="_Toc534151866"/>
      <w:bookmarkStart w:id="115" w:name="_Toc534152000"/>
      <w:bookmarkStart w:id="116" w:name="_Toc534152125"/>
      <w:bookmarkStart w:id="117" w:name="_Toc534152197"/>
      <w:bookmarkStart w:id="118" w:name="_Toc534152269"/>
      <w:bookmarkStart w:id="119" w:name="_Toc534152341"/>
      <w:bookmarkStart w:id="120" w:name="_Toc534152413"/>
      <w:bookmarkStart w:id="121" w:name="_Toc534152742"/>
      <w:bookmarkStart w:id="122" w:name="_Toc433967"/>
      <w:bookmarkStart w:id="123" w:name="_Toc881854"/>
      <w:bookmarkStart w:id="124" w:name="_Toc961957"/>
      <w:bookmarkStart w:id="125" w:name="_Toc29405463"/>
      <w:bookmarkStart w:id="126" w:name="_Toc29405867"/>
      <w:bookmarkStart w:id="127" w:name="_Toc29406138"/>
      <w:bookmarkStart w:id="128" w:name="_Toc534151867"/>
      <w:bookmarkStart w:id="129" w:name="_Toc534152001"/>
      <w:bookmarkStart w:id="130" w:name="_Toc534152126"/>
      <w:bookmarkStart w:id="131" w:name="_Toc534152198"/>
      <w:bookmarkStart w:id="132" w:name="_Toc534152270"/>
      <w:bookmarkStart w:id="133" w:name="_Toc534152342"/>
      <w:bookmarkStart w:id="134" w:name="_Toc534152414"/>
      <w:bookmarkStart w:id="135" w:name="_Toc534152743"/>
      <w:bookmarkStart w:id="136" w:name="_Toc433968"/>
      <w:bookmarkStart w:id="137" w:name="_Toc881855"/>
      <w:bookmarkStart w:id="138" w:name="_Toc961958"/>
      <w:bookmarkStart w:id="139" w:name="_Toc29405464"/>
      <w:bookmarkStart w:id="140" w:name="_Toc29405868"/>
      <w:bookmarkStart w:id="141" w:name="_Toc29406139"/>
      <w:bookmarkStart w:id="142" w:name="_Toc534151868"/>
      <w:bookmarkStart w:id="143" w:name="_Toc534152002"/>
      <w:bookmarkStart w:id="144" w:name="_Toc534152127"/>
      <w:bookmarkStart w:id="145" w:name="_Toc534152199"/>
      <w:bookmarkStart w:id="146" w:name="_Toc534152271"/>
      <w:bookmarkStart w:id="147" w:name="_Toc534152343"/>
      <w:bookmarkStart w:id="148" w:name="_Toc534152415"/>
      <w:bookmarkStart w:id="149" w:name="_Toc534152744"/>
      <w:bookmarkStart w:id="150" w:name="_Toc433969"/>
      <w:bookmarkStart w:id="151" w:name="_Toc881856"/>
      <w:bookmarkStart w:id="152" w:name="_Toc961959"/>
      <w:bookmarkStart w:id="153" w:name="_Toc29405465"/>
      <w:bookmarkStart w:id="154" w:name="_Toc29405869"/>
      <w:bookmarkStart w:id="155" w:name="_Toc29406140"/>
      <w:bookmarkStart w:id="156" w:name="_Toc534151869"/>
      <w:bookmarkStart w:id="157" w:name="_Toc534152003"/>
      <w:bookmarkStart w:id="158" w:name="_Toc534152128"/>
      <w:bookmarkStart w:id="159" w:name="_Toc534152200"/>
      <w:bookmarkStart w:id="160" w:name="_Toc534152272"/>
      <w:bookmarkStart w:id="161" w:name="_Toc534152344"/>
      <w:bookmarkStart w:id="162" w:name="_Toc534152416"/>
      <w:bookmarkStart w:id="163" w:name="_Toc534152745"/>
      <w:bookmarkStart w:id="164" w:name="_Toc433970"/>
      <w:bookmarkStart w:id="165" w:name="_Toc881857"/>
      <w:bookmarkStart w:id="166" w:name="_Toc961960"/>
      <w:bookmarkStart w:id="167" w:name="_Toc29405466"/>
      <w:bookmarkStart w:id="168" w:name="_Toc29405870"/>
      <w:bookmarkStart w:id="169" w:name="_Toc29406141"/>
      <w:bookmarkStart w:id="170" w:name="_Toc534151870"/>
      <w:bookmarkStart w:id="171" w:name="_Toc534152004"/>
      <w:bookmarkStart w:id="172" w:name="_Toc534152129"/>
      <w:bookmarkStart w:id="173" w:name="_Toc534152201"/>
      <w:bookmarkStart w:id="174" w:name="_Toc534152273"/>
      <w:bookmarkStart w:id="175" w:name="_Toc534152345"/>
      <w:bookmarkStart w:id="176" w:name="_Toc534152417"/>
      <w:bookmarkStart w:id="177" w:name="_Toc534152746"/>
      <w:bookmarkStart w:id="178" w:name="_Toc433971"/>
      <w:bookmarkStart w:id="179" w:name="_Toc881858"/>
      <w:bookmarkStart w:id="180" w:name="_Toc961961"/>
      <w:bookmarkStart w:id="181" w:name="_Toc29405467"/>
      <w:bookmarkStart w:id="182" w:name="_Toc29405871"/>
      <w:bookmarkStart w:id="183" w:name="_Toc29406142"/>
      <w:bookmarkStart w:id="184" w:name="_Toc534151871"/>
      <w:bookmarkStart w:id="185" w:name="_Toc534152005"/>
      <w:bookmarkStart w:id="186" w:name="_Toc534152130"/>
      <w:bookmarkStart w:id="187" w:name="_Toc534152202"/>
      <w:bookmarkStart w:id="188" w:name="_Toc534152274"/>
      <w:bookmarkStart w:id="189" w:name="_Toc534152346"/>
      <w:bookmarkStart w:id="190" w:name="_Toc534152418"/>
      <w:bookmarkStart w:id="191" w:name="_Toc534152747"/>
      <w:bookmarkStart w:id="192" w:name="_Toc433972"/>
      <w:bookmarkStart w:id="193" w:name="_Toc881859"/>
      <w:bookmarkStart w:id="194" w:name="_Toc961962"/>
      <w:bookmarkStart w:id="195" w:name="_Toc29405468"/>
      <w:bookmarkStart w:id="196" w:name="_Toc29405872"/>
      <w:bookmarkStart w:id="197" w:name="_Toc29406143"/>
      <w:bookmarkStart w:id="198" w:name="_Toc534151872"/>
      <w:bookmarkStart w:id="199" w:name="_Toc534152006"/>
      <w:bookmarkStart w:id="200" w:name="_Toc534152131"/>
      <w:bookmarkStart w:id="201" w:name="_Toc534152203"/>
      <w:bookmarkStart w:id="202" w:name="_Toc534152275"/>
      <w:bookmarkStart w:id="203" w:name="_Toc534152347"/>
      <w:bookmarkStart w:id="204" w:name="_Toc534152419"/>
      <w:bookmarkStart w:id="205" w:name="_Toc534152748"/>
      <w:bookmarkStart w:id="206" w:name="_Toc433973"/>
      <w:bookmarkStart w:id="207" w:name="_Toc881860"/>
      <w:bookmarkStart w:id="208" w:name="_Toc961963"/>
      <w:bookmarkStart w:id="209" w:name="_Toc29405469"/>
      <w:bookmarkStart w:id="210" w:name="_Toc29405873"/>
      <w:bookmarkStart w:id="211" w:name="_Toc29406144"/>
      <w:bookmarkStart w:id="212" w:name="_Toc294061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E406B4">
        <w:rPr>
          <w:rFonts w:ascii="Times New Roman" w:hAnsi="Times New Roman" w:cs="Times New Roman"/>
          <w:b/>
          <w:lang w:val="es-ES"/>
        </w:rPr>
        <w:lastRenderedPageBreak/>
        <w:t>Información</w:t>
      </w:r>
      <w:r w:rsidR="006C16B6" w:rsidRPr="00E406B4">
        <w:rPr>
          <w:rFonts w:ascii="Times New Roman" w:hAnsi="Times New Roman" w:cs="Times New Roman"/>
          <w:b/>
          <w:lang w:val="es-ES"/>
        </w:rPr>
        <w:t xml:space="preserve"> Institucional</w:t>
      </w:r>
      <w:r w:rsidR="00BC5EEF" w:rsidRPr="00E406B4">
        <w:rPr>
          <w:rFonts w:ascii="Times New Roman" w:hAnsi="Times New Roman" w:cs="Times New Roman"/>
          <w:b/>
          <w:lang w:val="es-ES"/>
        </w:rPr>
        <w:t xml:space="preserve"> (Misión, Visión, Funcionarios, Base Legal)</w:t>
      </w:r>
      <w:bookmarkEnd w:id="212"/>
    </w:p>
    <w:p w14:paraId="5E779576" w14:textId="77777777" w:rsidR="001E481E" w:rsidRPr="00C14D91" w:rsidRDefault="001E481E" w:rsidP="001E481E">
      <w:pPr>
        <w:pStyle w:val="Prrafodelista"/>
        <w:rPr>
          <w:b/>
          <w:bCs/>
          <w:sz w:val="32"/>
          <w:szCs w:val="32"/>
          <w:lang w:val="es-ES"/>
        </w:rPr>
      </w:pPr>
    </w:p>
    <w:p w14:paraId="29C8A835" w14:textId="77777777" w:rsidR="00BC5EEF" w:rsidRPr="00E406B4" w:rsidRDefault="00D41A4D" w:rsidP="007B76C9">
      <w:pPr>
        <w:rPr>
          <w:b/>
          <w:sz w:val="28"/>
          <w:szCs w:val="28"/>
          <w:lang w:val="es-ES"/>
        </w:rPr>
      </w:pPr>
      <w:r w:rsidRPr="00E406B4">
        <w:rPr>
          <w:b/>
          <w:sz w:val="28"/>
          <w:szCs w:val="28"/>
          <w:lang w:val="es-ES"/>
        </w:rPr>
        <w:t>Misión</w:t>
      </w:r>
      <w:r w:rsidR="004F25FE" w:rsidRPr="00E406B4">
        <w:rPr>
          <w:b/>
          <w:sz w:val="28"/>
          <w:szCs w:val="28"/>
          <w:lang w:val="es-ES"/>
        </w:rPr>
        <w:t xml:space="preserve">: </w:t>
      </w:r>
    </w:p>
    <w:p w14:paraId="65D6B4E7" w14:textId="1897796C" w:rsidR="00AF7332" w:rsidRPr="00C14D91" w:rsidRDefault="00AF7332" w:rsidP="007B76C9">
      <w:pPr>
        <w:spacing w:line="360" w:lineRule="auto"/>
        <w:jc w:val="both"/>
        <w:rPr>
          <w:lang w:val="es-ES"/>
        </w:rPr>
      </w:pPr>
      <w:r w:rsidRPr="00C14D91">
        <w:rPr>
          <w:lang w:val="es-ES"/>
        </w:rPr>
        <w:t xml:space="preserve">Desarrollar el sector minero nacional a través de la aplicación del marco normativo y legal, para generar riquezas, empleos, desarrollo </w:t>
      </w:r>
      <w:r w:rsidR="008A589F" w:rsidRPr="00C14D91">
        <w:rPr>
          <w:lang w:val="es-ES"/>
        </w:rPr>
        <w:t>económico y</w:t>
      </w:r>
      <w:r w:rsidRPr="00C14D91">
        <w:rPr>
          <w:lang w:val="es-ES"/>
        </w:rPr>
        <w:t xml:space="preserve"> </w:t>
      </w:r>
      <w:r w:rsidR="003279F1" w:rsidRPr="00D504B2">
        <w:rPr>
          <w:lang w:val="es-ES"/>
        </w:rPr>
        <w:t>protección</w:t>
      </w:r>
      <w:r w:rsidRPr="00D504B2">
        <w:rPr>
          <w:lang w:val="es-ES"/>
        </w:rPr>
        <w:t xml:space="preserve"> al medioambiente en el país, recomendando el otorgamiento de concesiones mineras de Exploración, Explotación y Plantas de Beneficio, a concesionarios, </w:t>
      </w:r>
      <w:r w:rsidR="008A589F">
        <w:rPr>
          <w:lang w:val="es-ES"/>
        </w:rPr>
        <w:t xml:space="preserve">así como los permisos de extracción, </w:t>
      </w:r>
      <w:r w:rsidRPr="00C14D91">
        <w:rPr>
          <w:lang w:val="es-ES"/>
        </w:rPr>
        <w:t>asegurando el cumplimiento operativo y legal, de las concesiones mineras, mediante una fiscalización efectiva</w:t>
      </w:r>
      <w:r w:rsidR="00374FF7">
        <w:rPr>
          <w:lang w:val="es-ES"/>
        </w:rPr>
        <w:t xml:space="preserve"> y una minería responsable</w:t>
      </w:r>
      <w:r w:rsidRPr="00C14D91">
        <w:rPr>
          <w:lang w:val="es-ES"/>
        </w:rPr>
        <w:t>.</w:t>
      </w:r>
    </w:p>
    <w:p w14:paraId="7369242B" w14:textId="77777777" w:rsidR="00AF7332" w:rsidRPr="00C14D91" w:rsidRDefault="00AF7332" w:rsidP="007B76C9"/>
    <w:p w14:paraId="5096856F" w14:textId="77777777" w:rsidR="00BC5EEF" w:rsidRPr="00E406B4" w:rsidRDefault="004F25FE" w:rsidP="007B76C9">
      <w:pPr>
        <w:rPr>
          <w:b/>
          <w:sz w:val="28"/>
          <w:szCs w:val="28"/>
          <w:lang w:val="es-ES"/>
        </w:rPr>
      </w:pPr>
      <w:r w:rsidRPr="00E406B4">
        <w:rPr>
          <w:b/>
          <w:sz w:val="28"/>
          <w:szCs w:val="28"/>
          <w:lang w:val="es-ES"/>
        </w:rPr>
        <w:t xml:space="preserve">Visión: </w:t>
      </w:r>
    </w:p>
    <w:p w14:paraId="239D8D3E" w14:textId="35E0C95C" w:rsidR="00AF7332" w:rsidRPr="00C14D91" w:rsidRDefault="00AF7332" w:rsidP="007B76C9">
      <w:pPr>
        <w:spacing w:line="360" w:lineRule="auto"/>
        <w:jc w:val="both"/>
        <w:rPr>
          <w:lang w:val="es-ES"/>
        </w:rPr>
      </w:pPr>
      <w:r w:rsidRPr="00C14D91">
        <w:rPr>
          <w:lang w:val="es-ES"/>
        </w:rPr>
        <w:t>Ser una institución pública de alto nivel de capacidad técnica y operativa</w:t>
      </w:r>
      <w:r w:rsidR="00374FF7">
        <w:rPr>
          <w:lang w:val="es-ES"/>
        </w:rPr>
        <w:t xml:space="preserve">, para impulsar de manera responsable y competitiva, el sector minero nacional </w:t>
      </w:r>
      <w:r w:rsidRPr="00C14D91">
        <w:rPr>
          <w:lang w:val="es-ES"/>
        </w:rPr>
        <w:t xml:space="preserve">como un pilar del desarrollo </w:t>
      </w:r>
      <w:r w:rsidR="003279F1" w:rsidRPr="00C14D91">
        <w:rPr>
          <w:lang w:val="es-ES"/>
        </w:rPr>
        <w:t>económico</w:t>
      </w:r>
      <w:r w:rsidRPr="00D504B2">
        <w:rPr>
          <w:lang w:val="es-ES"/>
        </w:rPr>
        <w:t xml:space="preserve"> del país, </w:t>
      </w:r>
      <w:r w:rsidR="003279F1" w:rsidRPr="00D504B2">
        <w:rPr>
          <w:lang w:val="es-ES"/>
        </w:rPr>
        <w:t>modernizando</w:t>
      </w:r>
      <w:r w:rsidRPr="00D504B2">
        <w:rPr>
          <w:lang w:val="es-ES"/>
        </w:rPr>
        <w:t xml:space="preserve"> el sistema de gestión de </w:t>
      </w:r>
      <w:r w:rsidR="00374FF7">
        <w:rPr>
          <w:lang w:val="es-ES"/>
        </w:rPr>
        <w:t xml:space="preserve">permisos y </w:t>
      </w:r>
      <w:r w:rsidRPr="00C14D91">
        <w:rPr>
          <w:lang w:val="es-ES"/>
        </w:rPr>
        <w:t>concesiones mineras y estableciendo un sistema de fiscalización integral, que asegure el cumplimiento de</w:t>
      </w:r>
      <w:r w:rsidR="00374FF7">
        <w:rPr>
          <w:lang w:val="es-ES"/>
        </w:rPr>
        <w:t xml:space="preserve"> </w:t>
      </w:r>
      <w:r w:rsidRPr="00C14D91">
        <w:rPr>
          <w:lang w:val="es-ES"/>
        </w:rPr>
        <w:t>sus obligaciones.</w:t>
      </w:r>
    </w:p>
    <w:p w14:paraId="7A543D00" w14:textId="77777777" w:rsidR="00AF7332" w:rsidRPr="00C14D91" w:rsidRDefault="00AF7332" w:rsidP="007B76C9">
      <w:pPr>
        <w:rPr>
          <w:lang w:val="es-ES"/>
        </w:rPr>
      </w:pPr>
    </w:p>
    <w:p w14:paraId="40C80D5E" w14:textId="18810393" w:rsidR="0079710B" w:rsidRPr="00E406B4" w:rsidRDefault="0079710B" w:rsidP="007B76C9">
      <w:pPr>
        <w:rPr>
          <w:b/>
          <w:sz w:val="28"/>
          <w:szCs w:val="28"/>
          <w:lang w:val="es-ES"/>
        </w:rPr>
      </w:pPr>
      <w:r w:rsidRPr="00E406B4">
        <w:rPr>
          <w:b/>
          <w:sz w:val="28"/>
          <w:szCs w:val="28"/>
          <w:lang w:val="es-ES"/>
        </w:rPr>
        <w:t>Valores</w:t>
      </w:r>
      <w:r w:rsidR="009461C5" w:rsidRPr="00C14D91">
        <w:rPr>
          <w:b/>
          <w:sz w:val="28"/>
          <w:szCs w:val="28"/>
          <w:lang w:val="es-ES"/>
        </w:rPr>
        <w:t>:</w:t>
      </w:r>
    </w:p>
    <w:p w14:paraId="7C716ABC" w14:textId="77777777" w:rsidR="00881805" w:rsidRPr="00C14D91" w:rsidRDefault="00881805" w:rsidP="007B76C9">
      <w:pPr>
        <w:rPr>
          <w:lang w:val="es-ES"/>
        </w:rPr>
      </w:pPr>
    </w:p>
    <w:p w14:paraId="35763DEF" w14:textId="33E20DCA" w:rsidR="003279F1" w:rsidRPr="00C14D91" w:rsidRDefault="003279F1" w:rsidP="0035778B">
      <w:pPr>
        <w:spacing w:line="360" w:lineRule="auto"/>
        <w:rPr>
          <w:lang w:val="es-ES"/>
        </w:rPr>
      </w:pPr>
      <w:r w:rsidRPr="00C14D91">
        <w:rPr>
          <w:b/>
          <w:lang w:val="es-ES"/>
        </w:rPr>
        <w:t>Innovación:</w:t>
      </w:r>
      <w:r w:rsidRPr="00C14D91">
        <w:rPr>
          <w:lang w:val="es-ES"/>
        </w:rPr>
        <w:t xml:space="preserve"> Utilizamos tecnología</w:t>
      </w:r>
      <w:r w:rsidR="00374FF7">
        <w:rPr>
          <w:lang w:val="es-ES"/>
        </w:rPr>
        <w:t>s y acciones</w:t>
      </w:r>
      <w:r w:rsidRPr="00C14D91">
        <w:rPr>
          <w:lang w:val="es-ES"/>
        </w:rPr>
        <w:t xml:space="preserve">, para el </w:t>
      </w:r>
      <w:r w:rsidR="00374FF7">
        <w:rPr>
          <w:lang w:val="es-ES"/>
        </w:rPr>
        <w:t>mejoramiento</w:t>
      </w:r>
      <w:r w:rsidRPr="00C14D91">
        <w:rPr>
          <w:lang w:val="es-ES"/>
        </w:rPr>
        <w:t xml:space="preserve"> y desarrollo de las actividades mineras en el país. </w:t>
      </w:r>
    </w:p>
    <w:p w14:paraId="4B27DB4F" w14:textId="77777777" w:rsidR="003279F1" w:rsidRPr="00C14D91" w:rsidRDefault="003279F1" w:rsidP="007B76C9">
      <w:pPr>
        <w:rPr>
          <w:lang w:val="es-ES"/>
        </w:rPr>
      </w:pPr>
    </w:p>
    <w:p w14:paraId="531544C8" w14:textId="286E2580" w:rsidR="003279F1" w:rsidRPr="00C14D91" w:rsidRDefault="003279F1" w:rsidP="0035778B">
      <w:pPr>
        <w:spacing w:line="360" w:lineRule="auto"/>
        <w:rPr>
          <w:lang w:val="es-ES"/>
        </w:rPr>
      </w:pPr>
      <w:r w:rsidRPr="00C14D91">
        <w:rPr>
          <w:b/>
          <w:lang w:val="es-ES"/>
        </w:rPr>
        <w:t>Capacidad:</w:t>
      </w:r>
      <w:r w:rsidRPr="00D504B2">
        <w:rPr>
          <w:lang w:val="es-ES"/>
        </w:rPr>
        <w:t xml:space="preserve"> Desarrollamos las habilidades </w:t>
      </w:r>
      <w:r w:rsidR="00374FF7">
        <w:rPr>
          <w:lang w:val="es-ES"/>
        </w:rPr>
        <w:t>y conocimiento en el personal</w:t>
      </w:r>
      <w:r w:rsidRPr="00C14D91">
        <w:rPr>
          <w:lang w:val="es-ES"/>
        </w:rPr>
        <w:t xml:space="preserve"> para obtener el mejor y mayor nivel técnico minero.</w:t>
      </w:r>
    </w:p>
    <w:p w14:paraId="777B7810" w14:textId="77777777" w:rsidR="003279F1" w:rsidRPr="00C14D91" w:rsidRDefault="003279F1" w:rsidP="007B76C9">
      <w:pPr>
        <w:rPr>
          <w:lang w:val="es-ES"/>
        </w:rPr>
      </w:pPr>
    </w:p>
    <w:p w14:paraId="35A3B009" w14:textId="1F2CBEB7" w:rsidR="003279F1" w:rsidRPr="00C14D91" w:rsidRDefault="003279F1" w:rsidP="0035778B">
      <w:pPr>
        <w:spacing w:line="360" w:lineRule="auto"/>
        <w:rPr>
          <w:lang w:val="es-ES"/>
        </w:rPr>
      </w:pPr>
      <w:r w:rsidRPr="00C14D91">
        <w:rPr>
          <w:b/>
          <w:lang w:val="es-ES"/>
        </w:rPr>
        <w:t>Responsabilidad:</w:t>
      </w:r>
      <w:r w:rsidRPr="00D504B2">
        <w:rPr>
          <w:lang w:val="es-ES"/>
        </w:rPr>
        <w:t xml:space="preserve"> Actuamos con decisión </w:t>
      </w:r>
      <w:r w:rsidR="00374FF7">
        <w:rPr>
          <w:lang w:val="es-ES"/>
        </w:rPr>
        <w:t xml:space="preserve">en el ejercicio de nuestras funciones </w:t>
      </w:r>
      <w:r w:rsidRPr="00C14D91">
        <w:rPr>
          <w:lang w:val="es-ES"/>
        </w:rPr>
        <w:t>para el cumplimiento al marco legal</w:t>
      </w:r>
      <w:r w:rsidR="00374FF7">
        <w:rPr>
          <w:lang w:val="es-ES"/>
        </w:rPr>
        <w:t xml:space="preserve">, técnico y operativo </w:t>
      </w:r>
      <w:r w:rsidRPr="00C14D91">
        <w:rPr>
          <w:lang w:val="es-ES"/>
        </w:rPr>
        <w:t>del sector minero.</w:t>
      </w:r>
    </w:p>
    <w:p w14:paraId="0214B1BA" w14:textId="77777777" w:rsidR="003279F1" w:rsidRPr="00C14D91" w:rsidRDefault="003279F1" w:rsidP="007B76C9">
      <w:pPr>
        <w:rPr>
          <w:lang w:val="es-ES"/>
        </w:rPr>
      </w:pPr>
    </w:p>
    <w:p w14:paraId="74005B42" w14:textId="53363555" w:rsidR="003279F1" w:rsidRDefault="003279F1" w:rsidP="003D2403">
      <w:pPr>
        <w:spacing w:line="360" w:lineRule="auto"/>
        <w:rPr>
          <w:lang w:val="es-ES"/>
        </w:rPr>
      </w:pPr>
      <w:r w:rsidRPr="00C14D91">
        <w:rPr>
          <w:b/>
          <w:lang w:val="es-ES"/>
        </w:rPr>
        <w:t>Transparencia:</w:t>
      </w:r>
      <w:r w:rsidR="00374FF7">
        <w:rPr>
          <w:lang w:val="es-ES"/>
        </w:rPr>
        <w:t xml:space="preserve"> Conducimos nuestra</w:t>
      </w:r>
      <w:r w:rsidRPr="00C14D91">
        <w:rPr>
          <w:lang w:val="es-ES"/>
        </w:rPr>
        <w:t xml:space="preserve">s </w:t>
      </w:r>
      <w:r w:rsidR="00374FF7">
        <w:rPr>
          <w:lang w:val="es-ES"/>
        </w:rPr>
        <w:t xml:space="preserve">acciones y procesos de manera ética y abierta al público. </w:t>
      </w:r>
      <w:r w:rsidRPr="00C14D91">
        <w:rPr>
          <w:lang w:val="es-ES"/>
        </w:rPr>
        <w:t xml:space="preserve"> </w:t>
      </w:r>
    </w:p>
    <w:p w14:paraId="5B3AA7FE" w14:textId="77777777" w:rsidR="00E91EF9" w:rsidRDefault="00E91EF9" w:rsidP="003D2403">
      <w:pPr>
        <w:spacing w:line="360" w:lineRule="auto"/>
        <w:rPr>
          <w:lang w:val="es-ES"/>
        </w:rPr>
      </w:pPr>
    </w:p>
    <w:p w14:paraId="744B9436" w14:textId="77777777" w:rsidR="00E91EF9" w:rsidRDefault="00E91EF9" w:rsidP="003D2403">
      <w:pPr>
        <w:spacing w:line="360" w:lineRule="auto"/>
        <w:rPr>
          <w:lang w:val="es-ES"/>
        </w:rPr>
      </w:pPr>
    </w:p>
    <w:p w14:paraId="1281CCC3" w14:textId="77777777" w:rsidR="00E91EF9" w:rsidRPr="00C14D91" w:rsidRDefault="00E91EF9" w:rsidP="003D2403">
      <w:pPr>
        <w:spacing w:line="360" w:lineRule="auto"/>
        <w:rPr>
          <w:lang w:val="es-ES"/>
        </w:rPr>
      </w:pPr>
    </w:p>
    <w:p w14:paraId="72EF56CD" w14:textId="16EC8F90" w:rsidR="0079710B" w:rsidRPr="00E406B4" w:rsidRDefault="00B82C94" w:rsidP="00BC5EEF">
      <w:pPr>
        <w:rPr>
          <w:b/>
          <w:sz w:val="28"/>
          <w:szCs w:val="28"/>
          <w:lang w:val="es-ES"/>
        </w:rPr>
      </w:pPr>
      <w:r w:rsidRPr="00E406B4">
        <w:rPr>
          <w:b/>
          <w:sz w:val="28"/>
          <w:szCs w:val="28"/>
          <w:lang w:val="es-ES"/>
        </w:rPr>
        <w:lastRenderedPageBreak/>
        <w:t>F</w:t>
      </w:r>
      <w:r w:rsidR="0079710B" w:rsidRPr="00E406B4">
        <w:rPr>
          <w:b/>
          <w:sz w:val="28"/>
          <w:szCs w:val="28"/>
          <w:lang w:val="es-ES"/>
        </w:rPr>
        <w:t>uncionarios</w:t>
      </w:r>
    </w:p>
    <w:p w14:paraId="62E1F207" w14:textId="77777777" w:rsidR="0079710B" w:rsidRPr="00C14D91" w:rsidRDefault="0079710B" w:rsidP="0079710B">
      <w:pPr>
        <w:pStyle w:val="Sinespaciado"/>
        <w:rPr>
          <w:rFonts w:ascii="Times New Roman" w:hAnsi="Times New Roman" w:cs="Times New Roman"/>
        </w:rPr>
      </w:pPr>
    </w:p>
    <w:p w14:paraId="2CD59BD4" w14:textId="77777777" w:rsidR="00D82B6A" w:rsidRPr="00C14D91" w:rsidRDefault="00D82B6A" w:rsidP="0079710B">
      <w:pPr>
        <w:pStyle w:val="Sinespaciado"/>
        <w:rPr>
          <w:rFonts w:ascii="Times New Roman" w:hAnsi="Times New Roman" w:cs="Times New Roman"/>
        </w:rPr>
      </w:pPr>
    </w:p>
    <w:p w14:paraId="110EF028" w14:textId="77777777" w:rsidR="00B82C94" w:rsidRPr="00C14D91" w:rsidRDefault="00B82C94" w:rsidP="0079710B">
      <w:pPr>
        <w:spacing w:line="480" w:lineRule="auto"/>
        <w:rPr>
          <w:b/>
        </w:rPr>
      </w:pPr>
      <w:r w:rsidRPr="00C14D91">
        <w:rPr>
          <w:b/>
        </w:rPr>
        <w:t>Conducción General</w:t>
      </w:r>
    </w:p>
    <w:p w14:paraId="051FDA71" w14:textId="77777777" w:rsidR="00B82C94" w:rsidRPr="002E4C94" w:rsidRDefault="00B82C94" w:rsidP="008463C3">
      <w:pPr>
        <w:spacing w:line="360" w:lineRule="auto"/>
        <w:rPr>
          <w:b/>
        </w:rPr>
      </w:pPr>
      <w:r w:rsidRPr="002E4C94">
        <w:t>Ing. Alexander Medina Herasme</w:t>
      </w:r>
    </w:p>
    <w:p w14:paraId="320BE576" w14:textId="77777777" w:rsidR="0079710B" w:rsidRPr="002E4C94" w:rsidRDefault="0079710B" w:rsidP="008463C3">
      <w:pPr>
        <w:spacing w:line="360" w:lineRule="auto"/>
        <w:rPr>
          <w:b/>
        </w:rPr>
      </w:pPr>
      <w:r w:rsidRPr="002E4C94">
        <w:rPr>
          <w:b/>
        </w:rPr>
        <w:t xml:space="preserve">Director General de Minería                       </w:t>
      </w:r>
      <w:r w:rsidRPr="002E4C94">
        <w:rPr>
          <w:b/>
        </w:rPr>
        <w:tab/>
      </w:r>
      <w:r w:rsidRPr="002E4C94">
        <w:rPr>
          <w:b/>
        </w:rPr>
        <w:tab/>
      </w:r>
    </w:p>
    <w:p w14:paraId="0D6EB37E" w14:textId="77777777" w:rsidR="008463C3" w:rsidRPr="002E4C94" w:rsidRDefault="008463C3" w:rsidP="0079710B">
      <w:pPr>
        <w:spacing w:line="480" w:lineRule="auto"/>
        <w:rPr>
          <w:b/>
        </w:rPr>
      </w:pPr>
    </w:p>
    <w:p w14:paraId="6AE89128" w14:textId="77777777" w:rsidR="008463C3" w:rsidRPr="002E4C94" w:rsidRDefault="008463C3" w:rsidP="0079710B">
      <w:pPr>
        <w:spacing w:line="480" w:lineRule="auto"/>
        <w:rPr>
          <w:b/>
        </w:rPr>
      </w:pPr>
      <w:r w:rsidRPr="002E4C94">
        <w:rPr>
          <w:b/>
        </w:rPr>
        <w:t>Equipo Estratégico – Político</w:t>
      </w:r>
    </w:p>
    <w:p w14:paraId="7715A80F" w14:textId="77777777" w:rsidR="008463C3" w:rsidRPr="002E4C94" w:rsidRDefault="008463C3" w:rsidP="00B21CCD">
      <w:pPr>
        <w:spacing w:line="360" w:lineRule="auto"/>
        <w:rPr>
          <w:b/>
        </w:rPr>
      </w:pPr>
      <w:r w:rsidRPr="002E4C94">
        <w:t>Ing. Alexander Medina Herasme</w:t>
      </w:r>
      <w:r w:rsidR="00B21CCD" w:rsidRPr="002E4C94">
        <w:t xml:space="preserve">, </w:t>
      </w:r>
      <w:r w:rsidRPr="002E4C94">
        <w:rPr>
          <w:b/>
        </w:rPr>
        <w:t xml:space="preserve">Director General de Minería                       </w:t>
      </w:r>
    </w:p>
    <w:p w14:paraId="14DD4375" w14:textId="67A6B5AD" w:rsidR="008463C3" w:rsidRPr="00C14D91" w:rsidRDefault="0079710B" w:rsidP="008463C3">
      <w:pPr>
        <w:spacing w:line="480" w:lineRule="auto"/>
      </w:pPr>
      <w:r w:rsidRPr="002E4C94">
        <w:rPr>
          <w:b/>
        </w:rPr>
        <w:t>Ing. Ramón Elías Ramírez</w:t>
      </w:r>
      <w:r w:rsidR="008463C3" w:rsidRPr="002E4C94">
        <w:rPr>
          <w:b/>
        </w:rPr>
        <w:t xml:space="preserve">, </w:t>
      </w:r>
      <w:r w:rsidR="008463C3" w:rsidRPr="002E4C94">
        <w:t xml:space="preserve">Director de </w:t>
      </w:r>
      <w:r w:rsidR="002E4C94">
        <w:t>Proyectos de Recursos Mineros</w:t>
      </w:r>
      <w:r w:rsidR="008463C3" w:rsidRPr="00C14D91">
        <w:t xml:space="preserve">         </w:t>
      </w:r>
    </w:p>
    <w:p w14:paraId="0771AAA9" w14:textId="2BF69195" w:rsidR="008463C3" w:rsidRPr="00C14D91" w:rsidRDefault="008463C3" w:rsidP="008463C3">
      <w:pPr>
        <w:spacing w:line="480" w:lineRule="auto"/>
        <w:rPr>
          <w:b/>
        </w:rPr>
      </w:pPr>
      <w:r w:rsidRPr="00C14D91">
        <w:rPr>
          <w:b/>
        </w:rPr>
        <w:t xml:space="preserve">Ing. Eugenio Lugo, </w:t>
      </w:r>
      <w:r w:rsidR="00E470B5" w:rsidRPr="00C14D91">
        <w:t>Sub Director General y</w:t>
      </w:r>
      <w:r w:rsidR="00E470B5" w:rsidRPr="002E4C94">
        <w:rPr>
          <w:b/>
        </w:rPr>
        <w:t xml:space="preserve"> </w:t>
      </w:r>
      <w:r w:rsidRPr="002E4C94">
        <w:t>Director de Pequeña Minería</w:t>
      </w:r>
      <w:r w:rsidR="002E4C94">
        <w:t xml:space="preserve"> Artesanal</w:t>
      </w:r>
    </w:p>
    <w:p w14:paraId="2EACCFFD" w14:textId="0C83918B" w:rsidR="0079710B" w:rsidRPr="00C14D91" w:rsidRDefault="008463C3" w:rsidP="0079710B">
      <w:pPr>
        <w:spacing w:line="480" w:lineRule="auto"/>
        <w:rPr>
          <w:b/>
        </w:rPr>
      </w:pPr>
      <w:r w:rsidRPr="00C14D91">
        <w:rPr>
          <w:b/>
        </w:rPr>
        <w:t xml:space="preserve">Ing. Ramón Morrobel, </w:t>
      </w:r>
      <w:r w:rsidRPr="00C14D91">
        <w:t>Director de Catastro</w:t>
      </w:r>
      <w:r w:rsidR="002E4C94">
        <w:t xml:space="preserve"> Minero</w:t>
      </w:r>
      <w:r w:rsidRPr="00C14D91">
        <w:rPr>
          <w:b/>
          <w:color w:val="FF0000"/>
        </w:rPr>
        <w:t xml:space="preserve">                            </w:t>
      </w:r>
      <w:r w:rsidR="0079710B" w:rsidRPr="00C14D91">
        <w:rPr>
          <w:b/>
        </w:rPr>
        <w:tab/>
      </w:r>
      <w:r w:rsidR="0079710B" w:rsidRPr="00C14D91">
        <w:rPr>
          <w:b/>
        </w:rPr>
        <w:tab/>
      </w:r>
    </w:p>
    <w:p w14:paraId="36B3F866" w14:textId="315F4881" w:rsidR="006E3029" w:rsidRPr="00C14D91" w:rsidRDefault="006E3029" w:rsidP="006E3029">
      <w:pPr>
        <w:spacing w:line="480" w:lineRule="auto"/>
        <w:rPr>
          <w:b/>
        </w:rPr>
      </w:pPr>
      <w:r w:rsidRPr="00C14D91">
        <w:rPr>
          <w:b/>
        </w:rPr>
        <w:t xml:space="preserve">Ing. </w:t>
      </w:r>
      <w:r w:rsidR="00E470B5" w:rsidRPr="002E4C94">
        <w:rPr>
          <w:b/>
          <w:lang w:val="es-ES"/>
        </w:rPr>
        <w:t>Domingo Amparo</w:t>
      </w:r>
      <w:r w:rsidRPr="002E4C94">
        <w:rPr>
          <w:b/>
        </w:rPr>
        <w:t xml:space="preserve">, </w:t>
      </w:r>
      <w:r w:rsidRPr="002E4C94">
        <w:t xml:space="preserve">Director de </w:t>
      </w:r>
      <w:r w:rsidR="00E470B5" w:rsidRPr="002E4C94">
        <w:t xml:space="preserve">Fiscalización </w:t>
      </w:r>
      <w:r w:rsidR="002E4C94">
        <w:t>Minera</w:t>
      </w:r>
      <w:r w:rsidRPr="00C14D91">
        <w:rPr>
          <w:b/>
        </w:rPr>
        <w:t xml:space="preserve">                                      </w:t>
      </w:r>
    </w:p>
    <w:p w14:paraId="314D3294" w14:textId="77777777" w:rsidR="0079710B" w:rsidRPr="002E4C94" w:rsidRDefault="006E3029" w:rsidP="0079710B">
      <w:pPr>
        <w:spacing w:line="480" w:lineRule="auto"/>
        <w:rPr>
          <w:b/>
        </w:rPr>
      </w:pPr>
      <w:r w:rsidRPr="00C14D91">
        <w:rPr>
          <w:b/>
        </w:rPr>
        <w:t>Licda. Jeannette Contreras</w:t>
      </w:r>
      <w:r w:rsidRPr="00E406B4">
        <w:rPr>
          <w:b/>
        </w:rPr>
        <w:t>,</w:t>
      </w:r>
      <w:r w:rsidRPr="002E4C94">
        <w:rPr>
          <w:b/>
          <w:color w:val="FF0000"/>
        </w:rPr>
        <w:t xml:space="preserve"> </w:t>
      </w:r>
      <w:r w:rsidR="0079710B" w:rsidRPr="002E4C94">
        <w:t>Encargada Administrativa y Financiera</w:t>
      </w:r>
      <w:r w:rsidR="0079710B" w:rsidRPr="002E4C94">
        <w:rPr>
          <w:b/>
        </w:rPr>
        <w:t xml:space="preserve">                    </w:t>
      </w:r>
    </w:p>
    <w:p w14:paraId="799A2337" w14:textId="30DDB712" w:rsidR="006E3029" w:rsidRPr="002E4C94" w:rsidRDefault="006E3029" w:rsidP="006E3029">
      <w:pPr>
        <w:spacing w:line="480" w:lineRule="auto"/>
        <w:rPr>
          <w:b/>
        </w:rPr>
      </w:pPr>
      <w:r w:rsidRPr="002E4C94">
        <w:rPr>
          <w:b/>
        </w:rPr>
        <w:t>Licd</w:t>
      </w:r>
      <w:r w:rsidR="00881805" w:rsidRPr="002E4C94">
        <w:rPr>
          <w:b/>
        </w:rPr>
        <w:t>a</w:t>
      </w:r>
      <w:r w:rsidRPr="002E4C94">
        <w:rPr>
          <w:b/>
        </w:rPr>
        <w:t xml:space="preserve">. </w:t>
      </w:r>
      <w:r w:rsidR="00881805" w:rsidRPr="002E4C94">
        <w:rPr>
          <w:b/>
        </w:rPr>
        <w:t>Airlin Nerio</w:t>
      </w:r>
      <w:r w:rsidRPr="002E4C94">
        <w:rPr>
          <w:b/>
        </w:rPr>
        <w:t xml:space="preserve">, </w:t>
      </w:r>
      <w:r w:rsidRPr="002E4C94">
        <w:t>Consultor Jurídico</w:t>
      </w:r>
      <w:r w:rsidRPr="002E4C94">
        <w:rPr>
          <w:b/>
        </w:rPr>
        <w:t xml:space="preserve">                                                       </w:t>
      </w:r>
    </w:p>
    <w:p w14:paraId="2945F1D0" w14:textId="77777777" w:rsidR="006E3029" w:rsidRPr="002E4C94" w:rsidRDefault="006E3029" w:rsidP="006E3029">
      <w:pPr>
        <w:spacing w:line="480" w:lineRule="auto"/>
        <w:rPr>
          <w:b/>
        </w:rPr>
      </w:pPr>
      <w:r w:rsidRPr="002E4C94">
        <w:rPr>
          <w:b/>
        </w:rPr>
        <w:t xml:space="preserve">Licda. Claudia Reyes, </w:t>
      </w:r>
      <w:r w:rsidRPr="002E4C94">
        <w:t>Encargada de Contabilidad</w:t>
      </w:r>
      <w:r w:rsidRPr="002E4C94">
        <w:rPr>
          <w:b/>
        </w:rPr>
        <w:t xml:space="preserve">                                          </w:t>
      </w:r>
    </w:p>
    <w:p w14:paraId="7B5A83B6" w14:textId="77777777" w:rsidR="006E3029" w:rsidRPr="002E4C94" w:rsidRDefault="006E3029" w:rsidP="006E3029">
      <w:pPr>
        <w:spacing w:line="480" w:lineRule="auto"/>
        <w:rPr>
          <w:b/>
        </w:rPr>
      </w:pPr>
      <w:r w:rsidRPr="002E4C94">
        <w:rPr>
          <w:b/>
        </w:rPr>
        <w:t>Licda. Juli</w:t>
      </w:r>
      <w:r w:rsidR="00E470B5" w:rsidRPr="002E4C94">
        <w:rPr>
          <w:b/>
        </w:rPr>
        <w:t>ss</w:t>
      </w:r>
      <w:r w:rsidRPr="002E4C94">
        <w:rPr>
          <w:b/>
        </w:rPr>
        <w:t xml:space="preserve">a </w:t>
      </w:r>
      <w:r w:rsidR="00E470B5" w:rsidRPr="002E4C94">
        <w:rPr>
          <w:b/>
        </w:rPr>
        <w:t>Vásquez</w:t>
      </w:r>
      <w:r w:rsidRPr="002E4C94">
        <w:rPr>
          <w:b/>
        </w:rPr>
        <w:t xml:space="preserve">, </w:t>
      </w:r>
      <w:r w:rsidRPr="002E4C94">
        <w:t>Encargada de Recursos Humanos</w:t>
      </w:r>
      <w:r w:rsidRPr="002E4C94">
        <w:rPr>
          <w:b/>
        </w:rPr>
        <w:t xml:space="preserve">                             </w:t>
      </w:r>
    </w:p>
    <w:p w14:paraId="5A7BE470" w14:textId="436AD7F4" w:rsidR="006E3029" w:rsidRPr="00C14D91" w:rsidRDefault="006E3029" w:rsidP="006E3029">
      <w:pPr>
        <w:spacing w:line="480" w:lineRule="auto"/>
        <w:rPr>
          <w:b/>
        </w:rPr>
      </w:pPr>
      <w:r w:rsidRPr="002E4C94">
        <w:rPr>
          <w:b/>
        </w:rPr>
        <w:t xml:space="preserve">Dra. Patricia Pumarol, </w:t>
      </w:r>
      <w:r w:rsidR="002E4C94">
        <w:t>Encargada de la División</w:t>
      </w:r>
      <w:r w:rsidRPr="00C14D91">
        <w:t xml:space="preserve"> de Registro Público de Derechos Mineros</w:t>
      </w:r>
      <w:r w:rsidRPr="00C14D91">
        <w:rPr>
          <w:b/>
        </w:rPr>
        <w:t xml:space="preserve"> </w:t>
      </w:r>
    </w:p>
    <w:p w14:paraId="63151C8C" w14:textId="2098AFC3" w:rsidR="00B377B6" w:rsidRDefault="006E3029" w:rsidP="006E3029">
      <w:pPr>
        <w:spacing w:line="480" w:lineRule="auto"/>
      </w:pPr>
      <w:r w:rsidRPr="00C14D91">
        <w:rPr>
          <w:b/>
        </w:rPr>
        <w:t xml:space="preserve">Ing. Theyder Moquete, </w:t>
      </w:r>
      <w:r w:rsidRPr="002E4C94">
        <w:t xml:space="preserve">Encargado </w:t>
      </w:r>
      <w:r w:rsidR="007E4FD0" w:rsidRPr="002E4C94">
        <w:t>de</w:t>
      </w:r>
      <w:r w:rsidR="002E4C94">
        <w:t xml:space="preserve">l </w:t>
      </w:r>
      <w:r w:rsidR="00B377B6">
        <w:t>Depto.</w:t>
      </w:r>
      <w:r w:rsidR="002E4C94">
        <w:t xml:space="preserve"> de </w:t>
      </w:r>
      <w:r w:rsidR="002E4C94" w:rsidRPr="00C14D91">
        <w:t>T</w:t>
      </w:r>
      <w:r w:rsidR="002E4C94">
        <w:t>ecnología de la Información y Comunicación</w:t>
      </w:r>
    </w:p>
    <w:p w14:paraId="5DF77853" w14:textId="1C9B84DD" w:rsidR="006E3029" w:rsidRPr="00C14D91" w:rsidRDefault="00B377B6" w:rsidP="006E3029">
      <w:pPr>
        <w:spacing w:line="480" w:lineRule="auto"/>
      </w:pPr>
      <w:r>
        <w:t>Lic. Ruben Matías, Encargado del Depto. de Evaluación de Solicitudes de Concesiones Mineras</w:t>
      </w:r>
    </w:p>
    <w:p w14:paraId="79CFE79C" w14:textId="77777777" w:rsidR="006E3029" w:rsidRPr="00C14D91" w:rsidRDefault="006E3029" w:rsidP="006E3029">
      <w:pPr>
        <w:spacing w:line="480" w:lineRule="auto"/>
        <w:rPr>
          <w:b/>
        </w:rPr>
      </w:pPr>
      <w:r w:rsidRPr="00C14D91">
        <w:rPr>
          <w:b/>
        </w:rPr>
        <w:t xml:space="preserve">EQUIPO TÉCNICO </w:t>
      </w:r>
    </w:p>
    <w:p w14:paraId="37F5353F" w14:textId="77777777" w:rsidR="006E3029" w:rsidRPr="002E4C94" w:rsidRDefault="006E3029" w:rsidP="006E3029">
      <w:pPr>
        <w:spacing w:line="480" w:lineRule="auto"/>
      </w:pPr>
      <w:r w:rsidRPr="002E4C94">
        <w:rPr>
          <w:b/>
        </w:rPr>
        <w:t xml:space="preserve"> Lic. Julio Cesar Ferreira Núñez, </w:t>
      </w:r>
      <w:r w:rsidRPr="002E4C94">
        <w:t>Encargado de Planificación y Desarrollo</w:t>
      </w:r>
    </w:p>
    <w:p w14:paraId="5508892D" w14:textId="77777777" w:rsidR="006E3029" w:rsidRPr="00906F9E" w:rsidRDefault="006E3029" w:rsidP="006E3029">
      <w:pPr>
        <w:spacing w:line="480" w:lineRule="auto"/>
      </w:pPr>
      <w:r w:rsidRPr="002E4C94">
        <w:t>Diseño de textos y Elaboración</w:t>
      </w:r>
      <w:r w:rsidRPr="00906F9E">
        <w:t xml:space="preserve"> </w:t>
      </w:r>
    </w:p>
    <w:p w14:paraId="71B90561" w14:textId="343E4B80" w:rsidR="0023232B" w:rsidRPr="00E406B4" w:rsidRDefault="0023232B" w:rsidP="000E50D2">
      <w:pPr>
        <w:rPr>
          <w:b/>
          <w:sz w:val="28"/>
          <w:szCs w:val="28"/>
          <w:lang w:val="es-ES"/>
        </w:rPr>
      </w:pPr>
      <w:r w:rsidRPr="00E406B4">
        <w:rPr>
          <w:b/>
          <w:sz w:val="28"/>
          <w:szCs w:val="28"/>
          <w:lang w:val="es-ES"/>
        </w:rPr>
        <w:lastRenderedPageBreak/>
        <w:t>Base Legal</w:t>
      </w:r>
    </w:p>
    <w:p w14:paraId="62104828" w14:textId="77777777" w:rsidR="006E3029" w:rsidRPr="00C14D91" w:rsidRDefault="006E3029" w:rsidP="006E3029">
      <w:pPr>
        <w:rPr>
          <w:lang w:val="es-ES"/>
        </w:rPr>
      </w:pPr>
    </w:p>
    <w:p w14:paraId="25AD125B" w14:textId="209F1822" w:rsidR="006E3029" w:rsidRPr="00C14D91" w:rsidRDefault="006E3029" w:rsidP="009C579C">
      <w:pPr>
        <w:spacing w:line="480" w:lineRule="auto"/>
        <w:jc w:val="both"/>
        <w:rPr>
          <w:lang w:val="es-ES"/>
        </w:rPr>
      </w:pPr>
      <w:r w:rsidRPr="00C14D91">
        <w:rPr>
          <w:lang w:val="es-ES"/>
        </w:rPr>
        <w:t xml:space="preserve">La Dirección General de Minería, </w:t>
      </w:r>
      <w:r w:rsidR="00EB6293" w:rsidRPr="00C14D91">
        <w:rPr>
          <w:lang w:val="es-ES"/>
        </w:rPr>
        <w:t>fue creada</w:t>
      </w:r>
      <w:r w:rsidRPr="00C14D91">
        <w:rPr>
          <w:lang w:val="es-ES"/>
        </w:rPr>
        <w:t xml:space="preserve"> mediante</w:t>
      </w:r>
      <w:r w:rsidR="00EB6293" w:rsidRPr="00236206">
        <w:rPr>
          <w:lang w:val="es-ES"/>
        </w:rPr>
        <w:t xml:space="preserve"> la</w:t>
      </w:r>
      <w:r w:rsidRPr="00236206">
        <w:rPr>
          <w:lang w:val="es-ES"/>
        </w:rPr>
        <w:t xml:space="preserve"> Ley No. 146-71, de fecha 4 de junio del año 1971 y </w:t>
      </w:r>
      <w:r w:rsidR="00CB496F" w:rsidRPr="00236206">
        <w:rPr>
          <w:lang w:val="es-ES"/>
        </w:rPr>
        <w:t xml:space="preserve">el </w:t>
      </w:r>
      <w:r w:rsidRPr="00236206">
        <w:rPr>
          <w:lang w:val="es-ES"/>
        </w:rPr>
        <w:t>Decreto No. 207-98 de fecha 3 de junio del año 1998,</w:t>
      </w:r>
      <w:r w:rsidR="00EB6293" w:rsidRPr="00236206">
        <w:rPr>
          <w:lang w:val="es-ES"/>
        </w:rPr>
        <w:t> </w:t>
      </w:r>
      <w:r w:rsidR="00CB496F" w:rsidRPr="00236206">
        <w:rPr>
          <w:lang w:val="es-ES"/>
        </w:rPr>
        <w:t xml:space="preserve">el cual </w:t>
      </w:r>
      <w:r w:rsidRPr="00236206">
        <w:rPr>
          <w:lang w:val="es-ES"/>
        </w:rPr>
        <w:t>establece el</w:t>
      </w:r>
      <w:r w:rsidR="00EB6293" w:rsidRPr="00236206">
        <w:rPr>
          <w:lang w:val="es-ES"/>
        </w:rPr>
        <w:t> Reglamento</w:t>
      </w:r>
      <w:r w:rsidRPr="00236206">
        <w:rPr>
          <w:lang w:val="es-ES"/>
        </w:rPr>
        <w:t xml:space="preserve"> de Aplicación</w:t>
      </w:r>
      <w:r w:rsidR="00441537" w:rsidRPr="00236206">
        <w:rPr>
          <w:lang w:val="es-ES"/>
        </w:rPr>
        <w:t>. T</w:t>
      </w:r>
      <w:r w:rsidRPr="00236206">
        <w:rPr>
          <w:lang w:val="es-ES"/>
        </w:rPr>
        <w:t>iene como objetivo promover</w:t>
      </w:r>
      <w:r w:rsidR="00441537" w:rsidRPr="00236206">
        <w:rPr>
          <w:lang w:val="es-ES"/>
        </w:rPr>
        <w:t xml:space="preserve"> y </w:t>
      </w:r>
      <w:r w:rsidRPr="00236206">
        <w:rPr>
          <w:lang w:val="es-ES"/>
        </w:rPr>
        <w:t>fomentar</w:t>
      </w:r>
      <w:r w:rsidR="00EB6293" w:rsidRPr="00236206">
        <w:rPr>
          <w:lang w:val="es-ES"/>
        </w:rPr>
        <w:t> el</w:t>
      </w:r>
      <w:r w:rsidRPr="00236206">
        <w:rPr>
          <w:lang w:val="es-ES"/>
        </w:rPr>
        <w:t xml:space="preserve"> desarrollo minero-metalúrgico en</w:t>
      </w:r>
      <w:r w:rsidR="00441537" w:rsidRPr="00236206">
        <w:rPr>
          <w:lang w:val="es-ES"/>
        </w:rPr>
        <w:t xml:space="preserve"> la República Dominicana, basado</w:t>
      </w:r>
      <w:r w:rsidRPr="00236206">
        <w:rPr>
          <w:lang w:val="es-ES"/>
        </w:rPr>
        <w:t xml:space="preserve"> en una política </w:t>
      </w:r>
      <w:r w:rsidR="00441537" w:rsidRPr="00236206">
        <w:rPr>
          <w:lang w:val="es-ES"/>
        </w:rPr>
        <w:t>de concesiones de exploración y explotación de rec</w:t>
      </w:r>
      <w:r w:rsidR="00433BD4">
        <w:rPr>
          <w:lang w:val="es-ES"/>
        </w:rPr>
        <w:t xml:space="preserve">ursos metálicos y no metálicos y plantas de beneficio, </w:t>
      </w:r>
      <w:r w:rsidR="00441537" w:rsidRPr="00C14D91">
        <w:rPr>
          <w:lang w:val="es-ES"/>
        </w:rPr>
        <w:t xml:space="preserve">complementadas con una política de fiscalización </w:t>
      </w:r>
      <w:r w:rsidR="00433BD4">
        <w:rPr>
          <w:lang w:val="es-ES"/>
        </w:rPr>
        <w:t xml:space="preserve">integral. </w:t>
      </w:r>
      <w:r w:rsidRPr="00C14D91">
        <w:rPr>
          <w:lang w:val="es-ES"/>
        </w:rPr>
        <w:t xml:space="preserve"> </w:t>
      </w:r>
    </w:p>
    <w:p w14:paraId="7BA5EF24" w14:textId="77777777" w:rsidR="00B21CCD" w:rsidRPr="00C14D91" w:rsidRDefault="00B21CCD" w:rsidP="00E406B4">
      <w:pPr>
        <w:spacing w:line="360" w:lineRule="auto"/>
        <w:jc w:val="both"/>
        <w:rPr>
          <w:lang w:val="es-ES"/>
        </w:rPr>
      </w:pPr>
    </w:p>
    <w:p w14:paraId="27D4403A" w14:textId="77777777" w:rsidR="006E3029" w:rsidRPr="00236206" w:rsidRDefault="00CC0C58" w:rsidP="009C579C">
      <w:pPr>
        <w:spacing w:line="480" w:lineRule="auto"/>
        <w:jc w:val="both"/>
        <w:rPr>
          <w:lang w:val="es-ES"/>
        </w:rPr>
      </w:pPr>
      <w:r w:rsidRPr="00C14D91">
        <w:rPr>
          <w:lang w:val="es-ES"/>
        </w:rPr>
        <w:t xml:space="preserve">Mediante el artículo No. 9 de la Ley No. 100-13 de fecha 30 de julio del 2013, la </w:t>
      </w:r>
      <w:r w:rsidR="006E3029" w:rsidRPr="00C14D91">
        <w:rPr>
          <w:lang w:val="es-ES"/>
        </w:rPr>
        <w:t xml:space="preserve">Dirección General de Minería </w:t>
      </w:r>
      <w:r w:rsidRPr="00236206">
        <w:rPr>
          <w:lang w:val="es-ES"/>
        </w:rPr>
        <w:t>paso a ser una entidad</w:t>
      </w:r>
      <w:r w:rsidR="006E3029" w:rsidRPr="00236206">
        <w:rPr>
          <w:lang w:val="es-ES"/>
        </w:rPr>
        <w:t xml:space="preserve"> adscrita al Ministerio de Energía y Minas</w:t>
      </w:r>
      <w:r w:rsidRPr="00236206">
        <w:rPr>
          <w:lang w:val="es-ES"/>
        </w:rPr>
        <w:t>.</w:t>
      </w:r>
    </w:p>
    <w:p w14:paraId="14B0A633" w14:textId="3B9D7478" w:rsidR="00B21CCD" w:rsidRPr="00236206" w:rsidRDefault="00B21CCD" w:rsidP="00E406B4">
      <w:pPr>
        <w:spacing w:line="360" w:lineRule="auto"/>
        <w:jc w:val="both"/>
        <w:rPr>
          <w:lang w:val="es-ES"/>
        </w:rPr>
      </w:pPr>
    </w:p>
    <w:p w14:paraId="1021E0A1" w14:textId="12DBD185" w:rsidR="00F82C6A" w:rsidRPr="00F82C6A" w:rsidRDefault="00B21CCD" w:rsidP="00F82C6A">
      <w:pPr>
        <w:spacing w:line="480" w:lineRule="auto"/>
        <w:jc w:val="both"/>
        <w:rPr>
          <w:lang w:val="es-ES"/>
        </w:rPr>
      </w:pPr>
      <w:r w:rsidRPr="00236206">
        <w:rPr>
          <w:lang w:val="es-ES"/>
        </w:rPr>
        <w:t xml:space="preserve">Sus objetivos estratégicos están claramente establecidos, </w:t>
      </w:r>
      <w:r w:rsidR="00433BD4">
        <w:rPr>
          <w:lang w:val="es-ES"/>
        </w:rPr>
        <w:t xml:space="preserve">en el Plan Estratégico Institucional 2017-2020, cuya base es </w:t>
      </w:r>
      <w:r w:rsidR="006E3029" w:rsidRPr="00C14D91">
        <w:rPr>
          <w:lang w:val="es-ES"/>
        </w:rPr>
        <w:t xml:space="preserve">la ley No. 1-12 </w:t>
      </w:r>
      <w:r w:rsidR="00441537" w:rsidRPr="00C14D91">
        <w:rPr>
          <w:lang w:val="es-ES"/>
        </w:rPr>
        <w:t>(</w:t>
      </w:r>
      <w:r w:rsidR="006E3029" w:rsidRPr="00C14D91">
        <w:rPr>
          <w:lang w:val="es-ES"/>
        </w:rPr>
        <w:t>Estrategia Nacional de Desarrollo</w:t>
      </w:r>
      <w:r w:rsidR="00441537" w:rsidRPr="00236206">
        <w:rPr>
          <w:lang w:val="es-ES"/>
        </w:rPr>
        <w:t>) de fecha 2</w:t>
      </w:r>
      <w:r w:rsidR="006E3029" w:rsidRPr="00236206">
        <w:rPr>
          <w:lang w:val="es-ES"/>
        </w:rPr>
        <w:t xml:space="preserve">6 de </w:t>
      </w:r>
      <w:r w:rsidR="00441537" w:rsidRPr="00236206">
        <w:rPr>
          <w:lang w:val="es-ES"/>
        </w:rPr>
        <w:t>enero del 20</w:t>
      </w:r>
      <w:r w:rsidR="006E3029" w:rsidRPr="00236206">
        <w:rPr>
          <w:lang w:val="es-ES"/>
        </w:rPr>
        <w:t>12</w:t>
      </w:r>
      <w:r w:rsidR="00441537" w:rsidRPr="00236206">
        <w:rPr>
          <w:lang w:val="es-ES"/>
        </w:rPr>
        <w:t>, donde se establecen la</w:t>
      </w:r>
      <w:r w:rsidR="006E3029" w:rsidRPr="00236206">
        <w:rPr>
          <w:lang w:val="es-ES"/>
        </w:rPr>
        <w:t xml:space="preserve">s </w:t>
      </w:r>
      <w:r w:rsidR="00441537" w:rsidRPr="00236206">
        <w:rPr>
          <w:lang w:val="es-ES"/>
        </w:rPr>
        <w:t xml:space="preserve">líneas </w:t>
      </w:r>
      <w:r w:rsidR="006E3029" w:rsidRPr="00236206">
        <w:rPr>
          <w:lang w:val="es-ES"/>
        </w:rPr>
        <w:t xml:space="preserve">de acción </w:t>
      </w:r>
      <w:r w:rsidR="00441537" w:rsidRPr="00236206">
        <w:rPr>
          <w:lang w:val="es-ES"/>
        </w:rPr>
        <w:t>hasta el 2030</w:t>
      </w:r>
      <w:r w:rsidR="004F25FE" w:rsidRPr="00236206">
        <w:rPr>
          <w:lang w:val="es-ES"/>
        </w:rPr>
        <w:t xml:space="preserve">, de la cual se desprende el </w:t>
      </w:r>
      <w:r w:rsidR="00F82C6A" w:rsidRPr="00F82C6A">
        <w:rPr>
          <w:lang w:val="es-ES"/>
        </w:rPr>
        <w:t>Tercer Eje Estratégico</w:t>
      </w:r>
      <w:r w:rsidR="00F82C6A">
        <w:rPr>
          <w:lang w:val="es-ES"/>
        </w:rPr>
        <w:t xml:space="preserve">, el cual </w:t>
      </w:r>
    </w:p>
    <w:p w14:paraId="20117B44" w14:textId="06343785" w:rsidR="00363439" w:rsidRPr="00F82C6A" w:rsidRDefault="00F82C6A" w:rsidP="00F82C6A">
      <w:pPr>
        <w:spacing w:line="480" w:lineRule="auto"/>
        <w:jc w:val="both"/>
        <w:rPr>
          <w:lang w:val="es-ES"/>
        </w:rPr>
      </w:pPr>
      <w:r w:rsidRPr="00F82C6A">
        <w:rPr>
          <w:lang w:val="es-ES"/>
        </w:rPr>
        <w:t>postula: “Una economía territorial y sectorialmente</w:t>
      </w:r>
      <w:r>
        <w:rPr>
          <w:lang w:val="es-ES"/>
        </w:rPr>
        <w:t xml:space="preserve"> </w:t>
      </w:r>
      <w:r w:rsidRPr="00F82C6A">
        <w:rPr>
          <w:lang w:val="es-ES"/>
        </w:rPr>
        <w:t>integrada, innovadora, diversificada, plural, orientada a la calidad y</w:t>
      </w:r>
      <w:r>
        <w:rPr>
          <w:lang w:val="es-ES"/>
        </w:rPr>
        <w:t xml:space="preserve"> </w:t>
      </w:r>
      <w:r w:rsidRPr="00F82C6A">
        <w:rPr>
          <w:lang w:val="es-ES"/>
        </w:rPr>
        <w:t>ambientalmente sostenible, que crea y desconcentra la riqueza, genera crecimiento</w:t>
      </w:r>
      <w:r>
        <w:rPr>
          <w:lang w:val="es-ES"/>
        </w:rPr>
        <w:t xml:space="preserve"> </w:t>
      </w:r>
      <w:r w:rsidRPr="00F82C6A">
        <w:rPr>
          <w:lang w:val="es-ES"/>
        </w:rPr>
        <w:t>alto y sostenido con equidad y empleo digno, y que aprovecha y potencia las</w:t>
      </w:r>
      <w:r>
        <w:rPr>
          <w:lang w:val="es-ES"/>
        </w:rPr>
        <w:t xml:space="preserve"> </w:t>
      </w:r>
      <w:r w:rsidRPr="00F82C6A">
        <w:rPr>
          <w:lang w:val="es-ES"/>
        </w:rPr>
        <w:t>oportunidades del mercado local y se inserta de forma competitiva en la economía</w:t>
      </w:r>
      <w:r>
        <w:rPr>
          <w:lang w:val="es-ES"/>
        </w:rPr>
        <w:t xml:space="preserve"> </w:t>
      </w:r>
      <w:r w:rsidRPr="00F82C6A">
        <w:rPr>
          <w:lang w:val="es-ES"/>
        </w:rPr>
        <w:t>global.”</w:t>
      </w:r>
      <w:r w:rsidR="004F25FE" w:rsidRPr="00C14D91">
        <w:rPr>
          <w:lang w:val="es-ES"/>
        </w:rPr>
        <w:t>, objetivo general y objetivos estratégicos</w:t>
      </w:r>
      <w:r w:rsidR="00441537" w:rsidRPr="00C14D91">
        <w:rPr>
          <w:lang w:val="es-ES"/>
        </w:rPr>
        <w:t>.</w:t>
      </w:r>
      <w:r>
        <w:rPr>
          <w:lang w:val="es-ES"/>
        </w:rPr>
        <w:t xml:space="preserve"> </w:t>
      </w:r>
      <w:r w:rsidRPr="00F82C6A">
        <w:rPr>
          <w:lang w:val="es-ES"/>
        </w:rPr>
        <w:t>Objetivo General 3.1:</w:t>
      </w:r>
      <w:r>
        <w:rPr>
          <w:lang w:val="es-ES"/>
        </w:rPr>
        <w:t xml:space="preserve"> </w:t>
      </w:r>
      <w:r w:rsidRPr="00F82C6A">
        <w:rPr>
          <w:lang w:val="es-ES"/>
        </w:rPr>
        <w:t>Economía articulada, innovadora y ambientalmente sostenible con una estructura productiva que genera crecimiento alto y sostenido, con trabajo digno, que se inserta de forma co</w:t>
      </w:r>
      <w:r>
        <w:rPr>
          <w:lang w:val="es-ES"/>
        </w:rPr>
        <w:t xml:space="preserve">mpetitiva en la economía global y el </w:t>
      </w:r>
      <w:r w:rsidRPr="00F82C6A">
        <w:rPr>
          <w:lang w:val="es-ES"/>
        </w:rPr>
        <w:t>Objetivo Especifico 3.5.6</w:t>
      </w:r>
      <w:r>
        <w:rPr>
          <w:lang w:val="es-ES"/>
        </w:rPr>
        <w:t xml:space="preserve"> </w:t>
      </w:r>
      <w:r w:rsidRPr="00F82C6A">
        <w:rPr>
          <w:lang w:val="es-ES"/>
        </w:rPr>
        <w:t>Consolidar un entorno adecuado que  incentive la inversión para el desarrollo sostenible del sector minero.</w:t>
      </w:r>
    </w:p>
    <w:p w14:paraId="5172167C" w14:textId="3D75F05C" w:rsidR="00490F4B" w:rsidRDefault="00047B8A" w:rsidP="00047B8A">
      <w:pPr>
        <w:pStyle w:val="Ttulo1"/>
        <w:numPr>
          <w:ilvl w:val="0"/>
          <w:numId w:val="42"/>
        </w:numPr>
        <w:ind w:left="450" w:hanging="450"/>
        <w:rPr>
          <w:rFonts w:ascii="Times New Roman" w:hAnsi="Times New Roman" w:cs="Times New Roman"/>
          <w:b/>
          <w:lang w:val="es-MX"/>
        </w:rPr>
      </w:pPr>
      <w:bookmarkStart w:id="213" w:name="_Toc534151874"/>
      <w:bookmarkStart w:id="214" w:name="_Toc534152008"/>
      <w:bookmarkStart w:id="215" w:name="_Toc534152133"/>
      <w:bookmarkStart w:id="216" w:name="_Toc534152205"/>
      <w:bookmarkStart w:id="217" w:name="_Toc534152277"/>
      <w:bookmarkStart w:id="218" w:name="_Toc534152349"/>
      <w:bookmarkStart w:id="219" w:name="_Toc534152421"/>
      <w:bookmarkStart w:id="220" w:name="_Toc534152750"/>
      <w:bookmarkStart w:id="221" w:name="_Toc433975"/>
      <w:bookmarkStart w:id="222" w:name="_Toc881862"/>
      <w:bookmarkStart w:id="223" w:name="_Toc961965"/>
      <w:bookmarkStart w:id="224" w:name="_Toc29405471"/>
      <w:bookmarkStart w:id="225" w:name="_Toc29405875"/>
      <w:bookmarkStart w:id="226" w:name="_Toc29406146"/>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b/>
          <w:lang w:val="es-MX"/>
        </w:rPr>
        <w:lastRenderedPageBreak/>
        <w:t xml:space="preserve"> </w:t>
      </w:r>
      <w:bookmarkStart w:id="227" w:name="_Toc29406147"/>
      <w:r w:rsidR="00490F4B" w:rsidRPr="00E406B4">
        <w:rPr>
          <w:rFonts w:ascii="Times New Roman" w:hAnsi="Times New Roman" w:cs="Times New Roman"/>
          <w:b/>
          <w:lang w:val="es-MX"/>
        </w:rPr>
        <w:t>Resultados de la Gestión del Año</w:t>
      </w:r>
      <w:bookmarkEnd w:id="227"/>
    </w:p>
    <w:p w14:paraId="1DB8C669" w14:textId="77777777" w:rsidR="00451257" w:rsidRPr="00E406B4" w:rsidRDefault="00451257" w:rsidP="00E406B4">
      <w:pPr>
        <w:rPr>
          <w:lang w:val="es-MX"/>
        </w:rPr>
      </w:pPr>
    </w:p>
    <w:p w14:paraId="3945D50A" w14:textId="3804439D" w:rsidR="00490F4B" w:rsidRPr="00E406B4" w:rsidRDefault="004C0D1A" w:rsidP="000E50D2">
      <w:pPr>
        <w:pStyle w:val="Ttulo2"/>
        <w:numPr>
          <w:ilvl w:val="0"/>
          <w:numId w:val="43"/>
        </w:numPr>
        <w:rPr>
          <w:rFonts w:ascii="Times New Roman" w:hAnsi="Times New Roman" w:cs="Times New Roman"/>
          <w:b/>
          <w:sz w:val="28"/>
          <w:szCs w:val="28"/>
          <w:lang w:val="es-MX"/>
        </w:rPr>
      </w:pPr>
      <w:bookmarkStart w:id="228" w:name="_Toc881864"/>
      <w:bookmarkStart w:id="229" w:name="_Toc961967"/>
      <w:bookmarkStart w:id="230" w:name="_Toc29405473"/>
      <w:bookmarkStart w:id="231" w:name="_Toc29405877"/>
      <w:bookmarkStart w:id="232" w:name="_Toc29406148"/>
      <w:bookmarkStart w:id="233" w:name="_Toc29406149"/>
      <w:bookmarkEnd w:id="228"/>
      <w:bookmarkEnd w:id="229"/>
      <w:bookmarkEnd w:id="230"/>
      <w:bookmarkEnd w:id="231"/>
      <w:bookmarkEnd w:id="232"/>
      <w:r w:rsidRPr="00E406B4">
        <w:rPr>
          <w:rFonts w:ascii="Times New Roman" w:hAnsi="Times New Roman" w:cs="Times New Roman"/>
          <w:b/>
          <w:sz w:val="28"/>
          <w:szCs w:val="28"/>
          <w:lang w:val="es-MX"/>
        </w:rPr>
        <w:t>Metas Institucionales</w:t>
      </w:r>
      <w:r w:rsidR="000E50D2" w:rsidRPr="00E406B4">
        <w:rPr>
          <w:rFonts w:ascii="Times New Roman" w:hAnsi="Times New Roman" w:cs="Times New Roman"/>
          <w:b/>
          <w:sz w:val="28"/>
          <w:szCs w:val="28"/>
          <w:lang w:val="es-MX"/>
        </w:rPr>
        <w:t xml:space="preserve"> de Impacto a la Ciudadanía</w:t>
      </w:r>
      <w:bookmarkEnd w:id="233"/>
    </w:p>
    <w:p w14:paraId="470AB381" w14:textId="77777777" w:rsidR="00814449" w:rsidRDefault="00814449" w:rsidP="00814449">
      <w:pPr>
        <w:rPr>
          <w:lang w:val="es-MX"/>
        </w:rPr>
      </w:pPr>
    </w:p>
    <w:p w14:paraId="009531A9" w14:textId="755AF041" w:rsidR="00906F9E" w:rsidRPr="00E406B4" w:rsidRDefault="00906F9E" w:rsidP="000E50D2">
      <w:pPr>
        <w:rPr>
          <w:b/>
          <w:sz w:val="28"/>
          <w:szCs w:val="28"/>
          <w:lang w:val="es-MX"/>
        </w:rPr>
      </w:pPr>
      <w:r w:rsidRPr="00E406B4">
        <w:rPr>
          <w:b/>
          <w:sz w:val="28"/>
          <w:szCs w:val="28"/>
          <w:lang w:val="es-MX"/>
        </w:rPr>
        <w:t>Catastro</w:t>
      </w:r>
      <w:r w:rsidR="004F25FE" w:rsidRPr="00E406B4">
        <w:rPr>
          <w:b/>
          <w:sz w:val="28"/>
          <w:szCs w:val="28"/>
          <w:lang w:val="es-MX"/>
        </w:rPr>
        <w:t xml:space="preserve"> Minero</w:t>
      </w:r>
    </w:p>
    <w:p w14:paraId="769ED30B" w14:textId="77777777" w:rsidR="00906F9E" w:rsidRPr="00C14D91" w:rsidRDefault="00906F9E" w:rsidP="00906F9E">
      <w:pPr>
        <w:pStyle w:val="Default"/>
        <w:spacing w:after="53"/>
        <w:rPr>
          <w:b/>
          <w:bCs/>
          <w:sz w:val="22"/>
          <w:szCs w:val="22"/>
          <w:lang w:val="es-MX"/>
        </w:rPr>
      </w:pPr>
    </w:p>
    <w:p w14:paraId="56311334" w14:textId="56391EAF" w:rsidR="007257C3" w:rsidRDefault="007257C3" w:rsidP="007257C3">
      <w:pPr>
        <w:spacing w:line="480" w:lineRule="auto"/>
        <w:ind w:firstLine="708"/>
        <w:contextualSpacing/>
        <w:jc w:val="both"/>
      </w:pPr>
      <w:r w:rsidRPr="001D7F50">
        <w:t xml:space="preserve">En este período del año 2019 la </w:t>
      </w:r>
      <w:r w:rsidR="00D300F0" w:rsidRPr="001D7F50">
        <w:t>Dirección de</w:t>
      </w:r>
      <w:r w:rsidRPr="001D7F50">
        <w:t xml:space="preserve"> Catastro ha adquirido nuevas herramientas tecnológicas, para el mejoramiento de las actividades</w:t>
      </w:r>
      <w:r w:rsidR="00D300F0">
        <w:t xml:space="preserve"> </w:t>
      </w:r>
      <w:r w:rsidRPr="001D7F50">
        <w:t>de trabajo en esta Dirección de General</w:t>
      </w:r>
      <w:r w:rsidR="00D300F0" w:rsidRPr="001D7F50">
        <w:t>, obteniendo</w:t>
      </w:r>
      <w:r w:rsidRPr="001D7F50">
        <w:t xml:space="preserve"> logros en el desarrollo de las </w:t>
      </w:r>
      <w:r w:rsidR="00D300F0" w:rsidRPr="001D7F50">
        <w:t>aplicaciones tecnológicas</w:t>
      </w:r>
      <w:r w:rsidRPr="001D7F50">
        <w:t xml:space="preserve"> con los cuales hemos </w:t>
      </w:r>
      <w:r w:rsidR="00D300F0" w:rsidRPr="001D7F50">
        <w:t>desarrollado actividades</w:t>
      </w:r>
      <w:r w:rsidRPr="001D7F50">
        <w:t xml:space="preserve"> orientadas al fortalecimiento de </w:t>
      </w:r>
      <w:r w:rsidR="00D300F0" w:rsidRPr="001D7F50">
        <w:t>los Departamentos que</w:t>
      </w:r>
      <w:r w:rsidRPr="001D7F50">
        <w:t xml:space="preserve"> componen la Dirección de </w:t>
      </w:r>
      <w:r w:rsidR="00D300F0" w:rsidRPr="001D7F50">
        <w:t>Catastro Minero</w:t>
      </w:r>
      <w:r w:rsidR="00D300F0">
        <w:t xml:space="preserve"> </w:t>
      </w:r>
      <w:r w:rsidR="00D300F0" w:rsidRPr="001D7F50">
        <w:t>y facilitar</w:t>
      </w:r>
      <w:r w:rsidRPr="001D7F50">
        <w:t xml:space="preserve"> la ejecución de proyectos de exploración y explotación de minerales en el país.</w:t>
      </w:r>
    </w:p>
    <w:p w14:paraId="47A7517A" w14:textId="77777777" w:rsidR="00770825" w:rsidRPr="001D7F50" w:rsidRDefault="00770825" w:rsidP="00770825">
      <w:pPr>
        <w:spacing w:line="480" w:lineRule="auto"/>
        <w:contextualSpacing/>
        <w:jc w:val="both"/>
      </w:pPr>
    </w:p>
    <w:p w14:paraId="19B43266" w14:textId="4200C16C" w:rsidR="007257C3" w:rsidRDefault="007257C3" w:rsidP="00D300F0">
      <w:pPr>
        <w:spacing w:line="480" w:lineRule="auto"/>
        <w:ind w:firstLine="708"/>
        <w:contextualSpacing/>
      </w:pPr>
      <w:r w:rsidRPr="001D7F50">
        <w:t xml:space="preserve">  </w:t>
      </w:r>
      <w:r w:rsidR="00770825">
        <w:t xml:space="preserve">Fueron adquiridos </w:t>
      </w:r>
      <w:r w:rsidRPr="001D7F50">
        <w:t>equipos topográficos “DRONE PHAMTON 4</w:t>
      </w:r>
      <w:r w:rsidR="00770825">
        <w:t xml:space="preserve">, así como un software para ser utilizado en eficientizar la gestión de las concesiones mineras. </w:t>
      </w:r>
    </w:p>
    <w:p w14:paraId="05FF5F19" w14:textId="77777777" w:rsidR="00D300F0" w:rsidRPr="001D7F50" w:rsidRDefault="00D300F0" w:rsidP="00D300F0">
      <w:pPr>
        <w:spacing w:line="480" w:lineRule="auto"/>
        <w:ind w:firstLine="708"/>
        <w:contextualSpacing/>
      </w:pPr>
    </w:p>
    <w:p w14:paraId="11694C9E" w14:textId="4309DD8B" w:rsidR="003D2403" w:rsidRPr="007257C3" w:rsidRDefault="00D82B6A" w:rsidP="003D2403">
      <w:pPr>
        <w:spacing w:line="480" w:lineRule="auto"/>
        <w:jc w:val="both"/>
        <w:rPr>
          <w:lang w:val="es-ES"/>
        </w:rPr>
      </w:pPr>
      <w:r w:rsidRPr="00C14D91">
        <w:rPr>
          <w:lang w:val="es-ES"/>
        </w:rPr>
        <w:t xml:space="preserve"> </w:t>
      </w:r>
      <w:r w:rsidR="00E517D5" w:rsidRPr="007257C3">
        <w:rPr>
          <w:lang w:val="es-ES"/>
        </w:rPr>
        <w:t xml:space="preserve">Entre los servicios solicitados por los ciudadanos y atendidos por </w:t>
      </w:r>
      <w:r w:rsidR="003D2403" w:rsidRPr="007257C3">
        <w:rPr>
          <w:lang w:val="es-ES"/>
        </w:rPr>
        <w:t xml:space="preserve">la </w:t>
      </w:r>
      <w:r w:rsidR="00E517D5" w:rsidRPr="007257C3">
        <w:rPr>
          <w:lang w:val="es-ES"/>
        </w:rPr>
        <w:t>Dirección de</w:t>
      </w:r>
      <w:r w:rsidR="003D2403" w:rsidRPr="007257C3">
        <w:rPr>
          <w:lang w:val="es-ES"/>
        </w:rPr>
        <w:t xml:space="preserve"> Catastro</w:t>
      </w:r>
      <w:r w:rsidR="007F0165" w:rsidRPr="007257C3">
        <w:rPr>
          <w:lang w:val="es-ES"/>
        </w:rPr>
        <w:t xml:space="preserve"> Minero</w:t>
      </w:r>
      <w:r w:rsidR="00E517D5" w:rsidRPr="007257C3">
        <w:rPr>
          <w:lang w:val="es-ES"/>
        </w:rPr>
        <w:t>, se destacan los siguientes</w:t>
      </w:r>
      <w:r w:rsidR="003D2403" w:rsidRPr="007257C3">
        <w:rPr>
          <w:lang w:val="es-ES"/>
        </w:rPr>
        <w:t>:</w:t>
      </w:r>
    </w:p>
    <w:p w14:paraId="6D9FECB2" w14:textId="41828CCC" w:rsidR="007257C3" w:rsidRDefault="007257C3" w:rsidP="007257C3">
      <w:pPr>
        <w:pStyle w:val="Prrafodelista"/>
        <w:numPr>
          <w:ilvl w:val="0"/>
          <w:numId w:val="34"/>
        </w:numPr>
        <w:spacing w:after="160" w:line="480" w:lineRule="auto"/>
        <w:jc w:val="both"/>
        <w:rPr>
          <w:lang w:val="es-ES"/>
        </w:rPr>
      </w:pPr>
      <w:r w:rsidRPr="00D300F0">
        <w:rPr>
          <w:lang w:val="es-ES"/>
        </w:rPr>
        <w:t xml:space="preserve">Recepción de un total de </w:t>
      </w:r>
      <w:r w:rsidR="00017AA1" w:rsidRPr="00D300F0">
        <w:rPr>
          <w:lang w:val="es-ES"/>
        </w:rPr>
        <w:t>Doscientas</w:t>
      </w:r>
      <w:r w:rsidR="00410ADE" w:rsidRPr="00D300F0">
        <w:rPr>
          <w:lang w:val="es-ES"/>
        </w:rPr>
        <w:t xml:space="preserve"> Noventa y Tres (</w:t>
      </w:r>
      <w:r w:rsidRPr="00D300F0">
        <w:rPr>
          <w:lang w:val="es-ES"/>
        </w:rPr>
        <w:t>293</w:t>
      </w:r>
      <w:r w:rsidR="00410ADE" w:rsidRPr="00D300F0">
        <w:rPr>
          <w:lang w:val="es-ES"/>
        </w:rPr>
        <w:t>)</w:t>
      </w:r>
      <w:r w:rsidRPr="00D300F0">
        <w:rPr>
          <w:lang w:val="es-ES"/>
        </w:rPr>
        <w:t xml:space="preserve"> denuncias de sustancias minerales metálicas y no metálicas</w:t>
      </w:r>
      <w:r w:rsidR="00410ADE" w:rsidRPr="00D300F0">
        <w:rPr>
          <w:lang w:val="es-ES"/>
        </w:rPr>
        <w:t>, d</w:t>
      </w:r>
      <w:r w:rsidRPr="00D300F0">
        <w:rPr>
          <w:lang w:val="es-ES"/>
        </w:rPr>
        <w:t xml:space="preserve">e estas llegaron a formalizarse un total de </w:t>
      </w:r>
      <w:r w:rsidR="00410ADE" w:rsidRPr="00D300F0">
        <w:rPr>
          <w:lang w:val="es-ES"/>
        </w:rPr>
        <w:t>Cincuenta y Ocho (</w:t>
      </w:r>
      <w:r w:rsidRPr="00D300F0">
        <w:rPr>
          <w:lang w:val="es-ES"/>
        </w:rPr>
        <w:t>58</w:t>
      </w:r>
      <w:r w:rsidR="00410ADE" w:rsidRPr="00D300F0">
        <w:rPr>
          <w:lang w:val="es-ES"/>
        </w:rPr>
        <w:t>)</w:t>
      </w:r>
      <w:r w:rsidRPr="00D300F0">
        <w:rPr>
          <w:lang w:val="es-ES"/>
        </w:rPr>
        <w:t xml:space="preserve"> convirtiéndose en solicitudes de exp</w:t>
      </w:r>
      <w:r w:rsidR="00410ADE" w:rsidRPr="00D300F0">
        <w:rPr>
          <w:lang w:val="es-ES"/>
        </w:rPr>
        <w:t>loración y trece (</w:t>
      </w:r>
      <w:r w:rsidRPr="00D300F0">
        <w:rPr>
          <w:lang w:val="es-ES"/>
        </w:rPr>
        <w:t xml:space="preserve"> 13</w:t>
      </w:r>
      <w:r w:rsidR="00410ADE" w:rsidRPr="00D300F0">
        <w:rPr>
          <w:lang w:val="es-ES"/>
        </w:rPr>
        <w:t>)</w:t>
      </w:r>
      <w:r w:rsidRPr="00D300F0">
        <w:rPr>
          <w:lang w:val="es-ES"/>
        </w:rPr>
        <w:t xml:space="preserve"> denuncias no procedieron. </w:t>
      </w:r>
    </w:p>
    <w:p w14:paraId="5866830E" w14:textId="77777777" w:rsidR="00D300F0" w:rsidRDefault="00D300F0" w:rsidP="00D300F0">
      <w:pPr>
        <w:spacing w:after="160" w:line="480" w:lineRule="auto"/>
        <w:jc w:val="both"/>
        <w:rPr>
          <w:lang w:val="es-ES"/>
        </w:rPr>
      </w:pPr>
    </w:p>
    <w:p w14:paraId="20A4DED3" w14:textId="77777777" w:rsidR="00D300F0" w:rsidRDefault="00D300F0" w:rsidP="00D300F0">
      <w:pPr>
        <w:spacing w:after="160" w:line="480" w:lineRule="auto"/>
        <w:jc w:val="both"/>
        <w:rPr>
          <w:lang w:val="es-ES"/>
        </w:rPr>
      </w:pPr>
    </w:p>
    <w:p w14:paraId="65A3E2EB" w14:textId="41ED8354" w:rsidR="00A66D15" w:rsidRDefault="00A66D15" w:rsidP="00A66D15">
      <w:pPr>
        <w:pStyle w:val="Prrafodelista"/>
        <w:numPr>
          <w:ilvl w:val="0"/>
          <w:numId w:val="34"/>
        </w:numPr>
        <w:spacing w:line="480" w:lineRule="auto"/>
        <w:jc w:val="both"/>
        <w:rPr>
          <w:lang w:val="es-ES"/>
        </w:rPr>
      </w:pPr>
      <w:r w:rsidRPr="00C14D91">
        <w:rPr>
          <w:lang w:val="es-ES"/>
        </w:rPr>
        <w:lastRenderedPageBreak/>
        <w:t>Del servicio de Recomendación de Otorgamiento de solicitudes de concesiones mineras de Exploración</w:t>
      </w:r>
      <w:r w:rsidRPr="00410ADE">
        <w:rPr>
          <w:lang w:val="es-ES"/>
        </w:rPr>
        <w:t xml:space="preserve">, Explotación y Plantas de Beneficio, </w:t>
      </w:r>
      <w:r w:rsidR="00017AA1">
        <w:rPr>
          <w:lang w:val="es-ES"/>
        </w:rPr>
        <w:t xml:space="preserve">durante el ejercicio fueron recibidas un total de sesenta y siete (67) solicitudes de concesiones mineras, habiéndose realizado su registro en los libros del Registro </w:t>
      </w:r>
      <w:r w:rsidR="00AF5404">
        <w:rPr>
          <w:lang w:val="es-ES"/>
        </w:rPr>
        <w:t>Público</w:t>
      </w:r>
      <w:r w:rsidR="00017AA1">
        <w:rPr>
          <w:lang w:val="es-ES"/>
        </w:rPr>
        <w:t xml:space="preserve"> de Derechos Mineros, la</w:t>
      </w:r>
      <w:r w:rsidR="00D300F0">
        <w:rPr>
          <w:lang w:val="es-ES"/>
        </w:rPr>
        <w:t>s</w:t>
      </w:r>
      <w:r w:rsidR="00017AA1">
        <w:rPr>
          <w:lang w:val="es-ES"/>
        </w:rPr>
        <w:t xml:space="preserve"> </w:t>
      </w:r>
      <w:r w:rsidR="00D300F0" w:rsidRPr="00C14D91">
        <w:rPr>
          <w:lang w:val="es-ES"/>
        </w:rPr>
        <w:t>evaluacion</w:t>
      </w:r>
      <w:r w:rsidR="00D300F0">
        <w:rPr>
          <w:lang w:val="es-ES"/>
        </w:rPr>
        <w:t>es</w:t>
      </w:r>
      <w:r w:rsidRPr="00C14D91">
        <w:rPr>
          <w:lang w:val="es-ES"/>
        </w:rPr>
        <w:t xml:space="preserve"> cartográfica, técnica </w:t>
      </w:r>
      <w:r w:rsidR="00D300F0">
        <w:rPr>
          <w:lang w:val="es-ES"/>
        </w:rPr>
        <w:t xml:space="preserve">geológica, económica, corporativa y legal, presentando el siguiente </w:t>
      </w:r>
      <w:r w:rsidRPr="00C14D91">
        <w:rPr>
          <w:lang w:val="es-ES"/>
        </w:rPr>
        <w:t>comportamiento:</w:t>
      </w:r>
    </w:p>
    <w:p w14:paraId="490B4502" w14:textId="2A23DA4A" w:rsidR="00A66D15" w:rsidRDefault="00017AA1" w:rsidP="00A66D15">
      <w:pPr>
        <w:spacing w:line="480" w:lineRule="auto"/>
        <w:ind w:left="360"/>
        <w:jc w:val="both"/>
        <w:rPr>
          <w:lang w:val="es-ES"/>
        </w:rPr>
      </w:pPr>
      <w:r w:rsidRPr="00017AA1">
        <w:rPr>
          <w:noProof/>
          <w:lang w:val="en-US"/>
        </w:rPr>
        <w:drawing>
          <wp:inline distT="0" distB="0" distL="0" distR="0" wp14:anchorId="3C7A068D" wp14:editId="199C8E7C">
            <wp:extent cx="6309360" cy="28643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830" cy="2880035"/>
                    </a:xfrm>
                    <a:prstGeom prst="rect">
                      <a:avLst/>
                    </a:prstGeom>
                    <a:noFill/>
                    <a:ln>
                      <a:noFill/>
                    </a:ln>
                  </pic:spPr>
                </pic:pic>
              </a:graphicData>
            </a:graphic>
          </wp:inline>
        </w:drawing>
      </w:r>
    </w:p>
    <w:p w14:paraId="7E6D5A7C" w14:textId="1D4F1B4B" w:rsidR="00D300F0" w:rsidRDefault="00D300F0" w:rsidP="00A66D15">
      <w:pPr>
        <w:spacing w:line="480" w:lineRule="auto"/>
        <w:ind w:left="360"/>
        <w:jc w:val="both"/>
        <w:rPr>
          <w:lang w:val="es-ES"/>
        </w:rPr>
      </w:pPr>
      <w:r>
        <w:rPr>
          <w:lang w:val="es-ES"/>
        </w:rPr>
        <w:t xml:space="preserve">Según se resalta del total de </w:t>
      </w:r>
      <w:r w:rsidR="005B6066">
        <w:rPr>
          <w:lang w:val="es-ES"/>
        </w:rPr>
        <w:t xml:space="preserve">las sesenta y siete (67) </w:t>
      </w:r>
      <w:r>
        <w:rPr>
          <w:lang w:val="es-ES"/>
        </w:rPr>
        <w:t xml:space="preserve">solicitudes </w:t>
      </w:r>
      <w:r w:rsidR="005B6066">
        <w:rPr>
          <w:lang w:val="es-ES"/>
        </w:rPr>
        <w:t xml:space="preserve">de concesiones mineras </w:t>
      </w:r>
      <w:r>
        <w:rPr>
          <w:lang w:val="es-ES"/>
        </w:rPr>
        <w:t xml:space="preserve">recibidas durante el ejercicio, solo cuatro (4) quedaron pendientes de evaluación, para un cumplimiento </w:t>
      </w:r>
      <w:r w:rsidR="005B6066">
        <w:rPr>
          <w:lang w:val="es-ES"/>
        </w:rPr>
        <w:t>general de</w:t>
      </w:r>
      <w:r>
        <w:rPr>
          <w:lang w:val="es-ES"/>
        </w:rPr>
        <w:t xml:space="preserve"> un 94.0</w:t>
      </w:r>
      <w:r w:rsidR="00C645B4">
        <w:rPr>
          <w:lang w:val="es-ES"/>
        </w:rPr>
        <w:t>3</w:t>
      </w:r>
      <w:r>
        <w:rPr>
          <w:lang w:val="es-ES"/>
        </w:rPr>
        <w:t xml:space="preserve">% </w:t>
      </w:r>
    </w:p>
    <w:p w14:paraId="1B4DEFA1" w14:textId="77777777" w:rsidR="005B6066" w:rsidRDefault="005B6066" w:rsidP="00A66D15">
      <w:pPr>
        <w:spacing w:line="480" w:lineRule="auto"/>
        <w:ind w:left="360"/>
        <w:jc w:val="both"/>
        <w:rPr>
          <w:lang w:val="es-ES"/>
        </w:rPr>
      </w:pPr>
    </w:p>
    <w:p w14:paraId="7ED6CF01" w14:textId="54EF6C44" w:rsidR="00C645B4" w:rsidRDefault="00C645B4" w:rsidP="00A66D15">
      <w:pPr>
        <w:spacing w:line="480" w:lineRule="auto"/>
        <w:ind w:left="360"/>
        <w:jc w:val="both"/>
        <w:rPr>
          <w:lang w:val="es-ES"/>
        </w:rPr>
      </w:pPr>
      <w:r>
        <w:rPr>
          <w:lang w:val="es-ES"/>
        </w:rPr>
        <w:t>Del total de solicitudes de concesiones mineras recibidas durante el 2019, el 92.54% corresponden a solicitudes de concesiones mineras de Exploración y el 7.46% a solicitudes de concesiones mineras de Explotación.</w:t>
      </w:r>
    </w:p>
    <w:p w14:paraId="59AE9ABF" w14:textId="77777777" w:rsidR="00C645B4" w:rsidRDefault="00C645B4" w:rsidP="00A66D15">
      <w:pPr>
        <w:spacing w:line="480" w:lineRule="auto"/>
        <w:ind w:left="360"/>
        <w:jc w:val="both"/>
        <w:rPr>
          <w:lang w:val="es-ES"/>
        </w:rPr>
      </w:pPr>
    </w:p>
    <w:p w14:paraId="6BF7B70A" w14:textId="732A00AC" w:rsidR="00017AA1" w:rsidRPr="00C14D91" w:rsidRDefault="00017AA1" w:rsidP="002742A9">
      <w:pPr>
        <w:pStyle w:val="Prrafodelista"/>
        <w:numPr>
          <w:ilvl w:val="0"/>
          <w:numId w:val="34"/>
        </w:numPr>
        <w:spacing w:line="480" w:lineRule="auto"/>
        <w:jc w:val="both"/>
        <w:rPr>
          <w:lang w:val="es-ES"/>
        </w:rPr>
      </w:pPr>
      <w:r w:rsidRPr="00C14D91">
        <w:rPr>
          <w:lang w:val="es-ES"/>
        </w:rPr>
        <w:t xml:space="preserve">Se evaluaron </w:t>
      </w:r>
      <w:r w:rsidRPr="00C645B4">
        <w:rPr>
          <w:lang w:val="es-ES"/>
        </w:rPr>
        <w:t xml:space="preserve">setenta y </w:t>
      </w:r>
      <w:r w:rsidR="00C645B4">
        <w:rPr>
          <w:lang w:val="es-ES"/>
        </w:rPr>
        <w:t>cuatro</w:t>
      </w:r>
      <w:r w:rsidRPr="00C645B4">
        <w:rPr>
          <w:lang w:val="es-ES"/>
        </w:rPr>
        <w:t xml:space="preserve"> (7</w:t>
      </w:r>
      <w:r w:rsidR="00C645B4">
        <w:rPr>
          <w:lang w:val="es-ES"/>
        </w:rPr>
        <w:t>4</w:t>
      </w:r>
      <w:r w:rsidRPr="00C645B4">
        <w:rPr>
          <w:lang w:val="es-ES"/>
        </w:rPr>
        <w:t>)</w:t>
      </w:r>
      <w:r w:rsidRPr="00C14D91">
        <w:rPr>
          <w:lang w:val="es-ES"/>
        </w:rPr>
        <w:t xml:space="preserve"> correcciones </w:t>
      </w:r>
      <w:r w:rsidR="00C645B4">
        <w:rPr>
          <w:lang w:val="es-ES"/>
        </w:rPr>
        <w:t xml:space="preserve">recibidas de </w:t>
      </w:r>
      <w:r w:rsidRPr="00C14D91">
        <w:rPr>
          <w:lang w:val="es-ES"/>
        </w:rPr>
        <w:t xml:space="preserve">las solicitudes de concesión </w:t>
      </w:r>
      <w:r w:rsidR="00C645B4">
        <w:rPr>
          <w:lang w:val="es-ES"/>
        </w:rPr>
        <w:t xml:space="preserve">mineras </w:t>
      </w:r>
      <w:r w:rsidRPr="00C14D91">
        <w:rPr>
          <w:lang w:val="es-ES"/>
        </w:rPr>
        <w:t xml:space="preserve">y se verificaron </w:t>
      </w:r>
      <w:r w:rsidRPr="00C645B4">
        <w:rPr>
          <w:lang w:val="es-ES"/>
        </w:rPr>
        <w:t>doce (12)</w:t>
      </w:r>
      <w:r w:rsidRPr="00C14D91">
        <w:rPr>
          <w:lang w:val="es-ES"/>
        </w:rPr>
        <w:t xml:space="preserve"> expedientes de solicitudes.</w:t>
      </w:r>
    </w:p>
    <w:p w14:paraId="4E052FBE" w14:textId="77777777" w:rsidR="00E76E7F" w:rsidRPr="007257C3" w:rsidRDefault="00E76E7F" w:rsidP="00E76E7F">
      <w:pPr>
        <w:pStyle w:val="Prrafodelista"/>
        <w:rPr>
          <w:lang w:val="es-ES"/>
        </w:rPr>
      </w:pPr>
    </w:p>
    <w:p w14:paraId="54A07E83" w14:textId="6F22287B" w:rsidR="00451257" w:rsidRDefault="00017AA1" w:rsidP="00E406B4">
      <w:pPr>
        <w:spacing w:line="480" w:lineRule="auto"/>
        <w:jc w:val="center"/>
        <w:rPr>
          <w:lang w:val="es-ES"/>
        </w:rPr>
      </w:pPr>
      <w:r w:rsidRPr="00017AA1">
        <w:rPr>
          <w:noProof/>
          <w:lang w:val="en-US"/>
        </w:rPr>
        <w:drawing>
          <wp:inline distT="0" distB="0" distL="0" distR="0" wp14:anchorId="7F64B59A" wp14:editId="34D3C605">
            <wp:extent cx="6306856" cy="2434728"/>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1222" cy="2444135"/>
                    </a:xfrm>
                    <a:prstGeom prst="rect">
                      <a:avLst/>
                    </a:prstGeom>
                    <a:noFill/>
                    <a:ln>
                      <a:noFill/>
                    </a:ln>
                  </pic:spPr>
                </pic:pic>
              </a:graphicData>
            </a:graphic>
          </wp:inline>
        </w:drawing>
      </w:r>
    </w:p>
    <w:p w14:paraId="021E5D3C" w14:textId="126A17E6" w:rsidR="002742A9" w:rsidRDefault="00C645B4" w:rsidP="00C645B4">
      <w:pPr>
        <w:spacing w:line="480" w:lineRule="auto"/>
        <w:rPr>
          <w:lang w:val="es-ES"/>
        </w:rPr>
      </w:pPr>
      <w:r>
        <w:rPr>
          <w:lang w:val="es-ES"/>
        </w:rPr>
        <w:t>El 89.19% de las correcciones evaluadas, correspondieron a solicitudes de concesiones mineras de Exploración y el 10.81% a las solicitudes de concesiones mineras de Explotación.</w:t>
      </w:r>
      <w:r w:rsidR="00770825">
        <w:rPr>
          <w:lang w:val="es-ES"/>
        </w:rPr>
        <w:t xml:space="preserve"> </w:t>
      </w:r>
      <w:r w:rsidR="002742A9">
        <w:rPr>
          <w:lang w:val="es-ES"/>
        </w:rPr>
        <w:t>E</w:t>
      </w:r>
      <w:r>
        <w:rPr>
          <w:lang w:val="es-ES"/>
        </w:rPr>
        <w:t xml:space="preserve">l 89.19% de </w:t>
      </w:r>
      <w:r w:rsidR="002742A9">
        <w:rPr>
          <w:lang w:val="es-ES"/>
        </w:rPr>
        <w:t xml:space="preserve">las correcciones evaluadas de las </w:t>
      </w:r>
      <w:r>
        <w:rPr>
          <w:lang w:val="es-ES"/>
        </w:rPr>
        <w:t xml:space="preserve">solicitudes de concesiones mineras de </w:t>
      </w:r>
      <w:r w:rsidR="002742A9">
        <w:rPr>
          <w:lang w:val="es-ES"/>
        </w:rPr>
        <w:t>exploración, estas ascienden a 66, de las cuales 29 son de exploración metálicas y 37 de exploración no metálicas.</w:t>
      </w:r>
    </w:p>
    <w:p w14:paraId="1F8E1A53" w14:textId="77777777" w:rsidR="002742A9" w:rsidRDefault="002742A9" w:rsidP="00C645B4">
      <w:pPr>
        <w:spacing w:line="480" w:lineRule="auto"/>
        <w:rPr>
          <w:lang w:val="es-ES"/>
        </w:rPr>
      </w:pPr>
    </w:p>
    <w:p w14:paraId="1359292D" w14:textId="59005BAC" w:rsidR="00D300F0" w:rsidRPr="00632234" w:rsidRDefault="00D300F0" w:rsidP="002742A9">
      <w:pPr>
        <w:pStyle w:val="Prrafodelista"/>
        <w:numPr>
          <w:ilvl w:val="0"/>
          <w:numId w:val="34"/>
        </w:numPr>
        <w:spacing w:line="480" w:lineRule="auto"/>
        <w:jc w:val="both"/>
        <w:rPr>
          <w:lang w:val="es-ES"/>
        </w:rPr>
      </w:pPr>
      <w:r w:rsidRPr="00632234">
        <w:rPr>
          <w:lang w:val="es-ES"/>
        </w:rPr>
        <w:t xml:space="preserve">Se </w:t>
      </w:r>
      <w:r w:rsidR="00770825">
        <w:rPr>
          <w:lang w:val="es-ES"/>
        </w:rPr>
        <w:t>evaluaron</w:t>
      </w:r>
      <w:r w:rsidRPr="00632234">
        <w:rPr>
          <w:lang w:val="es-ES"/>
        </w:rPr>
        <w:t xml:space="preserve"> </w:t>
      </w:r>
      <w:r w:rsidR="00770825">
        <w:rPr>
          <w:lang w:val="es-ES"/>
        </w:rPr>
        <w:t xml:space="preserve">para ser recomendadas al Ministerio de Energía y Minas, </w:t>
      </w:r>
      <w:r w:rsidRPr="00632234">
        <w:rPr>
          <w:lang w:val="es-ES"/>
        </w:rPr>
        <w:t xml:space="preserve">un total de </w:t>
      </w:r>
      <w:r w:rsidR="00770825">
        <w:rPr>
          <w:lang w:val="es-ES"/>
        </w:rPr>
        <w:t>treinta y dos (3</w:t>
      </w:r>
      <w:r w:rsidRPr="00632234">
        <w:rPr>
          <w:lang w:val="es-ES"/>
        </w:rPr>
        <w:t>2</w:t>
      </w:r>
      <w:r w:rsidR="00770825">
        <w:rPr>
          <w:lang w:val="es-ES"/>
        </w:rPr>
        <w:t>)</w:t>
      </w:r>
      <w:r w:rsidRPr="00632234">
        <w:rPr>
          <w:lang w:val="es-ES"/>
        </w:rPr>
        <w:t xml:space="preserve"> solicitudes de </w:t>
      </w:r>
      <w:r w:rsidR="00770825">
        <w:rPr>
          <w:lang w:val="es-ES"/>
        </w:rPr>
        <w:t xml:space="preserve">concesiones mineras, donde siete (7) fueron de </w:t>
      </w:r>
      <w:r w:rsidRPr="00632234">
        <w:rPr>
          <w:lang w:val="es-ES"/>
        </w:rPr>
        <w:t>exploración metálicas</w:t>
      </w:r>
      <w:r w:rsidR="00770825">
        <w:rPr>
          <w:lang w:val="es-ES"/>
        </w:rPr>
        <w:t xml:space="preserve">, vente y una (21) de exploración no metálicas y cuatro (4) </w:t>
      </w:r>
      <w:r w:rsidRPr="00632234">
        <w:rPr>
          <w:lang w:val="es-ES"/>
        </w:rPr>
        <w:t>de explo</w:t>
      </w:r>
      <w:r w:rsidR="00770825">
        <w:rPr>
          <w:lang w:val="es-ES"/>
        </w:rPr>
        <w:t>t</w:t>
      </w:r>
      <w:r w:rsidRPr="00632234">
        <w:rPr>
          <w:lang w:val="es-ES"/>
        </w:rPr>
        <w:t xml:space="preserve">ación no metálicas. </w:t>
      </w:r>
    </w:p>
    <w:p w14:paraId="763367DB" w14:textId="4F91C73F" w:rsidR="00017AA1" w:rsidRDefault="00770825" w:rsidP="00017AA1">
      <w:pPr>
        <w:spacing w:line="480" w:lineRule="auto"/>
        <w:jc w:val="center"/>
        <w:rPr>
          <w:lang w:val="es-ES"/>
        </w:rPr>
      </w:pPr>
      <w:r w:rsidRPr="00770825">
        <w:rPr>
          <w:noProof/>
          <w:lang w:val="en-US"/>
        </w:rPr>
        <w:lastRenderedPageBreak/>
        <w:drawing>
          <wp:inline distT="0" distB="0" distL="0" distR="0" wp14:anchorId="2695A649" wp14:editId="2F0ADD7A">
            <wp:extent cx="6307888" cy="1519200"/>
            <wp:effectExtent l="0" t="0" r="0" b="508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21531" cy="1546570"/>
                    </a:xfrm>
                    <a:prstGeom prst="rect">
                      <a:avLst/>
                    </a:prstGeom>
                  </pic:spPr>
                </pic:pic>
              </a:graphicData>
            </a:graphic>
          </wp:inline>
        </w:drawing>
      </w:r>
    </w:p>
    <w:p w14:paraId="5E0BA6E6" w14:textId="54096167" w:rsidR="00017AA1" w:rsidRDefault="00017AA1" w:rsidP="007C3616">
      <w:pPr>
        <w:pStyle w:val="Prrafodelista"/>
        <w:numPr>
          <w:ilvl w:val="0"/>
          <w:numId w:val="34"/>
        </w:numPr>
        <w:spacing w:line="480" w:lineRule="auto"/>
        <w:jc w:val="both"/>
        <w:rPr>
          <w:lang w:val="es-ES"/>
        </w:rPr>
      </w:pPr>
      <w:r w:rsidRPr="00C14D91">
        <w:rPr>
          <w:lang w:val="es-ES"/>
        </w:rPr>
        <w:t>De</w:t>
      </w:r>
      <w:r w:rsidR="007C3616">
        <w:rPr>
          <w:lang w:val="es-ES"/>
        </w:rPr>
        <w:t>ntro de los sub procesos realizados para el  servicio de recomendación de o</w:t>
      </w:r>
      <w:r w:rsidRPr="00C14D91">
        <w:rPr>
          <w:lang w:val="es-ES"/>
        </w:rPr>
        <w:t xml:space="preserve">torgamiento de solicitudes de concesiones mineras de Exploración, </w:t>
      </w:r>
      <w:r w:rsidRPr="00410ADE">
        <w:rPr>
          <w:lang w:val="es-ES"/>
        </w:rPr>
        <w:t xml:space="preserve">Explotación y Plantas de Beneficio, su atención y entrega de resultados </w:t>
      </w:r>
      <w:r w:rsidR="007C3616">
        <w:rPr>
          <w:lang w:val="es-ES"/>
        </w:rPr>
        <w:t xml:space="preserve">presento </w:t>
      </w:r>
      <w:r w:rsidRPr="00C14D91">
        <w:rPr>
          <w:lang w:val="es-ES"/>
        </w:rPr>
        <w:t>el siguiente comportamiento:</w:t>
      </w:r>
    </w:p>
    <w:p w14:paraId="72550A0F" w14:textId="6C84F1DD" w:rsidR="001F46EE" w:rsidRDefault="007C3616" w:rsidP="00017AA1">
      <w:pPr>
        <w:pStyle w:val="Prrafodelista"/>
        <w:numPr>
          <w:ilvl w:val="1"/>
          <w:numId w:val="66"/>
        </w:numPr>
        <w:spacing w:line="480" w:lineRule="auto"/>
        <w:jc w:val="both"/>
        <w:rPr>
          <w:lang w:val="es-ES"/>
        </w:rPr>
      </w:pPr>
      <w:r w:rsidRPr="007C3616">
        <w:rPr>
          <w:lang w:val="es-ES"/>
        </w:rPr>
        <w:t>Se prepararon c</w:t>
      </w:r>
      <w:r w:rsidR="0090338C" w:rsidRPr="00C14D91">
        <w:rPr>
          <w:lang w:val="es-ES"/>
        </w:rPr>
        <w:t>u</w:t>
      </w:r>
      <w:r w:rsidR="00410ADE" w:rsidRPr="007C3616">
        <w:rPr>
          <w:lang w:val="es-ES"/>
        </w:rPr>
        <w:t xml:space="preserve">arenta </w:t>
      </w:r>
      <w:r w:rsidR="0090338C" w:rsidRPr="00C14D91">
        <w:rPr>
          <w:lang w:val="es-ES"/>
        </w:rPr>
        <w:t xml:space="preserve">y </w:t>
      </w:r>
      <w:r w:rsidRPr="007C3616">
        <w:rPr>
          <w:lang w:val="es-ES"/>
        </w:rPr>
        <w:t>n</w:t>
      </w:r>
      <w:r w:rsidR="00410ADE" w:rsidRPr="007C3616">
        <w:rPr>
          <w:lang w:val="es-ES"/>
        </w:rPr>
        <w:t>ueve</w:t>
      </w:r>
      <w:r w:rsidR="0090338C" w:rsidRPr="00C14D91">
        <w:rPr>
          <w:lang w:val="es-ES"/>
        </w:rPr>
        <w:t xml:space="preserve"> (</w:t>
      </w:r>
      <w:r w:rsidR="00410ADE" w:rsidRPr="007C3616">
        <w:rPr>
          <w:lang w:val="es-ES"/>
        </w:rPr>
        <w:t>49</w:t>
      </w:r>
      <w:r w:rsidR="0090338C" w:rsidRPr="00C14D91">
        <w:rPr>
          <w:lang w:val="es-ES"/>
        </w:rPr>
        <w:t xml:space="preserve">) </w:t>
      </w:r>
      <w:r w:rsidR="003D2403" w:rsidRPr="00C14D91">
        <w:rPr>
          <w:lang w:val="es-ES"/>
        </w:rPr>
        <w:t>extractos para publicación en periódico de circulación nacional</w:t>
      </w:r>
      <w:r w:rsidR="00410ADE" w:rsidRPr="007C3616">
        <w:rPr>
          <w:lang w:val="es-ES"/>
        </w:rPr>
        <w:t>.</w:t>
      </w:r>
    </w:p>
    <w:p w14:paraId="10073C3C" w14:textId="60878FB9" w:rsidR="007C3616" w:rsidRDefault="007C3616" w:rsidP="007C3616">
      <w:pPr>
        <w:pStyle w:val="Prrafodelista"/>
        <w:numPr>
          <w:ilvl w:val="1"/>
          <w:numId w:val="66"/>
        </w:numPr>
        <w:spacing w:line="480" w:lineRule="auto"/>
        <w:jc w:val="both"/>
        <w:rPr>
          <w:lang w:val="es-ES"/>
        </w:rPr>
      </w:pPr>
      <w:r w:rsidRPr="007C3616">
        <w:rPr>
          <w:lang w:val="es-ES"/>
        </w:rPr>
        <w:t xml:space="preserve"> </w:t>
      </w:r>
      <w:r w:rsidRPr="00C14D91">
        <w:rPr>
          <w:lang w:val="es-ES"/>
        </w:rPr>
        <w:t xml:space="preserve">Del servicio de certificación de no concesión minera, se entregaron al ciudadano </w:t>
      </w:r>
      <w:r w:rsidRPr="007C3616">
        <w:rPr>
          <w:lang w:val="es-ES"/>
        </w:rPr>
        <w:t xml:space="preserve">treinta y seis (36), </w:t>
      </w:r>
      <w:r w:rsidRPr="00C14D91">
        <w:rPr>
          <w:lang w:val="es-ES"/>
        </w:rPr>
        <w:t>en áreas de proyectos de extracción de agregados bajo la ley 123/71, en cumplimiento a la certificación No. 0001/20</w:t>
      </w:r>
      <w:r w:rsidRPr="007C3616">
        <w:rPr>
          <w:lang w:val="es-ES"/>
        </w:rPr>
        <w:t xml:space="preserve">17 emitida por el ministerio de Medio Ambiente y recursos naturales. </w:t>
      </w:r>
    </w:p>
    <w:p w14:paraId="65AE034B" w14:textId="0BD48C02" w:rsidR="0090338C" w:rsidRPr="007C3616" w:rsidRDefault="007C3616" w:rsidP="00C90DB6">
      <w:pPr>
        <w:pStyle w:val="Prrafodelista"/>
        <w:numPr>
          <w:ilvl w:val="1"/>
          <w:numId w:val="66"/>
        </w:numPr>
        <w:spacing w:line="480" w:lineRule="auto"/>
        <w:jc w:val="both"/>
        <w:rPr>
          <w:lang w:val="es-ES"/>
        </w:rPr>
      </w:pPr>
      <w:r w:rsidRPr="007C3616">
        <w:rPr>
          <w:lang w:val="es-ES"/>
        </w:rPr>
        <w:t xml:space="preserve">De las </w:t>
      </w:r>
      <w:r w:rsidRPr="00C14D91">
        <w:rPr>
          <w:lang w:val="es-ES"/>
        </w:rPr>
        <w:t>solicitudes de pago de inspección de puntos de conexión</w:t>
      </w:r>
      <w:r w:rsidRPr="007C3616">
        <w:rPr>
          <w:lang w:val="es-ES"/>
        </w:rPr>
        <w:t xml:space="preserve">, </w:t>
      </w:r>
      <w:r w:rsidRPr="00C14D91">
        <w:rPr>
          <w:lang w:val="es-ES"/>
        </w:rPr>
        <w:t xml:space="preserve">se recibieron </w:t>
      </w:r>
      <w:r w:rsidRPr="007C3616">
        <w:rPr>
          <w:lang w:val="es-ES"/>
        </w:rPr>
        <w:t>c</w:t>
      </w:r>
      <w:r w:rsidR="00410ADE" w:rsidRPr="007C3616">
        <w:rPr>
          <w:lang w:val="es-ES"/>
        </w:rPr>
        <w:t xml:space="preserve">uarenta y </w:t>
      </w:r>
      <w:r w:rsidRPr="007C3616">
        <w:rPr>
          <w:lang w:val="es-ES"/>
        </w:rPr>
        <w:t>c</w:t>
      </w:r>
      <w:r w:rsidR="00410ADE" w:rsidRPr="007C3616">
        <w:rPr>
          <w:lang w:val="es-ES"/>
        </w:rPr>
        <w:t xml:space="preserve">uatro (44) </w:t>
      </w:r>
      <w:r w:rsidR="0090338C" w:rsidRPr="00C14D91">
        <w:rPr>
          <w:lang w:val="es-ES"/>
        </w:rPr>
        <w:t xml:space="preserve">de las cuales </w:t>
      </w:r>
      <w:r w:rsidRPr="007C3616">
        <w:rPr>
          <w:lang w:val="es-ES"/>
        </w:rPr>
        <w:t>s</w:t>
      </w:r>
      <w:r w:rsidR="0090338C" w:rsidRPr="00C14D91">
        <w:rPr>
          <w:lang w:val="es-ES"/>
        </w:rPr>
        <w:t xml:space="preserve">e inspeccionaron </w:t>
      </w:r>
      <w:r w:rsidRPr="007C3616">
        <w:rPr>
          <w:lang w:val="es-ES"/>
        </w:rPr>
        <w:t>cuarenta y tres (43)</w:t>
      </w:r>
      <w:r w:rsidR="000864C0" w:rsidRPr="00C14D91">
        <w:rPr>
          <w:lang w:val="es-ES"/>
        </w:rPr>
        <w:t>,</w:t>
      </w:r>
      <w:r w:rsidR="00E76E7F" w:rsidRPr="00C14D91">
        <w:rPr>
          <w:lang w:val="es-ES"/>
        </w:rPr>
        <w:t xml:space="preserve"> para un cumplimiento de un </w:t>
      </w:r>
      <w:r w:rsidRPr="007C3616">
        <w:rPr>
          <w:lang w:val="es-ES"/>
        </w:rPr>
        <w:t>97.72</w:t>
      </w:r>
      <w:r w:rsidR="00E76E7F" w:rsidRPr="00C14D91">
        <w:rPr>
          <w:lang w:val="es-ES"/>
        </w:rPr>
        <w:t>%</w:t>
      </w:r>
      <w:r w:rsidR="00F6628E" w:rsidRPr="00C14D91">
        <w:rPr>
          <w:lang w:val="es-ES"/>
        </w:rPr>
        <w:t>, de estas</w:t>
      </w:r>
      <w:r w:rsidRPr="007C3616">
        <w:rPr>
          <w:lang w:val="es-ES"/>
        </w:rPr>
        <w:t xml:space="preserve"> veinte (20) no se encontraron en el campo, vente y una (21) fueron </w:t>
      </w:r>
      <w:r w:rsidR="00F6628E" w:rsidRPr="00C14D91">
        <w:rPr>
          <w:lang w:val="es-ES"/>
        </w:rPr>
        <w:t xml:space="preserve">para solicitudes de exploración y </w:t>
      </w:r>
      <w:r w:rsidRPr="007C3616">
        <w:rPr>
          <w:lang w:val="es-ES"/>
        </w:rPr>
        <w:t>dos</w:t>
      </w:r>
      <w:r w:rsidR="00F6628E" w:rsidRPr="00C14D91">
        <w:rPr>
          <w:lang w:val="es-ES"/>
        </w:rPr>
        <w:t xml:space="preserve"> (</w:t>
      </w:r>
      <w:r w:rsidRPr="007C3616">
        <w:rPr>
          <w:lang w:val="es-ES"/>
        </w:rPr>
        <w:t>2</w:t>
      </w:r>
      <w:r w:rsidR="00F6628E" w:rsidRPr="00C14D91">
        <w:rPr>
          <w:lang w:val="es-ES"/>
        </w:rPr>
        <w:t>) para solicitudes de explotación.</w:t>
      </w:r>
    </w:p>
    <w:p w14:paraId="7D5A8533" w14:textId="35179F05" w:rsidR="00F6628E" w:rsidRPr="00C14D91" w:rsidRDefault="00F6628E" w:rsidP="00017AA1">
      <w:pPr>
        <w:pStyle w:val="Prrafodelista"/>
        <w:numPr>
          <w:ilvl w:val="1"/>
          <w:numId w:val="66"/>
        </w:numPr>
        <w:spacing w:line="480" w:lineRule="auto"/>
        <w:jc w:val="both"/>
        <w:rPr>
          <w:lang w:val="es-ES"/>
        </w:rPr>
      </w:pPr>
      <w:r w:rsidRPr="007C3616">
        <w:rPr>
          <w:lang w:val="es-ES"/>
        </w:rPr>
        <w:t xml:space="preserve">Elaboración de </w:t>
      </w:r>
      <w:r w:rsidR="0061615D" w:rsidRPr="007C3616">
        <w:rPr>
          <w:lang w:val="es-ES"/>
        </w:rPr>
        <w:t xml:space="preserve">Treinta </w:t>
      </w:r>
      <w:r w:rsidRPr="00C14D91">
        <w:rPr>
          <w:lang w:val="es-ES"/>
        </w:rPr>
        <w:t xml:space="preserve">y </w:t>
      </w:r>
      <w:r w:rsidR="0061615D" w:rsidRPr="007C3616">
        <w:rPr>
          <w:lang w:val="es-ES"/>
        </w:rPr>
        <w:t>Seis</w:t>
      </w:r>
      <w:r w:rsidRPr="00C14D91">
        <w:rPr>
          <w:lang w:val="es-ES"/>
        </w:rPr>
        <w:t xml:space="preserve"> (</w:t>
      </w:r>
      <w:r w:rsidR="0061615D" w:rsidRPr="007C3616">
        <w:rPr>
          <w:lang w:val="es-ES"/>
        </w:rPr>
        <w:t>36</w:t>
      </w:r>
      <w:r w:rsidRPr="00C14D91">
        <w:rPr>
          <w:lang w:val="es-ES"/>
        </w:rPr>
        <w:t xml:space="preserve">) Resoluciones de otorgamiento de concesión, con sus listados de coordenadas, juegos de planos de ubicación y ruta para las solicitudes de concesiones mineras a ser recomendadas al Ministerio de energía y Minas. </w:t>
      </w:r>
    </w:p>
    <w:p w14:paraId="25D1080D" w14:textId="79EB0B73" w:rsidR="00906F9E" w:rsidRPr="00E406B4" w:rsidRDefault="00906F9E" w:rsidP="000E50D2">
      <w:pPr>
        <w:rPr>
          <w:b/>
          <w:sz w:val="28"/>
          <w:szCs w:val="28"/>
          <w:lang w:val="es-ES"/>
        </w:rPr>
      </w:pPr>
      <w:r w:rsidRPr="00E406B4">
        <w:rPr>
          <w:b/>
          <w:sz w:val="28"/>
          <w:szCs w:val="28"/>
          <w:lang w:val="es-ES"/>
        </w:rPr>
        <w:lastRenderedPageBreak/>
        <w:t>Fiscalización</w:t>
      </w:r>
    </w:p>
    <w:p w14:paraId="5F2EA37A" w14:textId="77777777" w:rsidR="00E059B5" w:rsidRPr="00E059B5" w:rsidRDefault="00E059B5" w:rsidP="00E059B5">
      <w:pPr>
        <w:rPr>
          <w:lang w:val="es-ES"/>
        </w:rPr>
      </w:pPr>
    </w:p>
    <w:p w14:paraId="2B0AB8CB" w14:textId="688ED5DC" w:rsidR="00C325B0" w:rsidRDefault="00D82B6A" w:rsidP="00C325B0">
      <w:pPr>
        <w:spacing w:line="480" w:lineRule="auto"/>
        <w:jc w:val="both"/>
        <w:rPr>
          <w:lang w:val="es-ES"/>
        </w:rPr>
      </w:pPr>
      <w:r w:rsidRPr="00C14D91">
        <w:rPr>
          <w:lang w:val="es-ES"/>
        </w:rPr>
        <w:t>L</w:t>
      </w:r>
      <w:r w:rsidR="00C325B0" w:rsidRPr="001050CE">
        <w:rPr>
          <w:lang w:val="es-ES"/>
        </w:rPr>
        <w:t xml:space="preserve">a Dirección de Fiscalización Minera y Ambiente </w:t>
      </w:r>
      <w:r w:rsidRPr="001050CE">
        <w:rPr>
          <w:lang w:val="es-ES"/>
        </w:rPr>
        <w:t xml:space="preserve">ha </w:t>
      </w:r>
      <w:r w:rsidR="00C325B0" w:rsidRPr="001050CE">
        <w:rPr>
          <w:lang w:val="es-ES"/>
        </w:rPr>
        <w:t>alcanzado durante el periodo enero-diciembre 201</w:t>
      </w:r>
      <w:r w:rsidR="001050CE">
        <w:rPr>
          <w:lang w:val="es-ES"/>
        </w:rPr>
        <w:t>9</w:t>
      </w:r>
      <w:r w:rsidRPr="00C14D91">
        <w:rPr>
          <w:lang w:val="es-ES"/>
        </w:rPr>
        <w:t>, el siguiente desempeño</w:t>
      </w:r>
      <w:r w:rsidR="00C325B0" w:rsidRPr="00C14D91">
        <w:rPr>
          <w:lang w:val="es-ES"/>
        </w:rPr>
        <w:t>:</w:t>
      </w:r>
    </w:p>
    <w:p w14:paraId="2A81492F" w14:textId="77777777" w:rsidR="00E0354C" w:rsidRPr="00C14D91" w:rsidRDefault="00E0354C" w:rsidP="00C325B0">
      <w:pPr>
        <w:spacing w:line="480" w:lineRule="auto"/>
        <w:jc w:val="both"/>
        <w:rPr>
          <w:lang w:val="es-ES"/>
        </w:rPr>
      </w:pPr>
    </w:p>
    <w:p w14:paraId="7B99C1AB" w14:textId="1B19F4FC" w:rsidR="00C325B0" w:rsidRPr="00C14D91" w:rsidRDefault="00C325B0" w:rsidP="00C325B0">
      <w:pPr>
        <w:pStyle w:val="Prrafodelista"/>
        <w:numPr>
          <w:ilvl w:val="0"/>
          <w:numId w:val="38"/>
        </w:numPr>
        <w:spacing w:line="480" w:lineRule="auto"/>
        <w:jc w:val="both"/>
        <w:rPr>
          <w:lang w:val="es-ES"/>
        </w:rPr>
      </w:pPr>
      <w:r w:rsidRPr="00C14D91">
        <w:rPr>
          <w:lang w:val="es-ES"/>
        </w:rPr>
        <w:t xml:space="preserve">Fueron fiscalizadas un total </w:t>
      </w:r>
      <w:r w:rsidR="008B1791" w:rsidRPr="00C14D91">
        <w:rPr>
          <w:lang w:val="es-ES"/>
        </w:rPr>
        <w:t>c</w:t>
      </w:r>
      <w:r w:rsidR="00D82B6A" w:rsidRPr="00C14D91">
        <w:rPr>
          <w:lang w:val="es-ES"/>
        </w:rPr>
        <w:t xml:space="preserve">iento </w:t>
      </w:r>
      <w:r w:rsidR="008B1791" w:rsidRPr="001050CE">
        <w:rPr>
          <w:lang w:val="es-ES"/>
        </w:rPr>
        <w:t>t</w:t>
      </w:r>
      <w:r w:rsidR="00D82B6A" w:rsidRPr="001050CE">
        <w:rPr>
          <w:lang w:val="es-ES"/>
        </w:rPr>
        <w:t xml:space="preserve">reinta y </w:t>
      </w:r>
      <w:r w:rsidR="00C25CE1">
        <w:rPr>
          <w:lang w:val="es-ES"/>
        </w:rPr>
        <w:t>tres</w:t>
      </w:r>
      <w:r w:rsidR="00D82B6A" w:rsidRPr="00C14D91">
        <w:rPr>
          <w:lang w:val="es-ES"/>
        </w:rPr>
        <w:t xml:space="preserve"> (</w:t>
      </w:r>
      <w:r w:rsidRPr="00C14D91">
        <w:rPr>
          <w:lang w:val="es-ES"/>
        </w:rPr>
        <w:t>13</w:t>
      </w:r>
      <w:r w:rsidR="00C25CE1">
        <w:rPr>
          <w:lang w:val="es-ES"/>
        </w:rPr>
        <w:t>3</w:t>
      </w:r>
      <w:r w:rsidR="00D82B6A" w:rsidRPr="00C14D91">
        <w:rPr>
          <w:lang w:val="es-ES"/>
        </w:rPr>
        <w:t>)</w:t>
      </w:r>
      <w:r w:rsidRPr="00C14D91">
        <w:rPr>
          <w:lang w:val="es-ES"/>
        </w:rPr>
        <w:t xml:space="preserve"> concesiones mineras, de las cuales </w:t>
      </w:r>
      <w:r w:rsidR="00C65C15">
        <w:rPr>
          <w:lang w:val="es-ES"/>
        </w:rPr>
        <w:t>treinta</w:t>
      </w:r>
      <w:r w:rsidR="008B1791" w:rsidRPr="00C14D91">
        <w:rPr>
          <w:lang w:val="es-ES"/>
        </w:rPr>
        <w:t xml:space="preserve"> </w:t>
      </w:r>
      <w:r w:rsidRPr="00C14D91">
        <w:rPr>
          <w:lang w:val="es-ES"/>
        </w:rPr>
        <w:t xml:space="preserve">y </w:t>
      </w:r>
      <w:r w:rsidR="00C65C15">
        <w:rPr>
          <w:lang w:val="es-ES"/>
        </w:rPr>
        <w:t>c</w:t>
      </w:r>
      <w:r w:rsidR="00C25CE1">
        <w:rPr>
          <w:lang w:val="es-ES"/>
        </w:rPr>
        <w:t>inco</w:t>
      </w:r>
      <w:r w:rsidR="008B1791" w:rsidRPr="00C14D91">
        <w:rPr>
          <w:lang w:val="es-ES"/>
        </w:rPr>
        <w:t xml:space="preserve"> </w:t>
      </w:r>
      <w:r w:rsidRPr="00C14D91">
        <w:rPr>
          <w:lang w:val="es-ES"/>
        </w:rPr>
        <w:t>(</w:t>
      </w:r>
      <w:r w:rsidR="00C65C15">
        <w:rPr>
          <w:lang w:val="es-ES"/>
        </w:rPr>
        <w:t>3</w:t>
      </w:r>
      <w:r w:rsidR="00C25CE1">
        <w:rPr>
          <w:lang w:val="es-ES"/>
        </w:rPr>
        <w:t>5</w:t>
      </w:r>
      <w:r w:rsidRPr="00C14D91">
        <w:rPr>
          <w:lang w:val="es-ES"/>
        </w:rPr>
        <w:t xml:space="preserve">) concesiones mineras de exploración y </w:t>
      </w:r>
      <w:r w:rsidR="00C65C15">
        <w:rPr>
          <w:lang w:val="es-ES"/>
        </w:rPr>
        <w:t xml:space="preserve">noventa y </w:t>
      </w:r>
      <w:r w:rsidR="00C25CE1">
        <w:rPr>
          <w:lang w:val="es-ES"/>
        </w:rPr>
        <w:t>ocho</w:t>
      </w:r>
      <w:r w:rsidR="008B1791" w:rsidRPr="00C14D91">
        <w:rPr>
          <w:lang w:val="es-ES"/>
        </w:rPr>
        <w:t xml:space="preserve"> </w:t>
      </w:r>
      <w:r w:rsidRPr="00C14D91">
        <w:rPr>
          <w:lang w:val="es-ES"/>
        </w:rPr>
        <w:t>(</w:t>
      </w:r>
      <w:r w:rsidR="00C65C15">
        <w:rPr>
          <w:lang w:val="es-ES"/>
        </w:rPr>
        <w:t>9</w:t>
      </w:r>
      <w:r w:rsidR="00C25CE1">
        <w:rPr>
          <w:lang w:val="es-ES"/>
        </w:rPr>
        <w:t>8</w:t>
      </w:r>
      <w:r w:rsidRPr="00C14D91">
        <w:rPr>
          <w:lang w:val="es-ES"/>
        </w:rPr>
        <w:t xml:space="preserve">) de explotación. </w:t>
      </w:r>
    </w:p>
    <w:p w14:paraId="25420411" w14:textId="4DD81A6C" w:rsidR="009F3D51" w:rsidRPr="00C14D91" w:rsidRDefault="00C325B0" w:rsidP="00C325B0">
      <w:pPr>
        <w:pStyle w:val="Prrafodelista"/>
        <w:numPr>
          <w:ilvl w:val="0"/>
          <w:numId w:val="38"/>
        </w:numPr>
        <w:spacing w:line="480" w:lineRule="auto"/>
        <w:jc w:val="both"/>
        <w:rPr>
          <w:lang w:val="es-ES"/>
        </w:rPr>
      </w:pPr>
      <w:r w:rsidRPr="00C14D91">
        <w:rPr>
          <w:lang w:val="es-ES"/>
        </w:rPr>
        <w:t xml:space="preserve"> </w:t>
      </w:r>
      <w:r w:rsidR="009F3D51" w:rsidRPr="00C14D91">
        <w:rPr>
          <w:lang w:val="es-ES"/>
        </w:rPr>
        <w:t xml:space="preserve">Emisión de </w:t>
      </w:r>
      <w:r w:rsidR="00C65C15">
        <w:rPr>
          <w:lang w:val="es-ES"/>
        </w:rPr>
        <w:t>noventa y seis</w:t>
      </w:r>
      <w:r w:rsidR="008B1791" w:rsidRPr="00C14D91">
        <w:rPr>
          <w:lang w:val="es-ES"/>
        </w:rPr>
        <w:t xml:space="preserve"> </w:t>
      </w:r>
      <w:r w:rsidR="009F3D51" w:rsidRPr="00C14D91">
        <w:rPr>
          <w:lang w:val="es-ES"/>
        </w:rPr>
        <w:t>(</w:t>
      </w:r>
      <w:r w:rsidR="00C65C15">
        <w:rPr>
          <w:lang w:val="es-ES"/>
        </w:rPr>
        <w:t>96</w:t>
      </w:r>
      <w:r w:rsidR="009F3D51" w:rsidRPr="00C14D91">
        <w:rPr>
          <w:lang w:val="es-ES"/>
        </w:rPr>
        <w:t xml:space="preserve">) cartas de NO OBJECION para realizar voladuras </w:t>
      </w:r>
      <w:r w:rsidR="00C65C15">
        <w:rPr>
          <w:lang w:val="es-ES"/>
        </w:rPr>
        <w:t xml:space="preserve">en las canteras, </w:t>
      </w:r>
      <w:r w:rsidR="009F3D51" w:rsidRPr="00C14D91">
        <w:rPr>
          <w:lang w:val="es-ES"/>
        </w:rPr>
        <w:t>por concesionarios mineros.</w:t>
      </w:r>
    </w:p>
    <w:p w14:paraId="522BDFBB" w14:textId="356F2AB5" w:rsidR="00C325B0" w:rsidRPr="00C14D91" w:rsidRDefault="009F3D51" w:rsidP="00C325B0">
      <w:pPr>
        <w:pStyle w:val="Prrafodelista"/>
        <w:numPr>
          <w:ilvl w:val="0"/>
          <w:numId w:val="38"/>
        </w:numPr>
        <w:spacing w:line="480" w:lineRule="auto"/>
        <w:jc w:val="both"/>
        <w:rPr>
          <w:lang w:val="es-ES"/>
        </w:rPr>
      </w:pPr>
      <w:r w:rsidRPr="00C14D91">
        <w:rPr>
          <w:lang w:val="es-ES"/>
        </w:rPr>
        <w:t xml:space="preserve">Revisados y evaluados </w:t>
      </w:r>
      <w:r w:rsidR="00C65C15">
        <w:rPr>
          <w:lang w:val="es-ES"/>
        </w:rPr>
        <w:t xml:space="preserve">cincuenta (50) </w:t>
      </w:r>
      <w:r w:rsidRPr="00C14D91">
        <w:rPr>
          <w:lang w:val="es-ES"/>
        </w:rPr>
        <w:t xml:space="preserve">informes semestrales de progreso y </w:t>
      </w:r>
      <w:r w:rsidR="00C65C15">
        <w:rPr>
          <w:lang w:val="es-ES"/>
        </w:rPr>
        <w:t xml:space="preserve">ciento vente y nueve (129) </w:t>
      </w:r>
      <w:r w:rsidRPr="00C14D91">
        <w:rPr>
          <w:lang w:val="es-ES"/>
        </w:rPr>
        <w:t>anuales de operación remitidos a la Dirección General de Minería por los concesionarios mineros.</w:t>
      </w:r>
    </w:p>
    <w:p w14:paraId="36A7EEF3" w14:textId="0A152D06" w:rsidR="009F3D51" w:rsidRPr="00C14D91" w:rsidRDefault="009F3D51" w:rsidP="00C325B0">
      <w:pPr>
        <w:pStyle w:val="Prrafodelista"/>
        <w:numPr>
          <w:ilvl w:val="0"/>
          <w:numId w:val="38"/>
        </w:numPr>
        <w:spacing w:line="480" w:lineRule="auto"/>
        <w:jc w:val="both"/>
        <w:rPr>
          <w:lang w:val="es-ES"/>
        </w:rPr>
      </w:pPr>
      <w:r w:rsidRPr="00C14D91">
        <w:rPr>
          <w:lang w:val="es-ES"/>
        </w:rPr>
        <w:t xml:space="preserve">Preparadas </w:t>
      </w:r>
      <w:r w:rsidR="00C65C15">
        <w:rPr>
          <w:lang w:val="es-ES"/>
        </w:rPr>
        <w:t>sesenta y ocho</w:t>
      </w:r>
      <w:r w:rsidR="008B1791" w:rsidRPr="00C14D91">
        <w:rPr>
          <w:lang w:val="es-ES"/>
        </w:rPr>
        <w:t xml:space="preserve"> (</w:t>
      </w:r>
      <w:r w:rsidR="00C65C15">
        <w:rPr>
          <w:lang w:val="es-ES"/>
        </w:rPr>
        <w:t>68</w:t>
      </w:r>
      <w:r w:rsidR="008B1791" w:rsidRPr="00C14D91">
        <w:rPr>
          <w:lang w:val="es-ES"/>
        </w:rPr>
        <w:t>)</w:t>
      </w:r>
      <w:r w:rsidRPr="00C14D91">
        <w:rPr>
          <w:lang w:val="es-ES"/>
        </w:rPr>
        <w:t xml:space="preserve"> cartas de autorización para el pago de la patente minera y fueron remitidas a la Dirección de Impuestos Internos para que los concesionarios realicen el pago de impuestos correspondiente.</w:t>
      </w:r>
    </w:p>
    <w:p w14:paraId="45A51B5F" w14:textId="50D4C01F" w:rsidR="00C325B0" w:rsidRDefault="00E30A94" w:rsidP="00753E69">
      <w:pPr>
        <w:pStyle w:val="Prrafodelista"/>
        <w:numPr>
          <w:ilvl w:val="0"/>
          <w:numId w:val="38"/>
        </w:numPr>
        <w:spacing w:line="480" w:lineRule="auto"/>
        <w:jc w:val="both"/>
        <w:rPr>
          <w:lang w:val="es-ES"/>
        </w:rPr>
      </w:pPr>
      <w:r w:rsidRPr="002F65D9">
        <w:rPr>
          <w:lang w:val="es-ES"/>
        </w:rPr>
        <w:t xml:space="preserve">Revisado el estatus de cumplimiento del marco legal y normativo de </w:t>
      </w:r>
      <w:r w:rsidR="002F65D9" w:rsidRPr="002F65D9">
        <w:rPr>
          <w:lang w:val="es-ES"/>
        </w:rPr>
        <w:t>doscientos once (211) concesiones mineras, de las cuales noventa</w:t>
      </w:r>
      <w:r w:rsidR="008B1791" w:rsidRPr="00C14D91">
        <w:rPr>
          <w:lang w:val="es-ES"/>
        </w:rPr>
        <w:t xml:space="preserve"> y </w:t>
      </w:r>
      <w:r w:rsidR="002F65D9" w:rsidRPr="002F65D9">
        <w:rPr>
          <w:lang w:val="es-ES"/>
        </w:rPr>
        <w:t xml:space="preserve">ocho </w:t>
      </w:r>
      <w:r w:rsidR="008B1791" w:rsidRPr="00C14D91">
        <w:rPr>
          <w:lang w:val="es-ES"/>
        </w:rPr>
        <w:t>(</w:t>
      </w:r>
      <w:r w:rsidR="002F65D9" w:rsidRPr="002F65D9">
        <w:rPr>
          <w:lang w:val="es-ES"/>
        </w:rPr>
        <w:t>98</w:t>
      </w:r>
      <w:r w:rsidR="008B1791" w:rsidRPr="00C14D91">
        <w:rPr>
          <w:lang w:val="es-ES"/>
        </w:rPr>
        <w:t>)</w:t>
      </w:r>
      <w:r w:rsidRPr="00C14D91">
        <w:rPr>
          <w:lang w:val="es-ES"/>
        </w:rPr>
        <w:t xml:space="preserve"> con</w:t>
      </w:r>
      <w:r w:rsidR="002F65D9" w:rsidRPr="002F65D9">
        <w:rPr>
          <w:lang w:val="es-ES"/>
        </w:rPr>
        <w:t xml:space="preserve">cesiones mineras de explotación </w:t>
      </w:r>
      <w:r w:rsidR="002F65D9" w:rsidRPr="00C14D91">
        <w:rPr>
          <w:lang w:val="es-ES"/>
        </w:rPr>
        <w:t>y</w:t>
      </w:r>
      <w:r w:rsidR="002F65D9" w:rsidRPr="002F65D9">
        <w:rPr>
          <w:lang w:val="es-ES"/>
        </w:rPr>
        <w:t xml:space="preserve"> cientos trece </w:t>
      </w:r>
      <w:r w:rsidR="008B1791" w:rsidRPr="00C14D91">
        <w:rPr>
          <w:lang w:val="es-ES"/>
        </w:rPr>
        <w:t>(</w:t>
      </w:r>
      <w:r w:rsidR="002F65D9" w:rsidRPr="002F65D9">
        <w:rPr>
          <w:lang w:val="es-ES"/>
        </w:rPr>
        <w:t>11</w:t>
      </w:r>
      <w:r w:rsidRPr="00C14D91">
        <w:rPr>
          <w:lang w:val="es-ES"/>
        </w:rPr>
        <w:t>3</w:t>
      </w:r>
      <w:r w:rsidR="008B1791" w:rsidRPr="00C14D91">
        <w:rPr>
          <w:lang w:val="es-ES"/>
        </w:rPr>
        <w:t>)</w:t>
      </w:r>
      <w:r w:rsidRPr="00C14D91">
        <w:rPr>
          <w:lang w:val="es-ES"/>
        </w:rPr>
        <w:t xml:space="preserve"> </w:t>
      </w:r>
      <w:r w:rsidR="002F65D9" w:rsidRPr="002F65D9">
        <w:rPr>
          <w:lang w:val="es-ES"/>
        </w:rPr>
        <w:t xml:space="preserve">de exploración. Identificando unas treinta y una (31) concesiones mineras de exploración que presentan condiciones de incumplimiento legal, las cuales se iniciara el proceso de </w:t>
      </w:r>
      <w:r w:rsidRPr="00C14D91">
        <w:rPr>
          <w:lang w:val="es-ES"/>
        </w:rPr>
        <w:t xml:space="preserve">caducidad; </w:t>
      </w:r>
      <w:r w:rsidR="002F65D9" w:rsidRPr="002F65D9">
        <w:rPr>
          <w:lang w:val="es-ES"/>
        </w:rPr>
        <w:t xml:space="preserve">se declararon caducas unas trece (13) concesiones mineras de explotación. </w:t>
      </w:r>
    </w:p>
    <w:p w14:paraId="6162E432" w14:textId="77777777" w:rsidR="00E0354C" w:rsidRDefault="00E0354C" w:rsidP="00E0354C">
      <w:pPr>
        <w:spacing w:line="480" w:lineRule="auto"/>
        <w:jc w:val="both"/>
        <w:rPr>
          <w:lang w:val="es-ES"/>
        </w:rPr>
      </w:pPr>
    </w:p>
    <w:p w14:paraId="687D679B" w14:textId="77777777" w:rsidR="00E0354C" w:rsidRDefault="00E0354C" w:rsidP="00E0354C">
      <w:pPr>
        <w:spacing w:line="480" w:lineRule="auto"/>
        <w:jc w:val="both"/>
        <w:rPr>
          <w:lang w:val="es-ES"/>
        </w:rPr>
      </w:pPr>
    </w:p>
    <w:p w14:paraId="64400917" w14:textId="767A87E2" w:rsidR="00C325B0" w:rsidRPr="00E406B4" w:rsidRDefault="00D82B6A" w:rsidP="00C325B0">
      <w:pPr>
        <w:spacing w:line="480" w:lineRule="auto"/>
        <w:jc w:val="both"/>
        <w:rPr>
          <w:b/>
          <w:lang w:val="es-ES"/>
        </w:rPr>
      </w:pPr>
      <w:r w:rsidRPr="00E406B4">
        <w:rPr>
          <w:b/>
          <w:lang w:val="es-ES"/>
        </w:rPr>
        <w:lastRenderedPageBreak/>
        <w:t xml:space="preserve">En cuanto a la </w:t>
      </w:r>
      <w:r w:rsidR="00C325B0" w:rsidRPr="00E406B4">
        <w:rPr>
          <w:b/>
          <w:lang w:val="es-ES"/>
        </w:rPr>
        <w:t>Seguridad y Salud Ocupacional</w:t>
      </w:r>
      <w:r w:rsidRPr="00E406B4">
        <w:rPr>
          <w:b/>
          <w:lang w:val="es-ES"/>
        </w:rPr>
        <w:t>, nos enfocamos en los siguientes alcances:</w:t>
      </w:r>
    </w:p>
    <w:p w14:paraId="25023437" w14:textId="12857299" w:rsidR="00C325B0" w:rsidRPr="00C14D91" w:rsidRDefault="00C325B0" w:rsidP="0079243F">
      <w:pPr>
        <w:pStyle w:val="Prrafodelista"/>
        <w:numPr>
          <w:ilvl w:val="0"/>
          <w:numId w:val="39"/>
        </w:numPr>
        <w:spacing w:line="480" w:lineRule="auto"/>
        <w:jc w:val="both"/>
        <w:rPr>
          <w:lang w:val="es-ES"/>
        </w:rPr>
      </w:pPr>
      <w:r w:rsidRPr="00C14D91">
        <w:rPr>
          <w:lang w:val="es-ES"/>
        </w:rPr>
        <w:t>Soporte a las actividades que se realizan dentro de los proyectos de la Pequeña Minería, especialmente en los aspectos de Seguridad, Higiene y Salud Ocupacional.</w:t>
      </w:r>
    </w:p>
    <w:p w14:paraId="6C012BA8" w14:textId="2E00E4DD" w:rsidR="0079243F" w:rsidRPr="00C14D91" w:rsidRDefault="0079243F" w:rsidP="0079243F">
      <w:pPr>
        <w:pStyle w:val="Prrafodelista"/>
        <w:numPr>
          <w:ilvl w:val="0"/>
          <w:numId w:val="39"/>
        </w:numPr>
        <w:spacing w:line="480" w:lineRule="auto"/>
        <w:jc w:val="both"/>
        <w:rPr>
          <w:lang w:val="es-ES"/>
        </w:rPr>
      </w:pPr>
      <w:r w:rsidRPr="001050CE">
        <w:rPr>
          <w:lang w:val="es-ES"/>
        </w:rPr>
        <w:t xml:space="preserve"> Gestionada </w:t>
      </w:r>
      <w:r w:rsidR="0000037B">
        <w:rPr>
          <w:lang w:val="es-ES"/>
        </w:rPr>
        <w:t>la</w:t>
      </w:r>
      <w:r w:rsidRPr="00C14D91">
        <w:rPr>
          <w:lang w:val="es-ES"/>
        </w:rPr>
        <w:t xml:space="preserve"> compra de los materiales y equipos requeridos para dar respuesta al Plan de Contingencias para las emergencias que pueden producirse en las áreas operativas de la DGM.</w:t>
      </w:r>
    </w:p>
    <w:p w14:paraId="3B88E52E" w14:textId="655DE56C" w:rsidR="00D82B6A" w:rsidRPr="00C14D91" w:rsidRDefault="00D82B6A" w:rsidP="0079243F">
      <w:pPr>
        <w:pStyle w:val="Prrafodelista"/>
        <w:numPr>
          <w:ilvl w:val="0"/>
          <w:numId w:val="39"/>
        </w:numPr>
        <w:spacing w:line="480" w:lineRule="auto"/>
        <w:jc w:val="both"/>
        <w:rPr>
          <w:lang w:val="es-ES"/>
        </w:rPr>
      </w:pPr>
      <w:r w:rsidRPr="001050CE">
        <w:rPr>
          <w:lang w:val="es-ES"/>
        </w:rPr>
        <w:t xml:space="preserve">Inspeccionada la </w:t>
      </w:r>
      <w:r w:rsidR="0000037B">
        <w:rPr>
          <w:lang w:val="es-ES"/>
        </w:rPr>
        <w:t>ruta de evacuación y la e</w:t>
      </w:r>
      <w:r w:rsidRPr="00C14D91">
        <w:rPr>
          <w:lang w:val="es-ES"/>
        </w:rPr>
        <w:t>scalera de emergencia interna ubicada dentro de las oficinas del Edificio Gubernamental Juan Pablo Duarte.</w:t>
      </w:r>
    </w:p>
    <w:p w14:paraId="724D36F2" w14:textId="37E9F336" w:rsidR="002575AA" w:rsidRPr="001050CE" w:rsidRDefault="002575AA" w:rsidP="0079243F">
      <w:pPr>
        <w:pStyle w:val="Prrafodelista"/>
        <w:numPr>
          <w:ilvl w:val="0"/>
          <w:numId w:val="39"/>
        </w:numPr>
        <w:spacing w:line="480" w:lineRule="auto"/>
        <w:jc w:val="both"/>
        <w:rPr>
          <w:lang w:val="es-ES"/>
        </w:rPr>
      </w:pPr>
      <w:r w:rsidRPr="00C14D91">
        <w:rPr>
          <w:lang w:val="es-ES"/>
        </w:rPr>
        <w:t>Gestionada las estadísticas de seguridad del sector mi</w:t>
      </w:r>
      <w:r w:rsidRPr="001050CE">
        <w:rPr>
          <w:lang w:val="es-ES"/>
        </w:rPr>
        <w:t>nero, en relación a los accidentes e incidentes reportados a Administradora de Riesgos Laborales Salud Segura –RLSS.</w:t>
      </w:r>
    </w:p>
    <w:p w14:paraId="25243204" w14:textId="7A352FC3" w:rsidR="002575AA" w:rsidRPr="001050CE" w:rsidRDefault="002575AA" w:rsidP="0079243F">
      <w:pPr>
        <w:pStyle w:val="Prrafodelista"/>
        <w:numPr>
          <w:ilvl w:val="0"/>
          <w:numId w:val="39"/>
        </w:numPr>
        <w:spacing w:line="480" w:lineRule="auto"/>
        <w:jc w:val="both"/>
        <w:rPr>
          <w:lang w:val="es-ES"/>
        </w:rPr>
      </w:pPr>
      <w:r w:rsidRPr="001050CE">
        <w:rPr>
          <w:lang w:val="es-ES"/>
        </w:rPr>
        <w:t>Planificado la implementación del Plan de Reciclaje de Residuos Sólidos generados en la Dirección General de Minería.</w:t>
      </w:r>
    </w:p>
    <w:p w14:paraId="2BED8E23" w14:textId="097CC90E" w:rsidR="002575AA" w:rsidRPr="001050CE" w:rsidRDefault="002575AA" w:rsidP="0079243F">
      <w:pPr>
        <w:pStyle w:val="Prrafodelista"/>
        <w:numPr>
          <w:ilvl w:val="0"/>
          <w:numId w:val="39"/>
        </w:numPr>
        <w:spacing w:line="480" w:lineRule="auto"/>
        <w:jc w:val="both"/>
        <w:rPr>
          <w:lang w:val="es-ES"/>
        </w:rPr>
      </w:pPr>
      <w:r w:rsidRPr="001050CE">
        <w:rPr>
          <w:lang w:val="es-ES"/>
        </w:rPr>
        <w:t xml:space="preserve"> </w:t>
      </w:r>
      <w:r w:rsidRPr="001050CE">
        <w:rPr>
          <w:lang w:val="es-ES"/>
        </w:rPr>
        <w:t>Cotizados los equipos de Seguridad y Salvamento requeridos en los planes de emergencias para Rescates, Incendios, Explosiones, Derrumbes de materiales y Gases Tóxicos en las actividades desarrolladas en la Minería Artesanal y en Pequeña Escala (MAPE).</w:t>
      </w:r>
    </w:p>
    <w:p w14:paraId="2EA0AFBC" w14:textId="77777777" w:rsidR="002575AA" w:rsidRPr="001050CE" w:rsidRDefault="002575AA" w:rsidP="00E406B4">
      <w:pPr>
        <w:pStyle w:val="Prrafodelista"/>
        <w:rPr>
          <w:lang w:val="es-ES"/>
        </w:rPr>
      </w:pPr>
    </w:p>
    <w:p w14:paraId="1339E62C" w14:textId="5BE83E67" w:rsidR="002575AA" w:rsidRPr="001050CE" w:rsidRDefault="002575AA" w:rsidP="0079243F">
      <w:pPr>
        <w:pStyle w:val="Prrafodelista"/>
        <w:numPr>
          <w:ilvl w:val="0"/>
          <w:numId w:val="39"/>
        </w:numPr>
        <w:spacing w:line="480" w:lineRule="auto"/>
        <w:jc w:val="both"/>
        <w:rPr>
          <w:lang w:val="es-ES"/>
        </w:rPr>
      </w:pPr>
      <w:r w:rsidRPr="001050CE">
        <w:rPr>
          <w:lang w:val="es-ES"/>
        </w:rPr>
        <w:t>Realizado la inspección por las diferentes áreas de la DGM, acompañando a un técnico de la Administradora de Riesgos Laborales Salud Segura (ARL Salud Segura), en el levantamiento de informaciones, para realizar una evaluación de los riesgos asociados de seguridad y salud en el trabajo de la DGM.</w:t>
      </w:r>
    </w:p>
    <w:p w14:paraId="1DEBC79D" w14:textId="2948BD47" w:rsidR="00C325B0" w:rsidRPr="001050CE" w:rsidRDefault="00D82B6A" w:rsidP="00E406B4">
      <w:pPr>
        <w:pStyle w:val="Prrafodelista"/>
        <w:rPr>
          <w:lang w:val="es-ES"/>
        </w:rPr>
      </w:pPr>
      <w:r w:rsidRPr="001050CE">
        <w:rPr>
          <w:lang w:val="es-ES"/>
        </w:rPr>
        <w:t xml:space="preserve">  </w:t>
      </w:r>
    </w:p>
    <w:p w14:paraId="702B9182" w14:textId="54D7429C" w:rsidR="00C325B0" w:rsidRPr="00E406B4" w:rsidRDefault="002575AA" w:rsidP="00E406B4">
      <w:pPr>
        <w:pStyle w:val="Prrafodelista"/>
        <w:spacing w:line="480" w:lineRule="auto"/>
        <w:jc w:val="both"/>
        <w:rPr>
          <w:b/>
          <w:lang w:val="es-ES"/>
        </w:rPr>
      </w:pPr>
      <w:r w:rsidRPr="00E406B4">
        <w:rPr>
          <w:b/>
          <w:lang w:val="es-ES"/>
        </w:rPr>
        <w:lastRenderedPageBreak/>
        <w:t xml:space="preserve">A los fines de dar cumplimiento a nuestras metas presidenciales en cuanto a remediación, en cuanto al cuidado del </w:t>
      </w:r>
      <w:r w:rsidR="00C325B0" w:rsidRPr="00E406B4">
        <w:rPr>
          <w:b/>
          <w:lang w:val="es-ES"/>
        </w:rPr>
        <w:t>Medio Ambiente y Sostenibilidad</w:t>
      </w:r>
      <w:r w:rsidRPr="00E406B4">
        <w:rPr>
          <w:b/>
          <w:lang w:val="es-ES"/>
        </w:rPr>
        <w:t>, presentamos los siguientes resultados.</w:t>
      </w:r>
    </w:p>
    <w:p w14:paraId="7EFB83F0" w14:textId="6123376E" w:rsidR="002575AA" w:rsidRPr="001050CE" w:rsidRDefault="00C325B0" w:rsidP="00E406B4">
      <w:pPr>
        <w:spacing w:line="480" w:lineRule="auto"/>
        <w:ind w:left="708"/>
        <w:jc w:val="both"/>
        <w:rPr>
          <w:lang w:val="es-ES"/>
        </w:rPr>
      </w:pPr>
      <w:r w:rsidRPr="001050CE">
        <w:rPr>
          <w:lang w:val="es-ES"/>
        </w:rPr>
        <w:t>Continuada la producción de plantas en los viveros de Monseñor Nouel y Sánchez Ramírez. Durante el 201</w:t>
      </w:r>
      <w:r w:rsidR="00677208">
        <w:rPr>
          <w:lang w:val="es-ES"/>
        </w:rPr>
        <w:t>9</w:t>
      </w:r>
      <w:r w:rsidRPr="00C14D91">
        <w:rPr>
          <w:lang w:val="es-ES"/>
        </w:rPr>
        <w:t xml:space="preserve"> fueron plantadas </w:t>
      </w:r>
      <w:r w:rsidR="008B1791" w:rsidRPr="00C14D91">
        <w:rPr>
          <w:lang w:val="es-ES"/>
        </w:rPr>
        <w:t>se</w:t>
      </w:r>
      <w:r w:rsidR="00E52E54">
        <w:rPr>
          <w:lang w:val="es-ES"/>
        </w:rPr>
        <w:t xml:space="preserve">tenta </w:t>
      </w:r>
      <w:r w:rsidR="008B1791" w:rsidRPr="00C14D91">
        <w:rPr>
          <w:lang w:val="es-ES"/>
        </w:rPr>
        <w:t xml:space="preserve">y </w:t>
      </w:r>
      <w:r w:rsidR="00E52E54">
        <w:rPr>
          <w:lang w:val="es-ES"/>
        </w:rPr>
        <w:t xml:space="preserve">tres </w:t>
      </w:r>
      <w:r w:rsidR="008B1791" w:rsidRPr="00C14D91">
        <w:rPr>
          <w:lang w:val="es-ES"/>
        </w:rPr>
        <w:t xml:space="preserve">mil, </w:t>
      </w:r>
      <w:r w:rsidR="00E52E54">
        <w:rPr>
          <w:lang w:val="es-ES"/>
        </w:rPr>
        <w:t>setecientos catorce</w:t>
      </w:r>
      <w:r w:rsidR="008B1791" w:rsidRPr="00C14D91">
        <w:rPr>
          <w:lang w:val="es-ES"/>
        </w:rPr>
        <w:t xml:space="preserve"> (</w:t>
      </w:r>
      <w:r w:rsidR="00E52E54">
        <w:rPr>
          <w:lang w:val="es-ES"/>
        </w:rPr>
        <w:t>73,714</w:t>
      </w:r>
      <w:r w:rsidR="008B1791" w:rsidRPr="00C14D91">
        <w:rPr>
          <w:lang w:val="es-ES"/>
        </w:rPr>
        <w:t>)</w:t>
      </w:r>
      <w:r w:rsidRPr="00C14D91">
        <w:rPr>
          <w:lang w:val="es-ES"/>
        </w:rPr>
        <w:t xml:space="preserve"> plantas en los Distritos Mineros de Sánchez Ramirez y Monseñor Nouel, de las especies caoba criolla, caoba hondureña, cedro, mara, aguacate, cacao, piñón, cabirma, frutales, pinos y melina,  en áreas de cañadas y fincas privadas de dichas provincias, en las zonas externas a las áreas mineras. </w:t>
      </w:r>
    </w:p>
    <w:p w14:paraId="2BF8A9DA" w14:textId="77777777" w:rsidR="002575AA" w:rsidRPr="001050CE" w:rsidRDefault="002575AA" w:rsidP="00E406B4">
      <w:pPr>
        <w:jc w:val="both"/>
        <w:rPr>
          <w:lang w:val="es-ES"/>
        </w:rPr>
      </w:pPr>
    </w:p>
    <w:p w14:paraId="28EF6475" w14:textId="48D9E72E" w:rsidR="002575AA" w:rsidRPr="001050CE" w:rsidRDefault="00C325B0" w:rsidP="00E406B4">
      <w:pPr>
        <w:spacing w:line="480" w:lineRule="auto"/>
        <w:ind w:left="708"/>
        <w:jc w:val="both"/>
        <w:rPr>
          <w:lang w:val="es-ES"/>
        </w:rPr>
      </w:pPr>
      <w:r w:rsidRPr="001050CE">
        <w:rPr>
          <w:lang w:val="es-ES"/>
        </w:rPr>
        <w:t>A la fecha se han reforestado un</w:t>
      </w:r>
      <w:r w:rsidR="002575AA" w:rsidRPr="001050CE">
        <w:rPr>
          <w:lang w:val="es-ES"/>
        </w:rPr>
        <w:t xml:space="preserve">as </w:t>
      </w:r>
      <w:r w:rsidR="008B1791" w:rsidRPr="001050CE">
        <w:rPr>
          <w:lang w:val="es-ES"/>
        </w:rPr>
        <w:t>n</w:t>
      </w:r>
      <w:r w:rsidR="002575AA" w:rsidRPr="001050CE">
        <w:rPr>
          <w:lang w:val="es-ES"/>
        </w:rPr>
        <w:t xml:space="preserve">ovecientas </w:t>
      </w:r>
      <w:r w:rsidR="00E52E54">
        <w:rPr>
          <w:lang w:val="es-ES"/>
        </w:rPr>
        <w:t xml:space="preserve">mil cincuenta y tres </w:t>
      </w:r>
      <w:r w:rsidR="002575AA" w:rsidRPr="00C14D91">
        <w:rPr>
          <w:lang w:val="es-ES"/>
        </w:rPr>
        <w:t>(</w:t>
      </w:r>
      <w:r w:rsidR="00E52E54">
        <w:rPr>
          <w:lang w:val="es-ES"/>
        </w:rPr>
        <w:t>1,053</w:t>
      </w:r>
      <w:r w:rsidR="002575AA" w:rsidRPr="00C14D91">
        <w:rPr>
          <w:lang w:val="es-ES"/>
        </w:rPr>
        <w:t>) tareas</w:t>
      </w:r>
      <w:r w:rsidR="002575AA" w:rsidRPr="001050CE">
        <w:rPr>
          <w:lang w:val="es-ES"/>
        </w:rPr>
        <w:t xml:space="preserve"> de terrenos y Se dispone un Inventario de </w:t>
      </w:r>
      <w:r w:rsidR="00677208">
        <w:rPr>
          <w:lang w:val="es-ES"/>
        </w:rPr>
        <w:t>ocho</w:t>
      </w:r>
      <w:r w:rsidR="002575AA" w:rsidRPr="00C14D91">
        <w:rPr>
          <w:lang w:val="es-ES"/>
        </w:rPr>
        <w:t xml:space="preserve"> </w:t>
      </w:r>
      <w:r w:rsidR="008B1791" w:rsidRPr="00C14D91">
        <w:rPr>
          <w:lang w:val="es-ES"/>
        </w:rPr>
        <w:t>m</w:t>
      </w:r>
      <w:r w:rsidR="002575AA" w:rsidRPr="00C14D91">
        <w:rPr>
          <w:lang w:val="es-ES"/>
        </w:rPr>
        <w:t>il (</w:t>
      </w:r>
      <w:r w:rsidR="00677208">
        <w:rPr>
          <w:lang w:val="es-ES"/>
        </w:rPr>
        <w:t>8,0</w:t>
      </w:r>
      <w:r w:rsidR="002575AA" w:rsidRPr="00C14D91">
        <w:rPr>
          <w:lang w:val="es-ES"/>
        </w:rPr>
        <w:t xml:space="preserve">00) plantas en los </w:t>
      </w:r>
      <w:r w:rsidR="002575AA" w:rsidRPr="001050CE">
        <w:rPr>
          <w:lang w:val="es-ES"/>
        </w:rPr>
        <w:t>viveros de la Dirección General de Minería.</w:t>
      </w:r>
    </w:p>
    <w:p w14:paraId="10A12866" w14:textId="12019D27" w:rsidR="002575AA" w:rsidRPr="001050CE" w:rsidRDefault="002575AA" w:rsidP="00E406B4">
      <w:pPr>
        <w:jc w:val="both"/>
        <w:rPr>
          <w:lang w:val="es-ES"/>
        </w:rPr>
      </w:pPr>
    </w:p>
    <w:p w14:paraId="44BC61CA" w14:textId="1E14ABA5" w:rsidR="002575AA" w:rsidRPr="001050CE" w:rsidRDefault="002575AA" w:rsidP="00E406B4">
      <w:pPr>
        <w:spacing w:line="480" w:lineRule="auto"/>
        <w:ind w:left="708"/>
        <w:jc w:val="both"/>
        <w:rPr>
          <w:lang w:val="es-ES"/>
        </w:rPr>
      </w:pPr>
      <w:r w:rsidRPr="001050CE">
        <w:rPr>
          <w:lang w:val="es-ES"/>
        </w:rPr>
        <w:t xml:space="preserve">Análisis y Evaluación de </w:t>
      </w:r>
      <w:r w:rsidR="008C7058">
        <w:rPr>
          <w:lang w:val="es-ES"/>
        </w:rPr>
        <w:t>once</w:t>
      </w:r>
      <w:r w:rsidRPr="00C14D91">
        <w:rPr>
          <w:lang w:val="es-ES"/>
        </w:rPr>
        <w:t xml:space="preserve"> (</w:t>
      </w:r>
      <w:r w:rsidR="008C7058">
        <w:rPr>
          <w:lang w:val="es-ES"/>
        </w:rPr>
        <w:t>11</w:t>
      </w:r>
      <w:r w:rsidRPr="00C14D91">
        <w:rPr>
          <w:lang w:val="es-ES"/>
        </w:rPr>
        <w:t xml:space="preserve">) informes de </w:t>
      </w:r>
      <w:r w:rsidRPr="001050CE">
        <w:rPr>
          <w:lang w:val="es-ES"/>
        </w:rPr>
        <w:t>cumplimiento ambiental (ICA) de concesiones mineras otorgadas y Proyectos Especiales (Envirogold Las Lagunas Limited y Barrick Gold).</w:t>
      </w:r>
    </w:p>
    <w:p w14:paraId="53D2B290" w14:textId="77777777" w:rsidR="0076314A" w:rsidRPr="001050CE" w:rsidRDefault="0076314A" w:rsidP="00E406B4">
      <w:pPr>
        <w:pStyle w:val="Prrafodelista"/>
        <w:rPr>
          <w:lang w:val="es-ES"/>
        </w:rPr>
      </w:pPr>
    </w:p>
    <w:p w14:paraId="3E89AE6A" w14:textId="77777777" w:rsidR="0076314A" w:rsidRPr="001050CE" w:rsidRDefault="0076314A" w:rsidP="00E406B4">
      <w:pPr>
        <w:spacing w:line="480" w:lineRule="auto"/>
        <w:ind w:left="708"/>
        <w:jc w:val="both"/>
        <w:rPr>
          <w:lang w:val="es-ES"/>
        </w:rPr>
      </w:pPr>
      <w:r w:rsidRPr="001050CE">
        <w:rPr>
          <w:lang w:val="es-ES"/>
        </w:rPr>
        <w:t>Análisis del Anteproyecto del Plan de Cierre Minero de la concesión de explotación denominada Tamarindo, presentado por Sanitarios Dominicanos, S.A (SADOSA), así como el análisis y Evaluación del plan de cierre actualizado del proyecto de remediación ambiental presa de Colas Las Lagunas, de Envirogold (Las Lagunas) Limited.</w:t>
      </w:r>
    </w:p>
    <w:p w14:paraId="48A641A7" w14:textId="77777777" w:rsidR="0076314A" w:rsidRPr="001050CE" w:rsidRDefault="0076314A" w:rsidP="00E406B4">
      <w:pPr>
        <w:pStyle w:val="Prrafodelista"/>
        <w:rPr>
          <w:lang w:val="es-ES"/>
        </w:rPr>
      </w:pPr>
    </w:p>
    <w:p w14:paraId="21A49A7C" w14:textId="77777777" w:rsidR="00667D9C" w:rsidRDefault="00667D9C" w:rsidP="000E50D2">
      <w:pPr>
        <w:rPr>
          <w:sz w:val="28"/>
          <w:szCs w:val="28"/>
          <w:lang w:val="es-ES"/>
        </w:rPr>
      </w:pPr>
    </w:p>
    <w:p w14:paraId="70B8315E" w14:textId="77777777" w:rsidR="00667D9C" w:rsidRDefault="00667D9C" w:rsidP="000E50D2">
      <w:pPr>
        <w:rPr>
          <w:sz w:val="28"/>
          <w:szCs w:val="28"/>
          <w:lang w:val="es-ES"/>
        </w:rPr>
      </w:pPr>
    </w:p>
    <w:p w14:paraId="311DDDF9" w14:textId="77777777" w:rsidR="00E52E54" w:rsidRDefault="00E52E54" w:rsidP="000E50D2">
      <w:pPr>
        <w:rPr>
          <w:sz w:val="28"/>
          <w:szCs w:val="28"/>
          <w:lang w:val="es-ES"/>
        </w:rPr>
      </w:pPr>
    </w:p>
    <w:p w14:paraId="014DB2F7" w14:textId="13AF77FD" w:rsidR="00906F9E" w:rsidRPr="00E406B4" w:rsidRDefault="00906F9E" w:rsidP="000E50D2">
      <w:pPr>
        <w:rPr>
          <w:b/>
          <w:sz w:val="28"/>
          <w:szCs w:val="28"/>
          <w:lang w:val="es-ES"/>
        </w:rPr>
      </w:pPr>
      <w:r w:rsidRPr="00E406B4">
        <w:rPr>
          <w:b/>
          <w:sz w:val="28"/>
          <w:szCs w:val="28"/>
          <w:lang w:val="es-ES"/>
        </w:rPr>
        <w:lastRenderedPageBreak/>
        <w:t xml:space="preserve">Consultoría Jurídica </w:t>
      </w:r>
    </w:p>
    <w:p w14:paraId="1CD756A5" w14:textId="77777777" w:rsidR="00E059B5" w:rsidRPr="00E059B5" w:rsidRDefault="00E059B5" w:rsidP="00E059B5">
      <w:pPr>
        <w:rPr>
          <w:lang w:val="es-ES"/>
        </w:rPr>
      </w:pPr>
    </w:p>
    <w:p w14:paraId="1A05BCEE" w14:textId="2735D136" w:rsidR="003A7799" w:rsidRPr="008C7058" w:rsidRDefault="003A7799" w:rsidP="003A7799">
      <w:pPr>
        <w:spacing w:line="480" w:lineRule="auto"/>
        <w:jc w:val="both"/>
        <w:rPr>
          <w:lang w:val="es-ES"/>
        </w:rPr>
      </w:pPr>
      <w:r w:rsidRPr="00C14D91">
        <w:rPr>
          <w:lang w:val="es-ES"/>
        </w:rPr>
        <w:t>Durante el año 201</w:t>
      </w:r>
      <w:r w:rsidR="008C7058">
        <w:rPr>
          <w:lang w:val="es-ES"/>
        </w:rPr>
        <w:t>9</w:t>
      </w:r>
      <w:r w:rsidRPr="00C14D91">
        <w:rPr>
          <w:lang w:val="es-ES"/>
        </w:rPr>
        <w:t xml:space="preserve">, la Consultoría Jurídica de esta Dirección General de Minería, respecto a las funciones encomendadas y apegada a la Ley Minera146-71 y su Reglamento de Aplicación No. 207-98 y demás normas vinculantes a la administración pública y en especial en aquellas donde interviene esta institución. Esta Dirección Jurídica está enfocada en apoyar las áreas sustantivas en sus metas presidenciales y mejorando nuestros servicios al usuario con la finalidad de elevar la calidad en los mismos, a los más altos estándares institucionales.  </w:t>
      </w:r>
    </w:p>
    <w:p w14:paraId="654AC42E" w14:textId="77777777" w:rsidR="00667D9C" w:rsidRPr="008C7058" w:rsidRDefault="00667D9C" w:rsidP="00E406B4">
      <w:pPr>
        <w:spacing w:line="360" w:lineRule="auto"/>
        <w:jc w:val="both"/>
        <w:rPr>
          <w:lang w:val="es-ES"/>
        </w:rPr>
      </w:pPr>
    </w:p>
    <w:p w14:paraId="22047034" w14:textId="18F00E70" w:rsidR="003A7799" w:rsidRPr="00C14D91" w:rsidRDefault="003A7799" w:rsidP="003A7799">
      <w:pPr>
        <w:spacing w:line="480" w:lineRule="auto"/>
        <w:jc w:val="both"/>
        <w:rPr>
          <w:lang w:val="es-ES"/>
        </w:rPr>
      </w:pPr>
      <w:r w:rsidRPr="00770825">
        <w:rPr>
          <w:lang w:val="es-ES"/>
        </w:rPr>
        <w:t xml:space="preserve">En cuanto a las recomendaciones de otorgamiento de concesiones mineras, al Ministerio de Energía y Minas, </w:t>
      </w:r>
      <w:r w:rsidR="007A4247" w:rsidRPr="00770825">
        <w:rPr>
          <w:lang w:val="es-ES"/>
        </w:rPr>
        <w:t>durante el ejercicio fiscal 201</w:t>
      </w:r>
      <w:r w:rsidR="00BD40A9" w:rsidRPr="00770825">
        <w:rPr>
          <w:lang w:val="es-ES"/>
        </w:rPr>
        <w:t>9</w:t>
      </w:r>
      <w:r w:rsidR="007A4247" w:rsidRPr="00C14D91">
        <w:rPr>
          <w:lang w:val="es-ES"/>
        </w:rPr>
        <w:t xml:space="preserve"> </w:t>
      </w:r>
      <w:r w:rsidRPr="00C14D91">
        <w:rPr>
          <w:lang w:val="es-ES"/>
        </w:rPr>
        <w:t xml:space="preserve">fueron remitidas unas </w:t>
      </w:r>
      <w:r w:rsidR="00770825" w:rsidRPr="00770825">
        <w:rPr>
          <w:lang w:val="es-ES"/>
        </w:rPr>
        <w:t>treinta</w:t>
      </w:r>
      <w:r w:rsidR="00BD40A9" w:rsidRPr="00770825">
        <w:rPr>
          <w:lang w:val="es-ES"/>
        </w:rPr>
        <w:t xml:space="preserve"> y </w:t>
      </w:r>
      <w:r w:rsidR="00770825" w:rsidRPr="00770825">
        <w:rPr>
          <w:lang w:val="es-ES"/>
        </w:rPr>
        <w:t>dos</w:t>
      </w:r>
      <w:r w:rsidR="00BD40A9" w:rsidRPr="00770825">
        <w:rPr>
          <w:lang w:val="es-ES"/>
        </w:rPr>
        <w:t xml:space="preserve"> (</w:t>
      </w:r>
      <w:r w:rsidR="00770825" w:rsidRPr="00770825">
        <w:rPr>
          <w:lang w:val="es-ES"/>
        </w:rPr>
        <w:t>3</w:t>
      </w:r>
      <w:r w:rsidR="00BD40A9" w:rsidRPr="00770825">
        <w:rPr>
          <w:lang w:val="es-ES"/>
        </w:rPr>
        <w:t>2</w:t>
      </w:r>
      <w:r w:rsidR="007A4247" w:rsidRPr="00C14D91">
        <w:rPr>
          <w:lang w:val="es-ES"/>
        </w:rPr>
        <w:t xml:space="preserve">) solicitudes de concesiones mineras, dentro de las cuales </w:t>
      </w:r>
      <w:r w:rsidR="00BD40A9" w:rsidRPr="00770825">
        <w:rPr>
          <w:lang w:val="es-ES"/>
        </w:rPr>
        <w:t xml:space="preserve">vente y </w:t>
      </w:r>
      <w:r w:rsidR="00770825" w:rsidRPr="00770825">
        <w:rPr>
          <w:lang w:val="es-ES"/>
        </w:rPr>
        <w:t>una</w:t>
      </w:r>
      <w:r w:rsidR="008B1791" w:rsidRPr="00C14D91">
        <w:rPr>
          <w:lang w:val="es-ES"/>
        </w:rPr>
        <w:t xml:space="preserve"> </w:t>
      </w:r>
      <w:r w:rsidR="00BD40A9" w:rsidRPr="00770825">
        <w:rPr>
          <w:lang w:val="es-ES"/>
        </w:rPr>
        <w:t>(2</w:t>
      </w:r>
      <w:r w:rsidR="00770825" w:rsidRPr="00770825">
        <w:rPr>
          <w:lang w:val="es-ES"/>
        </w:rPr>
        <w:t>1</w:t>
      </w:r>
      <w:r w:rsidR="007A4247" w:rsidRPr="00C14D91">
        <w:rPr>
          <w:lang w:val="es-ES"/>
        </w:rPr>
        <w:t xml:space="preserve">) de Exploración Minera no Metálicas, </w:t>
      </w:r>
      <w:r w:rsidR="00770825" w:rsidRPr="00770825">
        <w:rPr>
          <w:lang w:val="es-ES"/>
        </w:rPr>
        <w:t>siete</w:t>
      </w:r>
      <w:r w:rsidR="008B1791" w:rsidRPr="00C14D91">
        <w:rPr>
          <w:lang w:val="es-ES"/>
        </w:rPr>
        <w:t xml:space="preserve"> </w:t>
      </w:r>
      <w:r w:rsidR="00BD40A9" w:rsidRPr="00770825">
        <w:rPr>
          <w:lang w:val="es-ES"/>
        </w:rPr>
        <w:t>(</w:t>
      </w:r>
      <w:r w:rsidR="00770825" w:rsidRPr="00770825">
        <w:rPr>
          <w:lang w:val="es-ES"/>
        </w:rPr>
        <w:t>7</w:t>
      </w:r>
      <w:r w:rsidR="007A4247" w:rsidRPr="00C14D91">
        <w:rPr>
          <w:lang w:val="es-ES"/>
        </w:rPr>
        <w:t>) de Exploración Minera Metálicas</w:t>
      </w:r>
      <w:r w:rsidR="00770825" w:rsidRPr="00770825">
        <w:rPr>
          <w:lang w:val="es-ES"/>
        </w:rPr>
        <w:t xml:space="preserve"> y cuatro </w:t>
      </w:r>
      <w:r w:rsidR="007A4247" w:rsidRPr="00C14D91">
        <w:rPr>
          <w:lang w:val="es-ES"/>
        </w:rPr>
        <w:t>(</w:t>
      </w:r>
      <w:r w:rsidR="00770825" w:rsidRPr="00770825">
        <w:rPr>
          <w:lang w:val="es-ES"/>
        </w:rPr>
        <w:t>4</w:t>
      </w:r>
      <w:r w:rsidR="007A4247" w:rsidRPr="00C14D91">
        <w:rPr>
          <w:lang w:val="es-ES"/>
        </w:rPr>
        <w:t xml:space="preserve">) de </w:t>
      </w:r>
      <w:r w:rsidR="00BD40A9" w:rsidRPr="00770825">
        <w:rPr>
          <w:lang w:val="es-ES"/>
        </w:rPr>
        <w:t>Explotación Minera No Metálicas</w:t>
      </w:r>
      <w:r w:rsidR="007A4247" w:rsidRPr="00C14D91">
        <w:rPr>
          <w:lang w:val="es-ES"/>
        </w:rPr>
        <w:t>.</w:t>
      </w:r>
    </w:p>
    <w:p w14:paraId="45BA5EC3" w14:textId="77777777" w:rsidR="003A7799" w:rsidRPr="00C14D91" w:rsidRDefault="003A7799" w:rsidP="00E406B4">
      <w:pPr>
        <w:spacing w:line="360" w:lineRule="auto"/>
        <w:jc w:val="both"/>
        <w:rPr>
          <w:lang w:val="es-ES"/>
        </w:rPr>
      </w:pPr>
    </w:p>
    <w:p w14:paraId="6EE28639" w14:textId="537E13C7" w:rsidR="003A7799" w:rsidRPr="008C7058" w:rsidRDefault="007A4247" w:rsidP="003A7799">
      <w:pPr>
        <w:spacing w:line="480" w:lineRule="auto"/>
        <w:jc w:val="both"/>
        <w:rPr>
          <w:lang w:val="es-ES"/>
        </w:rPr>
      </w:pPr>
      <w:r w:rsidRPr="008C7058">
        <w:rPr>
          <w:lang w:val="es-ES"/>
        </w:rPr>
        <w:t>Con</w:t>
      </w:r>
      <w:r w:rsidR="003A7799" w:rsidRPr="008C7058">
        <w:rPr>
          <w:lang w:val="es-ES"/>
        </w:rPr>
        <w:t xml:space="preserve"> la finalidad de cumplir con el debido proceso sobre la notificación de correcciones y notificaciones de declaraciones de renunciantes a solicitantes con domicilio desconocido, </w:t>
      </w:r>
      <w:r w:rsidRPr="008C7058">
        <w:rPr>
          <w:lang w:val="es-ES"/>
        </w:rPr>
        <w:t>se</w:t>
      </w:r>
      <w:r w:rsidR="003A7799" w:rsidRPr="008C7058">
        <w:rPr>
          <w:lang w:val="es-ES"/>
        </w:rPr>
        <w:t xml:space="preserve"> notifica</w:t>
      </w:r>
      <w:r w:rsidRPr="008C7058">
        <w:rPr>
          <w:lang w:val="es-ES"/>
        </w:rPr>
        <w:t xml:space="preserve">ron </w:t>
      </w:r>
      <w:r w:rsidR="003C58D9">
        <w:rPr>
          <w:lang w:val="es-ES"/>
        </w:rPr>
        <w:t>vente y un</w:t>
      </w:r>
      <w:r w:rsidR="003A7799" w:rsidRPr="00C14D91">
        <w:rPr>
          <w:lang w:val="es-ES"/>
        </w:rPr>
        <w:t xml:space="preserve"> (</w:t>
      </w:r>
      <w:r w:rsidR="003C58D9">
        <w:rPr>
          <w:lang w:val="es-ES"/>
        </w:rPr>
        <w:t>21</w:t>
      </w:r>
      <w:r w:rsidR="003A7799" w:rsidRPr="00C14D91">
        <w:rPr>
          <w:lang w:val="es-ES"/>
        </w:rPr>
        <w:t>) solicitantes de concesiones mineras</w:t>
      </w:r>
      <w:r w:rsidRPr="00C14D91">
        <w:rPr>
          <w:lang w:val="es-ES"/>
        </w:rPr>
        <w:t xml:space="preserve">, </w:t>
      </w:r>
      <w:r w:rsidR="003A7799" w:rsidRPr="00C14D91">
        <w:rPr>
          <w:lang w:val="es-ES"/>
        </w:rPr>
        <w:t>agota</w:t>
      </w:r>
      <w:r w:rsidRPr="008C7058">
        <w:rPr>
          <w:lang w:val="es-ES"/>
        </w:rPr>
        <w:t xml:space="preserve">ndo así </w:t>
      </w:r>
      <w:r w:rsidR="003A7799" w:rsidRPr="008C7058">
        <w:rPr>
          <w:lang w:val="es-ES"/>
        </w:rPr>
        <w:t xml:space="preserve">los plazos </w:t>
      </w:r>
      <w:r w:rsidRPr="008C7058">
        <w:rPr>
          <w:lang w:val="es-ES"/>
        </w:rPr>
        <w:t>de</w:t>
      </w:r>
      <w:r w:rsidR="003A7799" w:rsidRPr="008C7058">
        <w:rPr>
          <w:lang w:val="es-ES"/>
        </w:rPr>
        <w:t xml:space="preserve"> la Resolución de Ministerio de Energía y Minas, No. R-MEM-REG-002-2017, sobre el perfeccionamiento de las solicitudes</w:t>
      </w:r>
      <w:r w:rsidRPr="008C7058">
        <w:rPr>
          <w:lang w:val="es-ES"/>
        </w:rPr>
        <w:t xml:space="preserve">. </w:t>
      </w:r>
    </w:p>
    <w:p w14:paraId="57472661" w14:textId="77777777" w:rsidR="00884586" w:rsidRPr="008C7058" w:rsidRDefault="00884586" w:rsidP="00E406B4">
      <w:pPr>
        <w:spacing w:line="360" w:lineRule="auto"/>
        <w:jc w:val="both"/>
        <w:rPr>
          <w:lang w:val="es-ES"/>
        </w:rPr>
      </w:pPr>
    </w:p>
    <w:p w14:paraId="686275C1" w14:textId="706971B1" w:rsidR="003A7799" w:rsidRPr="00C14D91" w:rsidRDefault="003A7799" w:rsidP="003A7799">
      <w:pPr>
        <w:spacing w:line="480" w:lineRule="auto"/>
        <w:jc w:val="both"/>
        <w:rPr>
          <w:lang w:val="es-ES"/>
        </w:rPr>
      </w:pPr>
      <w:r w:rsidRPr="008C7058">
        <w:rPr>
          <w:lang w:val="es-ES"/>
        </w:rPr>
        <w:t xml:space="preserve">Respecto a las funciones dotadas por la Ley para las recomendaciones para caducidad, en virtud de los incumplimientos contenidos en los artículos 96 y 97 de la Ley Minera 146-71, esta Dirección Jurídica, inició los procesos de caducidad de </w:t>
      </w:r>
      <w:r w:rsidR="003C58D9">
        <w:rPr>
          <w:lang w:val="es-ES"/>
        </w:rPr>
        <w:t>tres</w:t>
      </w:r>
      <w:r w:rsidRPr="00C14D91">
        <w:rPr>
          <w:lang w:val="es-ES"/>
        </w:rPr>
        <w:t xml:space="preserve"> (</w:t>
      </w:r>
      <w:r w:rsidR="003C58D9">
        <w:rPr>
          <w:lang w:val="es-ES"/>
        </w:rPr>
        <w:t>3</w:t>
      </w:r>
      <w:r w:rsidRPr="00C14D91">
        <w:rPr>
          <w:lang w:val="es-ES"/>
        </w:rPr>
        <w:t xml:space="preserve">) concesiones mineras, realizando la notificación de advertencia estipulada en el artículo 63 del Reglamento de Aplicación de la Ley Minera No. 207-98. De </w:t>
      </w:r>
      <w:r w:rsidRPr="00C14D91">
        <w:rPr>
          <w:lang w:val="es-ES"/>
        </w:rPr>
        <w:lastRenderedPageBreak/>
        <w:t xml:space="preserve">igual forma se han remitido al Ministerio de Energía y Minas </w:t>
      </w:r>
      <w:r w:rsidR="003C58D9">
        <w:rPr>
          <w:lang w:val="es-ES"/>
        </w:rPr>
        <w:t>vente y dos</w:t>
      </w:r>
      <w:r w:rsidRPr="00C14D91">
        <w:rPr>
          <w:lang w:val="es-ES"/>
        </w:rPr>
        <w:t xml:space="preserve"> (</w:t>
      </w:r>
      <w:r w:rsidR="003C58D9">
        <w:rPr>
          <w:lang w:val="es-ES"/>
        </w:rPr>
        <w:t>22</w:t>
      </w:r>
      <w:r w:rsidRPr="00C14D91">
        <w:rPr>
          <w:lang w:val="es-ES"/>
        </w:rPr>
        <w:t>) expedientes recomendando la caducidad absoluta</w:t>
      </w:r>
      <w:r w:rsidR="00086AD0">
        <w:rPr>
          <w:lang w:val="es-ES"/>
        </w:rPr>
        <w:t>, por no obtemperar a la advertencia para subsanar</w:t>
      </w:r>
      <w:r w:rsidR="007A4247" w:rsidRPr="00C14D91">
        <w:rPr>
          <w:lang w:val="es-ES"/>
        </w:rPr>
        <w:t>.</w:t>
      </w:r>
      <w:r w:rsidRPr="00C14D91">
        <w:rPr>
          <w:lang w:val="es-ES"/>
        </w:rPr>
        <w:t xml:space="preserve"> </w:t>
      </w:r>
    </w:p>
    <w:p w14:paraId="244C68E6" w14:textId="77777777" w:rsidR="003A7799" w:rsidRPr="00C14D91" w:rsidRDefault="003A7799" w:rsidP="00E406B4">
      <w:pPr>
        <w:spacing w:line="360" w:lineRule="auto"/>
        <w:jc w:val="both"/>
        <w:rPr>
          <w:lang w:val="es-ES"/>
        </w:rPr>
      </w:pPr>
    </w:p>
    <w:p w14:paraId="22610CBC" w14:textId="368AF1C2" w:rsidR="003A7799" w:rsidRPr="00C14D91" w:rsidRDefault="003A7799" w:rsidP="003A7799">
      <w:pPr>
        <w:spacing w:line="480" w:lineRule="auto"/>
        <w:jc w:val="both"/>
        <w:rPr>
          <w:lang w:val="es-ES"/>
        </w:rPr>
      </w:pPr>
      <w:r w:rsidRPr="008C7058">
        <w:rPr>
          <w:lang w:val="es-ES"/>
        </w:rPr>
        <w:t xml:space="preserve">En este periodo esta Dirección Jurídica elaboró, a solicitud de los departamentos internos de esta Dirección General, </w:t>
      </w:r>
      <w:r w:rsidR="001C3891">
        <w:rPr>
          <w:lang w:val="es-ES"/>
        </w:rPr>
        <w:t>siete</w:t>
      </w:r>
      <w:r w:rsidRPr="00C14D91">
        <w:rPr>
          <w:lang w:val="es-ES"/>
        </w:rPr>
        <w:t xml:space="preserve"> (0</w:t>
      </w:r>
      <w:r w:rsidR="001C3891">
        <w:rPr>
          <w:lang w:val="es-ES"/>
        </w:rPr>
        <w:t>7</w:t>
      </w:r>
      <w:r w:rsidRPr="00C14D91">
        <w:rPr>
          <w:lang w:val="es-ES"/>
        </w:rPr>
        <w:t xml:space="preserve">) contratos referentes a la adquisición de servicios varios para el desenvolvimiento regular de la Dirección General de Minería y con la finalidad de mejorar su eficiencia en servicios. Para la adquisición de equipos, sistemas, suministro, almuerzo, vehículos entre otros, la Dirección Jurídica ha llevado a cabo seis (6) procedimientos de comparación de precios para la adquisición de los mismos. Todos estos procedimientos siguiendo los lineamientos de Ley No. 340-06 sobre Compras y Contrataciones de Bienes, Servicios, Obras y Concesiones. </w:t>
      </w:r>
    </w:p>
    <w:p w14:paraId="00323F39" w14:textId="77777777" w:rsidR="003A7799" w:rsidRPr="008C7058" w:rsidRDefault="003A7799" w:rsidP="00E406B4">
      <w:pPr>
        <w:jc w:val="both"/>
        <w:rPr>
          <w:lang w:val="es-ES"/>
        </w:rPr>
      </w:pPr>
    </w:p>
    <w:p w14:paraId="22B026A8" w14:textId="41E74E75" w:rsidR="003A7799" w:rsidRPr="00C14D91" w:rsidRDefault="003A7799" w:rsidP="003A7799">
      <w:pPr>
        <w:spacing w:line="480" w:lineRule="auto"/>
        <w:jc w:val="both"/>
        <w:rPr>
          <w:lang w:val="es-ES"/>
        </w:rPr>
      </w:pPr>
      <w:r w:rsidRPr="008C7058">
        <w:rPr>
          <w:lang w:val="es-ES"/>
        </w:rPr>
        <w:t xml:space="preserve">En adición a esto durante el ejercicio de este año, se nos presentaron </w:t>
      </w:r>
      <w:r w:rsidR="001C3891">
        <w:rPr>
          <w:lang w:val="es-ES"/>
        </w:rPr>
        <w:t xml:space="preserve">cinco (5) </w:t>
      </w:r>
      <w:r w:rsidRPr="00C14D91">
        <w:rPr>
          <w:lang w:val="es-ES"/>
        </w:rPr>
        <w:t>recursos de reconsideración los cuales f</w:t>
      </w:r>
      <w:r w:rsidR="001C3891">
        <w:rPr>
          <w:lang w:val="es-ES"/>
        </w:rPr>
        <w:t xml:space="preserve">ueron respondidos adecuadamente, relativos a las solicitudes de concesiones </w:t>
      </w:r>
      <w:r w:rsidRPr="00C14D91">
        <w:rPr>
          <w:lang w:val="es-ES"/>
        </w:rPr>
        <w:t>siguientes:</w:t>
      </w:r>
    </w:p>
    <w:p w14:paraId="5A3E68D1" w14:textId="77777777" w:rsidR="00070BB6" w:rsidRPr="00C14D91" w:rsidRDefault="00070BB6" w:rsidP="00E406B4">
      <w:pPr>
        <w:jc w:val="both"/>
        <w:rPr>
          <w:lang w:val="es-ES"/>
        </w:rPr>
      </w:pPr>
    </w:p>
    <w:p w14:paraId="5F4AE4D5" w14:textId="222FD996" w:rsidR="003A7799" w:rsidRPr="008C7058" w:rsidRDefault="003A7799" w:rsidP="003A7799">
      <w:pPr>
        <w:spacing w:line="480" w:lineRule="auto"/>
        <w:jc w:val="both"/>
        <w:rPr>
          <w:lang w:val="es-ES"/>
        </w:rPr>
      </w:pPr>
      <w:r w:rsidRPr="008C7058">
        <w:rPr>
          <w:lang w:val="es-ES"/>
        </w:rPr>
        <w:t xml:space="preserve">El departamento jurídico de igual forma realizó una revisión de los requisitos y los procedimientos de recepción de solicitudes en esta Dirección General de Minería. Además de que contempló el procedimiento especial sobre las solicitudes y denuncias recibidas simultáneamente. </w:t>
      </w:r>
    </w:p>
    <w:p w14:paraId="5739AFB2" w14:textId="77777777" w:rsidR="003A7799" w:rsidRDefault="003A7799" w:rsidP="00753E69">
      <w:pPr>
        <w:spacing w:line="360" w:lineRule="auto"/>
        <w:jc w:val="both"/>
        <w:rPr>
          <w:lang w:val="es-ES"/>
        </w:rPr>
      </w:pPr>
    </w:p>
    <w:p w14:paraId="4BF27D9D" w14:textId="236BA084" w:rsidR="008321E3" w:rsidRDefault="003A7799" w:rsidP="003A7799">
      <w:pPr>
        <w:spacing w:line="480" w:lineRule="auto"/>
        <w:jc w:val="both"/>
        <w:rPr>
          <w:lang w:val="es-ES"/>
        </w:rPr>
      </w:pPr>
      <w:r w:rsidRPr="00C14D91">
        <w:rPr>
          <w:lang w:val="es-ES"/>
        </w:rPr>
        <w:t xml:space="preserve">En el área de litigio hemos efectuado </w:t>
      </w:r>
      <w:r w:rsidR="00C23DC0">
        <w:rPr>
          <w:lang w:val="es-ES"/>
        </w:rPr>
        <w:t>entre otras, las acciones siguientes:</w:t>
      </w:r>
      <w:r w:rsidRPr="00C14D91">
        <w:rPr>
          <w:lang w:val="es-ES"/>
        </w:rPr>
        <w:t xml:space="preserve"> </w:t>
      </w:r>
    </w:p>
    <w:p w14:paraId="57D2A29C" w14:textId="2EC70058" w:rsidR="00E54BC9" w:rsidRDefault="008321E3" w:rsidP="00E54BC9">
      <w:pPr>
        <w:spacing w:line="480" w:lineRule="auto"/>
        <w:jc w:val="both"/>
      </w:pPr>
      <w:r w:rsidRPr="008321E3">
        <w:rPr>
          <w:lang w:val="es-ES"/>
        </w:rPr>
        <w:t>a).- Demanda principal en Nulidad de la Sentencia de Adjudicación número 250-2018-SCIV-00018 del  7 de mayo del 2018, interpuesta por el Banco Promerica</w:t>
      </w:r>
      <w:r>
        <w:rPr>
          <w:lang w:val="es-ES"/>
        </w:rPr>
        <w:t xml:space="preserve">, </w:t>
      </w:r>
      <w:r w:rsidR="007A4A8D">
        <w:rPr>
          <w:lang w:val="es-ES"/>
        </w:rPr>
        <w:t xml:space="preserve">con diversas acciones judiciales, </w:t>
      </w:r>
      <w:r>
        <w:rPr>
          <w:lang w:val="es-ES"/>
        </w:rPr>
        <w:t xml:space="preserve">por asunto del </w:t>
      </w:r>
      <w:r>
        <w:rPr>
          <w:lang w:val="es-ES"/>
        </w:rPr>
        <w:lastRenderedPageBreak/>
        <w:t>proceso de Embargo Inmobiliario, perseguido por la sociedad Coral Chain, Inc.</w:t>
      </w:r>
      <w:r w:rsidR="007A4A8D">
        <w:rPr>
          <w:lang w:val="es-ES"/>
        </w:rPr>
        <w:t xml:space="preserve"> </w:t>
      </w:r>
      <w:r w:rsidR="00C23DC0">
        <w:rPr>
          <w:lang w:val="es-ES"/>
        </w:rPr>
        <w:t xml:space="preserve">. b).- </w:t>
      </w:r>
      <w:r w:rsidR="007A4A8D" w:rsidRPr="00AE4D29">
        <w:rPr>
          <w:lang w:val="es-ES"/>
        </w:rPr>
        <w:t>Demanda  en Declaratoria de Nulidad de Contrato de Compraventa  incoada por Banco Promerica</w:t>
      </w:r>
      <w:r w:rsidR="00AE4D29">
        <w:rPr>
          <w:lang w:val="es-ES"/>
        </w:rPr>
        <w:t xml:space="preserve"> </w:t>
      </w:r>
      <w:r w:rsidR="00E54BC9" w:rsidRPr="009C32C1">
        <w:t>mediante acto número 515-2019 del 4-09-2018 del ministerial  Wilfredo Chireno</w:t>
      </w:r>
      <w:r w:rsidR="00C23DC0">
        <w:t xml:space="preserve">; </w:t>
      </w:r>
      <w:r w:rsidR="00E54BC9" w:rsidRPr="009C32C1">
        <w:t>c)</w:t>
      </w:r>
      <w:r w:rsidR="00C23DC0">
        <w:t>.-</w:t>
      </w:r>
      <w:r w:rsidR="00E54BC9" w:rsidRPr="009C32C1">
        <w:t xml:space="preserve"> Demanda </w:t>
      </w:r>
      <w:r w:rsidR="00C23DC0" w:rsidRPr="009C32C1">
        <w:t>Reconvencional en</w:t>
      </w:r>
      <w:r w:rsidR="00E54BC9" w:rsidRPr="009C32C1">
        <w:t xml:space="preserve"> Suspensión de Sentencia de </w:t>
      </w:r>
      <w:r w:rsidR="00C23DC0" w:rsidRPr="009C32C1">
        <w:t>Adjudicación incoada</w:t>
      </w:r>
      <w:r w:rsidR="00E54BC9" w:rsidRPr="009C32C1">
        <w:t xml:space="preserve"> por Banco Promerica mediante acto número 570-2019 del 15-10-201</w:t>
      </w:r>
      <w:r w:rsidR="00E54BC9">
        <w:t>9</w:t>
      </w:r>
      <w:r w:rsidR="00E54BC9" w:rsidRPr="009C32C1">
        <w:t xml:space="preserve"> d</w:t>
      </w:r>
      <w:r w:rsidR="00C23DC0">
        <w:t>el ministerial Wilfredo Chireno;</w:t>
      </w:r>
      <w:r w:rsidR="00C23DC0" w:rsidRPr="00C23DC0">
        <w:rPr>
          <w:lang w:val="es-ES"/>
        </w:rPr>
        <w:t xml:space="preserve"> </w:t>
      </w:r>
      <w:r w:rsidR="00C23DC0">
        <w:rPr>
          <w:lang w:val="es-ES"/>
        </w:rPr>
        <w:t xml:space="preserve">e).- </w:t>
      </w:r>
      <w:r w:rsidR="00C23DC0" w:rsidRPr="009C32C1">
        <w:t>Demanda en Referimiento en Resolución de Dificultades de Ejecución de Sentencia de Adjudicación</w:t>
      </w:r>
      <w:r w:rsidR="00C23DC0">
        <w:t xml:space="preserve">, </w:t>
      </w:r>
      <w:r w:rsidR="00C23DC0" w:rsidRPr="009C32C1">
        <w:t xml:space="preserve">en contra del Banco Promerica; </w:t>
      </w:r>
      <w:r w:rsidR="00C23DC0">
        <w:t xml:space="preserve"> </w:t>
      </w:r>
      <w:r w:rsidR="00C23DC0" w:rsidRPr="009C32C1">
        <w:t>Transvas, SRL conjuntamente con los intervinientes forzosos:</w:t>
      </w:r>
    </w:p>
    <w:p w14:paraId="770FCF02" w14:textId="77777777" w:rsidR="00E54BC9" w:rsidRDefault="00E54BC9" w:rsidP="00E54BC9">
      <w:pPr>
        <w:spacing w:line="480" w:lineRule="auto"/>
        <w:jc w:val="both"/>
      </w:pPr>
    </w:p>
    <w:p w14:paraId="34857777" w14:textId="7233EA0A" w:rsidR="00E54BC9" w:rsidRDefault="00E54BC9" w:rsidP="00E54BC9">
      <w:pPr>
        <w:spacing w:line="480" w:lineRule="auto"/>
        <w:jc w:val="both"/>
      </w:pPr>
      <w:r>
        <w:t>d</w:t>
      </w:r>
      <w:r w:rsidR="00C23DC0">
        <w:t>.-</w:t>
      </w:r>
      <w:r>
        <w:t xml:space="preserve"> </w:t>
      </w:r>
      <w:r w:rsidRPr="009C32C1">
        <w:t>Reiteración a Oposición a Entrega o Desapoderamiento de Bienes Muebles Inmuebles y Valores Pertenecientes a la sociedad Ideal Dominicana, Oposición a Traspaso Adjudicación  de Concesión Minera Cabo Rojo y demás Dependencias inmuebles pertenecientes o que pertenecieran a la sociedad comercial Ideal Dominicana</w:t>
      </w:r>
      <w:r w:rsidR="00C23DC0">
        <w:t>.</w:t>
      </w:r>
    </w:p>
    <w:p w14:paraId="2364EF0F" w14:textId="08502E71" w:rsidR="00C23DC0" w:rsidRDefault="00C23DC0" w:rsidP="00E54BC9">
      <w:pPr>
        <w:spacing w:line="480" w:lineRule="auto"/>
        <w:jc w:val="both"/>
      </w:pPr>
      <w:r>
        <w:t xml:space="preserve">e).- </w:t>
      </w:r>
      <w:r w:rsidR="001A1BCF" w:rsidRPr="001A1BCF">
        <w:t>D</w:t>
      </w:r>
      <w:r w:rsidR="001A1BCF">
        <w:t xml:space="preserve">emanda en Justiprecio e Indemnización de pago por daños Previsibles, interpuesta por la </w:t>
      </w:r>
      <w:r w:rsidR="001A1BCF" w:rsidRPr="009C32C1">
        <w:t xml:space="preserve">sociedad Corfysa, S.A. y compartes, en contra </w:t>
      </w:r>
      <w:r w:rsidR="007C3616" w:rsidRPr="009C32C1">
        <w:t>de Cementos</w:t>
      </w:r>
      <w:r w:rsidR="001A1BCF" w:rsidRPr="009C32C1">
        <w:t xml:space="preserve"> Cibao, S.A. y compartes;</w:t>
      </w:r>
    </w:p>
    <w:p w14:paraId="0AB4C068" w14:textId="77777777" w:rsidR="00CB1A3A" w:rsidRPr="001A1BCF" w:rsidRDefault="00CB1A3A" w:rsidP="00E54BC9">
      <w:pPr>
        <w:spacing w:line="480" w:lineRule="auto"/>
        <w:jc w:val="both"/>
      </w:pPr>
    </w:p>
    <w:p w14:paraId="4E665C51" w14:textId="77777777" w:rsidR="00CB1A3A" w:rsidRPr="009C32C1" w:rsidRDefault="001A1BCF" w:rsidP="00CB1A3A">
      <w:pPr>
        <w:spacing w:line="480" w:lineRule="auto"/>
        <w:jc w:val="both"/>
      </w:pPr>
      <w:r w:rsidRPr="00CB1A3A">
        <w:t xml:space="preserve">f).- Litis en terrenos registrados, sobre designaciones de parcelas temporales dentro </w:t>
      </w:r>
      <w:r w:rsidR="00CB1A3A" w:rsidRPr="009C32C1">
        <w:t>que se encuentra en un 100% dentro del área de concesiones de explotación otorgada denominada Barranca  en un orden de  24.69%, El Jobo en un 74% y Panam en un 0.56% otorgadas bajo la ley Minera número 146-71.</w:t>
      </w:r>
    </w:p>
    <w:p w14:paraId="40E8C32F" w14:textId="72C2234F" w:rsidR="007A4A8D" w:rsidRDefault="007A4A8D" w:rsidP="00E54BC9">
      <w:pPr>
        <w:spacing w:line="480" w:lineRule="auto"/>
        <w:jc w:val="both"/>
      </w:pPr>
    </w:p>
    <w:p w14:paraId="699682C3" w14:textId="77777777" w:rsidR="005814D8" w:rsidRDefault="005814D8" w:rsidP="00E54BC9">
      <w:pPr>
        <w:spacing w:line="480" w:lineRule="auto"/>
        <w:jc w:val="both"/>
      </w:pPr>
    </w:p>
    <w:p w14:paraId="5858A4C9" w14:textId="77777777" w:rsidR="005814D8" w:rsidRPr="00CB1A3A" w:rsidRDefault="005814D8" w:rsidP="00E54BC9">
      <w:pPr>
        <w:spacing w:line="480" w:lineRule="auto"/>
        <w:jc w:val="both"/>
      </w:pPr>
    </w:p>
    <w:p w14:paraId="2D10F5AC" w14:textId="5CCA9E87" w:rsidR="00906F9E" w:rsidRPr="00E406B4" w:rsidRDefault="00906F9E" w:rsidP="000E50D2">
      <w:pPr>
        <w:rPr>
          <w:b/>
          <w:sz w:val="28"/>
          <w:szCs w:val="28"/>
          <w:lang w:val="es-ES"/>
        </w:rPr>
      </w:pPr>
      <w:r w:rsidRPr="00E406B4">
        <w:rPr>
          <w:b/>
          <w:sz w:val="28"/>
          <w:szCs w:val="28"/>
          <w:lang w:val="es-ES"/>
        </w:rPr>
        <w:lastRenderedPageBreak/>
        <w:t>Registro Público de Derechos Mineros (RPDM)</w:t>
      </w:r>
    </w:p>
    <w:p w14:paraId="7EAD9CC0" w14:textId="77777777" w:rsidR="00E059B5" w:rsidRPr="00E059B5" w:rsidRDefault="00E059B5" w:rsidP="00E059B5">
      <w:pPr>
        <w:rPr>
          <w:lang w:val="es-ES"/>
        </w:rPr>
      </w:pPr>
    </w:p>
    <w:p w14:paraId="0F78196B" w14:textId="0E5E4FCD" w:rsidR="00B61525" w:rsidRPr="00C14D91" w:rsidRDefault="00B61525" w:rsidP="00B61525">
      <w:pPr>
        <w:spacing w:line="480" w:lineRule="auto"/>
        <w:jc w:val="both"/>
        <w:rPr>
          <w:lang w:val="es-ES"/>
        </w:rPr>
      </w:pPr>
      <w:r w:rsidRPr="00C14D91">
        <w:rPr>
          <w:lang w:val="es-ES"/>
        </w:rPr>
        <w:t>Durante el ejercicio fiscal 201</w:t>
      </w:r>
      <w:r w:rsidR="00012F8E">
        <w:rPr>
          <w:lang w:val="es-ES"/>
        </w:rPr>
        <w:t>9</w:t>
      </w:r>
      <w:r w:rsidRPr="00C14D91">
        <w:rPr>
          <w:lang w:val="es-ES"/>
        </w:rPr>
        <w:t>, a los fines de dar cumplimiento a las funciones otorgadas por la Ley 146/71 y su reglamento de aplicación No. 207/98 y para dar cumplimiento a los servicios requeridos por los ciudadanos, ya sean personas físicas o morales, hemos obtenido los siguientes resultados:</w:t>
      </w:r>
    </w:p>
    <w:p w14:paraId="0D73E55B" w14:textId="77777777" w:rsidR="00B61525" w:rsidRPr="00C14D91" w:rsidRDefault="00B61525" w:rsidP="00E406B4">
      <w:pPr>
        <w:jc w:val="both"/>
        <w:rPr>
          <w:lang w:val="es-ES"/>
        </w:rPr>
      </w:pPr>
    </w:p>
    <w:p w14:paraId="71A548AE" w14:textId="77777777" w:rsidR="00012F8E" w:rsidRPr="00001EC6" w:rsidRDefault="00012F8E" w:rsidP="00012F8E">
      <w:pPr>
        <w:pStyle w:val="Prrafodelista"/>
        <w:numPr>
          <w:ilvl w:val="0"/>
          <w:numId w:val="40"/>
        </w:numPr>
        <w:spacing w:line="480" w:lineRule="auto"/>
        <w:rPr>
          <w:b/>
          <w:lang w:val="es-ES"/>
        </w:rPr>
      </w:pPr>
      <w:r>
        <w:rPr>
          <w:b/>
          <w:lang w:val="es-ES"/>
        </w:rPr>
        <w:t>Inscripciones y tramitaciones</w:t>
      </w:r>
      <w:r w:rsidRPr="00001EC6">
        <w:rPr>
          <w:b/>
          <w:lang w:val="es-ES"/>
        </w:rPr>
        <w:t xml:space="preserve"> a la Dirección del Catastro Minero y la Consultoría Jurídica:</w:t>
      </w:r>
    </w:p>
    <w:p w14:paraId="6CE225FB" w14:textId="77777777" w:rsidR="00012F8E" w:rsidRDefault="00012F8E" w:rsidP="00012F8E">
      <w:pPr>
        <w:spacing w:line="480" w:lineRule="auto"/>
        <w:jc w:val="both"/>
        <w:rPr>
          <w:lang w:val="es-ES"/>
        </w:rPr>
      </w:pPr>
      <w:r w:rsidRPr="00664B50">
        <w:rPr>
          <w:lang w:val="es-ES"/>
        </w:rPr>
        <w:t xml:space="preserve">Ciento </w:t>
      </w:r>
      <w:r>
        <w:rPr>
          <w:lang w:val="es-ES"/>
        </w:rPr>
        <w:t xml:space="preserve">nueve </w:t>
      </w:r>
      <w:r w:rsidRPr="00664B50">
        <w:rPr>
          <w:lang w:val="es-ES"/>
        </w:rPr>
        <w:t>(</w:t>
      </w:r>
      <w:r>
        <w:rPr>
          <w:lang w:val="es-ES"/>
        </w:rPr>
        <w:t>109</w:t>
      </w:r>
      <w:r w:rsidRPr="00664B50">
        <w:rPr>
          <w:lang w:val="es-ES"/>
        </w:rPr>
        <w:t xml:space="preserve">) Denuncias de minerales, </w:t>
      </w:r>
      <w:r>
        <w:rPr>
          <w:lang w:val="es-ES"/>
        </w:rPr>
        <w:t>s</w:t>
      </w:r>
      <w:r w:rsidRPr="00664B50">
        <w:rPr>
          <w:lang w:val="es-ES"/>
        </w:rPr>
        <w:t>e</w:t>
      </w:r>
      <w:r>
        <w:rPr>
          <w:lang w:val="es-ES"/>
        </w:rPr>
        <w:t>tenta</w:t>
      </w:r>
      <w:r w:rsidRPr="00664B50">
        <w:rPr>
          <w:lang w:val="es-ES"/>
        </w:rPr>
        <w:t xml:space="preserve"> y </w:t>
      </w:r>
      <w:r>
        <w:rPr>
          <w:lang w:val="es-ES"/>
        </w:rPr>
        <w:t>seis</w:t>
      </w:r>
      <w:r w:rsidRPr="00664B50">
        <w:rPr>
          <w:lang w:val="es-ES"/>
        </w:rPr>
        <w:t xml:space="preserve"> (</w:t>
      </w:r>
      <w:r>
        <w:rPr>
          <w:lang w:val="es-ES"/>
        </w:rPr>
        <w:t>76</w:t>
      </w:r>
      <w:r w:rsidRPr="00664B50">
        <w:rPr>
          <w:lang w:val="es-ES"/>
        </w:rPr>
        <w:t xml:space="preserve">) Denuncias vencidas, </w:t>
      </w:r>
      <w:r>
        <w:rPr>
          <w:lang w:val="es-ES"/>
        </w:rPr>
        <w:t>cincuenta</w:t>
      </w:r>
      <w:r w:rsidRPr="00664B50">
        <w:rPr>
          <w:lang w:val="es-ES"/>
        </w:rPr>
        <w:t xml:space="preserve"> y </w:t>
      </w:r>
      <w:r>
        <w:rPr>
          <w:lang w:val="es-ES"/>
        </w:rPr>
        <w:t xml:space="preserve">sietes </w:t>
      </w:r>
      <w:r w:rsidRPr="00664B50">
        <w:rPr>
          <w:lang w:val="es-ES"/>
        </w:rPr>
        <w:t>(</w:t>
      </w:r>
      <w:r>
        <w:rPr>
          <w:lang w:val="es-ES"/>
        </w:rPr>
        <w:t>57</w:t>
      </w:r>
      <w:r w:rsidRPr="00664B50">
        <w:rPr>
          <w:lang w:val="es-ES"/>
        </w:rPr>
        <w:t xml:space="preserve">) nuevas solicitudes de concesiones mineras, </w:t>
      </w:r>
      <w:r>
        <w:rPr>
          <w:lang w:val="es-ES"/>
        </w:rPr>
        <w:t>c</w:t>
      </w:r>
      <w:r w:rsidRPr="00664B50">
        <w:rPr>
          <w:lang w:val="es-ES"/>
        </w:rPr>
        <w:t xml:space="preserve">iento </w:t>
      </w:r>
      <w:r>
        <w:rPr>
          <w:lang w:val="es-ES"/>
        </w:rPr>
        <w:t>treinta</w:t>
      </w:r>
      <w:r w:rsidRPr="00664B50">
        <w:rPr>
          <w:lang w:val="es-ES"/>
        </w:rPr>
        <w:t xml:space="preserve"> (1</w:t>
      </w:r>
      <w:r>
        <w:rPr>
          <w:lang w:val="es-ES"/>
        </w:rPr>
        <w:t>3</w:t>
      </w:r>
      <w:r w:rsidRPr="00664B50">
        <w:rPr>
          <w:lang w:val="es-ES"/>
        </w:rPr>
        <w:t xml:space="preserve">0) correcciones a solicitudes de concesiones mineras, </w:t>
      </w:r>
      <w:r>
        <w:rPr>
          <w:lang w:val="es-ES"/>
        </w:rPr>
        <w:t>tres</w:t>
      </w:r>
      <w:r w:rsidRPr="00664B50">
        <w:rPr>
          <w:lang w:val="es-ES"/>
        </w:rPr>
        <w:t xml:space="preserve"> (</w:t>
      </w:r>
      <w:r>
        <w:rPr>
          <w:lang w:val="es-ES"/>
        </w:rPr>
        <w:t>3</w:t>
      </w:r>
      <w:r w:rsidRPr="00664B50">
        <w:rPr>
          <w:lang w:val="es-ES"/>
        </w:rPr>
        <w:t xml:space="preserve">) renuncias a solicitudes de concesiones mineras, </w:t>
      </w:r>
      <w:r>
        <w:rPr>
          <w:lang w:val="es-ES"/>
        </w:rPr>
        <w:t>cero</w:t>
      </w:r>
      <w:r w:rsidRPr="00664B50">
        <w:rPr>
          <w:lang w:val="es-ES"/>
        </w:rPr>
        <w:t xml:space="preserve"> (</w:t>
      </w:r>
      <w:r>
        <w:rPr>
          <w:lang w:val="es-ES"/>
        </w:rPr>
        <w:t>0</w:t>
      </w:r>
      <w:r w:rsidRPr="00664B50">
        <w:rPr>
          <w:lang w:val="es-ES"/>
        </w:rPr>
        <w:t>) renuncias total</w:t>
      </w:r>
      <w:r>
        <w:rPr>
          <w:lang w:val="es-ES"/>
        </w:rPr>
        <w:t>es</w:t>
      </w:r>
      <w:r w:rsidRPr="00664B50">
        <w:rPr>
          <w:lang w:val="es-ES"/>
        </w:rPr>
        <w:t xml:space="preserve"> y parciales de concesiones, </w:t>
      </w:r>
      <w:r>
        <w:rPr>
          <w:lang w:val="es-ES"/>
        </w:rPr>
        <w:t>cuatro</w:t>
      </w:r>
      <w:r w:rsidRPr="00664B50">
        <w:rPr>
          <w:lang w:val="es-ES"/>
        </w:rPr>
        <w:t xml:space="preserve"> (</w:t>
      </w:r>
      <w:r>
        <w:rPr>
          <w:lang w:val="es-ES"/>
        </w:rPr>
        <w:t>4)</w:t>
      </w:r>
      <w:r w:rsidRPr="00664B50">
        <w:rPr>
          <w:lang w:val="es-ES"/>
        </w:rPr>
        <w:t xml:space="preserve"> renuncia</w:t>
      </w:r>
      <w:r>
        <w:rPr>
          <w:lang w:val="es-ES"/>
        </w:rPr>
        <w:t>s</w:t>
      </w:r>
      <w:r w:rsidRPr="00664B50">
        <w:rPr>
          <w:lang w:val="es-ES"/>
        </w:rPr>
        <w:t xml:space="preserve"> a denuncia</w:t>
      </w:r>
      <w:r>
        <w:rPr>
          <w:lang w:val="es-ES"/>
        </w:rPr>
        <w:t>s</w:t>
      </w:r>
      <w:r w:rsidRPr="00664B50">
        <w:rPr>
          <w:lang w:val="es-ES"/>
        </w:rPr>
        <w:t xml:space="preserve">, </w:t>
      </w:r>
      <w:r>
        <w:rPr>
          <w:lang w:val="es-ES"/>
        </w:rPr>
        <w:t>o</w:t>
      </w:r>
      <w:r w:rsidRPr="00664B50">
        <w:rPr>
          <w:lang w:val="es-ES"/>
        </w:rPr>
        <w:t xml:space="preserve">nce (11) solicitudes declaradas renunciantes y </w:t>
      </w:r>
      <w:r>
        <w:rPr>
          <w:lang w:val="es-ES"/>
        </w:rPr>
        <w:t>cero</w:t>
      </w:r>
      <w:r w:rsidRPr="00664B50">
        <w:rPr>
          <w:lang w:val="es-ES"/>
        </w:rPr>
        <w:t xml:space="preserve"> (</w:t>
      </w:r>
      <w:r>
        <w:rPr>
          <w:lang w:val="es-ES"/>
        </w:rPr>
        <w:t>0</w:t>
      </w:r>
      <w:r w:rsidRPr="00664B50">
        <w:rPr>
          <w:lang w:val="es-ES"/>
        </w:rPr>
        <w:t>) solicitud</w:t>
      </w:r>
      <w:r>
        <w:rPr>
          <w:lang w:val="es-ES"/>
        </w:rPr>
        <w:t>es</w:t>
      </w:r>
      <w:r w:rsidRPr="00664B50">
        <w:rPr>
          <w:lang w:val="es-ES"/>
        </w:rPr>
        <w:t xml:space="preserve"> desaprobada</w:t>
      </w:r>
      <w:r>
        <w:rPr>
          <w:lang w:val="es-ES"/>
        </w:rPr>
        <w:t>s</w:t>
      </w:r>
      <w:r w:rsidRPr="00664B50">
        <w:rPr>
          <w:lang w:val="es-ES"/>
        </w:rPr>
        <w:t>.</w:t>
      </w:r>
    </w:p>
    <w:p w14:paraId="3AD8083E" w14:textId="77777777" w:rsidR="00012F8E" w:rsidRDefault="00012F8E" w:rsidP="00012F8E">
      <w:pPr>
        <w:jc w:val="both"/>
        <w:rPr>
          <w:lang w:val="es-ES"/>
        </w:rPr>
      </w:pPr>
    </w:p>
    <w:p w14:paraId="0CC10852" w14:textId="77777777" w:rsidR="00012F8E" w:rsidRPr="00001EC6" w:rsidRDefault="00012F8E" w:rsidP="00012F8E">
      <w:pPr>
        <w:pStyle w:val="Prrafodelista"/>
        <w:numPr>
          <w:ilvl w:val="0"/>
          <w:numId w:val="40"/>
        </w:numPr>
        <w:spacing w:line="480" w:lineRule="auto"/>
        <w:jc w:val="both"/>
        <w:rPr>
          <w:b/>
          <w:lang w:val="es-ES"/>
        </w:rPr>
      </w:pPr>
      <w:r w:rsidRPr="00D12F7F">
        <w:rPr>
          <w:lang w:val="es-ES"/>
        </w:rPr>
        <w:t xml:space="preserve"> </w:t>
      </w:r>
      <w:r w:rsidRPr="00001EC6">
        <w:rPr>
          <w:b/>
          <w:lang w:val="es-ES"/>
        </w:rPr>
        <w:t>Inscripciones realizadas en los demás Libros:</w:t>
      </w:r>
    </w:p>
    <w:p w14:paraId="6468E470" w14:textId="77777777" w:rsidR="00012F8E" w:rsidRDefault="00012F8E" w:rsidP="00012F8E">
      <w:pPr>
        <w:spacing w:line="480" w:lineRule="auto"/>
        <w:ind w:left="360"/>
        <w:jc w:val="both"/>
        <w:rPr>
          <w:lang w:val="es-ES"/>
        </w:rPr>
      </w:pPr>
      <w:r>
        <w:rPr>
          <w:lang w:val="es-ES"/>
        </w:rPr>
        <w:t>Una (1) reconsideraciones de solicitudes, doce (12) c</w:t>
      </w:r>
      <w:r w:rsidRPr="00B61525">
        <w:rPr>
          <w:lang w:val="es-ES"/>
        </w:rPr>
        <w:t>aducidades</w:t>
      </w:r>
      <w:r>
        <w:rPr>
          <w:lang w:val="es-ES"/>
        </w:rPr>
        <w:t>, tres (3) c</w:t>
      </w:r>
      <w:r w:rsidRPr="00B61525">
        <w:rPr>
          <w:lang w:val="es-ES"/>
        </w:rPr>
        <w:t>aducidad</w:t>
      </w:r>
      <w:r>
        <w:rPr>
          <w:lang w:val="es-ES"/>
        </w:rPr>
        <w:t>es</w:t>
      </w:r>
      <w:r w:rsidRPr="00B61525">
        <w:rPr>
          <w:lang w:val="es-ES"/>
        </w:rPr>
        <w:t xml:space="preserve"> </w:t>
      </w:r>
      <w:r>
        <w:rPr>
          <w:lang w:val="es-ES"/>
        </w:rPr>
        <w:t>r</w:t>
      </w:r>
      <w:r w:rsidRPr="00B61525">
        <w:rPr>
          <w:lang w:val="es-ES"/>
        </w:rPr>
        <w:t>econsiderada</w:t>
      </w:r>
      <w:r>
        <w:rPr>
          <w:lang w:val="es-ES"/>
        </w:rPr>
        <w:t>s, veintisiete (29) c</w:t>
      </w:r>
      <w:r w:rsidRPr="00B61525">
        <w:rPr>
          <w:lang w:val="es-ES"/>
        </w:rPr>
        <w:t>oncesiones otorgadas</w:t>
      </w:r>
      <w:r>
        <w:rPr>
          <w:lang w:val="es-ES"/>
        </w:rPr>
        <w:t>, veintinueve (29) i</w:t>
      </w:r>
      <w:r w:rsidRPr="00B61525">
        <w:rPr>
          <w:lang w:val="es-ES"/>
        </w:rPr>
        <w:t xml:space="preserve">nscripciones de resoluciones </w:t>
      </w:r>
      <w:r>
        <w:rPr>
          <w:lang w:val="es-ES"/>
        </w:rPr>
        <w:t xml:space="preserve">de </w:t>
      </w:r>
      <w:r w:rsidRPr="00B61525">
        <w:rPr>
          <w:lang w:val="es-ES"/>
        </w:rPr>
        <w:t>concesiones otorgadas</w:t>
      </w:r>
      <w:r>
        <w:rPr>
          <w:lang w:val="es-ES"/>
        </w:rPr>
        <w:t>, dos (2) i</w:t>
      </w:r>
      <w:r w:rsidRPr="00B61525">
        <w:rPr>
          <w:lang w:val="es-ES"/>
        </w:rPr>
        <w:t>nscripciones de resoluciones diversas</w:t>
      </w:r>
      <w:r>
        <w:rPr>
          <w:lang w:val="es-ES"/>
        </w:rPr>
        <w:t xml:space="preserve"> del</w:t>
      </w:r>
      <w:r w:rsidRPr="00B61525">
        <w:rPr>
          <w:lang w:val="es-ES"/>
        </w:rPr>
        <w:t xml:space="preserve"> MEM</w:t>
      </w:r>
      <w:r>
        <w:rPr>
          <w:lang w:val="es-ES"/>
        </w:rPr>
        <w:t>, una (1) t</w:t>
      </w:r>
      <w:r w:rsidRPr="00B61525">
        <w:rPr>
          <w:lang w:val="es-ES"/>
        </w:rPr>
        <w:t>ransferencia</w:t>
      </w:r>
      <w:r>
        <w:rPr>
          <w:lang w:val="es-ES"/>
        </w:rPr>
        <w:t>s</w:t>
      </w:r>
      <w:r w:rsidRPr="00B61525">
        <w:rPr>
          <w:lang w:val="es-ES"/>
        </w:rPr>
        <w:t xml:space="preserve"> de solicitud</w:t>
      </w:r>
      <w:r>
        <w:rPr>
          <w:lang w:val="es-ES"/>
        </w:rPr>
        <w:t xml:space="preserve">es de concesiones </w:t>
      </w:r>
      <w:r w:rsidRPr="00B61525">
        <w:rPr>
          <w:lang w:val="es-ES"/>
        </w:rPr>
        <w:t>minera</w:t>
      </w:r>
      <w:r>
        <w:rPr>
          <w:lang w:val="es-ES"/>
        </w:rPr>
        <w:t>s y tres (3) transferencias de concesiones otorgadas, dos (2)  modificaciones c</w:t>
      </w:r>
      <w:r w:rsidRPr="00B61525">
        <w:rPr>
          <w:lang w:val="es-ES"/>
        </w:rPr>
        <w:t xml:space="preserve">onstitución de </w:t>
      </w:r>
      <w:r>
        <w:rPr>
          <w:lang w:val="es-ES"/>
        </w:rPr>
        <w:t>s</w:t>
      </w:r>
      <w:r w:rsidRPr="00B61525">
        <w:rPr>
          <w:lang w:val="es-ES"/>
        </w:rPr>
        <w:t>ociedades</w:t>
      </w:r>
      <w:r>
        <w:rPr>
          <w:lang w:val="es-ES"/>
        </w:rPr>
        <w:t xml:space="preserve">. </w:t>
      </w:r>
    </w:p>
    <w:p w14:paraId="271094CD" w14:textId="77777777" w:rsidR="00012F8E" w:rsidRDefault="00012F8E" w:rsidP="00012F8E">
      <w:pPr>
        <w:ind w:left="360"/>
        <w:jc w:val="both"/>
        <w:rPr>
          <w:lang w:val="es-ES"/>
        </w:rPr>
      </w:pPr>
    </w:p>
    <w:p w14:paraId="7D3AEE66" w14:textId="77777777" w:rsidR="00012F8E" w:rsidRDefault="00012F8E" w:rsidP="00012F8E">
      <w:pPr>
        <w:ind w:left="360"/>
        <w:jc w:val="both"/>
        <w:rPr>
          <w:lang w:val="es-ES"/>
        </w:rPr>
      </w:pPr>
    </w:p>
    <w:p w14:paraId="58D8B763" w14:textId="77777777" w:rsidR="00012F8E" w:rsidRDefault="00012F8E" w:rsidP="00012F8E">
      <w:pPr>
        <w:ind w:left="360"/>
        <w:jc w:val="both"/>
        <w:rPr>
          <w:lang w:val="es-ES"/>
        </w:rPr>
      </w:pPr>
    </w:p>
    <w:p w14:paraId="0D004662" w14:textId="77777777" w:rsidR="00012F8E" w:rsidRDefault="00012F8E" w:rsidP="00012F8E">
      <w:pPr>
        <w:ind w:left="360"/>
        <w:jc w:val="both"/>
        <w:rPr>
          <w:lang w:val="es-ES"/>
        </w:rPr>
      </w:pPr>
    </w:p>
    <w:p w14:paraId="5E98C2EA" w14:textId="77777777" w:rsidR="00012F8E" w:rsidRDefault="00012F8E" w:rsidP="00012F8E">
      <w:pPr>
        <w:ind w:left="360"/>
        <w:jc w:val="both"/>
        <w:rPr>
          <w:lang w:val="es-ES"/>
        </w:rPr>
      </w:pPr>
    </w:p>
    <w:p w14:paraId="257A7662" w14:textId="77777777" w:rsidR="00012F8E" w:rsidRDefault="00012F8E" w:rsidP="00012F8E">
      <w:pPr>
        <w:ind w:left="360"/>
        <w:jc w:val="both"/>
        <w:rPr>
          <w:lang w:val="es-ES"/>
        </w:rPr>
      </w:pPr>
    </w:p>
    <w:p w14:paraId="661C4C3D" w14:textId="77777777" w:rsidR="00012F8E" w:rsidRPr="00012F8E" w:rsidRDefault="00012F8E" w:rsidP="00C90DB6">
      <w:pPr>
        <w:pStyle w:val="Prrafodelista"/>
        <w:numPr>
          <w:ilvl w:val="0"/>
          <w:numId w:val="40"/>
        </w:numPr>
        <w:spacing w:line="480" w:lineRule="auto"/>
        <w:jc w:val="both"/>
        <w:rPr>
          <w:lang w:val="es-ES"/>
        </w:rPr>
      </w:pPr>
      <w:r w:rsidRPr="00012F8E">
        <w:rPr>
          <w:b/>
          <w:lang w:val="es-ES"/>
        </w:rPr>
        <w:t xml:space="preserve">Remisiones a Archivo de Concesiones:  </w:t>
      </w:r>
    </w:p>
    <w:p w14:paraId="2FCC9628" w14:textId="1BF0797B" w:rsidR="00012F8E" w:rsidRPr="00012F8E" w:rsidRDefault="00012F8E" w:rsidP="00012F8E">
      <w:pPr>
        <w:spacing w:line="480" w:lineRule="auto"/>
        <w:ind w:left="360"/>
        <w:jc w:val="both"/>
        <w:rPr>
          <w:lang w:val="es-ES"/>
        </w:rPr>
      </w:pPr>
      <w:r w:rsidRPr="00012F8E">
        <w:rPr>
          <w:lang w:val="es-ES"/>
        </w:rPr>
        <w:t>Documentos constitutivos recibidos, requeridos a los solicitantes en correcciones y que acompañan nuevas solicitudes, para un total de ochenta y ocho (88).</w:t>
      </w:r>
    </w:p>
    <w:p w14:paraId="56A944FC" w14:textId="77777777" w:rsidR="00012F8E" w:rsidRDefault="00012F8E" w:rsidP="00012F8E">
      <w:pPr>
        <w:jc w:val="both"/>
        <w:rPr>
          <w:lang w:val="es-ES"/>
        </w:rPr>
      </w:pPr>
    </w:p>
    <w:p w14:paraId="36C86A30" w14:textId="77777777" w:rsidR="00012F8E" w:rsidRPr="00001EC6" w:rsidRDefault="00012F8E" w:rsidP="00012F8E">
      <w:pPr>
        <w:pStyle w:val="Prrafodelista"/>
        <w:numPr>
          <w:ilvl w:val="0"/>
          <w:numId w:val="40"/>
        </w:numPr>
        <w:spacing w:line="480" w:lineRule="auto"/>
        <w:jc w:val="both"/>
        <w:rPr>
          <w:b/>
          <w:lang w:val="es-ES"/>
        </w:rPr>
      </w:pPr>
      <w:r w:rsidRPr="00001EC6">
        <w:rPr>
          <w:b/>
          <w:lang w:val="es-ES"/>
        </w:rPr>
        <w:t>Remisiones a la Consultoría Jurídica de:</w:t>
      </w:r>
    </w:p>
    <w:p w14:paraId="419E89D4" w14:textId="77777777" w:rsidR="00012F8E" w:rsidRDefault="00012F8E" w:rsidP="00E406B4">
      <w:pPr>
        <w:spacing w:line="480" w:lineRule="auto"/>
        <w:ind w:left="360"/>
        <w:jc w:val="both"/>
        <w:rPr>
          <w:lang w:val="es-ES"/>
        </w:rPr>
      </w:pPr>
      <w:r>
        <w:rPr>
          <w:lang w:val="es-ES"/>
        </w:rPr>
        <w:t>Cero (0) s</w:t>
      </w:r>
      <w:r w:rsidRPr="00B61525">
        <w:rPr>
          <w:lang w:val="es-ES"/>
        </w:rPr>
        <w:t>olicitud</w:t>
      </w:r>
      <w:r>
        <w:rPr>
          <w:lang w:val="es-ES"/>
        </w:rPr>
        <w:t>es</w:t>
      </w:r>
      <w:r w:rsidRPr="00B61525">
        <w:rPr>
          <w:lang w:val="es-ES"/>
        </w:rPr>
        <w:t xml:space="preserve"> de transferencia</w:t>
      </w:r>
      <w:r>
        <w:rPr>
          <w:lang w:val="es-ES"/>
        </w:rPr>
        <w:t xml:space="preserve">s, </w:t>
      </w:r>
      <w:r w:rsidRPr="00C63B63">
        <w:rPr>
          <w:color w:val="000000" w:themeColor="text1"/>
          <w:lang w:val="es-ES"/>
        </w:rPr>
        <w:t xml:space="preserve">ciento </w:t>
      </w:r>
      <w:r>
        <w:rPr>
          <w:color w:val="000000" w:themeColor="text1"/>
          <w:lang w:val="es-ES"/>
        </w:rPr>
        <w:t>cincuenta y tres</w:t>
      </w:r>
      <w:r w:rsidRPr="00C63B63">
        <w:rPr>
          <w:color w:val="000000" w:themeColor="text1"/>
          <w:lang w:val="es-ES"/>
        </w:rPr>
        <w:t xml:space="preserve"> (153) </w:t>
      </w:r>
      <w:r>
        <w:rPr>
          <w:lang w:val="es-ES"/>
        </w:rPr>
        <w:t>r</w:t>
      </w:r>
      <w:r w:rsidRPr="00B61525">
        <w:rPr>
          <w:lang w:val="es-ES"/>
        </w:rPr>
        <w:t>evision</w:t>
      </w:r>
      <w:r>
        <w:rPr>
          <w:lang w:val="es-ES"/>
        </w:rPr>
        <w:t>es</w:t>
      </w:r>
      <w:r w:rsidRPr="00B61525">
        <w:rPr>
          <w:lang w:val="es-ES"/>
        </w:rPr>
        <w:t xml:space="preserve"> de </w:t>
      </w:r>
      <w:r>
        <w:rPr>
          <w:lang w:val="es-ES"/>
        </w:rPr>
        <w:t>e</w:t>
      </w:r>
      <w:r w:rsidRPr="00B61525">
        <w:rPr>
          <w:lang w:val="es-ES"/>
        </w:rPr>
        <w:t>xpedientes para control de plazos</w:t>
      </w:r>
      <w:r>
        <w:rPr>
          <w:lang w:val="es-ES"/>
        </w:rPr>
        <w:t>.</w:t>
      </w:r>
    </w:p>
    <w:p w14:paraId="677CAD73" w14:textId="77777777" w:rsidR="000F75B3" w:rsidRPr="00B61525" w:rsidRDefault="000F75B3" w:rsidP="00012F8E">
      <w:pPr>
        <w:spacing w:line="480" w:lineRule="auto"/>
        <w:jc w:val="both"/>
        <w:rPr>
          <w:lang w:val="es-ES"/>
        </w:rPr>
      </w:pPr>
    </w:p>
    <w:p w14:paraId="7A1A7469" w14:textId="77777777" w:rsidR="00012F8E" w:rsidRPr="00001EC6" w:rsidRDefault="00012F8E" w:rsidP="00012F8E">
      <w:pPr>
        <w:pStyle w:val="Prrafodelista"/>
        <w:numPr>
          <w:ilvl w:val="0"/>
          <w:numId w:val="40"/>
        </w:numPr>
        <w:spacing w:line="480" w:lineRule="auto"/>
        <w:jc w:val="both"/>
        <w:rPr>
          <w:b/>
          <w:lang w:val="es-ES"/>
        </w:rPr>
      </w:pPr>
      <w:r w:rsidRPr="00001EC6">
        <w:rPr>
          <w:b/>
          <w:lang w:val="es-ES"/>
        </w:rPr>
        <w:t>Otros trabajos:</w:t>
      </w:r>
    </w:p>
    <w:p w14:paraId="63F0DDA6" w14:textId="06A569F9" w:rsidR="00012F8E" w:rsidRDefault="00012F8E" w:rsidP="00E406B4">
      <w:pPr>
        <w:spacing w:line="480" w:lineRule="auto"/>
        <w:ind w:left="360"/>
        <w:jc w:val="both"/>
        <w:rPr>
          <w:lang w:val="es-ES"/>
        </w:rPr>
      </w:pPr>
      <w:r>
        <w:rPr>
          <w:lang w:val="es-ES"/>
        </w:rPr>
        <w:t>Veintisiete (27) c</w:t>
      </w:r>
      <w:r w:rsidRPr="00B61525">
        <w:rPr>
          <w:lang w:val="es-ES"/>
        </w:rPr>
        <w:t>ertificaciones</w:t>
      </w:r>
      <w:r>
        <w:rPr>
          <w:lang w:val="es-ES"/>
        </w:rPr>
        <w:t>, cincuenta y siete (57) c</w:t>
      </w:r>
      <w:r w:rsidRPr="00B61525">
        <w:rPr>
          <w:lang w:val="es-ES"/>
        </w:rPr>
        <w:t>omunicaciones s</w:t>
      </w:r>
      <w:r>
        <w:rPr>
          <w:lang w:val="es-ES"/>
        </w:rPr>
        <w:t>obre solicitudes y concesiones,</w:t>
      </w:r>
      <w:r w:rsidRPr="00B61525">
        <w:rPr>
          <w:lang w:val="es-ES"/>
        </w:rPr>
        <w:t xml:space="preserve"> </w:t>
      </w:r>
      <w:r>
        <w:rPr>
          <w:lang w:val="es-ES"/>
        </w:rPr>
        <w:t>Veintisiete ( ) c</w:t>
      </w:r>
      <w:r w:rsidRPr="00B61525">
        <w:rPr>
          <w:lang w:val="es-ES"/>
        </w:rPr>
        <w:t>omunicaciones al Ministerio de Energía y Minas</w:t>
      </w:r>
      <w:r>
        <w:rPr>
          <w:lang w:val="es-ES"/>
        </w:rPr>
        <w:t>, Tres (3) Comunicaciones</w:t>
      </w:r>
      <w:r w:rsidRPr="00B61525">
        <w:rPr>
          <w:lang w:val="es-ES"/>
        </w:rPr>
        <w:t xml:space="preserve"> varias</w:t>
      </w:r>
      <w:r>
        <w:rPr>
          <w:lang w:val="es-ES"/>
        </w:rPr>
        <w:t>, treinta y seis (36) c</w:t>
      </w:r>
      <w:r w:rsidRPr="00B61525">
        <w:rPr>
          <w:lang w:val="es-ES"/>
        </w:rPr>
        <w:t>omunicaciones sobre revisión de expedientes corporativos</w:t>
      </w:r>
      <w:r>
        <w:rPr>
          <w:lang w:val="es-ES"/>
        </w:rPr>
        <w:t>, tres (3) Comunicaciones</w:t>
      </w:r>
      <w:r w:rsidRPr="00B61525">
        <w:rPr>
          <w:lang w:val="es-ES"/>
        </w:rPr>
        <w:t xml:space="preserve"> notificando inscripciones</w:t>
      </w:r>
      <w:r>
        <w:rPr>
          <w:lang w:val="es-ES"/>
        </w:rPr>
        <w:t xml:space="preserve">, quince (15) elaboración de </w:t>
      </w:r>
      <w:r w:rsidRPr="00B61525">
        <w:rPr>
          <w:lang w:val="es-ES"/>
        </w:rPr>
        <w:t>Informes</w:t>
      </w:r>
      <w:r>
        <w:rPr>
          <w:lang w:val="es-ES"/>
        </w:rPr>
        <w:t>, dos (2) a</w:t>
      </w:r>
      <w:r w:rsidRPr="00B61525">
        <w:rPr>
          <w:lang w:val="es-ES"/>
        </w:rPr>
        <w:t>ctualización de informes y</w:t>
      </w:r>
      <w:r>
        <w:rPr>
          <w:lang w:val="es-ES"/>
        </w:rPr>
        <w:t xml:space="preserve"> e</w:t>
      </w:r>
      <w:r w:rsidRPr="00D2599C">
        <w:rPr>
          <w:lang w:val="es-ES"/>
        </w:rPr>
        <w:t>laboración de informe con el estatus de solicitudes,</w:t>
      </w:r>
      <w:r>
        <w:rPr>
          <w:lang w:val="es-ES"/>
        </w:rPr>
        <w:t xml:space="preserve"> nueve (9) Estudios de solvencia moral</w:t>
      </w:r>
      <w:r w:rsidR="000F75B3">
        <w:rPr>
          <w:lang w:val="es-ES"/>
        </w:rPr>
        <w:t>.</w:t>
      </w:r>
    </w:p>
    <w:p w14:paraId="4E2899E9" w14:textId="77777777" w:rsidR="000F75B3" w:rsidRDefault="000F75B3" w:rsidP="00012F8E">
      <w:pPr>
        <w:spacing w:line="480" w:lineRule="auto"/>
        <w:jc w:val="both"/>
        <w:rPr>
          <w:lang w:val="es-ES"/>
        </w:rPr>
      </w:pPr>
    </w:p>
    <w:p w14:paraId="2A740CBC" w14:textId="77777777" w:rsidR="00012F8E" w:rsidRDefault="00012F8E" w:rsidP="00012F8E">
      <w:pPr>
        <w:pStyle w:val="Prrafodelista"/>
        <w:numPr>
          <w:ilvl w:val="0"/>
          <w:numId w:val="40"/>
        </w:numPr>
        <w:rPr>
          <w:b/>
          <w:lang w:val="es-ES"/>
        </w:rPr>
      </w:pPr>
      <w:r w:rsidRPr="00001EC6">
        <w:rPr>
          <w:b/>
          <w:lang w:val="es-ES"/>
        </w:rPr>
        <w:t>Revisión de Expedientes para solicitar documentos</w:t>
      </w:r>
      <w:r>
        <w:rPr>
          <w:b/>
          <w:lang w:val="es-ES"/>
        </w:rPr>
        <w:t xml:space="preserve"> a los solicitantes de las siguientes solicitudes de concesiones mineras</w:t>
      </w:r>
      <w:r w:rsidRPr="00001EC6">
        <w:rPr>
          <w:b/>
          <w:lang w:val="es-ES"/>
        </w:rPr>
        <w:t xml:space="preserve">: </w:t>
      </w:r>
    </w:p>
    <w:p w14:paraId="4119638F" w14:textId="77777777" w:rsidR="00012F8E" w:rsidRPr="00001EC6" w:rsidRDefault="00012F8E" w:rsidP="00012F8E">
      <w:pPr>
        <w:rPr>
          <w:b/>
          <w:lang w:val="es-ES"/>
        </w:rPr>
      </w:pPr>
    </w:p>
    <w:p w14:paraId="18597E49" w14:textId="7317A2FC" w:rsidR="00012F8E" w:rsidRPr="00012F8E" w:rsidRDefault="00012F8E" w:rsidP="00B377B6">
      <w:pPr>
        <w:spacing w:line="480" w:lineRule="auto"/>
        <w:ind w:left="360"/>
        <w:jc w:val="both"/>
        <w:rPr>
          <w:lang w:val="es-ES"/>
        </w:rPr>
      </w:pPr>
      <w:r w:rsidRPr="00012F8E">
        <w:rPr>
          <w:b/>
          <w:color w:val="000000" w:themeColor="text1"/>
          <w:lang w:val="es-ES"/>
        </w:rPr>
        <w:t>Luis Rodríguez Santana,</w:t>
      </w:r>
      <w:r w:rsidRPr="00012F8E">
        <w:rPr>
          <w:color w:val="000000" w:themeColor="text1"/>
          <w:lang w:val="es-ES"/>
        </w:rPr>
        <w:t xml:space="preserve"> “El Vozquerón”, </w:t>
      </w:r>
      <w:r w:rsidRPr="00012F8E">
        <w:rPr>
          <w:b/>
          <w:lang w:val="es-ES"/>
        </w:rPr>
        <w:t>Consorcio de Inversiones Panamericanas, S. R. L.,</w:t>
      </w:r>
      <w:r w:rsidRPr="00012F8E">
        <w:rPr>
          <w:lang w:val="es-ES"/>
        </w:rPr>
        <w:t xml:space="preserve"> “La Toronja”, San Marcos”</w:t>
      </w:r>
      <w:r>
        <w:rPr>
          <w:lang w:val="es-ES"/>
        </w:rPr>
        <w:t xml:space="preserve">, </w:t>
      </w:r>
      <w:r w:rsidRPr="00012F8E">
        <w:rPr>
          <w:b/>
          <w:lang w:val="es-ES"/>
        </w:rPr>
        <w:t>Goldquest Dominicana, S. R. L.,</w:t>
      </w:r>
      <w:r w:rsidRPr="00012F8E">
        <w:rPr>
          <w:lang w:val="es-ES"/>
        </w:rPr>
        <w:t xml:space="preserve"> “Loma De</w:t>
      </w:r>
      <w:r>
        <w:rPr>
          <w:lang w:val="es-ES"/>
        </w:rPr>
        <w:t xml:space="preserve">majagua” La Guinea” “La Pelada”, </w:t>
      </w:r>
      <w:r w:rsidRPr="00012F8E">
        <w:rPr>
          <w:b/>
          <w:lang w:val="es-ES"/>
        </w:rPr>
        <w:t>Negocios y Representaciones</w:t>
      </w:r>
      <w:r w:rsidRPr="00012F8E">
        <w:rPr>
          <w:lang w:val="es-ES"/>
        </w:rPr>
        <w:t xml:space="preserve"> </w:t>
      </w:r>
      <w:r w:rsidRPr="00012F8E">
        <w:rPr>
          <w:b/>
          <w:lang w:val="es-ES"/>
        </w:rPr>
        <w:t>Rabiensa, S. A</w:t>
      </w:r>
      <w:r w:rsidRPr="00012F8E">
        <w:rPr>
          <w:lang w:val="es-ES"/>
        </w:rPr>
        <w:t>., “Rabiensa”.</w:t>
      </w:r>
    </w:p>
    <w:p w14:paraId="6A221D7C" w14:textId="4C66A0D9" w:rsidR="00012F8E" w:rsidRPr="00012F8E" w:rsidRDefault="00012F8E" w:rsidP="00B377B6">
      <w:pPr>
        <w:spacing w:line="480" w:lineRule="auto"/>
        <w:ind w:left="360"/>
        <w:jc w:val="both"/>
        <w:rPr>
          <w:lang w:val="es-ES"/>
        </w:rPr>
      </w:pPr>
      <w:r w:rsidRPr="00012F8E">
        <w:rPr>
          <w:b/>
          <w:lang w:val="es-ES"/>
        </w:rPr>
        <w:lastRenderedPageBreak/>
        <w:t>Barrick International, LTD</w:t>
      </w:r>
      <w:r w:rsidRPr="00012F8E">
        <w:rPr>
          <w:lang w:val="es-ES"/>
        </w:rPr>
        <w:t xml:space="preserve">, “Montaña de Colón” Monte Antiguo 1” </w:t>
      </w:r>
      <w:r>
        <w:rPr>
          <w:lang w:val="es-ES"/>
        </w:rPr>
        <w:t xml:space="preserve">, </w:t>
      </w:r>
      <w:r w:rsidRPr="00012F8E">
        <w:rPr>
          <w:b/>
        </w:rPr>
        <w:t>Agregados EM, S.R.L.,</w:t>
      </w:r>
      <w:r w:rsidRPr="00DB07EC">
        <w:t xml:space="preserve"> </w:t>
      </w:r>
      <w:r>
        <w:t xml:space="preserve">“Guany”, </w:t>
      </w:r>
      <w:r w:rsidRPr="00012F8E">
        <w:rPr>
          <w:b/>
          <w:lang w:val="es-ES"/>
        </w:rPr>
        <w:t>Operadora Minera del Atlántico, S.R.L.</w:t>
      </w:r>
      <w:r w:rsidRPr="00012F8E">
        <w:rPr>
          <w:lang w:val="es-ES"/>
        </w:rPr>
        <w:t xml:space="preserve">, </w:t>
      </w:r>
      <w:r>
        <w:t xml:space="preserve">“La Inocencia”, </w:t>
      </w:r>
      <w:r w:rsidRPr="00012F8E">
        <w:rPr>
          <w:b/>
        </w:rPr>
        <w:t>Robert Francis González Abreu, “</w:t>
      </w:r>
      <w:r w:rsidRPr="001F3B21">
        <w:t>Bulla”</w:t>
      </w:r>
      <w:r>
        <w:rPr>
          <w:lang w:val="es-ES"/>
        </w:rPr>
        <w:t xml:space="preserve">, </w:t>
      </w:r>
      <w:r w:rsidRPr="00012F8E">
        <w:rPr>
          <w:b/>
          <w:lang w:val="es-ES"/>
        </w:rPr>
        <w:t>Roberto Leonel Taveras Salcedo</w:t>
      </w:r>
      <w:r w:rsidRPr="00012F8E">
        <w:rPr>
          <w:lang w:val="es-ES"/>
        </w:rPr>
        <w:t>, “Parque Minero Don Leonel Taveras”</w:t>
      </w:r>
      <w:r>
        <w:rPr>
          <w:lang w:val="es-ES"/>
        </w:rPr>
        <w:t xml:space="preserve">, </w:t>
      </w:r>
      <w:r w:rsidRPr="00012F8E">
        <w:rPr>
          <w:b/>
          <w:lang w:val="es-ES"/>
        </w:rPr>
        <w:t>Cementos Cibao, S.A</w:t>
      </w:r>
      <w:r w:rsidRPr="00012F8E">
        <w:rPr>
          <w:lang w:val="es-ES"/>
        </w:rPr>
        <w:t>., “La Frontera”</w:t>
      </w:r>
      <w:r>
        <w:rPr>
          <w:lang w:val="es-ES"/>
        </w:rPr>
        <w:t xml:space="preserve">, </w:t>
      </w:r>
      <w:r w:rsidRPr="00012F8E">
        <w:rPr>
          <w:b/>
          <w:lang w:val="es-ES"/>
        </w:rPr>
        <w:t>Consorcio Minero Dominicano, S.R.L.</w:t>
      </w:r>
      <w:r w:rsidRPr="00012F8E">
        <w:rPr>
          <w:lang w:val="es-ES"/>
        </w:rPr>
        <w:t>, “Cañabón” “Angelita”  “El Aguila</w:t>
      </w:r>
      <w:r>
        <w:rPr>
          <w:lang w:val="es-ES"/>
        </w:rPr>
        <w:t xml:space="preserve">”, </w:t>
      </w:r>
      <w:r w:rsidRPr="00012F8E">
        <w:rPr>
          <w:b/>
          <w:lang w:val="es-ES"/>
        </w:rPr>
        <w:t>IDC Construcción, S. R. L</w:t>
      </w:r>
      <w:r w:rsidRPr="00012F8E">
        <w:rPr>
          <w:lang w:val="es-ES"/>
        </w:rPr>
        <w:t>., “La Miel” ”Pileta Verde” “Las Abejas” “Jaquez”</w:t>
      </w:r>
      <w:r>
        <w:rPr>
          <w:lang w:val="es-ES"/>
        </w:rPr>
        <w:t xml:space="preserve">, </w:t>
      </w:r>
      <w:r w:rsidRPr="00012F8E">
        <w:rPr>
          <w:b/>
          <w:lang w:val="es-ES"/>
        </w:rPr>
        <w:t>Faneyte y Genao, S.R.L</w:t>
      </w:r>
      <w:r w:rsidRPr="00012F8E">
        <w:rPr>
          <w:lang w:val="es-ES"/>
        </w:rPr>
        <w:t xml:space="preserve">., “La Trepada”, </w:t>
      </w:r>
      <w:r w:rsidRPr="00012F8E">
        <w:rPr>
          <w:b/>
          <w:lang w:val="es-ES"/>
        </w:rPr>
        <w:t>Grindelwald Corporate, S.R.L.</w:t>
      </w:r>
      <w:r w:rsidRPr="00012F8E">
        <w:rPr>
          <w:lang w:val="es-ES"/>
        </w:rPr>
        <w:t xml:space="preserve">, “Wellinton”, </w:t>
      </w:r>
      <w:r w:rsidRPr="00012F8E">
        <w:rPr>
          <w:b/>
          <w:lang w:val="es-ES"/>
        </w:rPr>
        <w:t>Minera Unijnika, S. R. L</w:t>
      </w:r>
      <w:r w:rsidRPr="00012F8E">
        <w:rPr>
          <w:lang w:val="es-ES"/>
        </w:rPr>
        <w:t>., “El Mamey</w:t>
      </w:r>
      <w:r>
        <w:rPr>
          <w:lang w:val="es-ES"/>
        </w:rPr>
        <w:t xml:space="preserve">”, </w:t>
      </w:r>
      <w:r w:rsidRPr="00012F8E">
        <w:rPr>
          <w:b/>
          <w:lang w:val="es-ES"/>
        </w:rPr>
        <w:t>Constructora Bisonó, S. A.,</w:t>
      </w:r>
      <w:r w:rsidRPr="00012F8E">
        <w:rPr>
          <w:lang w:val="es-ES"/>
        </w:rPr>
        <w:t xml:space="preserve"> “El Limón”</w:t>
      </w:r>
      <w:r>
        <w:rPr>
          <w:lang w:val="es-ES"/>
        </w:rPr>
        <w:t xml:space="preserve">, </w:t>
      </w:r>
      <w:r w:rsidRPr="00012F8E">
        <w:rPr>
          <w:b/>
          <w:lang w:val="es-ES"/>
        </w:rPr>
        <w:t>Gialde, S.R.L</w:t>
      </w:r>
      <w:r w:rsidRPr="00012F8E">
        <w:rPr>
          <w:lang w:val="es-ES"/>
        </w:rPr>
        <w:t>., “Bimi” y “Delagi”</w:t>
      </w:r>
      <w:r>
        <w:rPr>
          <w:lang w:val="es-ES"/>
        </w:rPr>
        <w:t xml:space="preserve">, </w:t>
      </w:r>
      <w:r w:rsidRPr="00012F8E">
        <w:rPr>
          <w:b/>
          <w:lang w:val="es-ES"/>
        </w:rPr>
        <w:t xml:space="preserve">MNG Minería y Agregados, S. R.L. </w:t>
      </w:r>
      <w:r w:rsidRPr="00012F8E">
        <w:rPr>
          <w:lang w:val="es-ES"/>
        </w:rPr>
        <w:t>“Sajonal” “Tres Piezas”</w:t>
      </w:r>
      <w:r>
        <w:rPr>
          <w:lang w:val="es-ES"/>
        </w:rPr>
        <w:t xml:space="preserve">, </w:t>
      </w:r>
      <w:r w:rsidRPr="00012F8E">
        <w:rPr>
          <w:b/>
          <w:lang w:val="es-ES"/>
        </w:rPr>
        <w:t>Bemar Comercial, S.R.L.</w:t>
      </w:r>
      <w:r w:rsidRPr="00012F8E">
        <w:rPr>
          <w:lang w:val="es-ES"/>
        </w:rPr>
        <w:t>, “Bemar”</w:t>
      </w:r>
      <w:r>
        <w:rPr>
          <w:lang w:val="es-ES"/>
        </w:rPr>
        <w:t xml:space="preserve">, </w:t>
      </w:r>
      <w:r w:rsidRPr="00012F8E">
        <w:rPr>
          <w:b/>
          <w:lang w:val="es-ES"/>
        </w:rPr>
        <w:t>Equipos, Servicios y Construcciones Marcano, S.R.L.</w:t>
      </w:r>
      <w:r w:rsidRPr="00012F8E">
        <w:rPr>
          <w:lang w:val="es-ES"/>
        </w:rPr>
        <w:t xml:space="preserve"> “La Balboa” ”Vulcana”</w:t>
      </w:r>
      <w:r>
        <w:rPr>
          <w:lang w:val="es-ES"/>
        </w:rPr>
        <w:t xml:space="preserve">, </w:t>
      </w:r>
      <w:r w:rsidRPr="00012F8E">
        <w:rPr>
          <w:b/>
          <w:lang w:val="es-ES"/>
        </w:rPr>
        <w:t>Falería Comercial, S.R.L</w:t>
      </w:r>
      <w:r w:rsidRPr="00012F8E">
        <w:rPr>
          <w:lang w:val="es-ES"/>
        </w:rPr>
        <w:t>., “Pico Verde”</w:t>
      </w:r>
      <w:r>
        <w:rPr>
          <w:lang w:val="es-ES"/>
        </w:rPr>
        <w:t xml:space="preserve">, </w:t>
      </w:r>
      <w:r w:rsidRPr="00012F8E">
        <w:rPr>
          <w:b/>
          <w:lang w:val="es-ES"/>
        </w:rPr>
        <w:t>Cementos Andino Dominicanos, S. A.</w:t>
      </w:r>
      <w:r w:rsidRPr="00012F8E">
        <w:rPr>
          <w:lang w:val="es-ES"/>
        </w:rPr>
        <w:t>”Arroyo Grande”</w:t>
      </w:r>
      <w:r>
        <w:rPr>
          <w:lang w:val="es-ES"/>
        </w:rPr>
        <w:t xml:space="preserve">, </w:t>
      </w:r>
      <w:r w:rsidRPr="00012F8E">
        <w:rPr>
          <w:b/>
        </w:rPr>
        <w:t>Alba Sánchez y Asociados, S.A.S.</w:t>
      </w:r>
      <w:r w:rsidRPr="007704AE">
        <w:t xml:space="preserve">, </w:t>
      </w:r>
      <w:r>
        <w:t xml:space="preserve">“La Cruz del Limonal”, </w:t>
      </w:r>
      <w:r w:rsidRPr="00012F8E">
        <w:rPr>
          <w:b/>
          <w:lang w:val="es-ES"/>
        </w:rPr>
        <w:t>Hormigones del Atlántico, S. R. L</w:t>
      </w:r>
      <w:r w:rsidRPr="00012F8E">
        <w:rPr>
          <w:lang w:val="es-ES"/>
        </w:rPr>
        <w:t xml:space="preserve">., </w:t>
      </w:r>
      <w:r>
        <w:rPr>
          <w:lang w:val="es-ES"/>
        </w:rPr>
        <w:t xml:space="preserve">“El Macao”, </w:t>
      </w:r>
      <w:r w:rsidRPr="00012F8E">
        <w:rPr>
          <w:b/>
        </w:rPr>
        <w:t>Rocas y Minerales Dominicanos</w:t>
      </w:r>
      <w:r w:rsidR="00B377B6" w:rsidRPr="00012F8E">
        <w:rPr>
          <w:b/>
        </w:rPr>
        <w:t>, S</w:t>
      </w:r>
      <w:r w:rsidRPr="00012F8E">
        <w:rPr>
          <w:b/>
        </w:rPr>
        <w:t>. R. L</w:t>
      </w:r>
      <w:r w:rsidRPr="00992198">
        <w:t>.</w:t>
      </w:r>
      <w:r>
        <w:t xml:space="preserve"> “Marcea”, </w:t>
      </w:r>
      <w:r w:rsidRPr="00012F8E">
        <w:rPr>
          <w:b/>
          <w:lang w:val="es-ES"/>
        </w:rPr>
        <w:t>Pedro Antonio Hernández Acevedo</w:t>
      </w:r>
      <w:r w:rsidRPr="00012F8E">
        <w:rPr>
          <w:lang w:val="es-ES"/>
        </w:rPr>
        <w:t>, “Don Pedro”</w:t>
      </w:r>
      <w:r>
        <w:rPr>
          <w:lang w:val="es-ES"/>
        </w:rPr>
        <w:t xml:space="preserve">, </w:t>
      </w:r>
      <w:r w:rsidRPr="00012F8E">
        <w:rPr>
          <w:b/>
          <w:lang w:val="es-ES"/>
        </w:rPr>
        <w:t xml:space="preserve">Australia Tavarez Richiez, </w:t>
      </w:r>
      <w:r w:rsidRPr="00012F8E">
        <w:rPr>
          <w:lang w:val="es-ES"/>
        </w:rPr>
        <w:t>“Gianna Isabel”</w:t>
      </w:r>
      <w:r>
        <w:rPr>
          <w:lang w:val="es-ES"/>
        </w:rPr>
        <w:t xml:space="preserve">, </w:t>
      </w:r>
      <w:r w:rsidRPr="00012F8E">
        <w:rPr>
          <w:b/>
          <w:lang w:val="es-ES"/>
        </w:rPr>
        <w:t>Rafael Antonio Alvarez Mercedes</w:t>
      </w:r>
      <w:r>
        <w:rPr>
          <w:lang w:val="es-ES"/>
        </w:rPr>
        <w:t xml:space="preserve"> y </w:t>
      </w:r>
      <w:r w:rsidRPr="00012F8E">
        <w:rPr>
          <w:lang w:val="es-ES"/>
        </w:rPr>
        <w:t>“La Sonia”.</w:t>
      </w:r>
    </w:p>
    <w:p w14:paraId="39D21EB3" w14:textId="77777777" w:rsidR="00012F8E" w:rsidRPr="005B16A3" w:rsidRDefault="00012F8E" w:rsidP="00012F8E">
      <w:pPr>
        <w:ind w:left="1080"/>
        <w:jc w:val="both"/>
        <w:rPr>
          <w:lang w:val="es-ES"/>
        </w:rPr>
      </w:pPr>
    </w:p>
    <w:p w14:paraId="4CF08E25" w14:textId="77777777" w:rsidR="00012F8E" w:rsidRPr="007C3616" w:rsidRDefault="00012F8E" w:rsidP="007C3616">
      <w:pPr>
        <w:spacing w:line="360" w:lineRule="auto"/>
        <w:jc w:val="both"/>
        <w:rPr>
          <w:lang w:val="es-ES"/>
        </w:rPr>
      </w:pPr>
      <w:r>
        <w:rPr>
          <w:lang w:val="es-ES"/>
        </w:rPr>
        <w:t>Durante el periodo Enero – Noviembre 2019, se recaudó el valor de trescientos cinco mil cuatrocientos (RD$</w:t>
      </w:r>
      <w:r w:rsidRPr="003254B4">
        <w:rPr>
          <w:lang w:val="es-ES"/>
        </w:rPr>
        <w:t>305,400.00</w:t>
      </w:r>
      <w:r>
        <w:rPr>
          <w:lang w:val="es-ES"/>
        </w:rPr>
        <w:t>) pesos dominicanos, por concepto del c</w:t>
      </w:r>
      <w:r w:rsidRPr="00B61525">
        <w:rPr>
          <w:lang w:val="es-ES"/>
        </w:rPr>
        <w:t>obro de inscripciones en el R</w:t>
      </w:r>
      <w:r>
        <w:rPr>
          <w:lang w:val="es-ES"/>
        </w:rPr>
        <w:t>egistro Público de Derechos Mineros.</w:t>
      </w:r>
    </w:p>
    <w:p w14:paraId="16E69091" w14:textId="7E76FC4A" w:rsidR="00FC3FFF" w:rsidRDefault="00FC3FFF">
      <w:pPr>
        <w:spacing w:line="480" w:lineRule="auto"/>
        <w:jc w:val="both"/>
        <w:rPr>
          <w:lang w:val="es-MX"/>
        </w:rPr>
      </w:pPr>
    </w:p>
    <w:p w14:paraId="2E74B77A" w14:textId="77777777" w:rsidR="000F75B3" w:rsidRDefault="000F75B3">
      <w:pPr>
        <w:spacing w:line="480" w:lineRule="auto"/>
        <w:jc w:val="both"/>
        <w:rPr>
          <w:lang w:val="es-MX"/>
        </w:rPr>
      </w:pPr>
    </w:p>
    <w:p w14:paraId="25BCF309" w14:textId="77777777" w:rsidR="00B377B6" w:rsidRDefault="00B377B6">
      <w:pPr>
        <w:spacing w:line="480" w:lineRule="auto"/>
        <w:jc w:val="both"/>
        <w:rPr>
          <w:lang w:val="es-MX"/>
        </w:rPr>
      </w:pPr>
    </w:p>
    <w:p w14:paraId="4EAF9404" w14:textId="77777777" w:rsidR="000F75B3" w:rsidRDefault="000F75B3">
      <w:pPr>
        <w:spacing w:line="480" w:lineRule="auto"/>
        <w:jc w:val="both"/>
        <w:rPr>
          <w:lang w:val="es-MX"/>
        </w:rPr>
      </w:pPr>
    </w:p>
    <w:p w14:paraId="357678E5" w14:textId="18358D96" w:rsidR="00906F9E" w:rsidRPr="00E406B4" w:rsidRDefault="006364FF" w:rsidP="000E50D2">
      <w:pPr>
        <w:rPr>
          <w:b/>
          <w:sz w:val="28"/>
          <w:szCs w:val="28"/>
          <w:lang w:val="es-ES"/>
        </w:rPr>
      </w:pPr>
      <w:r w:rsidRPr="00E406B4">
        <w:rPr>
          <w:b/>
          <w:sz w:val="28"/>
          <w:szCs w:val="28"/>
          <w:lang w:val="es-ES"/>
        </w:rPr>
        <w:lastRenderedPageBreak/>
        <w:t>Minería Artesanal</w:t>
      </w:r>
    </w:p>
    <w:p w14:paraId="1D08B027" w14:textId="77777777" w:rsidR="00E059B5" w:rsidRPr="00E059B5" w:rsidRDefault="00E059B5" w:rsidP="00E059B5">
      <w:pPr>
        <w:rPr>
          <w:lang w:val="es-ES"/>
        </w:rPr>
      </w:pPr>
    </w:p>
    <w:p w14:paraId="381AB554" w14:textId="14526669" w:rsidR="0069587A" w:rsidRDefault="006364FF" w:rsidP="0069587A">
      <w:pPr>
        <w:autoSpaceDE w:val="0"/>
        <w:autoSpaceDN w:val="0"/>
        <w:adjustRightInd w:val="0"/>
        <w:spacing w:line="480" w:lineRule="auto"/>
        <w:jc w:val="both"/>
        <w:rPr>
          <w:color w:val="000000"/>
          <w:lang w:val="es-ES"/>
        </w:rPr>
      </w:pPr>
      <w:r w:rsidRPr="00C14D91">
        <w:rPr>
          <w:lang w:val="es-ES"/>
        </w:rPr>
        <w:t>Durante el ejercicio fiscal 201</w:t>
      </w:r>
      <w:r w:rsidR="0069587A">
        <w:rPr>
          <w:lang w:val="es-ES"/>
        </w:rPr>
        <w:t>9</w:t>
      </w:r>
      <w:r w:rsidRPr="00C14D91">
        <w:rPr>
          <w:lang w:val="es-ES"/>
        </w:rPr>
        <w:t xml:space="preserve">, la Dirección de Minería Artesanal, de la Dirección General de Minería, presenta el siguiente desempeño. </w:t>
      </w:r>
      <w:r w:rsidRPr="00352BF5">
        <w:rPr>
          <w:lang w:val="es-ES"/>
        </w:rPr>
        <w:t xml:space="preserve">Se continuó con la supervisión de los pozos de extracción en las minas de ámbar y Larimar por parte de nuestros técnicos, </w:t>
      </w:r>
      <w:r w:rsidR="0069587A">
        <w:rPr>
          <w:color w:val="000000"/>
          <w:lang w:val="es-ES"/>
        </w:rPr>
        <w:t xml:space="preserve">tomando en cuenta la variación de la actividad minera artesanal, se </w:t>
      </w:r>
      <w:r w:rsidR="0069587A" w:rsidRPr="00C14D91">
        <w:rPr>
          <w:lang w:val="es-ES"/>
        </w:rPr>
        <w:t>logró</w:t>
      </w:r>
      <w:r w:rsidRPr="00C14D91">
        <w:rPr>
          <w:lang w:val="es-ES"/>
        </w:rPr>
        <w:t xml:space="preserve"> supervisar </w:t>
      </w:r>
      <w:r w:rsidR="0069587A">
        <w:rPr>
          <w:color w:val="000000"/>
          <w:lang w:val="es-ES"/>
        </w:rPr>
        <w:t xml:space="preserve">un promedio mensual </w:t>
      </w:r>
      <w:r w:rsidR="0069587A" w:rsidRPr="00BD73D6">
        <w:rPr>
          <w:color w:val="000000"/>
          <w:lang w:val="es-ES"/>
        </w:rPr>
        <w:t>de 140 pozos</w:t>
      </w:r>
      <w:r w:rsidR="0069587A">
        <w:rPr>
          <w:color w:val="000000"/>
          <w:lang w:val="es-ES"/>
        </w:rPr>
        <w:t xml:space="preserve"> artesanales (activos y paralizados). Actualmente existen 87 pozos activos, 48 en la mina de larimar, 14 en la mina de ámbar de El valle y 25 en la mina de ámbar de Santiago.</w:t>
      </w:r>
    </w:p>
    <w:p w14:paraId="73AB37F2" w14:textId="77777777" w:rsidR="0069587A" w:rsidRDefault="0069587A" w:rsidP="0069587A">
      <w:pPr>
        <w:autoSpaceDE w:val="0"/>
        <w:autoSpaceDN w:val="0"/>
        <w:adjustRightInd w:val="0"/>
        <w:spacing w:line="480" w:lineRule="auto"/>
        <w:jc w:val="both"/>
        <w:rPr>
          <w:color w:val="000000"/>
          <w:lang w:val="es-ES"/>
        </w:rPr>
      </w:pPr>
    </w:p>
    <w:p w14:paraId="0A8E365A" w14:textId="77777777" w:rsidR="0069587A" w:rsidRPr="00C31985" w:rsidRDefault="0069587A" w:rsidP="0069587A">
      <w:pPr>
        <w:spacing w:line="480" w:lineRule="auto"/>
        <w:jc w:val="both"/>
        <w:rPr>
          <w:color w:val="000000"/>
          <w:lang w:val="es-ES"/>
        </w:rPr>
      </w:pPr>
      <w:r w:rsidRPr="00C31985">
        <w:rPr>
          <w:color w:val="000000"/>
          <w:lang w:val="es-ES"/>
        </w:rPr>
        <w:t xml:space="preserve">Durante este año se han generado </w:t>
      </w:r>
      <w:r>
        <w:rPr>
          <w:color w:val="000000"/>
          <w:lang w:val="es-ES"/>
        </w:rPr>
        <w:t>cuatrocientos veintiséis</w:t>
      </w:r>
      <w:r w:rsidRPr="00C31985">
        <w:rPr>
          <w:color w:val="000000"/>
          <w:lang w:val="es-ES"/>
        </w:rPr>
        <w:t xml:space="preserve"> (</w:t>
      </w:r>
      <w:r>
        <w:rPr>
          <w:color w:val="000000"/>
          <w:lang w:val="es-ES"/>
        </w:rPr>
        <w:t>426</w:t>
      </w:r>
      <w:r w:rsidRPr="00C31985">
        <w:rPr>
          <w:color w:val="000000"/>
          <w:lang w:val="es-ES"/>
        </w:rPr>
        <w:t xml:space="preserve">) nuevos empleos directos informales, los cuales agregados a los generados el año pasado totalizan setecientos </w:t>
      </w:r>
      <w:r>
        <w:rPr>
          <w:color w:val="000000"/>
          <w:lang w:val="es-ES"/>
        </w:rPr>
        <w:t>veintitrés</w:t>
      </w:r>
      <w:r w:rsidRPr="00C31985">
        <w:rPr>
          <w:color w:val="000000"/>
          <w:lang w:val="es-ES"/>
        </w:rPr>
        <w:t xml:space="preserve"> (</w:t>
      </w:r>
      <w:r>
        <w:rPr>
          <w:color w:val="000000"/>
          <w:lang w:val="es-ES"/>
        </w:rPr>
        <w:t>723</w:t>
      </w:r>
      <w:r w:rsidRPr="00C31985">
        <w:rPr>
          <w:color w:val="000000"/>
          <w:lang w:val="es-ES"/>
        </w:rPr>
        <w:t>) empleos, esto ha generado un importante dinamismo económico en las comunidades mineras de ámbar, larimar y oro aluvial, en las provincias de Santiago, Hato Mayor y Barahona respectivamente.</w:t>
      </w:r>
    </w:p>
    <w:p w14:paraId="0CC7E2DB" w14:textId="77777777" w:rsidR="0069587A" w:rsidRDefault="0069587A" w:rsidP="0069587A">
      <w:pPr>
        <w:autoSpaceDE w:val="0"/>
        <w:autoSpaceDN w:val="0"/>
        <w:adjustRightInd w:val="0"/>
        <w:spacing w:line="480" w:lineRule="auto"/>
        <w:jc w:val="both"/>
        <w:rPr>
          <w:color w:val="000000"/>
          <w:lang w:val="es-ES"/>
        </w:rPr>
      </w:pPr>
    </w:p>
    <w:p w14:paraId="7726B721" w14:textId="77777777" w:rsidR="0069587A" w:rsidRDefault="0069587A" w:rsidP="0069587A">
      <w:pPr>
        <w:autoSpaceDE w:val="0"/>
        <w:autoSpaceDN w:val="0"/>
        <w:adjustRightInd w:val="0"/>
        <w:spacing w:line="480" w:lineRule="auto"/>
        <w:jc w:val="both"/>
        <w:rPr>
          <w:color w:val="000000"/>
          <w:lang w:val="es-ES"/>
        </w:rPr>
      </w:pPr>
      <w:r w:rsidRPr="00C31985">
        <w:rPr>
          <w:color w:val="000000"/>
          <w:lang w:val="es-ES"/>
        </w:rPr>
        <w:t xml:space="preserve">Se trabajó con el registro estadístico de la producción de ámbar y larimar, para cuyo propósito se contactan regularmente a los inversionistas de estas minas, aspirando además, ampliarlo y aplicarlo a otras minerías artesanales en todo el país. </w:t>
      </w:r>
    </w:p>
    <w:p w14:paraId="45116D9D" w14:textId="77777777" w:rsidR="0069587A" w:rsidRDefault="0069587A" w:rsidP="0069587A">
      <w:pPr>
        <w:autoSpaceDE w:val="0"/>
        <w:autoSpaceDN w:val="0"/>
        <w:adjustRightInd w:val="0"/>
        <w:spacing w:line="480" w:lineRule="auto"/>
        <w:jc w:val="both"/>
        <w:rPr>
          <w:color w:val="000000"/>
          <w:lang w:val="es-ES"/>
        </w:rPr>
      </w:pPr>
    </w:p>
    <w:p w14:paraId="13A7CF45" w14:textId="234C66D3" w:rsidR="0069587A" w:rsidRPr="00C31985" w:rsidRDefault="0069587A" w:rsidP="0069587A">
      <w:pPr>
        <w:autoSpaceDE w:val="0"/>
        <w:autoSpaceDN w:val="0"/>
        <w:adjustRightInd w:val="0"/>
        <w:spacing w:line="480" w:lineRule="auto"/>
        <w:jc w:val="both"/>
        <w:rPr>
          <w:color w:val="000000"/>
          <w:lang w:val="es-ES"/>
        </w:rPr>
      </w:pPr>
      <w:r w:rsidRPr="00C31985">
        <w:rPr>
          <w:color w:val="000000"/>
          <w:lang w:val="es-ES"/>
        </w:rPr>
        <w:t>Esto último se muestra en los siguientes cuadros.</w:t>
      </w:r>
    </w:p>
    <w:p w14:paraId="123BB2CB" w14:textId="7D8D7DA9" w:rsidR="006364FF" w:rsidRDefault="006364FF" w:rsidP="006364FF">
      <w:pPr>
        <w:spacing w:line="480" w:lineRule="auto"/>
        <w:jc w:val="both"/>
        <w:rPr>
          <w:lang w:val="es-ES"/>
        </w:rPr>
      </w:pPr>
    </w:p>
    <w:p w14:paraId="1AB3AB84" w14:textId="77777777" w:rsidR="0069587A" w:rsidRDefault="0069587A" w:rsidP="006364FF">
      <w:pPr>
        <w:spacing w:line="480" w:lineRule="auto"/>
        <w:jc w:val="both"/>
        <w:rPr>
          <w:lang w:val="es-ES"/>
        </w:rPr>
      </w:pPr>
    </w:p>
    <w:p w14:paraId="79C79B40" w14:textId="77777777" w:rsidR="0069587A" w:rsidRDefault="0069587A" w:rsidP="006364FF">
      <w:pPr>
        <w:spacing w:line="480" w:lineRule="auto"/>
        <w:jc w:val="both"/>
        <w:rPr>
          <w:lang w:val="es-ES"/>
        </w:rPr>
      </w:pPr>
    </w:p>
    <w:tbl>
      <w:tblPr>
        <w:tblStyle w:val="Tablaconcuadrcula"/>
        <w:tblW w:w="0" w:type="auto"/>
        <w:jc w:val="center"/>
        <w:tblLayout w:type="fixed"/>
        <w:tblLook w:val="04A0" w:firstRow="1" w:lastRow="0" w:firstColumn="1" w:lastColumn="0" w:noHBand="0" w:noVBand="1"/>
      </w:tblPr>
      <w:tblGrid>
        <w:gridCol w:w="1985"/>
        <w:gridCol w:w="1276"/>
        <w:gridCol w:w="1417"/>
        <w:gridCol w:w="1562"/>
        <w:gridCol w:w="1557"/>
      </w:tblGrid>
      <w:tr w:rsidR="0069587A" w:rsidRPr="00BD73D6" w14:paraId="63085026" w14:textId="77777777" w:rsidTr="00C90DB6">
        <w:trPr>
          <w:jc w:val="center"/>
        </w:trPr>
        <w:tc>
          <w:tcPr>
            <w:tcW w:w="7797" w:type="dxa"/>
            <w:gridSpan w:val="5"/>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tcPr>
          <w:p w14:paraId="234D2EC7" w14:textId="77777777" w:rsidR="0069587A" w:rsidRPr="00577019" w:rsidRDefault="0069587A" w:rsidP="00C90DB6">
            <w:pPr>
              <w:tabs>
                <w:tab w:val="right" w:pos="7155"/>
              </w:tabs>
              <w:spacing w:line="360" w:lineRule="auto"/>
              <w:jc w:val="center"/>
              <w:rPr>
                <w:b/>
                <w:sz w:val="25"/>
                <w:szCs w:val="25"/>
                <w:lang w:val="es-ES_tradnl" w:eastAsia="es-ES_tradnl"/>
              </w:rPr>
            </w:pPr>
            <w:r w:rsidRPr="00577019">
              <w:rPr>
                <w:b/>
                <w:sz w:val="25"/>
                <w:szCs w:val="25"/>
                <w:lang w:val="es-ES_tradnl" w:eastAsia="es-ES_tradnl"/>
              </w:rPr>
              <w:lastRenderedPageBreak/>
              <w:t>Producción</w:t>
            </w:r>
            <w:r>
              <w:rPr>
                <w:b/>
                <w:sz w:val="25"/>
                <w:szCs w:val="25"/>
                <w:lang w:val="es-ES_tradnl" w:eastAsia="es-ES_tradnl"/>
              </w:rPr>
              <w:t xml:space="preserve"> de Larimar diciembre 2018 - octubre 2019</w:t>
            </w:r>
            <w:r w:rsidRPr="00577019">
              <w:rPr>
                <w:b/>
                <w:sz w:val="25"/>
                <w:szCs w:val="25"/>
                <w:lang w:val="es-ES_tradnl" w:eastAsia="es-ES_tradnl"/>
              </w:rPr>
              <w:t xml:space="preserve"> (libras)</w:t>
            </w:r>
          </w:p>
        </w:tc>
      </w:tr>
      <w:tr w:rsidR="0069587A" w14:paraId="5796187F" w14:textId="77777777" w:rsidTr="00C90DB6">
        <w:trPr>
          <w:jc w:val="center"/>
        </w:trPr>
        <w:tc>
          <w:tcPr>
            <w:tcW w:w="198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0F7A310" w14:textId="77777777" w:rsidR="0069587A" w:rsidRPr="00577019" w:rsidRDefault="0069587A" w:rsidP="00C90DB6">
            <w:pPr>
              <w:spacing w:line="360" w:lineRule="auto"/>
              <w:rPr>
                <w:b/>
                <w:sz w:val="25"/>
                <w:szCs w:val="25"/>
                <w:lang w:val="es-ES_tradnl" w:eastAsia="es-ES_tradnl"/>
              </w:rPr>
            </w:pPr>
            <w:r w:rsidRPr="00577019">
              <w:rPr>
                <w:b/>
                <w:sz w:val="25"/>
                <w:szCs w:val="25"/>
                <w:lang w:val="es-ES_tradnl" w:eastAsia="es-ES_tradnl"/>
              </w:rPr>
              <w:t>Tipo</w:t>
            </w:r>
          </w:p>
        </w:tc>
        <w:tc>
          <w:tcPr>
            <w:tcW w:w="12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376DCF" w14:textId="77777777" w:rsidR="0069587A" w:rsidRPr="00577019" w:rsidRDefault="0069587A" w:rsidP="00C90DB6">
            <w:pPr>
              <w:spacing w:line="360" w:lineRule="auto"/>
              <w:jc w:val="center"/>
              <w:rPr>
                <w:b/>
                <w:sz w:val="25"/>
                <w:szCs w:val="25"/>
                <w:lang w:val="es-ES_tradnl" w:eastAsia="es-ES_tradnl"/>
              </w:rPr>
            </w:pPr>
            <w:r w:rsidRPr="00577019">
              <w:rPr>
                <w:b/>
                <w:sz w:val="25"/>
                <w:szCs w:val="25"/>
                <w:lang w:val="es-ES_tradnl" w:eastAsia="es-ES_tradnl"/>
              </w:rPr>
              <w:t>1era.</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47C859A" w14:textId="77777777" w:rsidR="0069587A" w:rsidRPr="00577019" w:rsidRDefault="0069587A" w:rsidP="00C90DB6">
            <w:pPr>
              <w:spacing w:line="360" w:lineRule="auto"/>
              <w:jc w:val="center"/>
              <w:rPr>
                <w:b/>
                <w:sz w:val="25"/>
                <w:szCs w:val="25"/>
                <w:lang w:val="es-ES_tradnl" w:eastAsia="es-ES_tradnl"/>
              </w:rPr>
            </w:pPr>
            <w:r w:rsidRPr="00577019">
              <w:rPr>
                <w:b/>
                <w:sz w:val="25"/>
                <w:szCs w:val="25"/>
                <w:lang w:val="es-ES_tradnl" w:eastAsia="es-ES_tradnl"/>
              </w:rPr>
              <w:t>2da.</w:t>
            </w:r>
          </w:p>
        </w:tc>
        <w:tc>
          <w:tcPr>
            <w:tcW w:w="156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81E31E6" w14:textId="77777777" w:rsidR="0069587A" w:rsidRPr="00577019" w:rsidRDefault="0069587A" w:rsidP="00C90DB6">
            <w:pPr>
              <w:spacing w:line="360" w:lineRule="auto"/>
              <w:jc w:val="center"/>
              <w:rPr>
                <w:b/>
                <w:sz w:val="25"/>
                <w:szCs w:val="25"/>
                <w:lang w:val="es-ES_tradnl" w:eastAsia="es-ES_tradnl"/>
              </w:rPr>
            </w:pPr>
            <w:r w:rsidRPr="00577019">
              <w:rPr>
                <w:b/>
                <w:sz w:val="25"/>
                <w:szCs w:val="25"/>
                <w:lang w:val="es-ES_tradnl" w:eastAsia="es-ES_tradnl"/>
              </w:rPr>
              <w:t>3era(maco)</w:t>
            </w:r>
          </w:p>
        </w:tc>
        <w:tc>
          <w:tcPr>
            <w:tcW w:w="155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96D0CF0" w14:textId="77777777" w:rsidR="0069587A" w:rsidRPr="00577019" w:rsidRDefault="0069587A" w:rsidP="00C90DB6">
            <w:pPr>
              <w:spacing w:line="360" w:lineRule="auto"/>
              <w:jc w:val="center"/>
              <w:rPr>
                <w:b/>
                <w:sz w:val="25"/>
                <w:szCs w:val="25"/>
                <w:lang w:val="es-ES_tradnl" w:eastAsia="es-ES_tradnl"/>
              </w:rPr>
            </w:pPr>
            <w:r w:rsidRPr="00577019">
              <w:rPr>
                <w:b/>
                <w:sz w:val="25"/>
                <w:szCs w:val="25"/>
                <w:lang w:val="es-ES_tradnl" w:eastAsia="es-ES_tradnl"/>
              </w:rPr>
              <w:t>Total</w:t>
            </w:r>
          </w:p>
        </w:tc>
      </w:tr>
      <w:tr w:rsidR="0069587A" w14:paraId="7A80739B" w14:textId="77777777" w:rsidTr="00C90DB6">
        <w:trPr>
          <w:jc w:val="center"/>
        </w:trPr>
        <w:tc>
          <w:tcPr>
            <w:tcW w:w="1985" w:type="dxa"/>
            <w:tcBorders>
              <w:top w:val="single" w:sz="12" w:space="0" w:color="auto"/>
              <w:left w:val="single" w:sz="4" w:space="0" w:color="auto"/>
              <w:bottom w:val="single" w:sz="4" w:space="0" w:color="auto"/>
              <w:right w:val="single" w:sz="4" w:space="0" w:color="auto"/>
            </w:tcBorders>
          </w:tcPr>
          <w:p w14:paraId="34369AA7" w14:textId="77777777" w:rsidR="0069587A" w:rsidRPr="00577019" w:rsidRDefault="0069587A" w:rsidP="00C90DB6">
            <w:pPr>
              <w:spacing w:line="360" w:lineRule="auto"/>
              <w:rPr>
                <w:b/>
                <w:sz w:val="25"/>
                <w:szCs w:val="25"/>
                <w:lang w:val="es-ES_tradnl" w:eastAsia="es-ES_tradnl"/>
              </w:rPr>
            </w:pPr>
            <w:r>
              <w:rPr>
                <w:b/>
                <w:sz w:val="25"/>
                <w:szCs w:val="25"/>
                <w:lang w:val="es-ES_tradnl" w:eastAsia="es-ES_tradnl"/>
              </w:rPr>
              <w:t>Túnel (1)</w:t>
            </w:r>
          </w:p>
        </w:tc>
        <w:tc>
          <w:tcPr>
            <w:tcW w:w="1276" w:type="dxa"/>
            <w:tcBorders>
              <w:top w:val="single" w:sz="4" w:space="0" w:color="auto"/>
              <w:left w:val="single" w:sz="4" w:space="0" w:color="auto"/>
            </w:tcBorders>
            <w:vAlign w:val="center"/>
          </w:tcPr>
          <w:p w14:paraId="2DD7BC54" w14:textId="77777777" w:rsidR="0069587A" w:rsidRPr="00103B48" w:rsidRDefault="0069587A" w:rsidP="00C90DB6">
            <w:pPr>
              <w:jc w:val="center"/>
              <w:rPr>
                <w:sz w:val="25"/>
                <w:szCs w:val="25"/>
                <w:lang w:val="es-ES_tradnl" w:eastAsia="es-ES_tradnl"/>
              </w:rPr>
            </w:pPr>
            <w:r>
              <w:rPr>
                <w:sz w:val="25"/>
                <w:szCs w:val="25"/>
                <w:lang w:val="es-ES_tradnl" w:eastAsia="es-ES_tradnl"/>
              </w:rPr>
              <w:t>7,781</w:t>
            </w:r>
          </w:p>
        </w:tc>
        <w:tc>
          <w:tcPr>
            <w:tcW w:w="1417" w:type="dxa"/>
            <w:tcBorders>
              <w:top w:val="single" w:sz="4" w:space="0" w:color="auto"/>
            </w:tcBorders>
            <w:vAlign w:val="center"/>
          </w:tcPr>
          <w:p w14:paraId="4860BD2E" w14:textId="77777777" w:rsidR="0069587A" w:rsidRPr="00103B48" w:rsidRDefault="0069587A" w:rsidP="00C90DB6">
            <w:pPr>
              <w:jc w:val="center"/>
              <w:rPr>
                <w:sz w:val="25"/>
                <w:szCs w:val="25"/>
                <w:lang w:val="es-ES_tradnl" w:eastAsia="es-ES_tradnl"/>
              </w:rPr>
            </w:pPr>
            <w:r>
              <w:rPr>
                <w:sz w:val="25"/>
                <w:szCs w:val="25"/>
                <w:lang w:val="es-ES_tradnl" w:eastAsia="es-ES_tradnl"/>
              </w:rPr>
              <w:t>7,402</w:t>
            </w:r>
          </w:p>
        </w:tc>
        <w:tc>
          <w:tcPr>
            <w:tcW w:w="1562" w:type="dxa"/>
            <w:tcBorders>
              <w:top w:val="single" w:sz="4" w:space="0" w:color="auto"/>
            </w:tcBorders>
            <w:vAlign w:val="center"/>
          </w:tcPr>
          <w:p w14:paraId="42465F4F" w14:textId="77777777" w:rsidR="0069587A" w:rsidRPr="00103B48" w:rsidRDefault="0069587A" w:rsidP="00C90DB6">
            <w:pPr>
              <w:jc w:val="center"/>
              <w:rPr>
                <w:sz w:val="25"/>
                <w:szCs w:val="25"/>
                <w:lang w:val="es-ES_tradnl" w:eastAsia="es-ES_tradnl"/>
              </w:rPr>
            </w:pPr>
            <w:r>
              <w:rPr>
                <w:sz w:val="25"/>
                <w:szCs w:val="25"/>
                <w:lang w:val="es-ES_tradnl" w:eastAsia="es-ES_tradnl"/>
              </w:rPr>
              <w:t>8,616</w:t>
            </w:r>
          </w:p>
        </w:tc>
        <w:tc>
          <w:tcPr>
            <w:tcW w:w="1557" w:type="dxa"/>
            <w:tcBorders>
              <w:top w:val="single" w:sz="4" w:space="0" w:color="auto"/>
            </w:tcBorders>
            <w:vAlign w:val="center"/>
          </w:tcPr>
          <w:p w14:paraId="20C32C1F" w14:textId="77777777" w:rsidR="0069587A" w:rsidRPr="00900B4B" w:rsidRDefault="0069587A" w:rsidP="00C90DB6">
            <w:pPr>
              <w:jc w:val="center"/>
              <w:rPr>
                <w:b/>
                <w:i/>
                <w:sz w:val="25"/>
                <w:szCs w:val="25"/>
                <w:lang w:val="es-ES_tradnl" w:eastAsia="es-ES_tradnl"/>
              </w:rPr>
            </w:pPr>
            <w:r>
              <w:rPr>
                <w:b/>
                <w:i/>
                <w:sz w:val="25"/>
                <w:szCs w:val="25"/>
                <w:lang w:val="es-ES_tradnl" w:eastAsia="es-ES_tradnl"/>
              </w:rPr>
              <w:t>23,799</w:t>
            </w:r>
          </w:p>
        </w:tc>
      </w:tr>
      <w:tr w:rsidR="0069587A" w14:paraId="2C0FAD06" w14:textId="77777777" w:rsidTr="00C90DB6">
        <w:trPr>
          <w:jc w:val="center"/>
        </w:trPr>
        <w:tc>
          <w:tcPr>
            <w:tcW w:w="1985" w:type="dxa"/>
            <w:tcBorders>
              <w:top w:val="single" w:sz="4" w:space="0" w:color="auto"/>
              <w:left w:val="single" w:sz="4" w:space="0" w:color="auto"/>
              <w:bottom w:val="single" w:sz="4" w:space="0" w:color="auto"/>
              <w:right w:val="single" w:sz="4" w:space="0" w:color="auto"/>
            </w:tcBorders>
          </w:tcPr>
          <w:p w14:paraId="2CDFF30D" w14:textId="77777777" w:rsidR="0069587A" w:rsidRPr="00577019" w:rsidRDefault="0069587A" w:rsidP="00C90DB6">
            <w:pPr>
              <w:spacing w:line="360" w:lineRule="auto"/>
              <w:rPr>
                <w:b/>
                <w:sz w:val="25"/>
                <w:szCs w:val="25"/>
                <w:lang w:val="es-ES_tradnl" w:eastAsia="es-ES_tradnl"/>
              </w:rPr>
            </w:pPr>
            <w:r>
              <w:rPr>
                <w:b/>
                <w:sz w:val="25"/>
                <w:szCs w:val="25"/>
                <w:lang w:val="es-ES_tradnl" w:eastAsia="es-ES_tradnl"/>
              </w:rPr>
              <w:t>Mina Vieja (2)</w:t>
            </w:r>
          </w:p>
        </w:tc>
        <w:tc>
          <w:tcPr>
            <w:tcW w:w="1276" w:type="dxa"/>
            <w:tcBorders>
              <w:top w:val="single" w:sz="4" w:space="0" w:color="auto"/>
              <w:left w:val="single" w:sz="4" w:space="0" w:color="auto"/>
            </w:tcBorders>
            <w:vAlign w:val="center"/>
          </w:tcPr>
          <w:p w14:paraId="267C0960" w14:textId="77777777" w:rsidR="0069587A" w:rsidRPr="00C546E5" w:rsidRDefault="0069587A" w:rsidP="00C90DB6">
            <w:pPr>
              <w:jc w:val="center"/>
              <w:rPr>
                <w:sz w:val="25"/>
                <w:szCs w:val="25"/>
                <w:lang w:val="es-ES_tradnl" w:eastAsia="es-ES_tradnl"/>
              </w:rPr>
            </w:pPr>
            <w:r>
              <w:rPr>
                <w:sz w:val="25"/>
                <w:szCs w:val="25"/>
                <w:lang w:val="es-ES_tradnl" w:eastAsia="es-ES_tradnl"/>
              </w:rPr>
              <w:t>12,798</w:t>
            </w:r>
          </w:p>
        </w:tc>
        <w:tc>
          <w:tcPr>
            <w:tcW w:w="1417" w:type="dxa"/>
            <w:tcBorders>
              <w:top w:val="single" w:sz="4" w:space="0" w:color="auto"/>
            </w:tcBorders>
            <w:vAlign w:val="center"/>
          </w:tcPr>
          <w:p w14:paraId="7F805E92" w14:textId="77777777" w:rsidR="0069587A" w:rsidRPr="00C546E5" w:rsidRDefault="0069587A" w:rsidP="00C90DB6">
            <w:pPr>
              <w:jc w:val="center"/>
              <w:rPr>
                <w:sz w:val="25"/>
                <w:szCs w:val="25"/>
                <w:lang w:val="es-ES_tradnl" w:eastAsia="es-ES_tradnl"/>
              </w:rPr>
            </w:pPr>
            <w:r>
              <w:rPr>
                <w:sz w:val="25"/>
                <w:szCs w:val="25"/>
                <w:lang w:val="es-ES_tradnl" w:eastAsia="es-ES_tradnl"/>
              </w:rPr>
              <w:t>12,019</w:t>
            </w:r>
          </w:p>
        </w:tc>
        <w:tc>
          <w:tcPr>
            <w:tcW w:w="1562" w:type="dxa"/>
            <w:tcBorders>
              <w:top w:val="single" w:sz="4" w:space="0" w:color="auto"/>
            </w:tcBorders>
            <w:vAlign w:val="center"/>
          </w:tcPr>
          <w:p w14:paraId="7AB8F7CE" w14:textId="77777777" w:rsidR="0069587A" w:rsidRPr="00C546E5" w:rsidRDefault="0069587A" w:rsidP="00C90DB6">
            <w:pPr>
              <w:jc w:val="center"/>
              <w:rPr>
                <w:sz w:val="25"/>
                <w:szCs w:val="25"/>
                <w:lang w:val="es-ES_tradnl" w:eastAsia="es-ES_tradnl"/>
              </w:rPr>
            </w:pPr>
            <w:r>
              <w:rPr>
                <w:sz w:val="25"/>
                <w:szCs w:val="25"/>
                <w:lang w:val="es-ES_tradnl" w:eastAsia="es-ES_tradnl"/>
              </w:rPr>
              <w:t>13,062</w:t>
            </w:r>
          </w:p>
        </w:tc>
        <w:tc>
          <w:tcPr>
            <w:tcW w:w="1557" w:type="dxa"/>
            <w:tcBorders>
              <w:top w:val="single" w:sz="4" w:space="0" w:color="auto"/>
            </w:tcBorders>
            <w:vAlign w:val="center"/>
          </w:tcPr>
          <w:p w14:paraId="250781EA" w14:textId="77777777" w:rsidR="0069587A" w:rsidRPr="00900B4B" w:rsidRDefault="0069587A" w:rsidP="00C90DB6">
            <w:pPr>
              <w:jc w:val="center"/>
              <w:rPr>
                <w:b/>
                <w:i/>
                <w:sz w:val="25"/>
                <w:szCs w:val="25"/>
                <w:lang w:val="es-ES_tradnl" w:eastAsia="es-ES_tradnl"/>
              </w:rPr>
            </w:pPr>
            <w:r>
              <w:rPr>
                <w:b/>
                <w:i/>
                <w:sz w:val="25"/>
                <w:szCs w:val="25"/>
                <w:lang w:val="es-ES_tradnl" w:eastAsia="es-ES_tradnl"/>
              </w:rPr>
              <w:t>45,281</w:t>
            </w:r>
          </w:p>
        </w:tc>
      </w:tr>
      <w:tr w:rsidR="0069587A" w14:paraId="6FC2756B" w14:textId="77777777" w:rsidTr="00C90DB6">
        <w:trPr>
          <w:jc w:val="center"/>
        </w:trPr>
        <w:tc>
          <w:tcPr>
            <w:tcW w:w="1985" w:type="dxa"/>
            <w:tcBorders>
              <w:top w:val="single" w:sz="4" w:space="0" w:color="auto"/>
              <w:left w:val="single" w:sz="4" w:space="0" w:color="auto"/>
              <w:bottom w:val="single" w:sz="4" w:space="0" w:color="auto"/>
              <w:right w:val="single" w:sz="4" w:space="0" w:color="auto"/>
            </w:tcBorders>
          </w:tcPr>
          <w:p w14:paraId="706D8FCD" w14:textId="77777777" w:rsidR="0069587A" w:rsidRPr="00577019" w:rsidRDefault="0069587A" w:rsidP="00C90DB6">
            <w:pPr>
              <w:spacing w:line="360" w:lineRule="auto"/>
              <w:rPr>
                <w:b/>
                <w:sz w:val="25"/>
                <w:szCs w:val="25"/>
                <w:lang w:val="es-ES_tradnl" w:eastAsia="es-ES_tradnl"/>
              </w:rPr>
            </w:pPr>
            <w:r>
              <w:rPr>
                <w:b/>
                <w:sz w:val="25"/>
                <w:szCs w:val="25"/>
                <w:lang w:val="es-ES_tradnl" w:eastAsia="es-ES_tradnl"/>
              </w:rPr>
              <w:t>Total año (1+2)</w:t>
            </w:r>
          </w:p>
        </w:tc>
        <w:tc>
          <w:tcPr>
            <w:tcW w:w="1276" w:type="dxa"/>
            <w:tcBorders>
              <w:top w:val="single" w:sz="4" w:space="0" w:color="auto"/>
              <w:left w:val="single" w:sz="4" w:space="0" w:color="auto"/>
              <w:bottom w:val="single" w:sz="4" w:space="0" w:color="auto"/>
            </w:tcBorders>
            <w:vAlign w:val="center"/>
          </w:tcPr>
          <w:p w14:paraId="36329665" w14:textId="77777777" w:rsidR="0069587A" w:rsidRPr="00C546E5" w:rsidRDefault="0069587A" w:rsidP="00C90DB6">
            <w:pPr>
              <w:jc w:val="center"/>
              <w:rPr>
                <w:b/>
                <w:i/>
                <w:sz w:val="25"/>
                <w:szCs w:val="25"/>
                <w:lang w:val="es-ES_tradnl" w:eastAsia="es-ES_tradnl"/>
              </w:rPr>
            </w:pPr>
            <w:r>
              <w:rPr>
                <w:b/>
                <w:i/>
                <w:sz w:val="25"/>
                <w:szCs w:val="25"/>
                <w:lang w:val="es-ES_tradnl" w:eastAsia="es-ES_tradnl"/>
              </w:rPr>
              <w:t>20,579</w:t>
            </w:r>
          </w:p>
        </w:tc>
        <w:tc>
          <w:tcPr>
            <w:tcW w:w="1417" w:type="dxa"/>
            <w:tcBorders>
              <w:top w:val="single" w:sz="4" w:space="0" w:color="auto"/>
              <w:bottom w:val="single" w:sz="4" w:space="0" w:color="auto"/>
            </w:tcBorders>
            <w:vAlign w:val="center"/>
          </w:tcPr>
          <w:p w14:paraId="4DC08253" w14:textId="77777777" w:rsidR="0069587A" w:rsidRPr="00C546E5" w:rsidRDefault="0069587A" w:rsidP="00C90DB6">
            <w:pPr>
              <w:jc w:val="center"/>
              <w:rPr>
                <w:b/>
                <w:i/>
                <w:sz w:val="25"/>
                <w:szCs w:val="25"/>
                <w:lang w:val="es-ES_tradnl" w:eastAsia="es-ES_tradnl"/>
              </w:rPr>
            </w:pPr>
            <w:r>
              <w:rPr>
                <w:b/>
                <w:i/>
                <w:sz w:val="25"/>
                <w:szCs w:val="25"/>
                <w:lang w:val="es-ES_tradnl" w:eastAsia="es-ES_tradnl"/>
              </w:rPr>
              <w:t>19,421</w:t>
            </w:r>
          </w:p>
        </w:tc>
        <w:tc>
          <w:tcPr>
            <w:tcW w:w="1562" w:type="dxa"/>
            <w:tcBorders>
              <w:top w:val="single" w:sz="4" w:space="0" w:color="auto"/>
              <w:bottom w:val="single" w:sz="4" w:space="0" w:color="auto"/>
            </w:tcBorders>
            <w:vAlign w:val="center"/>
          </w:tcPr>
          <w:p w14:paraId="6D5477A0" w14:textId="77777777" w:rsidR="0069587A" w:rsidRPr="00C546E5" w:rsidRDefault="0069587A" w:rsidP="00C90DB6">
            <w:pPr>
              <w:jc w:val="center"/>
              <w:rPr>
                <w:b/>
                <w:i/>
                <w:sz w:val="25"/>
                <w:szCs w:val="25"/>
                <w:lang w:val="es-ES_tradnl" w:eastAsia="es-ES_tradnl"/>
              </w:rPr>
            </w:pPr>
            <w:r>
              <w:rPr>
                <w:b/>
                <w:i/>
                <w:sz w:val="25"/>
                <w:szCs w:val="25"/>
                <w:lang w:val="es-ES_tradnl" w:eastAsia="es-ES_tradnl"/>
              </w:rPr>
              <w:t>21,678</w:t>
            </w:r>
          </w:p>
        </w:tc>
        <w:tc>
          <w:tcPr>
            <w:tcW w:w="1557" w:type="dxa"/>
            <w:tcBorders>
              <w:top w:val="single" w:sz="4" w:space="0" w:color="auto"/>
              <w:bottom w:val="single" w:sz="4" w:space="0" w:color="auto"/>
            </w:tcBorders>
            <w:shd w:val="clear" w:color="auto" w:fill="FFFF00"/>
            <w:vAlign w:val="center"/>
          </w:tcPr>
          <w:p w14:paraId="5C7E2E48" w14:textId="77777777" w:rsidR="0069587A" w:rsidRPr="00554F9E" w:rsidRDefault="0069587A" w:rsidP="00C90DB6">
            <w:pPr>
              <w:jc w:val="center"/>
              <w:rPr>
                <w:b/>
                <w:sz w:val="25"/>
                <w:szCs w:val="25"/>
                <w:highlight w:val="yellow"/>
                <w:lang w:val="es-ES_tradnl" w:eastAsia="es-ES_tradnl"/>
              </w:rPr>
            </w:pPr>
            <w:r>
              <w:rPr>
                <w:b/>
                <w:sz w:val="25"/>
                <w:szCs w:val="25"/>
                <w:lang w:val="es-ES_tradnl" w:eastAsia="es-ES_tradnl"/>
              </w:rPr>
              <w:t>61,678</w:t>
            </w:r>
          </w:p>
        </w:tc>
      </w:tr>
    </w:tbl>
    <w:p w14:paraId="121F6DFA" w14:textId="77777777" w:rsidR="0069587A" w:rsidRDefault="0069587A" w:rsidP="0069587A">
      <w:pPr>
        <w:spacing w:line="360" w:lineRule="auto"/>
        <w:jc w:val="both"/>
        <w:rPr>
          <w:lang w:val="es-ES"/>
        </w:rPr>
      </w:pPr>
    </w:p>
    <w:tbl>
      <w:tblPr>
        <w:tblStyle w:val="Tablaconcuadrcula"/>
        <w:tblW w:w="0" w:type="auto"/>
        <w:jc w:val="center"/>
        <w:tblLayout w:type="fixed"/>
        <w:tblLook w:val="04A0" w:firstRow="1" w:lastRow="0" w:firstColumn="1" w:lastColumn="0" w:noHBand="0" w:noVBand="1"/>
      </w:tblPr>
      <w:tblGrid>
        <w:gridCol w:w="1985"/>
        <w:gridCol w:w="1417"/>
        <w:gridCol w:w="1418"/>
        <w:gridCol w:w="1420"/>
        <w:gridCol w:w="1557"/>
      </w:tblGrid>
      <w:tr w:rsidR="0069587A" w:rsidRPr="00BD73D6" w14:paraId="338FDFCB" w14:textId="77777777" w:rsidTr="00C90DB6">
        <w:trPr>
          <w:jc w:val="center"/>
        </w:trPr>
        <w:tc>
          <w:tcPr>
            <w:tcW w:w="7797" w:type="dxa"/>
            <w:gridSpan w:val="5"/>
            <w:tcBorders>
              <w:top w:val="single" w:sz="12" w:space="0" w:color="auto"/>
              <w:left w:val="single" w:sz="12" w:space="0" w:color="auto"/>
              <w:bottom w:val="single" w:sz="12" w:space="0" w:color="auto"/>
              <w:right w:val="single" w:sz="12" w:space="0" w:color="auto"/>
            </w:tcBorders>
            <w:shd w:val="clear" w:color="auto" w:fill="92CDDC" w:themeFill="accent5" w:themeFillTint="99"/>
          </w:tcPr>
          <w:p w14:paraId="5ACADD12" w14:textId="77777777" w:rsidR="0069587A" w:rsidRPr="00577019" w:rsidRDefault="0069587A" w:rsidP="00C90DB6">
            <w:pPr>
              <w:tabs>
                <w:tab w:val="right" w:pos="7155"/>
              </w:tabs>
              <w:spacing w:line="360" w:lineRule="auto"/>
              <w:jc w:val="center"/>
              <w:rPr>
                <w:b/>
                <w:sz w:val="25"/>
                <w:szCs w:val="25"/>
                <w:lang w:val="es-ES_tradnl" w:eastAsia="es-ES_tradnl"/>
              </w:rPr>
            </w:pPr>
            <w:r w:rsidRPr="00577019">
              <w:rPr>
                <w:b/>
                <w:sz w:val="25"/>
                <w:szCs w:val="25"/>
                <w:lang w:val="es-ES_tradnl" w:eastAsia="es-ES_tradnl"/>
              </w:rPr>
              <w:t>Producción</w:t>
            </w:r>
            <w:r>
              <w:rPr>
                <w:b/>
                <w:sz w:val="25"/>
                <w:szCs w:val="25"/>
                <w:lang w:val="es-ES_tradnl" w:eastAsia="es-ES_tradnl"/>
              </w:rPr>
              <w:t xml:space="preserve"> de ámbar diciembre 2018 - octubre 2019</w:t>
            </w:r>
            <w:r w:rsidRPr="00577019">
              <w:rPr>
                <w:b/>
                <w:sz w:val="25"/>
                <w:szCs w:val="25"/>
                <w:lang w:val="es-ES_tradnl" w:eastAsia="es-ES_tradnl"/>
              </w:rPr>
              <w:t xml:space="preserve"> (libras)</w:t>
            </w:r>
          </w:p>
        </w:tc>
      </w:tr>
      <w:tr w:rsidR="0069587A" w14:paraId="7C304DF2" w14:textId="77777777" w:rsidTr="00C90DB6">
        <w:trPr>
          <w:jc w:val="center"/>
        </w:trPr>
        <w:tc>
          <w:tcPr>
            <w:tcW w:w="198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18949EF" w14:textId="77777777" w:rsidR="0069587A" w:rsidRPr="00577019" w:rsidRDefault="0069587A" w:rsidP="00C90DB6">
            <w:pPr>
              <w:spacing w:line="360" w:lineRule="auto"/>
              <w:rPr>
                <w:b/>
                <w:sz w:val="25"/>
                <w:szCs w:val="25"/>
                <w:lang w:val="es-ES_tradnl" w:eastAsia="es-ES_tradnl"/>
              </w:rPr>
            </w:pPr>
            <w:r w:rsidRPr="00577019">
              <w:rPr>
                <w:b/>
                <w:sz w:val="25"/>
                <w:szCs w:val="25"/>
                <w:lang w:val="es-ES_tradnl" w:eastAsia="es-ES_tradnl"/>
              </w:rPr>
              <w:t>Tipo</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AE631D5" w14:textId="77777777" w:rsidR="0069587A" w:rsidRPr="00577019" w:rsidRDefault="0069587A" w:rsidP="00C90DB6">
            <w:pPr>
              <w:spacing w:line="360" w:lineRule="auto"/>
              <w:jc w:val="center"/>
              <w:rPr>
                <w:b/>
                <w:sz w:val="25"/>
                <w:szCs w:val="25"/>
                <w:lang w:val="es-ES_tradnl" w:eastAsia="es-ES_tradnl"/>
              </w:rPr>
            </w:pPr>
            <w:r>
              <w:rPr>
                <w:b/>
                <w:sz w:val="25"/>
                <w:szCs w:val="25"/>
                <w:lang w:val="es-ES_tradnl" w:eastAsia="es-ES_tradnl"/>
              </w:rPr>
              <w:t>Azul</w:t>
            </w:r>
          </w:p>
        </w:tc>
        <w:tc>
          <w:tcPr>
            <w:tcW w:w="14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C12BAAD" w14:textId="77777777" w:rsidR="0069587A" w:rsidRPr="00577019" w:rsidRDefault="0069587A" w:rsidP="00C90DB6">
            <w:pPr>
              <w:spacing w:line="360" w:lineRule="auto"/>
              <w:jc w:val="center"/>
              <w:rPr>
                <w:b/>
                <w:sz w:val="25"/>
                <w:szCs w:val="25"/>
                <w:lang w:val="es-ES_tradnl" w:eastAsia="es-ES_tradnl"/>
              </w:rPr>
            </w:pPr>
            <w:r>
              <w:rPr>
                <w:b/>
                <w:sz w:val="25"/>
                <w:szCs w:val="25"/>
                <w:lang w:val="es-ES_tradnl" w:eastAsia="es-ES_tradnl"/>
              </w:rPr>
              <w:t>Amarillo</w:t>
            </w:r>
          </w:p>
        </w:tc>
        <w:tc>
          <w:tcPr>
            <w:tcW w:w="14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5907A42" w14:textId="77777777" w:rsidR="0069587A" w:rsidRPr="00577019" w:rsidRDefault="0069587A" w:rsidP="00C90DB6">
            <w:pPr>
              <w:spacing w:line="360" w:lineRule="auto"/>
              <w:jc w:val="center"/>
              <w:rPr>
                <w:b/>
                <w:sz w:val="25"/>
                <w:szCs w:val="25"/>
                <w:lang w:val="es-ES_tradnl" w:eastAsia="es-ES_tradnl"/>
              </w:rPr>
            </w:pPr>
            <w:r>
              <w:rPr>
                <w:b/>
                <w:sz w:val="25"/>
                <w:szCs w:val="25"/>
                <w:lang w:val="es-ES_tradnl" w:eastAsia="es-ES_tradnl"/>
              </w:rPr>
              <w:t>Trilla</w:t>
            </w:r>
          </w:p>
        </w:tc>
        <w:tc>
          <w:tcPr>
            <w:tcW w:w="155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2AEEFBF" w14:textId="77777777" w:rsidR="0069587A" w:rsidRPr="00577019" w:rsidRDefault="0069587A" w:rsidP="00C90DB6">
            <w:pPr>
              <w:spacing w:line="360" w:lineRule="auto"/>
              <w:jc w:val="center"/>
              <w:rPr>
                <w:b/>
                <w:sz w:val="25"/>
                <w:szCs w:val="25"/>
                <w:lang w:val="es-ES_tradnl" w:eastAsia="es-ES_tradnl"/>
              </w:rPr>
            </w:pPr>
            <w:r w:rsidRPr="00577019">
              <w:rPr>
                <w:b/>
                <w:sz w:val="25"/>
                <w:szCs w:val="25"/>
                <w:lang w:val="es-ES_tradnl" w:eastAsia="es-ES_tradnl"/>
              </w:rPr>
              <w:t>Total</w:t>
            </w:r>
          </w:p>
        </w:tc>
      </w:tr>
      <w:tr w:rsidR="0069587A" w14:paraId="7219B4D4" w14:textId="77777777" w:rsidTr="00C90DB6">
        <w:trPr>
          <w:jc w:val="center"/>
        </w:trPr>
        <w:tc>
          <w:tcPr>
            <w:tcW w:w="1985" w:type="dxa"/>
            <w:tcBorders>
              <w:top w:val="single" w:sz="12" w:space="0" w:color="auto"/>
              <w:left w:val="single" w:sz="4" w:space="0" w:color="auto"/>
              <w:bottom w:val="single" w:sz="4" w:space="0" w:color="auto"/>
              <w:right w:val="single" w:sz="4" w:space="0" w:color="auto"/>
            </w:tcBorders>
          </w:tcPr>
          <w:p w14:paraId="642B3BC4" w14:textId="77777777" w:rsidR="0069587A" w:rsidRPr="00577019" w:rsidRDefault="0069587A" w:rsidP="00C90DB6">
            <w:pPr>
              <w:spacing w:line="360" w:lineRule="auto"/>
              <w:rPr>
                <w:b/>
                <w:sz w:val="25"/>
                <w:szCs w:val="25"/>
                <w:lang w:val="es-ES_tradnl" w:eastAsia="es-ES_tradnl"/>
              </w:rPr>
            </w:pPr>
            <w:r w:rsidRPr="00A65AEB">
              <w:rPr>
                <w:b/>
                <w:sz w:val="25"/>
                <w:szCs w:val="25"/>
                <w:lang w:val="es-ES_tradnl" w:eastAsia="es-ES_tradnl"/>
              </w:rPr>
              <w:t>Santiago</w:t>
            </w:r>
            <w:r>
              <w:rPr>
                <w:b/>
                <w:sz w:val="25"/>
                <w:szCs w:val="25"/>
                <w:lang w:val="es-ES_tradnl" w:eastAsia="es-ES_tradnl"/>
              </w:rPr>
              <w:t xml:space="preserve"> (1)</w:t>
            </w:r>
          </w:p>
        </w:tc>
        <w:tc>
          <w:tcPr>
            <w:tcW w:w="1417" w:type="dxa"/>
            <w:tcBorders>
              <w:top w:val="single" w:sz="4" w:space="0" w:color="auto"/>
              <w:left w:val="single" w:sz="4" w:space="0" w:color="auto"/>
            </w:tcBorders>
            <w:vAlign w:val="center"/>
          </w:tcPr>
          <w:p w14:paraId="69A0BBF9" w14:textId="77777777" w:rsidR="0069587A" w:rsidRPr="003F146C" w:rsidRDefault="0069587A" w:rsidP="00C90DB6">
            <w:pPr>
              <w:spacing w:line="360" w:lineRule="auto"/>
              <w:jc w:val="center"/>
              <w:rPr>
                <w:sz w:val="25"/>
                <w:szCs w:val="25"/>
                <w:lang w:val="es-ES_tradnl" w:eastAsia="es-ES_tradnl"/>
              </w:rPr>
            </w:pPr>
            <w:r>
              <w:rPr>
                <w:sz w:val="25"/>
                <w:szCs w:val="25"/>
                <w:lang w:val="es-ES_tradnl" w:eastAsia="es-ES_tradnl"/>
              </w:rPr>
              <w:t>464.43</w:t>
            </w:r>
          </w:p>
        </w:tc>
        <w:tc>
          <w:tcPr>
            <w:tcW w:w="1418" w:type="dxa"/>
            <w:tcBorders>
              <w:top w:val="single" w:sz="4" w:space="0" w:color="auto"/>
            </w:tcBorders>
            <w:vAlign w:val="center"/>
          </w:tcPr>
          <w:p w14:paraId="56581D44" w14:textId="77777777" w:rsidR="0069587A" w:rsidRPr="003F146C" w:rsidRDefault="0069587A" w:rsidP="00C90DB6">
            <w:pPr>
              <w:spacing w:line="360" w:lineRule="auto"/>
              <w:jc w:val="center"/>
              <w:rPr>
                <w:sz w:val="25"/>
                <w:szCs w:val="25"/>
                <w:lang w:val="es-ES_tradnl" w:eastAsia="es-ES_tradnl"/>
              </w:rPr>
            </w:pPr>
            <w:r>
              <w:rPr>
                <w:sz w:val="25"/>
                <w:szCs w:val="25"/>
                <w:lang w:val="es-ES_tradnl" w:eastAsia="es-ES_tradnl"/>
              </w:rPr>
              <w:t>683.5</w:t>
            </w:r>
          </w:p>
        </w:tc>
        <w:tc>
          <w:tcPr>
            <w:tcW w:w="1420" w:type="dxa"/>
            <w:tcBorders>
              <w:top w:val="single" w:sz="4" w:space="0" w:color="auto"/>
            </w:tcBorders>
            <w:vAlign w:val="center"/>
          </w:tcPr>
          <w:p w14:paraId="0D67A36E" w14:textId="77777777" w:rsidR="0069587A" w:rsidRPr="003F146C" w:rsidRDefault="0069587A" w:rsidP="00C90DB6">
            <w:pPr>
              <w:spacing w:line="360" w:lineRule="auto"/>
              <w:jc w:val="center"/>
              <w:rPr>
                <w:sz w:val="25"/>
                <w:szCs w:val="25"/>
                <w:lang w:val="es-ES_tradnl" w:eastAsia="es-ES_tradnl"/>
              </w:rPr>
            </w:pPr>
            <w:r>
              <w:rPr>
                <w:sz w:val="25"/>
                <w:szCs w:val="25"/>
                <w:lang w:val="es-ES_tradnl" w:eastAsia="es-ES_tradnl"/>
              </w:rPr>
              <w:t>706</w:t>
            </w:r>
          </w:p>
        </w:tc>
        <w:tc>
          <w:tcPr>
            <w:tcW w:w="1557" w:type="dxa"/>
            <w:tcBorders>
              <w:top w:val="single" w:sz="4" w:space="0" w:color="auto"/>
            </w:tcBorders>
            <w:vAlign w:val="center"/>
          </w:tcPr>
          <w:p w14:paraId="5BF571C0" w14:textId="77777777" w:rsidR="0069587A" w:rsidRPr="003F146C" w:rsidRDefault="0069587A" w:rsidP="00C90DB6">
            <w:pPr>
              <w:spacing w:line="360" w:lineRule="auto"/>
              <w:jc w:val="center"/>
              <w:rPr>
                <w:b/>
                <w:i/>
                <w:sz w:val="25"/>
                <w:szCs w:val="25"/>
                <w:lang w:val="es-ES_tradnl" w:eastAsia="es-ES_tradnl"/>
              </w:rPr>
            </w:pPr>
            <w:r>
              <w:rPr>
                <w:b/>
                <w:i/>
                <w:sz w:val="25"/>
                <w:szCs w:val="25"/>
                <w:lang w:val="es-ES_tradnl" w:eastAsia="es-ES_tradnl"/>
              </w:rPr>
              <w:t>1,853.93</w:t>
            </w:r>
          </w:p>
        </w:tc>
      </w:tr>
      <w:tr w:rsidR="0069587A" w14:paraId="6A79F7E9" w14:textId="77777777" w:rsidTr="00C90DB6">
        <w:trPr>
          <w:jc w:val="center"/>
        </w:trPr>
        <w:tc>
          <w:tcPr>
            <w:tcW w:w="1985" w:type="dxa"/>
            <w:tcBorders>
              <w:top w:val="single" w:sz="4" w:space="0" w:color="auto"/>
              <w:left w:val="single" w:sz="4" w:space="0" w:color="auto"/>
              <w:bottom w:val="single" w:sz="4" w:space="0" w:color="auto"/>
              <w:right w:val="single" w:sz="4" w:space="0" w:color="auto"/>
            </w:tcBorders>
          </w:tcPr>
          <w:p w14:paraId="5F3B204D" w14:textId="77777777" w:rsidR="0069587A" w:rsidRPr="00577019" w:rsidRDefault="0069587A" w:rsidP="00C90DB6">
            <w:pPr>
              <w:spacing w:line="360" w:lineRule="auto"/>
              <w:rPr>
                <w:b/>
                <w:sz w:val="25"/>
                <w:szCs w:val="25"/>
                <w:lang w:val="es-ES_tradnl" w:eastAsia="es-ES_tradnl"/>
              </w:rPr>
            </w:pPr>
            <w:r w:rsidRPr="00A65AEB">
              <w:rPr>
                <w:b/>
                <w:sz w:val="25"/>
                <w:szCs w:val="25"/>
                <w:lang w:val="es-ES_tradnl" w:eastAsia="es-ES_tradnl"/>
              </w:rPr>
              <w:t>Hato Mayor</w:t>
            </w:r>
            <w:r>
              <w:rPr>
                <w:b/>
                <w:sz w:val="25"/>
                <w:szCs w:val="25"/>
                <w:lang w:val="es-ES_tradnl" w:eastAsia="es-ES_tradnl"/>
              </w:rPr>
              <w:t xml:space="preserve"> (2)</w:t>
            </w:r>
          </w:p>
        </w:tc>
        <w:tc>
          <w:tcPr>
            <w:tcW w:w="1417" w:type="dxa"/>
            <w:tcBorders>
              <w:top w:val="single" w:sz="4" w:space="0" w:color="auto"/>
              <w:left w:val="single" w:sz="4" w:space="0" w:color="auto"/>
            </w:tcBorders>
            <w:vAlign w:val="center"/>
          </w:tcPr>
          <w:p w14:paraId="7A530A67" w14:textId="77777777" w:rsidR="0069587A" w:rsidRPr="003F146C" w:rsidRDefault="0069587A" w:rsidP="00C90DB6">
            <w:pPr>
              <w:spacing w:line="360" w:lineRule="auto"/>
              <w:jc w:val="center"/>
              <w:rPr>
                <w:sz w:val="25"/>
                <w:szCs w:val="25"/>
                <w:lang w:val="es-ES_tradnl" w:eastAsia="es-ES_tradnl"/>
              </w:rPr>
            </w:pPr>
            <w:r>
              <w:rPr>
                <w:sz w:val="25"/>
                <w:szCs w:val="25"/>
                <w:lang w:val="es-ES_tradnl" w:eastAsia="es-ES_tradnl"/>
              </w:rPr>
              <w:t>186.37</w:t>
            </w:r>
          </w:p>
        </w:tc>
        <w:tc>
          <w:tcPr>
            <w:tcW w:w="1418" w:type="dxa"/>
            <w:tcBorders>
              <w:top w:val="single" w:sz="4" w:space="0" w:color="auto"/>
            </w:tcBorders>
            <w:vAlign w:val="center"/>
          </w:tcPr>
          <w:p w14:paraId="5EC308DA" w14:textId="77777777" w:rsidR="0069587A" w:rsidRPr="003F146C" w:rsidRDefault="0069587A" w:rsidP="00C90DB6">
            <w:pPr>
              <w:spacing w:line="360" w:lineRule="auto"/>
              <w:jc w:val="center"/>
              <w:rPr>
                <w:sz w:val="25"/>
                <w:szCs w:val="25"/>
                <w:lang w:val="es-ES_tradnl" w:eastAsia="es-ES_tradnl"/>
              </w:rPr>
            </w:pPr>
            <w:r>
              <w:rPr>
                <w:sz w:val="25"/>
                <w:szCs w:val="25"/>
                <w:lang w:val="es-ES_tradnl" w:eastAsia="es-ES_tradnl"/>
              </w:rPr>
              <w:t>222.45</w:t>
            </w:r>
          </w:p>
        </w:tc>
        <w:tc>
          <w:tcPr>
            <w:tcW w:w="1420" w:type="dxa"/>
            <w:tcBorders>
              <w:top w:val="single" w:sz="4" w:space="0" w:color="auto"/>
            </w:tcBorders>
            <w:vAlign w:val="center"/>
          </w:tcPr>
          <w:p w14:paraId="7B3781B6" w14:textId="77777777" w:rsidR="0069587A" w:rsidRPr="003F146C" w:rsidRDefault="0069587A" w:rsidP="00C90DB6">
            <w:pPr>
              <w:spacing w:line="360" w:lineRule="auto"/>
              <w:jc w:val="center"/>
              <w:rPr>
                <w:sz w:val="25"/>
                <w:szCs w:val="25"/>
                <w:lang w:val="es-ES_tradnl" w:eastAsia="es-ES_tradnl"/>
              </w:rPr>
            </w:pPr>
            <w:r>
              <w:rPr>
                <w:sz w:val="25"/>
                <w:szCs w:val="25"/>
                <w:lang w:val="es-ES_tradnl" w:eastAsia="es-ES_tradnl"/>
              </w:rPr>
              <w:t>259.2</w:t>
            </w:r>
          </w:p>
        </w:tc>
        <w:tc>
          <w:tcPr>
            <w:tcW w:w="1557" w:type="dxa"/>
            <w:tcBorders>
              <w:top w:val="single" w:sz="4" w:space="0" w:color="auto"/>
            </w:tcBorders>
            <w:vAlign w:val="center"/>
          </w:tcPr>
          <w:p w14:paraId="1B782040" w14:textId="77777777" w:rsidR="0069587A" w:rsidRPr="003F146C" w:rsidRDefault="0069587A" w:rsidP="00C90DB6">
            <w:pPr>
              <w:spacing w:line="360" w:lineRule="auto"/>
              <w:jc w:val="center"/>
              <w:rPr>
                <w:b/>
                <w:i/>
                <w:sz w:val="25"/>
                <w:szCs w:val="25"/>
                <w:lang w:val="es-ES_tradnl" w:eastAsia="es-ES_tradnl"/>
              </w:rPr>
            </w:pPr>
            <w:r>
              <w:rPr>
                <w:b/>
                <w:i/>
                <w:sz w:val="25"/>
                <w:szCs w:val="25"/>
                <w:lang w:val="es-ES_tradnl" w:eastAsia="es-ES_tradnl"/>
              </w:rPr>
              <w:t>668.02</w:t>
            </w:r>
          </w:p>
        </w:tc>
      </w:tr>
      <w:tr w:rsidR="0069587A" w14:paraId="69582F98" w14:textId="77777777" w:rsidTr="00C90DB6">
        <w:trPr>
          <w:jc w:val="center"/>
        </w:trPr>
        <w:tc>
          <w:tcPr>
            <w:tcW w:w="1985" w:type="dxa"/>
            <w:tcBorders>
              <w:top w:val="single" w:sz="4" w:space="0" w:color="auto"/>
              <w:left w:val="single" w:sz="4" w:space="0" w:color="auto"/>
              <w:bottom w:val="single" w:sz="4" w:space="0" w:color="auto"/>
              <w:right w:val="single" w:sz="4" w:space="0" w:color="auto"/>
            </w:tcBorders>
          </w:tcPr>
          <w:p w14:paraId="64289C7B" w14:textId="77777777" w:rsidR="0069587A" w:rsidRPr="00577019" w:rsidRDefault="0069587A" w:rsidP="00C90DB6">
            <w:pPr>
              <w:spacing w:line="360" w:lineRule="auto"/>
              <w:rPr>
                <w:b/>
                <w:sz w:val="25"/>
                <w:szCs w:val="25"/>
                <w:lang w:val="es-ES_tradnl" w:eastAsia="es-ES_tradnl"/>
              </w:rPr>
            </w:pPr>
            <w:r>
              <w:rPr>
                <w:b/>
                <w:sz w:val="25"/>
                <w:szCs w:val="25"/>
                <w:lang w:val="es-ES_tradnl" w:eastAsia="es-ES_tradnl"/>
              </w:rPr>
              <w:t>Total año (1+2)</w:t>
            </w:r>
          </w:p>
        </w:tc>
        <w:tc>
          <w:tcPr>
            <w:tcW w:w="1417" w:type="dxa"/>
            <w:tcBorders>
              <w:top w:val="single" w:sz="4" w:space="0" w:color="auto"/>
              <w:left w:val="single" w:sz="4" w:space="0" w:color="auto"/>
              <w:bottom w:val="single" w:sz="4" w:space="0" w:color="auto"/>
            </w:tcBorders>
            <w:vAlign w:val="center"/>
          </w:tcPr>
          <w:p w14:paraId="0507F7AC" w14:textId="77777777" w:rsidR="0069587A" w:rsidRPr="003F146C" w:rsidRDefault="0069587A" w:rsidP="00C90DB6">
            <w:pPr>
              <w:spacing w:line="360" w:lineRule="auto"/>
              <w:jc w:val="center"/>
              <w:rPr>
                <w:b/>
                <w:i/>
                <w:sz w:val="25"/>
                <w:szCs w:val="25"/>
                <w:lang w:val="es-ES_tradnl" w:eastAsia="es-ES_tradnl"/>
              </w:rPr>
            </w:pPr>
            <w:r>
              <w:rPr>
                <w:b/>
                <w:i/>
                <w:sz w:val="25"/>
                <w:szCs w:val="25"/>
                <w:lang w:val="es-ES_tradnl" w:eastAsia="es-ES_tradnl"/>
              </w:rPr>
              <w:t>650.8</w:t>
            </w:r>
          </w:p>
        </w:tc>
        <w:tc>
          <w:tcPr>
            <w:tcW w:w="1418" w:type="dxa"/>
            <w:tcBorders>
              <w:top w:val="single" w:sz="4" w:space="0" w:color="auto"/>
              <w:bottom w:val="single" w:sz="4" w:space="0" w:color="auto"/>
            </w:tcBorders>
            <w:vAlign w:val="center"/>
          </w:tcPr>
          <w:p w14:paraId="1DB544EC" w14:textId="77777777" w:rsidR="0069587A" w:rsidRPr="003F146C" w:rsidRDefault="0069587A" w:rsidP="00C90DB6">
            <w:pPr>
              <w:spacing w:line="360" w:lineRule="auto"/>
              <w:jc w:val="center"/>
              <w:rPr>
                <w:b/>
                <w:i/>
                <w:sz w:val="25"/>
                <w:szCs w:val="25"/>
                <w:lang w:val="es-ES_tradnl" w:eastAsia="es-ES_tradnl"/>
              </w:rPr>
            </w:pPr>
            <w:r>
              <w:rPr>
                <w:b/>
                <w:i/>
                <w:sz w:val="25"/>
                <w:szCs w:val="25"/>
                <w:lang w:val="es-ES_tradnl" w:eastAsia="es-ES_tradnl"/>
              </w:rPr>
              <w:t>905.95</w:t>
            </w:r>
          </w:p>
        </w:tc>
        <w:tc>
          <w:tcPr>
            <w:tcW w:w="1420" w:type="dxa"/>
            <w:tcBorders>
              <w:top w:val="single" w:sz="4" w:space="0" w:color="auto"/>
              <w:bottom w:val="single" w:sz="4" w:space="0" w:color="auto"/>
            </w:tcBorders>
            <w:vAlign w:val="center"/>
          </w:tcPr>
          <w:p w14:paraId="4E21D77E" w14:textId="77777777" w:rsidR="0069587A" w:rsidRPr="003F146C" w:rsidRDefault="0069587A" w:rsidP="00C90DB6">
            <w:pPr>
              <w:spacing w:line="360" w:lineRule="auto"/>
              <w:jc w:val="center"/>
              <w:rPr>
                <w:b/>
                <w:i/>
                <w:sz w:val="25"/>
                <w:szCs w:val="25"/>
                <w:lang w:val="es-ES_tradnl" w:eastAsia="es-ES_tradnl"/>
              </w:rPr>
            </w:pPr>
            <w:r>
              <w:rPr>
                <w:b/>
                <w:i/>
                <w:sz w:val="25"/>
                <w:szCs w:val="25"/>
                <w:lang w:val="es-ES_tradnl" w:eastAsia="es-ES_tradnl"/>
              </w:rPr>
              <w:t>965.2</w:t>
            </w:r>
          </w:p>
        </w:tc>
        <w:tc>
          <w:tcPr>
            <w:tcW w:w="1557" w:type="dxa"/>
            <w:tcBorders>
              <w:top w:val="single" w:sz="4" w:space="0" w:color="auto"/>
              <w:bottom w:val="single" w:sz="4" w:space="0" w:color="auto"/>
            </w:tcBorders>
            <w:shd w:val="clear" w:color="auto" w:fill="FFFF00"/>
            <w:vAlign w:val="center"/>
          </w:tcPr>
          <w:p w14:paraId="0354DABD" w14:textId="77777777" w:rsidR="0069587A" w:rsidRPr="003F146C" w:rsidRDefault="0069587A" w:rsidP="00C90DB6">
            <w:pPr>
              <w:spacing w:line="360" w:lineRule="auto"/>
              <w:jc w:val="center"/>
              <w:rPr>
                <w:b/>
                <w:sz w:val="25"/>
                <w:szCs w:val="25"/>
                <w:lang w:val="es-ES_tradnl" w:eastAsia="es-ES_tradnl"/>
              </w:rPr>
            </w:pPr>
            <w:r w:rsidRPr="003F146C">
              <w:rPr>
                <w:b/>
                <w:sz w:val="25"/>
                <w:szCs w:val="25"/>
                <w:lang w:val="es-ES_tradnl" w:eastAsia="es-ES_tradnl"/>
              </w:rPr>
              <w:t>2</w:t>
            </w:r>
            <w:r>
              <w:rPr>
                <w:b/>
                <w:sz w:val="25"/>
                <w:szCs w:val="25"/>
                <w:lang w:val="es-ES_tradnl" w:eastAsia="es-ES_tradnl"/>
              </w:rPr>
              <w:t>,521.95</w:t>
            </w:r>
          </w:p>
        </w:tc>
      </w:tr>
    </w:tbl>
    <w:p w14:paraId="675E2F65" w14:textId="77777777" w:rsidR="0069587A" w:rsidRPr="00C14D91" w:rsidRDefault="0069587A" w:rsidP="006364FF">
      <w:pPr>
        <w:spacing w:line="480" w:lineRule="auto"/>
        <w:jc w:val="both"/>
        <w:rPr>
          <w:lang w:val="es-ES"/>
        </w:rPr>
      </w:pPr>
    </w:p>
    <w:p w14:paraId="29B8BCA7" w14:textId="77777777" w:rsidR="0069587A" w:rsidRDefault="0069587A" w:rsidP="0069587A">
      <w:pPr>
        <w:autoSpaceDE w:val="0"/>
        <w:autoSpaceDN w:val="0"/>
        <w:adjustRightInd w:val="0"/>
        <w:spacing w:line="480" w:lineRule="auto"/>
        <w:jc w:val="both"/>
        <w:rPr>
          <w:lang w:val="es-ES"/>
        </w:rPr>
      </w:pPr>
      <w:r w:rsidRPr="00974EB6">
        <w:rPr>
          <w:lang w:val="es-ES"/>
        </w:rPr>
        <w:t>Como se muestra en el cuadro anterior, proc</w:t>
      </w:r>
      <w:r>
        <w:rPr>
          <w:lang w:val="es-ES"/>
        </w:rPr>
        <w:t>edente de la mina de larimar se reportan desde el mes de diciembre de 2018 al 31 de octubre</w:t>
      </w:r>
      <w:r w:rsidRPr="00974EB6">
        <w:rPr>
          <w:lang w:val="es-ES"/>
        </w:rPr>
        <w:t xml:space="preserve"> del corriente año</w:t>
      </w:r>
      <w:r>
        <w:rPr>
          <w:lang w:val="es-ES"/>
        </w:rPr>
        <w:t xml:space="preserve"> </w:t>
      </w:r>
      <w:r w:rsidRPr="00E06860">
        <w:rPr>
          <w:lang w:val="es-ES"/>
        </w:rPr>
        <w:t>61,678</w:t>
      </w:r>
      <w:r>
        <w:rPr>
          <w:lang w:val="es-ES"/>
        </w:rPr>
        <w:t xml:space="preserve"> libras de Larimar en </w:t>
      </w:r>
      <w:r w:rsidRPr="00974EB6">
        <w:rPr>
          <w:lang w:val="es-ES"/>
        </w:rPr>
        <w:t>bruto, en sus diferentes versiones de calidad, y</w:t>
      </w:r>
      <w:r>
        <w:rPr>
          <w:lang w:val="es-ES"/>
        </w:rPr>
        <w:t xml:space="preserve"> de las minas de ámbar se reportan </w:t>
      </w:r>
      <w:r w:rsidRPr="00E06860">
        <w:rPr>
          <w:lang w:val="es-ES"/>
        </w:rPr>
        <w:t>2,521.</w:t>
      </w:r>
      <w:r>
        <w:rPr>
          <w:lang w:val="es-ES"/>
        </w:rPr>
        <w:t xml:space="preserve">95 libras, de las cuales 668.02 proceden de </w:t>
      </w:r>
      <w:r w:rsidRPr="00974EB6">
        <w:rPr>
          <w:lang w:val="es-ES"/>
        </w:rPr>
        <w:t xml:space="preserve">Hato mayor </w:t>
      </w:r>
      <w:r>
        <w:rPr>
          <w:lang w:val="es-ES"/>
        </w:rPr>
        <w:t>y 1,853.93 de Santiago</w:t>
      </w:r>
      <w:r w:rsidRPr="00974EB6">
        <w:rPr>
          <w:lang w:val="es-ES"/>
        </w:rPr>
        <w:t>.</w:t>
      </w:r>
    </w:p>
    <w:p w14:paraId="2F2A14C2" w14:textId="77777777" w:rsidR="0069587A" w:rsidRDefault="0069587A" w:rsidP="0069587A">
      <w:pPr>
        <w:autoSpaceDE w:val="0"/>
        <w:autoSpaceDN w:val="0"/>
        <w:adjustRightInd w:val="0"/>
        <w:spacing w:line="480" w:lineRule="auto"/>
        <w:jc w:val="both"/>
        <w:rPr>
          <w:lang w:val="es-ES"/>
        </w:rPr>
      </w:pPr>
    </w:p>
    <w:p w14:paraId="666C59DC" w14:textId="0375446D" w:rsidR="0069587A" w:rsidRDefault="0069587A" w:rsidP="0069587A">
      <w:pPr>
        <w:autoSpaceDE w:val="0"/>
        <w:autoSpaceDN w:val="0"/>
        <w:adjustRightInd w:val="0"/>
        <w:spacing w:line="480" w:lineRule="auto"/>
        <w:jc w:val="both"/>
        <w:rPr>
          <w:lang w:val="es-ES"/>
        </w:rPr>
      </w:pPr>
      <w:r>
        <w:rPr>
          <w:lang w:val="es-ES"/>
        </w:rPr>
        <w:t>En el mes de marzo se hizo entrega formal de dos motocicletas a los dos auxiliares regionales para facilitar el levantamiento de la información de campo.</w:t>
      </w:r>
      <w:r w:rsidR="00CB7197">
        <w:rPr>
          <w:lang w:val="es-ES"/>
        </w:rPr>
        <w:t xml:space="preserve"> </w:t>
      </w:r>
      <w:r>
        <w:rPr>
          <w:lang w:val="es-ES"/>
        </w:rPr>
        <w:t xml:space="preserve">Con el objetivo de disminuir los riesgos existentes dentro del túnel de larimar, la Dirección de Minería Artesanal conjuntamente con los mineros, logró la limpieza de los escombros y el reforzamiento del tramo principal hasta un 50% del túnel, el cual viene siendo monitoreado periódicamente durante todo el año. </w:t>
      </w:r>
    </w:p>
    <w:p w14:paraId="65C042DB" w14:textId="77777777" w:rsidR="0069587A" w:rsidRDefault="0069587A" w:rsidP="0069587A">
      <w:pPr>
        <w:autoSpaceDE w:val="0"/>
        <w:autoSpaceDN w:val="0"/>
        <w:adjustRightInd w:val="0"/>
        <w:spacing w:line="480" w:lineRule="auto"/>
        <w:jc w:val="both"/>
        <w:rPr>
          <w:lang w:val="es-ES"/>
        </w:rPr>
      </w:pPr>
    </w:p>
    <w:p w14:paraId="3947E445" w14:textId="2B66A15B" w:rsidR="0069587A" w:rsidRDefault="0069587A" w:rsidP="0069587A">
      <w:pPr>
        <w:autoSpaceDE w:val="0"/>
        <w:autoSpaceDN w:val="0"/>
        <w:adjustRightInd w:val="0"/>
        <w:spacing w:line="480" w:lineRule="auto"/>
        <w:jc w:val="both"/>
        <w:rPr>
          <w:lang w:val="es-ES"/>
        </w:rPr>
      </w:pPr>
      <w:r>
        <w:rPr>
          <w:lang w:val="es-ES"/>
        </w:rPr>
        <w:lastRenderedPageBreak/>
        <w:t xml:space="preserve">Se inició en el mes de abril la socialización del proyecto de reglamento de minería artesanal y además el monitoreo de las estructuras geológicas en zonas próximas al túnel minero y en la zona oeste de la mina de larimar, con el objetivo de conocer los riesgos que representan las mismas para la </w:t>
      </w:r>
      <w:r w:rsidR="00CB7197">
        <w:rPr>
          <w:lang w:val="es-ES"/>
        </w:rPr>
        <w:t>seguridad y vida de los mineros y s</w:t>
      </w:r>
      <w:r>
        <w:rPr>
          <w:lang w:val="es-ES"/>
        </w:rPr>
        <w:t>e envió una delegación a la universidad AGH de Cracovia, en Polonia, para ser entrenados en depósitos de ámbar.</w:t>
      </w:r>
    </w:p>
    <w:p w14:paraId="160D0D73" w14:textId="77777777" w:rsidR="0069587A" w:rsidRDefault="0069587A" w:rsidP="0069587A">
      <w:pPr>
        <w:autoSpaceDE w:val="0"/>
        <w:autoSpaceDN w:val="0"/>
        <w:adjustRightInd w:val="0"/>
        <w:spacing w:line="480" w:lineRule="auto"/>
        <w:jc w:val="both"/>
        <w:rPr>
          <w:lang w:val="es-ES"/>
        </w:rPr>
      </w:pPr>
    </w:p>
    <w:p w14:paraId="0DC9BB37" w14:textId="77777777" w:rsidR="0069587A" w:rsidRDefault="0069587A" w:rsidP="0069587A">
      <w:pPr>
        <w:spacing w:line="480" w:lineRule="auto"/>
        <w:jc w:val="both"/>
        <w:rPr>
          <w:lang w:val="es-ES"/>
        </w:rPr>
      </w:pPr>
      <w:r w:rsidRPr="0013136E">
        <w:rPr>
          <w:lang w:val="es-ES"/>
        </w:rPr>
        <w:t xml:space="preserve">Con el objetivo de formalizar el sector de la Minería Artesanal, se iniciaron en el mes de </w:t>
      </w:r>
      <w:r>
        <w:rPr>
          <w:lang w:val="es-ES"/>
        </w:rPr>
        <w:t>agosto,</w:t>
      </w:r>
      <w:r w:rsidRPr="0013136E">
        <w:rPr>
          <w:lang w:val="es-ES"/>
        </w:rPr>
        <w:t xml:space="preserve"> los trabajos para el levantamiento de información de todas las zonas de extracción artesanal a nivel nacional para la creación de un reglamento que sirviera como medida de control de las operaciones. </w:t>
      </w:r>
      <w:r>
        <w:rPr>
          <w:lang w:val="es-ES"/>
        </w:rPr>
        <w:t>Se delimitaron áreas exclusivas para la asignación de permisos de extracción artesanal.</w:t>
      </w:r>
    </w:p>
    <w:p w14:paraId="0F1FD692" w14:textId="77777777" w:rsidR="0069587A" w:rsidRDefault="0069587A" w:rsidP="0069587A">
      <w:pPr>
        <w:spacing w:line="480" w:lineRule="auto"/>
        <w:jc w:val="both"/>
        <w:rPr>
          <w:lang w:val="es-ES"/>
        </w:rPr>
      </w:pPr>
    </w:p>
    <w:p w14:paraId="53774B3F" w14:textId="77777777" w:rsidR="0069587A" w:rsidRDefault="0069587A" w:rsidP="0069587A">
      <w:pPr>
        <w:spacing w:line="480" w:lineRule="auto"/>
        <w:jc w:val="both"/>
        <w:rPr>
          <w:lang w:val="es-ES"/>
        </w:rPr>
      </w:pPr>
      <w:r>
        <w:rPr>
          <w:lang w:val="es-ES"/>
        </w:rPr>
        <w:t>El 25 de octubre, el poder ejecutivo emitió el decreto 370-19 que regulará la extracción minera artesanal de ámbar y larimar. El mismo se socializó con los inversionistas de ámbar y larimar en sus respectivas zonas mineras.</w:t>
      </w:r>
    </w:p>
    <w:p w14:paraId="228E902C" w14:textId="77777777" w:rsidR="0069587A" w:rsidRDefault="0069587A" w:rsidP="0069587A">
      <w:pPr>
        <w:spacing w:line="480" w:lineRule="auto"/>
        <w:jc w:val="both"/>
        <w:rPr>
          <w:lang w:val="es-ES"/>
        </w:rPr>
      </w:pPr>
    </w:p>
    <w:p w14:paraId="523DAB1F" w14:textId="77777777" w:rsidR="0069587A" w:rsidRDefault="0069587A" w:rsidP="0069587A">
      <w:pPr>
        <w:spacing w:line="480" w:lineRule="auto"/>
        <w:jc w:val="both"/>
        <w:rPr>
          <w:lang w:val="es-ES"/>
        </w:rPr>
      </w:pPr>
      <w:r w:rsidRPr="00F717ED">
        <w:rPr>
          <w:lang w:val="es-ES"/>
        </w:rPr>
        <w:t>Dando continuidad a la Resolución No. R-MEM-REG-047-2016, del Ministerio de Energía y Minas, la cual regula la exportación de ámbar y larimar, esta dirección recibió diez y siete (17) solicitudes de verificación, calificando todas ellas para que se le sea entregado el Certificado de No Objeción.</w:t>
      </w:r>
    </w:p>
    <w:p w14:paraId="6F7E9348" w14:textId="77777777" w:rsidR="006364FF" w:rsidRDefault="006364FF" w:rsidP="00770825">
      <w:pPr>
        <w:spacing w:line="360" w:lineRule="auto"/>
        <w:jc w:val="both"/>
        <w:rPr>
          <w:lang w:val="es-ES"/>
        </w:rPr>
      </w:pPr>
    </w:p>
    <w:p w14:paraId="4EDF6F0E" w14:textId="77777777" w:rsidR="00770825" w:rsidRDefault="00770825" w:rsidP="00770825">
      <w:pPr>
        <w:spacing w:line="360" w:lineRule="auto"/>
        <w:jc w:val="both"/>
        <w:rPr>
          <w:lang w:val="es-ES"/>
        </w:rPr>
      </w:pPr>
    </w:p>
    <w:p w14:paraId="6CB44ED7" w14:textId="77777777" w:rsidR="00770825" w:rsidRDefault="00770825" w:rsidP="00770825">
      <w:pPr>
        <w:spacing w:line="360" w:lineRule="auto"/>
        <w:jc w:val="both"/>
        <w:rPr>
          <w:lang w:val="es-ES"/>
        </w:rPr>
      </w:pPr>
    </w:p>
    <w:p w14:paraId="5C417761" w14:textId="77777777" w:rsidR="00770825" w:rsidRPr="006364FF" w:rsidRDefault="00770825" w:rsidP="00E406B4">
      <w:pPr>
        <w:spacing w:line="360" w:lineRule="auto"/>
        <w:jc w:val="both"/>
        <w:rPr>
          <w:lang w:val="es-ES"/>
        </w:rPr>
      </w:pPr>
    </w:p>
    <w:p w14:paraId="1E393714" w14:textId="77777777" w:rsidR="0040746E" w:rsidRPr="00C86CA3" w:rsidRDefault="0040746E" w:rsidP="0040746E">
      <w:pPr>
        <w:rPr>
          <w:b/>
          <w:sz w:val="28"/>
          <w:szCs w:val="28"/>
          <w:lang w:val="es-ES"/>
        </w:rPr>
      </w:pPr>
      <w:r w:rsidRPr="00C86CA3">
        <w:rPr>
          <w:b/>
          <w:sz w:val="28"/>
          <w:szCs w:val="28"/>
          <w:lang w:val="es-ES"/>
        </w:rPr>
        <w:lastRenderedPageBreak/>
        <w:t>Dirección de Proyectos de Recursos Mineros</w:t>
      </w:r>
    </w:p>
    <w:p w14:paraId="1402B3F7" w14:textId="77777777" w:rsidR="0040746E" w:rsidRPr="00C86CA3" w:rsidRDefault="0040746E" w:rsidP="0040746E">
      <w:pPr>
        <w:rPr>
          <w:lang w:val="es-ES"/>
        </w:rPr>
      </w:pPr>
    </w:p>
    <w:p w14:paraId="46BEB8F6" w14:textId="77777777" w:rsidR="0040746E" w:rsidRDefault="0040746E" w:rsidP="0040746E">
      <w:pPr>
        <w:spacing w:line="480" w:lineRule="auto"/>
        <w:jc w:val="both"/>
        <w:rPr>
          <w:lang w:val="es-ES"/>
        </w:rPr>
      </w:pPr>
      <w:r w:rsidRPr="00474915">
        <w:rPr>
          <w:lang w:val="es-ES"/>
        </w:rPr>
        <w:t>En el año</w:t>
      </w:r>
      <w:r w:rsidRPr="00C86CA3">
        <w:rPr>
          <w:lang w:val="es-ES"/>
        </w:rPr>
        <w:t xml:space="preserve"> 2019 la Dirección de Proyectos de Recursos Mineros, estuvo enfocada en mejorar el conocimiento de la presencia en el país de los recursos de ámbar, oro aluvial y larimar para mejorar la productividad de los pequeños mineros, buscando disminuir la incertidumbre de la localización y valor de estos recursos mineros. Ambos sectores han sido minados por décadas mediante prácticas artesanales poco productivas. Además de la finalidad mencionada más arriba, el Ministerio de energía y Minas y la </w:t>
      </w:r>
      <w:r w:rsidRPr="00474915">
        <w:rPr>
          <w:lang w:val="es-ES"/>
        </w:rPr>
        <w:t>Dirección</w:t>
      </w:r>
      <w:r w:rsidRPr="00C86CA3">
        <w:rPr>
          <w:lang w:val="es-ES"/>
        </w:rPr>
        <w:t xml:space="preserve"> General de Minería enfocan sus recursos en crear condiciones más seguras promoviendo el uso de equipos y herramientas que les permitan a estos mineros artesanales una mayor producción. </w:t>
      </w:r>
    </w:p>
    <w:p w14:paraId="3EAD8100" w14:textId="77777777" w:rsidR="0040746E" w:rsidRPr="00C86CA3" w:rsidRDefault="0040746E" w:rsidP="0040746E">
      <w:pPr>
        <w:spacing w:line="480" w:lineRule="auto"/>
        <w:jc w:val="both"/>
        <w:rPr>
          <w:lang w:val="es-ES"/>
        </w:rPr>
      </w:pPr>
    </w:p>
    <w:p w14:paraId="1DCA91FB" w14:textId="77777777" w:rsidR="0040746E" w:rsidRPr="00C86CA3" w:rsidRDefault="0040746E" w:rsidP="0040746E">
      <w:pPr>
        <w:spacing w:line="480" w:lineRule="auto"/>
        <w:jc w:val="both"/>
        <w:rPr>
          <w:lang w:val="es-ES"/>
        </w:rPr>
      </w:pPr>
      <w:r w:rsidRPr="00C86CA3">
        <w:rPr>
          <w:lang w:val="es-ES"/>
        </w:rPr>
        <w:t>El minado de las terrazas de los ríos con presencia importante de oro, produciría riquezas de oro suficientes para crear decenas de empleos y un movimiento económico indirecto.</w:t>
      </w:r>
    </w:p>
    <w:p w14:paraId="7F4F1123" w14:textId="77777777" w:rsidR="0040746E" w:rsidRPr="00C86CA3" w:rsidRDefault="0040746E" w:rsidP="0040746E">
      <w:pPr>
        <w:spacing w:line="480" w:lineRule="auto"/>
        <w:jc w:val="both"/>
        <w:rPr>
          <w:lang w:val="es-ES"/>
        </w:rPr>
      </w:pPr>
      <w:r w:rsidRPr="00C86CA3">
        <w:rPr>
          <w:lang w:val="es-ES"/>
        </w:rPr>
        <w:t>Por otro lado, la búsqueda del potencial en tierras raras de la Reserva Fiscal Avila, se ha iniciado con la participación del Ministerio de Energía y Minas, el Servicio Geológico Nacional y la Dirección General de Minería en la zona de Pedernales.</w:t>
      </w:r>
    </w:p>
    <w:p w14:paraId="213AAEC0" w14:textId="77777777" w:rsidR="0040746E" w:rsidRDefault="0040746E" w:rsidP="0040746E">
      <w:pPr>
        <w:spacing w:line="480" w:lineRule="auto"/>
        <w:jc w:val="both"/>
        <w:rPr>
          <w:b/>
          <w:lang w:val="es-ES"/>
        </w:rPr>
      </w:pPr>
    </w:p>
    <w:p w14:paraId="29BA074A" w14:textId="77777777" w:rsidR="0040746E" w:rsidRPr="00C86CA3" w:rsidRDefault="0040746E" w:rsidP="0040746E">
      <w:pPr>
        <w:spacing w:line="480" w:lineRule="auto"/>
        <w:jc w:val="both"/>
        <w:rPr>
          <w:b/>
          <w:lang w:val="es-ES"/>
        </w:rPr>
      </w:pPr>
      <w:r w:rsidRPr="00C86CA3">
        <w:rPr>
          <w:b/>
          <w:lang w:val="es-ES"/>
        </w:rPr>
        <w:t xml:space="preserve">PROYECTOS: </w:t>
      </w:r>
    </w:p>
    <w:p w14:paraId="60B66C5C" w14:textId="77777777" w:rsidR="0040746E" w:rsidRPr="00C86CA3" w:rsidRDefault="0040746E" w:rsidP="0040746E">
      <w:pPr>
        <w:numPr>
          <w:ilvl w:val="0"/>
          <w:numId w:val="55"/>
        </w:numPr>
        <w:spacing w:line="480" w:lineRule="auto"/>
        <w:contextualSpacing/>
        <w:jc w:val="both"/>
        <w:rPr>
          <w:b/>
          <w:lang w:val="es-ES"/>
        </w:rPr>
      </w:pPr>
      <w:r w:rsidRPr="00C86CA3">
        <w:rPr>
          <w:b/>
          <w:lang w:val="es-ES"/>
        </w:rPr>
        <w:t>Evaluación de los Recursos de Ámbar en el Valle, Provincia Hato Mayor.</w:t>
      </w:r>
    </w:p>
    <w:p w14:paraId="1C177A8B" w14:textId="4F5B2FEA" w:rsidR="0040746E" w:rsidRDefault="0040746E" w:rsidP="0040746E">
      <w:pPr>
        <w:spacing w:line="480" w:lineRule="auto"/>
        <w:jc w:val="both"/>
        <w:rPr>
          <w:lang w:val="es-ES"/>
        </w:rPr>
      </w:pPr>
      <w:r w:rsidRPr="00C86CA3">
        <w:rPr>
          <w:lang w:val="es-ES"/>
        </w:rPr>
        <w:t xml:space="preserve">En este año 2019, el proyecto de Evaluación de los Recursos del Ambar en el Valle, provincia Hato Mayor, finalizo reuniendo todas las informaciones de las 13 perforaciones con un total de 700 mts.. Todas estas perforaciones fueron finalizadas en diciembre del 2018 y las descripciones de los testigos se realizaron hasta marzo 2019. Posteriormente en el mes de junio fueron tomadas muestras de fósiles para </w:t>
      </w:r>
      <w:r w:rsidRPr="00C86CA3">
        <w:rPr>
          <w:lang w:val="es-ES"/>
        </w:rPr>
        <w:lastRenderedPageBreak/>
        <w:t xml:space="preserve">ser datados en Cuba y la Florida. </w:t>
      </w:r>
      <w:r>
        <w:rPr>
          <w:lang w:val="es-ES"/>
        </w:rPr>
        <w:t xml:space="preserve"> </w:t>
      </w:r>
      <w:r w:rsidRPr="00C86CA3">
        <w:rPr>
          <w:lang w:val="es-ES"/>
        </w:rPr>
        <w:t>Las máximas profundidades alcanzadas fueron de 86 y 87 mts</w:t>
      </w:r>
      <w:r w:rsidR="007C3616">
        <w:rPr>
          <w:lang w:val="es-ES"/>
        </w:rPr>
        <w:t xml:space="preserve">, </w:t>
      </w:r>
      <w:r w:rsidRPr="00C86CA3">
        <w:rPr>
          <w:lang w:val="es-ES"/>
        </w:rPr>
        <w:t>en las perforaciones YN-01 y la perforación JB-01.</w:t>
      </w:r>
    </w:p>
    <w:p w14:paraId="3E2DEFE7" w14:textId="77777777" w:rsidR="0040746E" w:rsidRPr="00C86CA3" w:rsidRDefault="0040746E" w:rsidP="0040746E">
      <w:pPr>
        <w:spacing w:line="480" w:lineRule="auto"/>
        <w:jc w:val="both"/>
        <w:rPr>
          <w:lang w:val="es-ES"/>
        </w:rPr>
      </w:pPr>
    </w:p>
    <w:p w14:paraId="4BC4F4A5" w14:textId="77777777" w:rsidR="0040746E" w:rsidRPr="00C86CA3" w:rsidRDefault="0040746E" w:rsidP="0040746E">
      <w:pPr>
        <w:spacing w:line="480" w:lineRule="auto"/>
        <w:jc w:val="both"/>
        <w:rPr>
          <w:lang w:val="es-ES"/>
        </w:rPr>
      </w:pPr>
      <w:r w:rsidRPr="00C86CA3">
        <w:rPr>
          <w:lang w:val="es-ES"/>
        </w:rPr>
        <w:t>Con estas perforaciones logramos conocer la cantidad de estratos de carbón de cada zona, información que nos muestra el potencial a profundidad y lateralmente de la presencia de ámbar. El ámbar siempre que está presente se encuentra de 5 a 7 pies, debajo del estrato de carbón. A partir de estos resultados los mineros tendrán menos incertidumbre para alcanzarlos estratos guías de carbón.</w:t>
      </w:r>
    </w:p>
    <w:p w14:paraId="5DEA4916" w14:textId="77777777" w:rsidR="0040746E" w:rsidRPr="00C86CA3" w:rsidRDefault="0040746E" w:rsidP="0040746E">
      <w:pPr>
        <w:jc w:val="both"/>
        <w:rPr>
          <w:lang w:val="es-ES"/>
        </w:rPr>
      </w:pPr>
    </w:p>
    <w:p w14:paraId="05AA8DA7" w14:textId="30CB377A" w:rsidR="0040746E" w:rsidRPr="00C86CA3" w:rsidRDefault="0040746E" w:rsidP="0040746E">
      <w:pPr>
        <w:spacing w:line="480" w:lineRule="auto"/>
        <w:jc w:val="both"/>
        <w:rPr>
          <w:lang w:val="es-ES"/>
        </w:rPr>
      </w:pPr>
      <w:r w:rsidRPr="00C86CA3">
        <w:rPr>
          <w:lang w:val="es-ES"/>
        </w:rPr>
        <w:t>Estos estudios obedecen a la oferta ofrecida por el presidente de la república en una visita sorpresa realizada a los mineros artesanales del ámbar. Esto debe lograr el que más mineros se integren a la búsqueda del ámbar al tener más o</w:t>
      </w:r>
      <w:r>
        <w:rPr>
          <w:lang w:val="es-ES"/>
        </w:rPr>
        <w:t>portunidades de encontrar ámbar y d</w:t>
      </w:r>
      <w:r w:rsidRPr="00C86CA3">
        <w:rPr>
          <w:lang w:val="es-ES"/>
        </w:rPr>
        <w:t>e un conocimiento de un máximo de 2 estratos de carbón, con este estudio se conocen un mínimo de 4 estratos y un máximo de 17 estratos de carbón. Por lo que con este estudio se multiplican las posibilidades de encontrar ámbar.</w:t>
      </w:r>
    </w:p>
    <w:p w14:paraId="7B08F158" w14:textId="77777777" w:rsidR="0040746E" w:rsidRPr="00C86CA3" w:rsidRDefault="0040746E" w:rsidP="0040746E">
      <w:pPr>
        <w:jc w:val="both"/>
        <w:rPr>
          <w:lang w:val="es-ES"/>
        </w:rPr>
      </w:pPr>
    </w:p>
    <w:p w14:paraId="211FB50E" w14:textId="77777777" w:rsidR="0040746E" w:rsidRDefault="0040746E" w:rsidP="0040746E">
      <w:pPr>
        <w:numPr>
          <w:ilvl w:val="0"/>
          <w:numId w:val="55"/>
        </w:numPr>
        <w:spacing w:line="276" w:lineRule="auto"/>
        <w:contextualSpacing/>
        <w:jc w:val="both"/>
        <w:rPr>
          <w:b/>
          <w:lang w:val="es-ES"/>
        </w:rPr>
      </w:pPr>
      <w:r w:rsidRPr="00C86CA3">
        <w:rPr>
          <w:b/>
          <w:lang w:val="es-ES"/>
        </w:rPr>
        <w:t xml:space="preserve">Evaluación del potencial de oro aluvial en área entre Sabana Nisibón y comunidad del Cedro, cercanías de Miches, provincia del Seybo. </w:t>
      </w:r>
    </w:p>
    <w:p w14:paraId="58718CD0" w14:textId="77777777" w:rsidR="0040746E" w:rsidRPr="00C86CA3" w:rsidRDefault="0040746E" w:rsidP="0040746E">
      <w:pPr>
        <w:spacing w:line="276" w:lineRule="auto"/>
        <w:ind w:left="720"/>
        <w:contextualSpacing/>
        <w:jc w:val="both"/>
        <w:rPr>
          <w:b/>
          <w:lang w:val="es-ES"/>
        </w:rPr>
      </w:pPr>
    </w:p>
    <w:p w14:paraId="1733E048" w14:textId="7044D15B" w:rsidR="0040746E" w:rsidRPr="00C86CA3" w:rsidRDefault="0040746E" w:rsidP="0040746E">
      <w:pPr>
        <w:spacing w:line="480" w:lineRule="auto"/>
        <w:jc w:val="both"/>
        <w:rPr>
          <w:lang w:val="es-ES"/>
        </w:rPr>
      </w:pPr>
      <w:r w:rsidRPr="00C86CA3">
        <w:rPr>
          <w:lang w:val="es-ES"/>
        </w:rPr>
        <w:t>Esta parte del estudio del oro aluvial finalizó en la zona de Miches apoyada como plan piloto por el gobierno alemán a finales del año 2018. Se realizaron en este año 2019 los informes analizados de la prospección del rio Cedro y algunos arroyos afluentes. El contenido de oro encontrado fue escaso, solo partículas ocasionales de oro.</w:t>
      </w:r>
    </w:p>
    <w:p w14:paraId="1B20773D" w14:textId="77777777" w:rsidR="0040746E" w:rsidRDefault="0040746E" w:rsidP="0040746E">
      <w:pPr>
        <w:spacing w:line="480" w:lineRule="auto"/>
        <w:jc w:val="both"/>
        <w:rPr>
          <w:lang w:val="es-ES"/>
        </w:rPr>
      </w:pPr>
    </w:p>
    <w:p w14:paraId="478B1748" w14:textId="77777777" w:rsidR="0040746E" w:rsidRDefault="0040746E" w:rsidP="0040746E">
      <w:pPr>
        <w:spacing w:line="480" w:lineRule="auto"/>
        <w:jc w:val="both"/>
        <w:rPr>
          <w:lang w:val="es-ES"/>
        </w:rPr>
      </w:pPr>
    </w:p>
    <w:p w14:paraId="3C2FE008" w14:textId="77777777" w:rsidR="0040746E" w:rsidRDefault="0040746E" w:rsidP="0040746E">
      <w:pPr>
        <w:spacing w:line="480" w:lineRule="auto"/>
        <w:jc w:val="both"/>
        <w:rPr>
          <w:lang w:val="es-ES"/>
        </w:rPr>
      </w:pPr>
      <w:r w:rsidRPr="00C86CA3">
        <w:rPr>
          <w:lang w:val="es-ES"/>
        </w:rPr>
        <w:lastRenderedPageBreak/>
        <w:t>También se finalizó el informe del estudio geofísico que buscaba espesores de terrazas aluviales, no mostrando ninguna zona de interés aluvial o de terrazas de importancia. También se finalizó el informe final de los pozos manuales, realizados con la finalidad de prospectar terrazas aluviales debajo de posibles capas arcillosas superficiales.</w:t>
      </w:r>
    </w:p>
    <w:p w14:paraId="3E0900DE" w14:textId="77777777" w:rsidR="0040746E" w:rsidRPr="00C86CA3" w:rsidRDefault="0040746E" w:rsidP="0040746E">
      <w:pPr>
        <w:spacing w:line="480" w:lineRule="auto"/>
        <w:jc w:val="both"/>
        <w:rPr>
          <w:lang w:val="es-ES"/>
        </w:rPr>
      </w:pPr>
    </w:p>
    <w:p w14:paraId="6F236831" w14:textId="77777777" w:rsidR="0040746E" w:rsidRDefault="0040746E" w:rsidP="0040746E">
      <w:pPr>
        <w:spacing w:line="360" w:lineRule="auto"/>
        <w:jc w:val="both"/>
        <w:rPr>
          <w:lang w:val="es-ES"/>
        </w:rPr>
      </w:pPr>
      <w:r w:rsidRPr="00C86CA3">
        <w:rPr>
          <w:lang w:val="es-ES"/>
        </w:rPr>
        <w:t>En este año 2019 se inició la evaluación del oro aluvial en 11 cuencas hidrográficas distribuidas en todo el país, cuencas de los ríos Haina ( zona de Villa Altagracia), rio Isa, rio Guayubín, río Mao, río Amina, río Bao, río Inoa, y otras 4 cuencas más de la zona norte y este del país, con la finalidad de seleccionar aquellas terrazas aluviales con suficiente extensión y contenido de oro para ser explotada de manera mecánica, o sea, diferente a los métodos artesanal</w:t>
      </w:r>
      <w:r>
        <w:rPr>
          <w:lang w:val="es-ES"/>
        </w:rPr>
        <w:t xml:space="preserve">es permitidos por la ley 146-71 y </w:t>
      </w:r>
      <w:r w:rsidRPr="00C86CA3">
        <w:rPr>
          <w:lang w:val="es-ES"/>
        </w:rPr>
        <w:t xml:space="preserve">se han estudiado las cuencas de 8 de las 11 cuencas seleccionadas. </w:t>
      </w:r>
    </w:p>
    <w:p w14:paraId="757473C4" w14:textId="77777777" w:rsidR="0040746E" w:rsidRDefault="0040746E" w:rsidP="0040746E">
      <w:pPr>
        <w:spacing w:line="360" w:lineRule="auto"/>
        <w:jc w:val="both"/>
        <w:rPr>
          <w:lang w:val="es-ES"/>
        </w:rPr>
      </w:pPr>
    </w:p>
    <w:p w14:paraId="0EEF59C4" w14:textId="5985646B" w:rsidR="0040746E" w:rsidRPr="00C86CA3" w:rsidRDefault="0040746E" w:rsidP="0040746E">
      <w:pPr>
        <w:spacing w:line="360" w:lineRule="auto"/>
        <w:jc w:val="both"/>
        <w:rPr>
          <w:lang w:val="es-ES"/>
        </w:rPr>
      </w:pPr>
      <w:r w:rsidRPr="00C86CA3">
        <w:rPr>
          <w:lang w:val="es-ES"/>
        </w:rPr>
        <w:t xml:space="preserve">Estas cuencas no han sido evaluadas en su contenido de oro aluvial de manera completa. Las cuencas hidrográficas visitadas fueron la de los </w:t>
      </w:r>
      <w:r w:rsidR="007C3616" w:rsidRPr="00C86CA3">
        <w:rPr>
          <w:lang w:val="es-ES"/>
        </w:rPr>
        <w:t>ríos,</w:t>
      </w:r>
      <w:r w:rsidRPr="00C86CA3">
        <w:rPr>
          <w:lang w:val="es-ES"/>
        </w:rPr>
        <w:t xml:space="preserve"> Haina (zona de Villa Altagracia), Mao, Amina, Guayubín, Bao, Inoa e Isa. De estos, solo en los ríos Mano, Isa y Haina (área de Villa Altagracia) fueron </w:t>
      </w:r>
      <w:r w:rsidR="007C3616" w:rsidRPr="00C86CA3">
        <w:rPr>
          <w:lang w:val="es-ES"/>
        </w:rPr>
        <w:t>evaluados</w:t>
      </w:r>
      <w:r w:rsidRPr="00C86CA3">
        <w:rPr>
          <w:lang w:val="es-ES"/>
        </w:rPr>
        <w:t xml:space="preserve"> </w:t>
      </w:r>
      <w:r w:rsidR="007C3616" w:rsidRPr="00C86CA3">
        <w:rPr>
          <w:lang w:val="es-ES"/>
        </w:rPr>
        <w:t>su contenido</w:t>
      </w:r>
      <w:r w:rsidRPr="00C86CA3">
        <w:rPr>
          <w:lang w:val="es-ES"/>
        </w:rPr>
        <w:t xml:space="preserve"> de oro aluvial. Se inició la elaboración del perfil de un minado con maquinarias en algunas terrazas del rio Mao, en especial en las terrazas aluviales del área del Naranjo, Hato Viejo y La Chorrera, Los resultados están previstos informarse en e</w:t>
      </w:r>
      <w:r>
        <w:rPr>
          <w:lang w:val="es-ES"/>
        </w:rPr>
        <w:t>l primer trimestre del año 2020 y g</w:t>
      </w:r>
      <w:r w:rsidRPr="00C86CA3">
        <w:rPr>
          <w:lang w:val="es-ES"/>
        </w:rPr>
        <w:t>ran parte de las terrazas aluviales del rio Mao ha sido evaluada. Con el minado de estas terrazas se obtiene en dos o tres años más de diez mil (10,000) onzas de onza troy cuyo minado puede generar gran movimiento económico en la zona.</w:t>
      </w:r>
      <w:r>
        <w:rPr>
          <w:lang w:val="es-ES"/>
        </w:rPr>
        <w:t xml:space="preserve"> </w:t>
      </w:r>
      <w:r w:rsidRPr="00C86CA3">
        <w:rPr>
          <w:lang w:val="es-ES"/>
        </w:rPr>
        <w:t>En el rio Isa han sido evaluadas reservas posibles con un contenido de gravas auríferas de dos millones, Quinientos mil (2,500,000) mts</w:t>
      </w:r>
      <w:r w:rsidRPr="00C86CA3">
        <w:rPr>
          <w:vertAlign w:val="superscript"/>
          <w:lang w:val="es-ES"/>
        </w:rPr>
        <w:t>3</w:t>
      </w:r>
      <w:r w:rsidRPr="00C86CA3">
        <w:rPr>
          <w:lang w:val="es-ES"/>
        </w:rPr>
        <w:t xml:space="preserve"> y un tenor promedio de 0.5 grs/mt</w:t>
      </w:r>
      <w:r w:rsidRPr="00C86CA3">
        <w:rPr>
          <w:vertAlign w:val="superscript"/>
          <w:lang w:val="es-ES"/>
        </w:rPr>
        <w:t>3</w:t>
      </w:r>
      <w:r w:rsidRPr="00C86CA3">
        <w:rPr>
          <w:lang w:val="es-ES"/>
        </w:rPr>
        <w:t>,  lo que nos da una idea del potencial aurífero y del valor con precios actuales del oro.</w:t>
      </w:r>
    </w:p>
    <w:p w14:paraId="0F5378FE" w14:textId="77777777" w:rsidR="0040746E" w:rsidRPr="00C86CA3" w:rsidRDefault="0040746E" w:rsidP="0040746E">
      <w:pPr>
        <w:jc w:val="both"/>
        <w:rPr>
          <w:lang w:val="es-ES"/>
        </w:rPr>
      </w:pPr>
    </w:p>
    <w:p w14:paraId="10555203" w14:textId="77777777" w:rsidR="0040746E" w:rsidRDefault="0040746E" w:rsidP="0040746E">
      <w:pPr>
        <w:numPr>
          <w:ilvl w:val="0"/>
          <w:numId w:val="55"/>
        </w:numPr>
        <w:spacing w:line="276" w:lineRule="auto"/>
        <w:contextualSpacing/>
        <w:jc w:val="both"/>
        <w:rPr>
          <w:lang w:val="es-ES"/>
        </w:rPr>
      </w:pPr>
      <w:r w:rsidRPr="00C86CA3">
        <w:rPr>
          <w:b/>
          <w:lang w:val="es-ES"/>
        </w:rPr>
        <w:t>Evaluación geológica y de los problemas estructurales del túnel principal de producción de larimar para una mayor seguridad para los mineros artesanales en Las Filipinas, provincia de Barahona</w:t>
      </w:r>
      <w:r w:rsidRPr="00C86CA3">
        <w:rPr>
          <w:lang w:val="es-ES"/>
        </w:rPr>
        <w:t>.</w:t>
      </w:r>
    </w:p>
    <w:p w14:paraId="3437F73C" w14:textId="77777777" w:rsidR="0040746E" w:rsidRPr="00C86CA3" w:rsidRDefault="0040746E" w:rsidP="0040746E">
      <w:pPr>
        <w:spacing w:line="276" w:lineRule="auto"/>
        <w:ind w:left="720"/>
        <w:contextualSpacing/>
        <w:jc w:val="both"/>
        <w:rPr>
          <w:lang w:val="es-ES"/>
        </w:rPr>
      </w:pPr>
    </w:p>
    <w:p w14:paraId="621490D6" w14:textId="77777777" w:rsidR="0040746E" w:rsidRPr="00C86CA3" w:rsidRDefault="0040746E" w:rsidP="0040746E">
      <w:pPr>
        <w:spacing w:line="480" w:lineRule="auto"/>
        <w:jc w:val="both"/>
        <w:rPr>
          <w:lang w:val="es-ES"/>
        </w:rPr>
      </w:pPr>
      <w:r w:rsidRPr="00C86CA3">
        <w:rPr>
          <w:lang w:val="es-ES"/>
        </w:rPr>
        <w:t xml:space="preserve">Con la coordinación del Ministerio de Energía y Minas (MEM) y el apoyo económico y operativo del CIRDI (Instituto Internacional Canadiense de Recursos y Desarrollo), la Dirección de Planificación y Exploración Geológica (DGM), ha realizado 3 semanas de estudios geológicos en los alrededores del depósito de larimar y valoración estructural con los técnicos enviados por CIRDI. </w:t>
      </w:r>
    </w:p>
    <w:p w14:paraId="4A054BFD" w14:textId="77777777" w:rsidR="0040746E" w:rsidRPr="00C86CA3" w:rsidRDefault="0040746E" w:rsidP="0040746E">
      <w:pPr>
        <w:jc w:val="both"/>
        <w:rPr>
          <w:lang w:val="es-ES"/>
        </w:rPr>
      </w:pPr>
    </w:p>
    <w:p w14:paraId="4841187A" w14:textId="6E2FD149" w:rsidR="0040746E" w:rsidRDefault="0040746E" w:rsidP="0040746E">
      <w:pPr>
        <w:spacing w:line="480" w:lineRule="auto"/>
        <w:jc w:val="both"/>
        <w:rPr>
          <w:lang w:val="es-ES"/>
        </w:rPr>
      </w:pPr>
      <w:r w:rsidRPr="00C86CA3">
        <w:rPr>
          <w:lang w:val="es-ES"/>
        </w:rPr>
        <w:t xml:space="preserve">La finalidad ha sido el de conocer mejor el posible marco geológico del depósito de larimar y evaluar las condiciones de riesgo laboral de los mineros artesanales ante el evidente deterioro de los soportes de las rocas del túnel principal del larimar. Profesionales de la Direccion de Planificación y Exploración Geológica y de la Direccion de Pequeña Minería de la Direccion General de Minería han estado apoyando al MEM en este proyecto. Fueron </w:t>
      </w:r>
      <w:r w:rsidR="00553623" w:rsidRPr="00C86CA3">
        <w:rPr>
          <w:lang w:val="es-ES"/>
        </w:rPr>
        <w:t>realizados en</w:t>
      </w:r>
      <w:r w:rsidRPr="00C86CA3">
        <w:rPr>
          <w:lang w:val="es-ES"/>
        </w:rPr>
        <w:t xml:space="preserve"> una parte importante de túneles mineros el escaneo con el equipo LIDAR, traído por los técnicos del CIRDI (Instituto Internacional Canadiense de Recursos y Desarrollo).</w:t>
      </w:r>
    </w:p>
    <w:p w14:paraId="3B7CD508" w14:textId="77777777" w:rsidR="00553623" w:rsidRPr="00C86CA3" w:rsidRDefault="00553623" w:rsidP="0040746E">
      <w:pPr>
        <w:spacing w:line="480" w:lineRule="auto"/>
        <w:jc w:val="both"/>
        <w:rPr>
          <w:lang w:val="es-ES"/>
        </w:rPr>
      </w:pPr>
    </w:p>
    <w:p w14:paraId="0454EBEC" w14:textId="7FDB0B87" w:rsidR="0040746E" w:rsidRDefault="0040746E" w:rsidP="0040746E">
      <w:pPr>
        <w:spacing w:line="480" w:lineRule="auto"/>
        <w:contextualSpacing/>
        <w:jc w:val="both"/>
        <w:rPr>
          <w:lang w:val="es-ES"/>
        </w:rPr>
      </w:pPr>
      <w:r w:rsidRPr="00C86CA3">
        <w:rPr>
          <w:lang w:val="es-ES"/>
        </w:rPr>
        <w:t xml:space="preserve">Se finalizó la visita de los técnicos </w:t>
      </w:r>
      <w:r w:rsidR="007C3616" w:rsidRPr="00C86CA3">
        <w:rPr>
          <w:lang w:val="es-ES"/>
        </w:rPr>
        <w:t>geólogo-minero venido</w:t>
      </w:r>
      <w:r w:rsidRPr="00C86CA3">
        <w:rPr>
          <w:lang w:val="es-ES"/>
        </w:rPr>
        <w:t xml:space="preserve"> a través del CIRDI entregando un informe final de los resultados y recomendaciones a seguir en la seguridad del túnel principal de Larimar. Estos estudios han tenido la finalidad de promover la seguridad de los mineros en la extracción</w:t>
      </w:r>
      <w:r w:rsidRPr="00C86CA3">
        <w:rPr>
          <w:b/>
          <w:lang w:val="es-ES"/>
        </w:rPr>
        <w:t xml:space="preserve"> </w:t>
      </w:r>
      <w:r w:rsidRPr="00C86CA3">
        <w:rPr>
          <w:lang w:val="es-ES"/>
        </w:rPr>
        <w:t>del Larimar.</w:t>
      </w:r>
    </w:p>
    <w:p w14:paraId="3F0562F5" w14:textId="77777777" w:rsidR="00553623" w:rsidRDefault="00553623" w:rsidP="0040746E">
      <w:pPr>
        <w:spacing w:line="480" w:lineRule="auto"/>
        <w:contextualSpacing/>
        <w:jc w:val="both"/>
        <w:rPr>
          <w:lang w:val="es-ES"/>
        </w:rPr>
      </w:pPr>
    </w:p>
    <w:p w14:paraId="4CB21CAE" w14:textId="77777777" w:rsidR="00553623" w:rsidRDefault="00553623" w:rsidP="0040746E">
      <w:pPr>
        <w:spacing w:line="480" w:lineRule="auto"/>
        <w:contextualSpacing/>
        <w:jc w:val="both"/>
        <w:rPr>
          <w:lang w:val="es-ES"/>
        </w:rPr>
      </w:pPr>
    </w:p>
    <w:p w14:paraId="68032A95" w14:textId="77777777" w:rsidR="00553623" w:rsidRDefault="00553623" w:rsidP="0040746E">
      <w:pPr>
        <w:spacing w:line="480" w:lineRule="auto"/>
        <w:contextualSpacing/>
        <w:jc w:val="both"/>
        <w:rPr>
          <w:lang w:val="es-ES"/>
        </w:rPr>
      </w:pPr>
    </w:p>
    <w:p w14:paraId="5C857B21" w14:textId="77777777" w:rsidR="00553623" w:rsidRPr="00C86CA3" w:rsidRDefault="00553623" w:rsidP="0040746E">
      <w:pPr>
        <w:spacing w:line="480" w:lineRule="auto"/>
        <w:contextualSpacing/>
        <w:jc w:val="both"/>
        <w:rPr>
          <w:lang w:val="es-ES"/>
        </w:rPr>
      </w:pPr>
    </w:p>
    <w:p w14:paraId="48EB69EA" w14:textId="77777777" w:rsidR="0040746E" w:rsidRPr="00474915" w:rsidRDefault="0040746E" w:rsidP="0040746E">
      <w:pPr>
        <w:numPr>
          <w:ilvl w:val="0"/>
          <w:numId w:val="55"/>
        </w:numPr>
        <w:spacing w:line="276" w:lineRule="auto"/>
        <w:contextualSpacing/>
        <w:jc w:val="both"/>
        <w:rPr>
          <w:b/>
          <w:lang w:val="es-ES"/>
        </w:rPr>
      </w:pPr>
      <w:r w:rsidRPr="00474915">
        <w:rPr>
          <w:b/>
          <w:lang w:val="es-ES"/>
        </w:rPr>
        <w:lastRenderedPageBreak/>
        <w:t>Apoyo en Asesoría a FONPER para la selección de un asesor externo que será contratado para una licitación internacional de la concesión Las Salinas.</w:t>
      </w:r>
    </w:p>
    <w:p w14:paraId="0A4B2428" w14:textId="77777777" w:rsidR="0040746E" w:rsidRPr="00C86CA3" w:rsidRDefault="0040746E" w:rsidP="0040746E">
      <w:pPr>
        <w:spacing w:line="480" w:lineRule="auto"/>
        <w:ind w:left="720"/>
        <w:contextualSpacing/>
        <w:jc w:val="both"/>
        <w:rPr>
          <w:lang w:val="es-ES"/>
        </w:rPr>
      </w:pPr>
      <w:r w:rsidRPr="0041353B">
        <w:rPr>
          <w:lang w:val="es-ES"/>
        </w:rPr>
        <w:t xml:space="preserve"> </w:t>
      </w:r>
    </w:p>
    <w:p w14:paraId="21E84BA0" w14:textId="3933AEA9" w:rsidR="0040746E" w:rsidRPr="00553623" w:rsidRDefault="0040746E" w:rsidP="0040746E">
      <w:pPr>
        <w:spacing w:line="480" w:lineRule="auto"/>
        <w:contextualSpacing/>
        <w:jc w:val="both"/>
        <w:rPr>
          <w:lang w:val="es-ES"/>
        </w:rPr>
      </w:pPr>
      <w:r w:rsidRPr="00C86CA3">
        <w:rPr>
          <w:lang w:val="es-ES"/>
        </w:rPr>
        <w:t>Hemos estado participando en las recomendaciones para seleccionar un asesor en el área de geología y minas para asesorar al FONPER en la creación de los términos de referencia para otra licitación internacional de una empresa que los asesore en los términos de referencias finales para licitar la concesión Las Salinas, concesión portador</w:t>
      </w:r>
      <w:r w:rsidR="00553623">
        <w:rPr>
          <w:lang w:val="es-ES"/>
        </w:rPr>
        <w:t xml:space="preserve">a de sal de roca o sal de mina, </w:t>
      </w:r>
      <w:r w:rsidR="00553623" w:rsidRPr="00553623">
        <w:rPr>
          <w:lang w:val="es-ES"/>
        </w:rPr>
        <w:t>a</w:t>
      </w:r>
      <w:r w:rsidRPr="00553623">
        <w:rPr>
          <w:lang w:val="es-ES"/>
        </w:rPr>
        <w:t>demás de recomendarle el alcance de la licitación, les hemos recomendado un listado de profesionales dominicanos que tienen el perfil para asesorarlos de manera más amplia.</w:t>
      </w:r>
    </w:p>
    <w:p w14:paraId="67A9F9C9" w14:textId="77777777" w:rsidR="0040746E" w:rsidRPr="00C86CA3" w:rsidRDefault="0040746E" w:rsidP="0040746E">
      <w:pPr>
        <w:spacing w:line="480" w:lineRule="auto"/>
        <w:contextualSpacing/>
        <w:jc w:val="both"/>
        <w:rPr>
          <w:b/>
          <w:lang w:val="es-ES"/>
        </w:rPr>
      </w:pPr>
    </w:p>
    <w:p w14:paraId="073BD08C" w14:textId="02926A2B" w:rsidR="0040746E" w:rsidRPr="00474915" w:rsidRDefault="0040746E" w:rsidP="0040746E">
      <w:pPr>
        <w:numPr>
          <w:ilvl w:val="0"/>
          <w:numId w:val="55"/>
        </w:numPr>
        <w:spacing w:line="480" w:lineRule="auto"/>
        <w:contextualSpacing/>
        <w:jc w:val="both"/>
        <w:rPr>
          <w:b/>
          <w:lang w:val="es-ES"/>
        </w:rPr>
      </w:pPr>
      <w:r w:rsidRPr="00474915">
        <w:rPr>
          <w:b/>
          <w:lang w:val="es-ES"/>
        </w:rPr>
        <w:t xml:space="preserve">Exploración de tierras raras en la Reserva Fiscal </w:t>
      </w:r>
      <w:r w:rsidR="00553623" w:rsidRPr="00474915">
        <w:rPr>
          <w:b/>
          <w:lang w:val="es-ES"/>
        </w:rPr>
        <w:t>Ávila</w:t>
      </w:r>
      <w:r w:rsidRPr="00474915">
        <w:rPr>
          <w:b/>
          <w:lang w:val="es-ES"/>
        </w:rPr>
        <w:t xml:space="preserve"> y su entorno. </w:t>
      </w:r>
    </w:p>
    <w:p w14:paraId="1CBC4E5F" w14:textId="6EE39A30" w:rsidR="0040746E" w:rsidRPr="00C86CA3" w:rsidRDefault="0040746E" w:rsidP="0040746E">
      <w:pPr>
        <w:spacing w:line="480" w:lineRule="auto"/>
        <w:ind w:left="720"/>
        <w:contextualSpacing/>
        <w:jc w:val="both"/>
        <w:rPr>
          <w:lang w:val="es-ES"/>
        </w:rPr>
      </w:pPr>
      <w:r w:rsidRPr="00C86CA3">
        <w:rPr>
          <w:lang w:val="es-ES"/>
        </w:rPr>
        <w:t>Junto al Servicio Geológico Nacional, la Dirección General de minería a través de la Dirección de Proy</w:t>
      </w:r>
      <w:r>
        <w:rPr>
          <w:lang w:val="es-ES"/>
        </w:rPr>
        <w:t>ectos de Recursos Mineros inició</w:t>
      </w:r>
      <w:r w:rsidRPr="00C86CA3">
        <w:rPr>
          <w:lang w:val="es-ES"/>
        </w:rPr>
        <w:t xml:space="preserve"> </w:t>
      </w:r>
      <w:r>
        <w:rPr>
          <w:lang w:val="es-ES"/>
        </w:rPr>
        <w:t xml:space="preserve">en marzo 2019 </w:t>
      </w:r>
      <w:r w:rsidRPr="00C86CA3">
        <w:rPr>
          <w:lang w:val="es-ES"/>
        </w:rPr>
        <w:t xml:space="preserve">los trabajos en la zona de la Reserva Fiscal </w:t>
      </w:r>
      <w:r w:rsidR="007C3616" w:rsidRPr="00C86CA3">
        <w:rPr>
          <w:lang w:val="es-ES"/>
        </w:rPr>
        <w:t>Ávila</w:t>
      </w:r>
      <w:r>
        <w:rPr>
          <w:lang w:val="es-ES"/>
        </w:rPr>
        <w:t>, Pedernales,</w:t>
      </w:r>
      <w:r w:rsidRPr="00C86CA3">
        <w:rPr>
          <w:lang w:val="es-ES"/>
        </w:rPr>
        <w:t xml:space="preserve"> con la delimitación de los depósitos de bauxita y/o arcillas descalcificada en la búsqueda de tierras raras y su contenido de las mismas. Se delimitaron los depósitos llamados por la empresa Alcoa Exploration como Sitio Nuevo, Yagrumo y otras zonas no delimitadas por la Alcoa. Se tomaron 91 muestras </w:t>
      </w:r>
      <w:r>
        <w:rPr>
          <w:lang w:val="es-ES"/>
        </w:rPr>
        <w:t xml:space="preserve">en Sito Nuevo y Yagrumo, </w:t>
      </w:r>
      <w:r w:rsidRPr="00C86CA3">
        <w:rPr>
          <w:lang w:val="es-ES"/>
        </w:rPr>
        <w:t xml:space="preserve">que serán analizadas en Canadá </w:t>
      </w:r>
      <w:r>
        <w:rPr>
          <w:lang w:val="es-ES"/>
        </w:rPr>
        <w:t xml:space="preserve">y </w:t>
      </w:r>
      <w:r w:rsidRPr="00C86CA3">
        <w:rPr>
          <w:lang w:val="es-ES"/>
        </w:rPr>
        <w:t xml:space="preserve">cuyos resultados esperamos </w:t>
      </w:r>
      <w:r>
        <w:rPr>
          <w:lang w:val="es-ES"/>
        </w:rPr>
        <w:t xml:space="preserve">para </w:t>
      </w:r>
      <w:r w:rsidRPr="00C86CA3">
        <w:rPr>
          <w:lang w:val="es-ES"/>
        </w:rPr>
        <w:t>finales de este año</w:t>
      </w:r>
      <w:r>
        <w:rPr>
          <w:lang w:val="es-ES"/>
        </w:rPr>
        <w:t xml:space="preserve"> 2019</w:t>
      </w:r>
      <w:r w:rsidRPr="00C86CA3">
        <w:rPr>
          <w:lang w:val="es-ES"/>
        </w:rPr>
        <w:t>.</w:t>
      </w:r>
    </w:p>
    <w:p w14:paraId="75F1EF7D" w14:textId="77777777" w:rsidR="000959D2" w:rsidRDefault="000959D2" w:rsidP="000959D2">
      <w:pPr>
        <w:spacing w:line="480" w:lineRule="auto"/>
        <w:jc w:val="both"/>
        <w:rPr>
          <w:lang w:val="es-ES"/>
        </w:rPr>
      </w:pPr>
    </w:p>
    <w:p w14:paraId="45FF9929" w14:textId="77777777" w:rsidR="00553623" w:rsidRDefault="00553623" w:rsidP="000959D2">
      <w:pPr>
        <w:spacing w:line="480" w:lineRule="auto"/>
        <w:jc w:val="both"/>
        <w:rPr>
          <w:lang w:val="es-ES"/>
        </w:rPr>
      </w:pPr>
    </w:p>
    <w:p w14:paraId="79A393CF" w14:textId="77777777" w:rsidR="00553623" w:rsidRDefault="00553623" w:rsidP="000959D2">
      <w:pPr>
        <w:spacing w:line="480" w:lineRule="auto"/>
        <w:jc w:val="both"/>
        <w:rPr>
          <w:lang w:val="es-ES"/>
        </w:rPr>
      </w:pPr>
    </w:p>
    <w:p w14:paraId="136A5BD8" w14:textId="77777777" w:rsidR="00553623" w:rsidRDefault="00553623" w:rsidP="000959D2">
      <w:pPr>
        <w:spacing w:line="480" w:lineRule="auto"/>
        <w:jc w:val="both"/>
        <w:rPr>
          <w:lang w:val="es-ES"/>
        </w:rPr>
      </w:pPr>
    </w:p>
    <w:p w14:paraId="6A7147A0" w14:textId="388B3459" w:rsidR="00906F9E" w:rsidRPr="00E406B4" w:rsidRDefault="00906F9E" w:rsidP="000E50D2">
      <w:pPr>
        <w:rPr>
          <w:b/>
          <w:sz w:val="28"/>
          <w:szCs w:val="28"/>
          <w:lang w:val="es-ES"/>
        </w:rPr>
      </w:pPr>
      <w:r w:rsidRPr="00E406B4">
        <w:rPr>
          <w:b/>
          <w:sz w:val="28"/>
          <w:szCs w:val="28"/>
          <w:lang w:val="es-ES"/>
        </w:rPr>
        <w:lastRenderedPageBreak/>
        <w:t xml:space="preserve">Planificación </w:t>
      </w:r>
      <w:r w:rsidR="00151804" w:rsidRPr="00E406B4">
        <w:rPr>
          <w:b/>
          <w:sz w:val="28"/>
          <w:szCs w:val="28"/>
          <w:lang w:val="es-ES"/>
        </w:rPr>
        <w:t>y Desarrollo</w:t>
      </w:r>
    </w:p>
    <w:p w14:paraId="16D5AC01" w14:textId="77777777" w:rsidR="00E059B5" w:rsidRPr="00C14D91" w:rsidRDefault="00E059B5" w:rsidP="00E059B5">
      <w:pPr>
        <w:rPr>
          <w:lang w:val="es-ES"/>
        </w:rPr>
      </w:pPr>
    </w:p>
    <w:p w14:paraId="25485627" w14:textId="1C516C7E" w:rsidR="00137234" w:rsidRPr="00C14D91" w:rsidRDefault="009F7669" w:rsidP="009C579C">
      <w:pPr>
        <w:spacing w:line="480" w:lineRule="auto"/>
        <w:jc w:val="both"/>
        <w:rPr>
          <w:lang w:val="es-ES"/>
        </w:rPr>
      </w:pPr>
      <w:r w:rsidRPr="00C14D91">
        <w:rPr>
          <w:lang w:val="es-ES"/>
        </w:rPr>
        <w:t>Durante el ejercicio fiscal 201</w:t>
      </w:r>
      <w:r w:rsidR="00CC34E0" w:rsidRPr="00CC34E0">
        <w:rPr>
          <w:lang w:val="es-ES"/>
        </w:rPr>
        <w:t>9</w:t>
      </w:r>
      <w:r w:rsidRPr="00C14D91">
        <w:rPr>
          <w:lang w:val="es-ES"/>
        </w:rPr>
        <w:t xml:space="preserve">, se </w:t>
      </w:r>
      <w:r w:rsidR="00CC34E0" w:rsidRPr="00CC34E0">
        <w:rPr>
          <w:lang w:val="es-ES"/>
        </w:rPr>
        <w:t xml:space="preserve">realizó la segunda autoevaluación </w:t>
      </w:r>
      <w:r w:rsidR="00137234" w:rsidRPr="00C14D91">
        <w:rPr>
          <w:lang w:val="es-ES"/>
        </w:rPr>
        <w:t xml:space="preserve">del plan de mejora </w:t>
      </w:r>
      <w:r w:rsidR="00137234" w:rsidRPr="00CC34E0">
        <w:rPr>
          <w:lang w:val="es-ES"/>
        </w:rPr>
        <w:t xml:space="preserve">del </w:t>
      </w:r>
      <w:r w:rsidRPr="00CC34E0">
        <w:rPr>
          <w:b/>
          <w:lang w:val="es-ES"/>
        </w:rPr>
        <w:t xml:space="preserve">“Marco </w:t>
      </w:r>
      <w:r w:rsidR="00D85DC3" w:rsidRPr="00CC34E0">
        <w:rPr>
          <w:b/>
          <w:lang w:val="es-ES"/>
        </w:rPr>
        <w:t>Común</w:t>
      </w:r>
      <w:r w:rsidRPr="00CC34E0">
        <w:rPr>
          <w:b/>
          <w:lang w:val="es-ES"/>
        </w:rPr>
        <w:t xml:space="preserve"> de </w:t>
      </w:r>
      <w:r w:rsidR="00D85DC3" w:rsidRPr="00CC34E0">
        <w:rPr>
          <w:b/>
          <w:lang w:val="es-ES"/>
        </w:rPr>
        <w:t>Evaluación</w:t>
      </w:r>
      <w:r w:rsidRPr="00CC34E0">
        <w:rPr>
          <w:b/>
          <w:lang w:val="es-ES"/>
        </w:rPr>
        <w:t>” (CAF)</w:t>
      </w:r>
      <w:r w:rsidRPr="00CC34E0">
        <w:rPr>
          <w:lang w:val="es-ES"/>
        </w:rPr>
        <w:t xml:space="preserve">, bajo la supervisión del Ministerio de </w:t>
      </w:r>
      <w:r w:rsidR="00D85DC3" w:rsidRPr="00CC34E0">
        <w:rPr>
          <w:lang w:val="es-ES"/>
        </w:rPr>
        <w:t>Administración</w:t>
      </w:r>
      <w:r w:rsidRPr="00CC34E0">
        <w:rPr>
          <w:lang w:val="es-ES"/>
        </w:rPr>
        <w:t xml:space="preserve"> </w:t>
      </w:r>
      <w:r w:rsidR="00137234" w:rsidRPr="00CC34E0">
        <w:rPr>
          <w:lang w:val="es-ES"/>
        </w:rPr>
        <w:t>Pública</w:t>
      </w:r>
      <w:r w:rsidRPr="00CC34E0">
        <w:rPr>
          <w:lang w:val="es-ES"/>
        </w:rPr>
        <w:t xml:space="preserve"> (MAP), </w:t>
      </w:r>
      <w:r w:rsidR="00137234" w:rsidRPr="00CC34E0">
        <w:rPr>
          <w:lang w:val="es-ES"/>
        </w:rPr>
        <w:t xml:space="preserve">a estos fines se </w:t>
      </w:r>
      <w:r w:rsidR="00CC34E0" w:rsidRPr="00CC34E0">
        <w:rPr>
          <w:lang w:val="es-ES"/>
        </w:rPr>
        <w:t>elaboró el plan de mejora para ser agotado al 31 de agosto del 2020, según el sub indicador Numero 01.2, del indicador 01, sobre “Gestión de la Calidad y Servicios”.</w:t>
      </w:r>
      <w:r w:rsidR="00137234" w:rsidRPr="00C14D91">
        <w:rPr>
          <w:lang w:val="es-ES"/>
        </w:rPr>
        <w:t xml:space="preserve"> </w:t>
      </w:r>
    </w:p>
    <w:p w14:paraId="0B825173" w14:textId="77777777" w:rsidR="00137234" w:rsidRPr="00E406B4" w:rsidRDefault="00137234" w:rsidP="00E406B4">
      <w:pPr>
        <w:jc w:val="both"/>
        <w:rPr>
          <w:highlight w:val="yellow"/>
          <w:lang w:val="es-ES"/>
        </w:rPr>
      </w:pPr>
    </w:p>
    <w:p w14:paraId="1E3464E7" w14:textId="2C67C9F2" w:rsidR="009E348A" w:rsidRPr="00C14D91" w:rsidRDefault="00137234" w:rsidP="009C579C">
      <w:pPr>
        <w:spacing w:line="480" w:lineRule="auto"/>
        <w:jc w:val="both"/>
        <w:rPr>
          <w:lang w:val="es-ES"/>
        </w:rPr>
      </w:pPr>
      <w:r w:rsidRPr="00C14D91">
        <w:rPr>
          <w:lang w:val="es-ES"/>
        </w:rPr>
        <w:t>E</w:t>
      </w:r>
      <w:r w:rsidR="009F7669" w:rsidRPr="00C14D91">
        <w:rPr>
          <w:lang w:val="es-ES"/>
        </w:rPr>
        <w:t>l resultado de e</w:t>
      </w:r>
      <w:r w:rsidR="009F7669" w:rsidRPr="00CC34E0">
        <w:rPr>
          <w:lang w:val="es-ES"/>
        </w:rPr>
        <w:t xml:space="preserve">sta autoevaluación </w:t>
      </w:r>
      <w:r w:rsidR="00D85DC3" w:rsidRPr="00CC34E0">
        <w:rPr>
          <w:lang w:val="es-ES"/>
        </w:rPr>
        <w:t xml:space="preserve">está </w:t>
      </w:r>
      <w:r w:rsidR="009F7669" w:rsidRPr="00CC34E0">
        <w:rPr>
          <w:lang w:val="es-ES"/>
        </w:rPr>
        <w:t xml:space="preserve">orientada a la mejora continua para apoyar la gestión de </w:t>
      </w:r>
      <w:r w:rsidR="000325C8" w:rsidRPr="00CC34E0">
        <w:rPr>
          <w:lang w:val="es-ES"/>
        </w:rPr>
        <w:t xml:space="preserve">calidad </w:t>
      </w:r>
      <w:r w:rsidR="009F7669" w:rsidRPr="00CC34E0">
        <w:rPr>
          <w:lang w:val="es-ES"/>
        </w:rPr>
        <w:t xml:space="preserve">en los servicios y procesos que se ofrecen al </w:t>
      </w:r>
      <w:r w:rsidR="000325C8" w:rsidRPr="00CC34E0">
        <w:rPr>
          <w:lang w:val="es-ES"/>
        </w:rPr>
        <w:t>ciudadano</w:t>
      </w:r>
      <w:r w:rsidR="009E348A" w:rsidRPr="00CC34E0">
        <w:rPr>
          <w:lang w:val="es-ES"/>
        </w:rPr>
        <w:t xml:space="preserve">, </w:t>
      </w:r>
      <w:r w:rsidRPr="00CC34E0">
        <w:rPr>
          <w:lang w:val="es-ES"/>
        </w:rPr>
        <w:t xml:space="preserve">lo cual trajo </w:t>
      </w:r>
      <w:r w:rsidR="009E348A" w:rsidRPr="00CC34E0">
        <w:rPr>
          <w:lang w:val="es-ES"/>
        </w:rPr>
        <w:t xml:space="preserve">como consecuencia </w:t>
      </w:r>
      <w:r w:rsidRPr="00CC34E0">
        <w:rPr>
          <w:lang w:val="es-ES"/>
        </w:rPr>
        <w:t xml:space="preserve">iniciar con la ejecución de las actividades </w:t>
      </w:r>
      <w:r w:rsidR="009E348A" w:rsidRPr="00CC34E0">
        <w:rPr>
          <w:lang w:val="es-ES"/>
        </w:rPr>
        <w:t xml:space="preserve">para la implementación de la </w:t>
      </w:r>
      <w:r w:rsidR="009E348A" w:rsidRPr="00CC34E0">
        <w:rPr>
          <w:b/>
          <w:lang w:val="es-ES"/>
        </w:rPr>
        <w:t>“Carta de Compromiso”,</w:t>
      </w:r>
      <w:r w:rsidR="009E348A" w:rsidRPr="00CC34E0">
        <w:rPr>
          <w:lang w:val="es-ES"/>
        </w:rPr>
        <w:t xml:space="preserve"> la cual </w:t>
      </w:r>
      <w:r w:rsidRPr="00CC34E0">
        <w:rPr>
          <w:lang w:val="es-ES"/>
        </w:rPr>
        <w:t xml:space="preserve">fue </w:t>
      </w:r>
      <w:r w:rsidR="00CC34E0">
        <w:rPr>
          <w:lang w:val="es-ES"/>
        </w:rPr>
        <w:t xml:space="preserve">re </w:t>
      </w:r>
      <w:r w:rsidRPr="00C14D91">
        <w:rPr>
          <w:lang w:val="es-ES"/>
        </w:rPr>
        <w:t xml:space="preserve">enviada al Ministerio de Administración Publica, </w:t>
      </w:r>
      <w:r w:rsidR="00CC34E0">
        <w:rPr>
          <w:lang w:val="es-ES"/>
        </w:rPr>
        <w:t>en Diciembre del 2019, con l</w:t>
      </w:r>
      <w:r w:rsidRPr="00C14D91">
        <w:rPr>
          <w:lang w:val="es-ES"/>
        </w:rPr>
        <w:t>a</w:t>
      </w:r>
      <w:r w:rsidR="00CC34E0">
        <w:rPr>
          <w:lang w:val="es-ES"/>
        </w:rPr>
        <w:t>s</w:t>
      </w:r>
      <w:r w:rsidRPr="00C14D91">
        <w:rPr>
          <w:lang w:val="es-ES"/>
        </w:rPr>
        <w:t xml:space="preserve"> observaciones </w:t>
      </w:r>
      <w:r w:rsidR="00CC34E0">
        <w:rPr>
          <w:lang w:val="es-ES"/>
        </w:rPr>
        <w:t xml:space="preserve">sub sanadas. Por tanto estamos a la espera de </w:t>
      </w:r>
      <w:r w:rsidRPr="00C14D91">
        <w:rPr>
          <w:lang w:val="es-ES"/>
        </w:rPr>
        <w:t xml:space="preserve">obtener la resolución aprobatoria y poder </w:t>
      </w:r>
      <w:r w:rsidR="009E348A" w:rsidRPr="00C14D91">
        <w:rPr>
          <w:lang w:val="es-ES"/>
        </w:rPr>
        <w:t xml:space="preserve">presentarla al </w:t>
      </w:r>
      <w:r w:rsidR="000325C8" w:rsidRPr="00CC34E0">
        <w:rPr>
          <w:lang w:val="es-ES"/>
        </w:rPr>
        <w:t>ciudadano</w:t>
      </w:r>
      <w:r w:rsidR="009E348A" w:rsidRPr="00CC34E0">
        <w:rPr>
          <w:lang w:val="es-ES"/>
        </w:rPr>
        <w:t xml:space="preserve">, durante el primer </w:t>
      </w:r>
      <w:r w:rsidR="00CC34E0">
        <w:rPr>
          <w:lang w:val="es-ES"/>
        </w:rPr>
        <w:t>cuatri</w:t>
      </w:r>
      <w:r w:rsidR="009E348A" w:rsidRPr="00C14D91">
        <w:rPr>
          <w:lang w:val="es-ES"/>
        </w:rPr>
        <w:t>mestre del año 20</w:t>
      </w:r>
      <w:r w:rsidR="00CC34E0">
        <w:rPr>
          <w:lang w:val="es-ES"/>
        </w:rPr>
        <w:t>20</w:t>
      </w:r>
      <w:r w:rsidR="009E348A" w:rsidRPr="00C14D91">
        <w:rPr>
          <w:lang w:val="es-ES"/>
        </w:rPr>
        <w:t>.</w:t>
      </w:r>
    </w:p>
    <w:p w14:paraId="0B61D054" w14:textId="77777777" w:rsidR="00137234" w:rsidRPr="00E406B4" w:rsidRDefault="00137234" w:rsidP="00E406B4">
      <w:pPr>
        <w:jc w:val="both"/>
        <w:rPr>
          <w:highlight w:val="yellow"/>
          <w:lang w:val="es-ES"/>
        </w:rPr>
      </w:pPr>
    </w:p>
    <w:p w14:paraId="0A45D93F" w14:textId="0B1E970F" w:rsidR="009E348A" w:rsidRPr="00CC34E0" w:rsidRDefault="00D85DC3" w:rsidP="005E578D">
      <w:pPr>
        <w:spacing w:line="360" w:lineRule="auto"/>
        <w:jc w:val="both"/>
        <w:rPr>
          <w:lang w:val="es-ES"/>
        </w:rPr>
      </w:pPr>
      <w:r w:rsidRPr="00CC34E0">
        <w:rPr>
          <w:lang w:val="es-ES"/>
        </w:rPr>
        <w:t xml:space="preserve">Otro proyecto iniciado por el departamento de Planificación y Desarrollo, es la implementación de las Normas Básicas de Control Interno (NOBACI), </w:t>
      </w:r>
      <w:r w:rsidR="00161D88" w:rsidRPr="00CC34E0">
        <w:rPr>
          <w:lang w:val="es-ES"/>
        </w:rPr>
        <w:t xml:space="preserve">a requerimiento y </w:t>
      </w:r>
      <w:r w:rsidRPr="00CC34E0">
        <w:rPr>
          <w:lang w:val="es-ES"/>
        </w:rPr>
        <w:t xml:space="preserve">bajo la supervisión de la Contraloría General de La Republica.  </w:t>
      </w:r>
      <w:r w:rsidR="00137234" w:rsidRPr="00CC34E0">
        <w:rPr>
          <w:lang w:val="es-ES"/>
        </w:rPr>
        <w:t xml:space="preserve">Estamos en la </w:t>
      </w:r>
      <w:r w:rsidR="00161D88" w:rsidRPr="00CC34E0">
        <w:rPr>
          <w:lang w:val="es-ES"/>
        </w:rPr>
        <w:t>implementación</w:t>
      </w:r>
      <w:r w:rsidRPr="00CC34E0">
        <w:rPr>
          <w:lang w:val="es-ES"/>
        </w:rPr>
        <w:t xml:space="preserve"> </w:t>
      </w:r>
      <w:r w:rsidR="00137234" w:rsidRPr="00CC34E0">
        <w:rPr>
          <w:lang w:val="es-ES"/>
        </w:rPr>
        <w:t>de todos los requerimientos de las Cin</w:t>
      </w:r>
      <w:r w:rsidRPr="00CC34E0">
        <w:rPr>
          <w:lang w:val="es-ES"/>
        </w:rPr>
        <w:t xml:space="preserve">co </w:t>
      </w:r>
      <w:r w:rsidR="00137234" w:rsidRPr="00CC34E0">
        <w:rPr>
          <w:lang w:val="es-ES"/>
        </w:rPr>
        <w:t xml:space="preserve">(5) </w:t>
      </w:r>
      <w:r w:rsidRPr="00CC34E0">
        <w:rPr>
          <w:lang w:val="es-ES"/>
        </w:rPr>
        <w:t xml:space="preserve">matrices que componen </w:t>
      </w:r>
      <w:r w:rsidR="00137234" w:rsidRPr="00CC34E0">
        <w:rPr>
          <w:lang w:val="es-ES"/>
        </w:rPr>
        <w:t xml:space="preserve">el sistema de </w:t>
      </w:r>
      <w:r w:rsidR="000325C8" w:rsidRPr="00CC34E0">
        <w:rPr>
          <w:lang w:val="es-ES"/>
        </w:rPr>
        <w:t>c</w:t>
      </w:r>
      <w:r w:rsidR="00137234" w:rsidRPr="00CC34E0">
        <w:rPr>
          <w:lang w:val="es-ES"/>
        </w:rPr>
        <w:t xml:space="preserve">ontrol </w:t>
      </w:r>
      <w:r w:rsidR="000325C8" w:rsidRPr="00CC34E0">
        <w:rPr>
          <w:lang w:val="es-ES"/>
        </w:rPr>
        <w:t>i</w:t>
      </w:r>
      <w:r w:rsidR="00137234" w:rsidRPr="00CC34E0">
        <w:rPr>
          <w:lang w:val="es-ES"/>
        </w:rPr>
        <w:t>nterno</w:t>
      </w:r>
      <w:r w:rsidRPr="00CC34E0">
        <w:rPr>
          <w:lang w:val="es-ES"/>
        </w:rPr>
        <w:t>.</w:t>
      </w:r>
    </w:p>
    <w:p w14:paraId="5972AB2D" w14:textId="77777777" w:rsidR="00137234" w:rsidRPr="00E406B4" w:rsidRDefault="00137234" w:rsidP="005B16A3">
      <w:pPr>
        <w:spacing w:line="360" w:lineRule="auto"/>
        <w:jc w:val="both"/>
        <w:rPr>
          <w:highlight w:val="yellow"/>
          <w:lang w:val="es-ES"/>
        </w:rPr>
      </w:pPr>
    </w:p>
    <w:p w14:paraId="44875696" w14:textId="736A7EEC" w:rsidR="005E578D" w:rsidRPr="00E406B4" w:rsidRDefault="00137234" w:rsidP="00E406B4">
      <w:pPr>
        <w:spacing w:line="480" w:lineRule="auto"/>
        <w:jc w:val="both"/>
        <w:rPr>
          <w:highlight w:val="yellow"/>
          <w:lang w:val="es-ES"/>
        </w:rPr>
      </w:pPr>
      <w:r w:rsidRPr="00C14D91">
        <w:rPr>
          <w:lang w:val="es-ES"/>
        </w:rPr>
        <w:t xml:space="preserve">Al cierre del mes de </w:t>
      </w:r>
      <w:r w:rsidR="00280445" w:rsidRPr="00C14D91">
        <w:rPr>
          <w:lang w:val="es-ES"/>
        </w:rPr>
        <w:t>dic</w:t>
      </w:r>
      <w:r w:rsidR="00151804" w:rsidRPr="00C14D91">
        <w:rPr>
          <w:lang w:val="es-ES"/>
        </w:rPr>
        <w:t>iembre</w:t>
      </w:r>
      <w:r w:rsidRPr="00CC34E0">
        <w:rPr>
          <w:lang w:val="es-ES"/>
        </w:rPr>
        <w:t xml:space="preserve"> del 201</w:t>
      </w:r>
      <w:r w:rsidR="00CC34E0" w:rsidRPr="00CC34E0">
        <w:rPr>
          <w:lang w:val="es-ES"/>
        </w:rPr>
        <w:t>9</w:t>
      </w:r>
      <w:r w:rsidRPr="00C14D91">
        <w:rPr>
          <w:lang w:val="es-ES"/>
        </w:rPr>
        <w:t xml:space="preserve">, alcanzamos una puntuación </w:t>
      </w:r>
      <w:r w:rsidRPr="00CC34E0">
        <w:rPr>
          <w:lang w:val="es-ES"/>
        </w:rPr>
        <w:t xml:space="preserve">interna de un </w:t>
      </w:r>
      <w:r w:rsidR="00CC34E0" w:rsidRPr="00CC34E0">
        <w:rPr>
          <w:lang w:val="es-ES"/>
        </w:rPr>
        <w:t>81.55% comparado con la puntuación obtenida al cierre del 2018 de un 70.39%,</w:t>
      </w:r>
      <w:r w:rsidR="001C0E93" w:rsidRPr="00C14D91">
        <w:rPr>
          <w:lang w:val="es-ES"/>
        </w:rPr>
        <w:t xml:space="preserve"> a lo cual nos </w:t>
      </w:r>
      <w:r w:rsidR="00280445" w:rsidRPr="00C14D91">
        <w:rPr>
          <w:lang w:val="es-ES"/>
        </w:rPr>
        <w:t xml:space="preserve">habíamos </w:t>
      </w:r>
      <w:r w:rsidR="001C0E93" w:rsidRPr="00CC34E0">
        <w:rPr>
          <w:lang w:val="es-ES"/>
        </w:rPr>
        <w:t>planteado como meta obtener un 80% a</w:t>
      </w:r>
      <w:r w:rsidR="00D85DC3" w:rsidRPr="00CC34E0">
        <w:rPr>
          <w:lang w:val="es-ES"/>
        </w:rPr>
        <w:t>l cierre del ejercicio fiscal 201</w:t>
      </w:r>
      <w:r w:rsidR="00CC34E0" w:rsidRPr="00CC34E0">
        <w:rPr>
          <w:lang w:val="es-ES"/>
        </w:rPr>
        <w:t>9</w:t>
      </w:r>
      <w:r w:rsidR="00280445" w:rsidRPr="00C14D91">
        <w:rPr>
          <w:lang w:val="es-ES"/>
        </w:rPr>
        <w:t xml:space="preserve">, presentando un avance institucional de un </w:t>
      </w:r>
      <w:r w:rsidR="00CC34E0" w:rsidRPr="00CC34E0">
        <w:rPr>
          <w:lang w:val="es-ES"/>
        </w:rPr>
        <w:t>11.16%</w:t>
      </w:r>
      <w:r w:rsidR="00280445" w:rsidRPr="00C14D91">
        <w:rPr>
          <w:lang w:val="es-ES"/>
        </w:rPr>
        <w:t xml:space="preserve"> con relación </w:t>
      </w:r>
      <w:r w:rsidR="00280445" w:rsidRPr="00CC34E0">
        <w:rPr>
          <w:lang w:val="es-ES"/>
        </w:rPr>
        <w:t>a la meta</w:t>
      </w:r>
      <w:r w:rsidR="001C0E93" w:rsidRPr="00CC34E0">
        <w:rPr>
          <w:lang w:val="es-ES"/>
        </w:rPr>
        <w:t>.</w:t>
      </w:r>
      <w:r w:rsidR="00D85DC3" w:rsidRPr="00CC34E0">
        <w:rPr>
          <w:lang w:val="es-ES"/>
        </w:rPr>
        <w:t xml:space="preserve"> </w:t>
      </w:r>
    </w:p>
    <w:p w14:paraId="5D8E7741" w14:textId="78E4B480" w:rsidR="00D85DC3" w:rsidRPr="00C14D91" w:rsidRDefault="008A79EC" w:rsidP="009C579C">
      <w:pPr>
        <w:spacing w:line="480" w:lineRule="auto"/>
        <w:jc w:val="both"/>
        <w:rPr>
          <w:lang w:val="es-ES"/>
        </w:rPr>
      </w:pPr>
      <w:r w:rsidRPr="00D72666">
        <w:rPr>
          <w:lang w:val="es-ES"/>
        </w:rPr>
        <w:lastRenderedPageBreak/>
        <w:t xml:space="preserve">Hemos avanzado en la elaboración del manual </w:t>
      </w:r>
      <w:r w:rsidR="004619C0" w:rsidRPr="00D72666">
        <w:rPr>
          <w:lang w:val="es-ES"/>
        </w:rPr>
        <w:t xml:space="preserve">de procedimientos cubriendo todos los procesos de la </w:t>
      </w:r>
      <w:r w:rsidR="005C2C22" w:rsidRPr="00D72666">
        <w:rPr>
          <w:lang w:val="es-ES"/>
        </w:rPr>
        <w:t xml:space="preserve">institución, al cierre del ejercicio tenemos </w:t>
      </w:r>
      <w:r w:rsidR="00D72666">
        <w:rPr>
          <w:lang w:val="es-ES"/>
        </w:rPr>
        <w:t xml:space="preserve">levantados y </w:t>
      </w:r>
      <w:r w:rsidR="001C0E93" w:rsidRPr="00C14D91">
        <w:rPr>
          <w:lang w:val="es-ES"/>
        </w:rPr>
        <w:t>documentados</w:t>
      </w:r>
      <w:r w:rsidR="00D72666">
        <w:rPr>
          <w:lang w:val="es-ES"/>
        </w:rPr>
        <w:t xml:space="preserve">, unos noventa y seis (96), de los cuales sesenta (60) están en proceso y veinte y uno (21) están en proceso de revisión, para aprobación final. Finalmente aprobados tenemos con </w:t>
      </w:r>
      <w:r w:rsidR="001C0E93" w:rsidRPr="00C14D91">
        <w:rPr>
          <w:lang w:val="es-ES"/>
        </w:rPr>
        <w:t>sus fichas y flujogramas</w:t>
      </w:r>
      <w:r w:rsidR="00D72666">
        <w:rPr>
          <w:lang w:val="es-ES"/>
        </w:rPr>
        <w:t>, unos</w:t>
      </w:r>
      <w:r w:rsidR="001C0E93" w:rsidRPr="00C14D91">
        <w:rPr>
          <w:lang w:val="es-ES"/>
        </w:rPr>
        <w:t xml:space="preserve"> </w:t>
      </w:r>
      <w:r w:rsidR="00D72666" w:rsidRPr="00D72666">
        <w:rPr>
          <w:lang w:val="es-ES"/>
        </w:rPr>
        <w:t>treinta</w:t>
      </w:r>
      <w:r w:rsidR="001C0E93" w:rsidRPr="00C14D91">
        <w:rPr>
          <w:lang w:val="es-ES"/>
        </w:rPr>
        <w:t xml:space="preserve"> y </w:t>
      </w:r>
      <w:r w:rsidR="00D72666" w:rsidRPr="00D72666">
        <w:rPr>
          <w:lang w:val="es-ES"/>
        </w:rPr>
        <w:t xml:space="preserve">seis </w:t>
      </w:r>
      <w:r w:rsidR="00D72666" w:rsidRPr="00C14D91">
        <w:rPr>
          <w:lang w:val="es-ES"/>
        </w:rPr>
        <w:t>(</w:t>
      </w:r>
      <w:r w:rsidR="00D72666" w:rsidRPr="00D72666">
        <w:rPr>
          <w:lang w:val="es-ES"/>
        </w:rPr>
        <w:t>36</w:t>
      </w:r>
      <w:r w:rsidR="001C0E93" w:rsidRPr="00C14D91">
        <w:rPr>
          <w:lang w:val="es-ES"/>
        </w:rPr>
        <w:t xml:space="preserve">) </w:t>
      </w:r>
      <w:r w:rsidR="009F6F6D" w:rsidRPr="00D72666">
        <w:rPr>
          <w:lang w:val="es-ES"/>
        </w:rPr>
        <w:t>Procedimientos</w:t>
      </w:r>
      <w:r w:rsidR="005C2C22" w:rsidRPr="00D72666">
        <w:rPr>
          <w:lang w:val="es-ES"/>
        </w:rPr>
        <w:t>, sin incluir los que se agregaran producto de la implementación de las Normas Básicas de Control Interno (NOBACI)</w:t>
      </w:r>
      <w:r w:rsidR="001C0E93" w:rsidRPr="00D72666">
        <w:rPr>
          <w:lang w:val="es-ES"/>
        </w:rPr>
        <w:t xml:space="preserve"> y CAF</w:t>
      </w:r>
      <w:r w:rsidR="005C2C22" w:rsidRPr="00D72666">
        <w:rPr>
          <w:lang w:val="es-ES"/>
        </w:rPr>
        <w:t>.-</w:t>
      </w:r>
      <w:r w:rsidR="00D72666">
        <w:rPr>
          <w:lang w:val="es-ES"/>
        </w:rPr>
        <w:t xml:space="preserve">  </w:t>
      </w:r>
    </w:p>
    <w:p w14:paraId="3976322D" w14:textId="77777777" w:rsidR="001D6FFB" w:rsidRPr="00E406B4" w:rsidRDefault="001D6FFB" w:rsidP="00E406B4">
      <w:pPr>
        <w:jc w:val="both"/>
        <w:rPr>
          <w:highlight w:val="yellow"/>
          <w:lang w:val="es-ES"/>
        </w:rPr>
      </w:pPr>
    </w:p>
    <w:p w14:paraId="066FA81E" w14:textId="15BB1050" w:rsidR="00696E34" w:rsidRDefault="001C0E93" w:rsidP="00696E34">
      <w:pPr>
        <w:spacing w:line="480" w:lineRule="auto"/>
        <w:jc w:val="both"/>
        <w:rPr>
          <w:lang w:val="es-ES"/>
        </w:rPr>
      </w:pPr>
      <w:r w:rsidRPr="00C14D91">
        <w:rPr>
          <w:lang w:val="es-ES"/>
        </w:rPr>
        <w:t xml:space="preserve">La estructura </w:t>
      </w:r>
      <w:r w:rsidR="00696E34" w:rsidRPr="00C14D91">
        <w:rPr>
          <w:lang w:val="es-ES"/>
        </w:rPr>
        <w:t xml:space="preserve">organizacional </w:t>
      </w:r>
      <w:r w:rsidR="00696E34" w:rsidRPr="002A6089">
        <w:rPr>
          <w:lang w:val="es-ES"/>
        </w:rPr>
        <w:t>de la Dirección General de Minería</w:t>
      </w:r>
      <w:r w:rsidRPr="002A6089">
        <w:rPr>
          <w:lang w:val="es-ES"/>
        </w:rPr>
        <w:t xml:space="preserve">, fue revisada y sometida al </w:t>
      </w:r>
      <w:r w:rsidR="00696E34" w:rsidRPr="002A6089">
        <w:rPr>
          <w:lang w:val="es-ES"/>
        </w:rPr>
        <w:t xml:space="preserve">Ministerio de Administración Pública, </w:t>
      </w:r>
      <w:r w:rsidR="002A6089" w:rsidRPr="002A6089">
        <w:rPr>
          <w:lang w:val="es-ES"/>
        </w:rPr>
        <w:t xml:space="preserve">la misma fue aprobada mediante resolución número 15-2019, refrendada por el Ministro de Administración Publica, Lic. Ventura Camejo, según oficio número 005632 de fecha 24 de junio del 2019, </w:t>
      </w:r>
      <w:r w:rsidR="002A6089" w:rsidRPr="00C14D91">
        <w:rPr>
          <w:lang w:val="es-ES"/>
        </w:rPr>
        <w:t xml:space="preserve">para lo cual obtuvimos en SISMAP una puntuación de un </w:t>
      </w:r>
      <w:r w:rsidR="002A6089" w:rsidRPr="002A6089">
        <w:rPr>
          <w:lang w:val="es-ES"/>
        </w:rPr>
        <w:t>8</w:t>
      </w:r>
      <w:r w:rsidR="002A6089" w:rsidRPr="00C14D91">
        <w:rPr>
          <w:lang w:val="es-ES"/>
        </w:rPr>
        <w:t>0% de cumplimiento</w:t>
      </w:r>
      <w:r w:rsidR="002A6089" w:rsidRPr="002A6089">
        <w:rPr>
          <w:lang w:val="es-ES"/>
        </w:rPr>
        <w:t xml:space="preserve">, en el sub indicador 04.1 sobre “Estructura Organizativa”, una vez nos envíen la resolución aprobatoria del  </w:t>
      </w:r>
      <w:r w:rsidRPr="00C14D91">
        <w:rPr>
          <w:lang w:val="es-ES"/>
        </w:rPr>
        <w:t xml:space="preserve">Manual de Funciones de la institución, </w:t>
      </w:r>
      <w:r w:rsidR="002A6089" w:rsidRPr="002A6089">
        <w:rPr>
          <w:lang w:val="es-ES"/>
        </w:rPr>
        <w:t>entonces este indicador se completara a un 100% de cumplimiento.</w:t>
      </w:r>
    </w:p>
    <w:p w14:paraId="57A40929" w14:textId="5C278DFD" w:rsidR="00814449" w:rsidRPr="00E406B4" w:rsidRDefault="00814449" w:rsidP="000E50D2">
      <w:pPr>
        <w:pStyle w:val="Ttulo2"/>
        <w:numPr>
          <w:ilvl w:val="0"/>
          <w:numId w:val="43"/>
        </w:numPr>
        <w:rPr>
          <w:rFonts w:ascii="Times New Roman" w:hAnsi="Times New Roman" w:cs="Times New Roman"/>
          <w:b/>
          <w:sz w:val="32"/>
          <w:szCs w:val="32"/>
          <w:lang w:val="es-ES"/>
        </w:rPr>
      </w:pPr>
      <w:bookmarkStart w:id="234" w:name="_Toc961969"/>
      <w:bookmarkStart w:id="235" w:name="_Toc29405475"/>
      <w:bookmarkStart w:id="236" w:name="_Toc29405879"/>
      <w:bookmarkStart w:id="237" w:name="_Toc29406150"/>
      <w:bookmarkStart w:id="238" w:name="_Toc881866"/>
      <w:bookmarkStart w:id="239" w:name="_Toc961970"/>
      <w:bookmarkStart w:id="240" w:name="_Toc29405476"/>
      <w:bookmarkStart w:id="241" w:name="_Toc29405880"/>
      <w:bookmarkStart w:id="242" w:name="_Toc29406151"/>
      <w:bookmarkStart w:id="243" w:name="_Toc881867"/>
      <w:bookmarkStart w:id="244" w:name="_Toc961971"/>
      <w:bookmarkStart w:id="245" w:name="_Toc29405477"/>
      <w:bookmarkStart w:id="246" w:name="_Toc29405881"/>
      <w:bookmarkStart w:id="247" w:name="_Toc29406152"/>
      <w:bookmarkStart w:id="248" w:name="_Toc881868"/>
      <w:bookmarkStart w:id="249" w:name="_Toc961972"/>
      <w:bookmarkStart w:id="250" w:name="_Toc29405478"/>
      <w:bookmarkStart w:id="251" w:name="_Toc29405882"/>
      <w:bookmarkStart w:id="252" w:name="_Toc29406153"/>
      <w:bookmarkStart w:id="253" w:name="_Toc881869"/>
      <w:bookmarkStart w:id="254" w:name="_Toc961973"/>
      <w:bookmarkStart w:id="255" w:name="_Toc29405479"/>
      <w:bookmarkStart w:id="256" w:name="_Toc29405883"/>
      <w:bookmarkStart w:id="257" w:name="_Toc29406154"/>
      <w:bookmarkStart w:id="258" w:name="_Toc881870"/>
      <w:bookmarkStart w:id="259" w:name="_Toc961974"/>
      <w:bookmarkStart w:id="260" w:name="_Toc29405480"/>
      <w:bookmarkStart w:id="261" w:name="_Toc29405884"/>
      <w:bookmarkStart w:id="262" w:name="_Toc29406155"/>
      <w:bookmarkStart w:id="263" w:name="_Toc881871"/>
      <w:bookmarkStart w:id="264" w:name="_Toc961975"/>
      <w:bookmarkStart w:id="265" w:name="_Toc29405481"/>
      <w:bookmarkStart w:id="266" w:name="_Toc29405885"/>
      <w:bookmarkStart w:id="267" w:name="_Toc29406156"/>
      <w:bookmarkStart w:id="268" w:name="_Toc881872"/>
      <w:bookmarkStart w:id="269" w:name="_Toc961976"/>
      <w:bookmarkStart w:id="270" w:name="_Toc29405482"/>
      <w:bookmarkStart w:id="271" w:name="_Toc29405886"/>
      <w:bookmarkStart w:id="272" w:name="_Toc29406157"/>
      <w:bookmarkStart w:id="273" w:name="_Toc881873"/>
      <w:bookmarkStart w:id="274" w:name="_Toc961977"/>
      <w:bookmarkStart w:id="275" w:name="_Toc29405483"/>
      <w:bookmarkStart w:id="276" w:name="_Toc29405887"/>
      <w:bookmarkStart w:id="277" w:name="_Toc29406158"/>
      <w:bookmarkStart w:id="278" w:name="_Toc881874"/>
      <w:bookmarkStart w:id="279" w:name="_Toc961978"/>
      <w:bookmarkStart w:id="280" w:name="_Toc29405484"/>
      <w:bookmarkStart w:id="281" w:name="_Toc29405888"/>
      <w:bookmarkStart w:id="282" w:name="_Toc29406159"/>
      <w:bookmarkStart w:id="283" w:name="_Toc881875"/>
      <w:bookmarkStart w:id="284" w:name="_Toc961979"/>
      <w:bookmarkStart w:id="285" w:name="_Toc29405485"/>
      <w:bookmarkStart w:id="286" w:name="_Toc29405889"/>
      <w:bookmarkStart w:id="287" w:name="_Toc29406160"/>
      <w:bookmarkStart w:id="288" w:name="_Toc881876"/>
      <w:bookmarkStart w:id="289" w:name="_Toc961980"/>
      <w:bookmarkStart w:id="290" w:name="_Toc29405486"/>
      <w:bookmarkStart w:id="291" w:name="_Toc29405890"/>
      <w:bookmarkStart w:id="292" w:name="_Toc29406161"/>
      <w:bookmarkStart w:id="293" w:name="_Toc534151877"/>
      <w:bookmarkStart w:id="294" w:name="_Toc534152011"/>
      <w:bookmarkStart w:id="295" w:name="_Toc534152136"/>
      <w:bookmarkStart w:id="296" w:name="_Toc534152208"/>
      <w:bookmarkStart w:id="297" w:name="_Toc534152280"/>
      <w:bookmarkStart w:id="298" w:name="_Toc534152352"/>
      <w:bookmarkStart w:id="299" w:name="_Toc534152424"/>
      <w:bookmarkStart w:id="300" w:name="_Toc534152753"/>
      <w:bookmarkStart w:id="301" w:name="_Toc433978"/>
      <w:bookmarkStart w:id="302" w:name="_Toc881877"/>
      <w:bookmarkStart w:id="303" w:name="_Toc961981"/>
      <w:bookmarkStart w:id="304" w:name="_Toc29405487"/>
      <w:bookmarkStart w:id="305" w:name="_Toc29405891"/>
      <w:bookmarkStart w:id="306" w:name="_Toc29406162"/>
      <w:bookmarkStart w:id="307" w:name="_Toc2940616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E406B4">
        <w:rPr>
          <w:rFonts w:ascii="Times New Roman" w:hAnsi="Times New Roman" w:cs="Times New Roman"/>
          <w:b/>
          <w:sz w:val="32"/>
          <w:szCs w:val="32"/>
          <w:lang w:val="es-ES"/>
        </w:rPr>
        <w:t xml:space="preserve">Indicadores de </w:t>
      </w:r>
      <w:r w:rsidR="00747DE2" w:rsidRPr="00E406B4">
        <w:rPr>
          <w:rFonts w:ascii="Times New Roman" w:hAnsi="Times New Roman" w:cs="Times New Roman"/>
          <w:b/>
          <w:sz w:val="32"/>
          <w:szCs w:val="32"/>
          <w:lang w:val="es-ES"/>
        </w:rPr>
        <w:t>Gestión</w:t>
      </w:r>
      <w:bookmarkEnd w:id="307"/>
    </w:p>
    <w:p w14:paraId="4B003FE9" w14:textId="77777777" w:rsidR="00E059B5" w:rsidRPr="00C14D91" w:rsidRDefault="00E059B5" w:rsidP="00E059B5">
      <w:pPr>
        <w:rPr>
          <w:lang w:val="es-ES"/>
        </w:rPr>
      </w:pPr>
    </w:p>
    <w:p w14:paraId="63A0BB90" w14:textId="486DE042" w:rsidR="00814449" w:rsidRPr="00E406B4" w:rsidRDefault="00814449" w:rsidP="0035778B">
      <w:pPr>
        <w:pStyle w:val="Ttulo2"/>
        <w:numPr>
          <w:ilvl w:val="0"/>
          <w:numId w:val="51"/>
        </w:numPr>
        <w:rPr>
          <w:rFonts w:ascii="Times New Roman" w:hAnsi="Times New Roman" w:cs="Times New Roman"/>
          <w:b/>
          <w:sz w:val="28"/>
          <w:szCs w:val="28"/>
          <w:lang w:val="es-ES"/>
        </w:rPr>
      </w:pPr>
      <w:bookmarkStart w:id="308" w:name="_Toc29406164"/>
      <w:r w:rsidRPr="00E406B4">
        <w:rPr>
          <w:rFonts w:ascii="Times New Roman" w:hAnsi="Times New Roman" w:cs="Times New Roman"/>
          <w:b/>
          <w:sz w:val="28"/>
          <w:szCs w:val="28"/>
          <w:lang w:val="es-ES"/>
        </w:rPr>
        <w:t xml:space="preserve">Perspectiva </w:t>
      </w:r>
      <w:r w:rsidR="00906F9E" w:rsidRPr="00E406B4">
        <w:rPr>
          <w:rFonts w:ascii="Times New Roman" w:hAnsi="Times New Roman" w:cs="Times New Roman"/>
          <w:b/>
          <w:sz w:val="28"/>
          <w:szCs w:val="28"/>
          <w:lang w:val="es-ES"/>
        </w:rPr>
        <w:t>Estratégica</w:t>
      </w:r>
      <w:bookmarkEnd w:id="308"/>
    </w:p>
    <w:p w14:paraId="28486F10" w14:textId="77777777" w:rsidR="00E059B5" w:rsidRDefault="00E059B5" w:rsidP="005B16A3">
      <w:pPr>
        <w:rPr>
          <w:lang w:val="es-ES"/>
        </w:rPr>
      </w:pPr>
    </w:p>
    <w:p w14:paraId="0F609E5A" w14:textId="77777777" w:rsidR="002F5B95" w:rsidRDefault="002F5B95" w:rsidP="005B16A3">
      <w:pPr>
        <w:rPr>
          <w:lang w:val="es-ES"/>
        </w:rPr>
      </w:pPr>
    </w:p>
    <w:p w14:paraId="7DD973ED" w14:textId="59E11DB4" w:rsidR="00814449" w:rsidRPr="00C14D91" w:rsidRDefault="00F24538" w:rsidP="00F24538">
      <w:pPr>
        <w:pStyle w:val="Ttulo3"/>
        <w:ind w:left="360"/>
        <w:rPr>
          <w:lang w:val="es-ES"/>
        </w:rPr>
      </w:pPr>
      <w:bookmarkStart w:id="309" w:name="_Toc29406165"/>
      <w:r w:rsidRPr="00C14D91">
        <w:rPr>
          <w:lang w:val="es-ES"/>
        </w:rPr>
        <w:t xml:space="preserve">i. </w:t>
      </w:r>
      <w:r w:rsidR="00814449" w:rsidRPr="00E406B4">
        <w:rPr>
          <w:rFonts w:ascii="Times New Roman" w:hAnsi="Times New Roman" w:cs="Times New Roman"/>
          <w:sz w:val="28"/>
          <w:szCs w:val="28"/>
          <w:lang w:val="es-ES"/>
        </w:rPr>
        <w:t>Metas Presidenciales</w:t>
      </w:r>
      <w:bookmarkEnd w:id="309"/>
    </w:p>
    <w:p w14:paraId="1A41575E" w14:textId="77777777" w:rsidR="00E059B5" w:rsidRPr="00C14D91" w:rsidRDefault="00E059B5" w:rsidP="00E059B5">
      <w:pPr>
        <w:rPr>
          <w:lang w:val="es-ES"/>
        </w:rPr>
      </w:pPr>
    </w:p>
    <w:p w14:paraId="1BBD4CC1" w14:textId="1CAA30F6" w:rsidR="003549E8" w:rsidRPr="00C14D91" w:rsidRDefault="003549E8" w:rsidP="009C579C">
      <w:pPr>
        <w:spacing w:line="480" w:lineRule="auto"/>
        <w:jc w:val="both"/>
        <w:rPr>
          <w:lang w:val="es-ES"/>
        </w:rPr>
      </w:pPr>
      <w:r w:rsidRPr="00C14D91">
        <w:rPr>
          <w:lang w:val="es-ES"/>
        </w:rPr>
        <w:t xml:space="preserve">La Dirección </w:t>
      </w:r>
      <w:r w:rsidR="00FE34DB" w:rsidRPr="002F5B95">
        <w:rPr>
          <w:lang w:val="es-ES"/>
        </w:rPr>
        <w:t>G</w:t>
      </w:r>
      <w:r w:rsidRPr="002F5B95">
        <w:rPr>
          <w:lang w:val="es-ES"/>
        </w:rPr>
        <w:t xml:space="preserve">eneral de </w:t>
      </w:r>
      <w:r w:rsidR="00FE34DB" w:rsidRPr="002F5B95">
        <w:rPr>
          <w:lang w:val="es-ES"/>
        </w:rPr>
        <w:t>M</w:t>
      </w:r>
      <w:r w:rsidRPr="002F5B95">
        <w:rPr>
          <w:lang w:val="es-ES"/>
        </w:rPr>
        <w:t>inería está incorporada al Sistema de Información y Gestión para la Gobernabilidad. Democrática (SIGOB), en cuyo sistema se maneja el seguimiento, cumplimiento y control a las metas institucionales establecidas, las cuales durante el ejercicio fiscal 201</w:t>
      </w:r>
      <w:r w:rsidR="00B76FAC" w:rsidRPr="002F5B95">
        <w:rPr>
          <w:lang w:val="es-ES"/>
        </w:rPr>
        <w:t>9</w:t>
      </w:r>
      <w:r w:rsidRPr="00C14D91">
        <w:rPr>
          <w:lang w:val="es-ES"/>
        </w:rPr>
        <w:t xml:space="preserve">, reflejan el </w:t>
      </w:r>
      <w:r w:rsidRPr="00C14D91">
        <w:rPr>
          <w:lang w:val="es-ES"/>
        </w:rPr>
        <w:lastRenderedPageBreak/>
        <w:t>sigu</w:t>
      </w:r>
      <w:r w:rsidRPr="00770825">
        <w:rPr>
          <w:lang w:val="es-ES"/>
        </w:rPr>
        <w:t>iente resultado.</w:t>
      </w:r>
      <w:r w:rsidR="009F6F6D" w:rsidRPr="00770825">
        <w:rPr>
          <w:lang w:val="es-ES"/>
        </w:rPr>
        <w:t xml:space="preserve"> </w:t>
      </w:r>
      <w:r w:rsidRPr="00770825">
        <w:rPr>
          <w:lang w:val="es-ES"/>
        </w:rPr>
        <w:t>La Dirección de Catastro Minero, cuenta con las siguientes metas y resultados para el 201</w:t>
      </w:r>
      <w:r w:rsidR="002F5B95" w:rsidRPr="00770825">
        <w:rPr>
          <w:lang w:val="es-ES"/>
        </w:rPr>
        <w:t>9</w:t>
      </w:r>
      <w:r w:rsidRPr="00C14D91">
        <w:rPr>
          <w:lang w:val="es-ES"/>
        </w:rPr>
        <w:t>.</w:t>
      </w:r>
      <w:r w:rsidR="009F6F6D" w:rsidRPr="00C14D91">
        <w:rPr>
          <w:lang w:val="es-ES"/>
        </w:rPr>
        <w:t xml:space="preserve"> </w:t>
      </w:r>
      <w:r w:rsidRPr="00770825">
        <w:rPr>
          <w:lang w:val="es-ES"/>
        </w:rPr>
        <w:t xml:space="preserve">Con relación a la meta establecida sobre </w:t>
      </w:r>
      <w:r w:rsidRPr="00E406B4">
        <w:rPr>
          <w:b/>
          <w:lang w:val="es-ES"/>
        </w:rPr>
        <w:t>“Evaluación y Recomendación de las Solicitudes de Concesiones Mineras de Explo</w:t>
      </w:r>
      <w:r w:rsidR="00C269CC" w:rsidRPr="00C14D91">
        <w:rPr>
          <w:b/>
          <w:lang w:val="es-ES"/>
        </w:rPr>
        <w:t>r</w:t>
      </w:r>
      <w:r w:rsidRPr="00E406B4">
        <w:rPr>
          <w:b/>
          <w:lang w:val="es-ES"/>
        </w:rPr>
        <w:t>ación”</w:t>
      </w:r>
      <w:r w:rsidRPr="00C14D91">
        <w:rPr>
          <w:lang w:val="es-ES"/>
        </w:rPr>
        <w:t xml:space="preserve">, se programó evaluar y recomendar unas </w:t>
      </w:r>
      <w:r w:rsidR="00D90946" w:rsidRPr="00770825">
        <w:rPr>
          <w:lang w:val="es-ES"/>
        </w:rPr>
        <w:t xml:space="preserve">treinta </w:t>
      </w:r>
      <w:r w:rsidRPr="00770825">
        <w:rPr>
          <w:lang w:val="es-ES"/>
        </w:rPr>
        <w:t>(</w:t>
      </w:r>
      <w:r w:rsidR="00D90946" w:rsidRPr="00770825">
        <w:rPr>
          <w:lang w:val="es-ES"/>
        </w:rPr>
        <w:t>3</w:t>
      </w:r>
      <w:r w:rsidR="002F5B95" w:rsidRPr="00770825">
        <w:rPr>
          <w:lang w:val="es-ES"/>
        </w:rPr>
        <w:t>0</w:t>
      </w:r>
      <w:r w:rsidRPr="00C14D91">
        <w:rPr>
          <w:lang w:val="es-ES"/>
        </w:rPr>
        <w:t xml:space="preserve">) solicitudes de concesiones de exploración recomendadas para la firma del Ministro de Energía y Minas presentadas por los concesionarios, de las cuales se alcanzó un cumplimiento de </w:t>
      </w:r>
      <w:r w:rsidR="002F5B95" w:rsidRPr="00770825">
        <w:rPr>
          <w:lang w:val="es-ES"/>
        </w:rPr>
        <w:t xml:space="preserve">vente </w:t>
      </w:r>
      <w:r w:rsidR="00291D66" w:rsidRPr="00E406B4">
        <w:rPr>
          <w:lang w:val="es-ES"/>
        </w:rPr>
        <w:t xml:space="preserve">y </w:t>
      </w:r>
      <w:r w:rsidR="00770825" w:rsidRPr="00770825">
        <w:rPr>
          <w:lang w:val="es-ES"/>
        </w:rPr>
        <w:t>ocho</w:t>
      </w:r>
      <w:r w:rsidR="00291D66" w:rsidRPr="00E406B4">
        <w:rPr>
          <w:lang w:val="es-ES"/>
        </w:rPr>
        <w:t xml:space="preserve"> </w:t>
      </w:r>
      <w:r w:rsidR="00F73E63" w:rsidRPr="00E406B4">
        <w:rPr>
          <w:lang w:val="es-ES"/>
        </w:rPr>
        <w:t xml:space="preserve"> </w:t>
      </w:r>
      <w:r w:rsidR="00B14ABF" w:rsidRPr="00C14D91">
        <w:rPr>
          <w:lang w:val="es-ES"/>
        </w:rPr>
        <w:t>(</w:t>
      </w:r>
      <w:r w:rsidR="002F5B95" w:rsidRPr="00770825">
        <w:rPr>
          <w:lang w:val="es-ES"/>
        </w:rPr>
        <w:t>2</w:t>
      </w:r>
      <w:r w:rsidR="00770825" w:rsidRPr="00770825">
        <w:rPr>
          <w:lang w:val="es-ES"/>
        </w:rPr>
        <w:t>8</w:t>
      </w:r>
      <w:r w:rsidR="00B14ABF" w:rsidRPr="00C14D91">
        <w:rPr>
          <w:lang w:val="es-ES"/>
        </w:rPr>
        <w:t>)</w:t>
      </w:r>
      <w:r w:rsidRPr="00770825">
        <w:rPr>
          <w:lang w:val="es-ES"/>
        </w:rPr>
        <w:t xml:space="preserve">, representando un </w:t>
      </w:r>
      <w:r w:rsidR="00770825" w:rsidRPr="00770825">
        <w:rPr>
          <w:lang w:val="es-ES"/>
        </w:rPr>
        <w:t>93.33</w:t>
      </w:r>
      <w:r w:rsidRPr="00C14D91">
        <w:rPr>
          <w:lang w:val="es-ES"/>
        </w:rPr>
        <w:t>% de cumplimiento.</w:t>
      </w:r>
    </w:p>
    <w:p w14:paraId="483635F8" w14:textId="77777777" w:rsidR="005E578D" w:rsidRPr="00E406B4" w:rsidRDefault="005E578D" w:rsidP="00E406B4">
      <w:pPr>
        <w:jc w:val="both"/>
        <w:rPr>
          <w:highlight w:val="yellow"/>
          <w:lang w:val="es-ES"/>
        </w:rPr>
      </w:pPr>
    </w:p>
    <w:p w14:paraId="62C14B3A" w14:textId="5C74E1DA" w:rsidR="003549E8" w:rsidRPr="00C14D91" w:rsidRDefault="003549E8" w:rsidP="005E578D">
      <w:pPr>
        <w:spacing w:line="360" w:lineRule="auto"/>
        <w:jc w:val="both"/>
        <w:rPr>
          <w:lang w:val="es-ES"/>
        </w:rPr>
      </w:pPr>
      <w:r w:rsidRPr="00C14D91">
        <w:rPr>
          <w:lang w:val="es-ES"/>
        </w:rPr>
        <w:t xml:space="preserve">Con relación a la meta establecida sobre </w:t>
      </w:r>
      <w:r w:rsidRPr="00E406B4">
        <w:rPr>
          <w:b/>
          <w:lang w:val="es-ES"/>
        </w:rPr>
        <w:t>“ Evaluación y Recomendación de las Solicitudes de Concesiones Mineras de Explotación”</w:t>
      </w:r>
      <w:r w:rsidRPr="00C14D91">
        <w:rPr>
          <w:lang w:val="es-ES"/>
        </w:rPr>
        <w:t xml:space="preserve">, se programó evaluar y recomendar unas </w:t>
      </w:r>
      <w:r w:rsidR="00D90946" w:rsidRPr="00C14D91">
        <w:rPr>
          <w:lang w:val="es-ES"/>
        </w:rPr>
        <w:t>c</w:t>
      </w:r>
      <w:r w:rsidR="00E20512" w:rsidRPr="00770825">
        <w:rPr>
          <w:lang w:val="es-ES"/>
        </w:rPr>
        <w:t xml:space="preserve">inco </w:t>
      </w:r>
      <w:r w:rsidRPr="00770825">
        <w:rPr>
          <w:lang w:val="es-ES"/>
        </w:rPr>
        <w:t>(</w:t>
      </w:r>
      <w:r w:rsidR="00E20512" w:rsidRPr="00770825">
        <w:rPr>
          <w:lang w:val="es-ES"/>
        </w:rPr>
        <w:t>5</w:t>
      </w:r>
      <w:r w:rsidRPr="00770825">
        <w:rPr>
          <w:lang w:val="es-ES"/>
        </w:rPr>
        <w:t xml:space="preserve">) solicitudes de concesiones de explotación recomendadas para la firma del Ministro de Energía y Minas presentadas por los concesionarios, de las cuales se alcanzó un cumplimiento de </w:t>
      </w:r>
      <w:r w:rsidR="002F5B95" w:rsidRPr="00770825">
        <w:rPr>
          <w:lang w:val="es-ES"/>
        </w:rPr>
        <w:t>cuatro</w:t>
      </w:r>
      <w:r w:rsidR="00E20512" w:rsidRPr="00C14D91">
        <w:rPr>
          <w:lang w:val="es-ES"/>
        </w:rPr>
        <w:t xml:space="preserve"> </w:t>
      </w:r>
      <w:r w:rsidR="00B14ABF" w:rsidRPr="00C14D91">
        <w:rPr>
          <w:lang w:val="es-ES"/>
        </w:rPr>
        <w:t>(</w:t>
      </w:r>
      <w:r w:rsidR="002F5B95" w:rsidRPr="00770825">
        <w:rPr>
          <w:lang w:val="es-ES"/>
        </w:rPr>
        <w:t>4</w:t>
      </w:r>
      <w:r w:rsidR="00B14ABF" w:rsidRPr="00C14D91">
        <w:rPr>
          <w:lang w:val="es-ES"/>
        </w:rPr>
        <w:t>)</w:t>
      </w:r>
      <w:r w:rsidRPr="00770825">
        <w:rPr>
          <w:lang w:val="es-ES"/>
        </w:rPr>
        <w:t xml:space="preserve">, representando un </w:t>
      </w:r>
      <w:r w:rsidR="002F5B95" w:rsidRPr="00770825">
        <w:rPr>
          <w:lang w:val="es-ES"/>
        </w:rPr>
        <w:t>8</w:t>
      </w:r>
      <w:r w:rsidR="00E20512" w:rsidRPr="00C14D91">
        <w:rPr>
          <w:lang w:val="es-ES"/>
        </w:rPr>
        <w:t>0</w:t>
      </w:r>
      <w:r w:rsidRPr="00C14D91">
        <w:rPr>
          <w:lang w:val="es-ES"/>
        </w:rPr>
        <w:t>% de cumplimiento.</w:t>
      </w:r>
    </w:p>
    <w:p w14:paraId="7DBEA74A" w14:textId="77777777" w:rsidR="009F6F6D" w:rsidRPr="00E406B4" w:rsidRDefault="009F6F6D" w:rsidP="005B16A3">
      <w:pPr>
        <w:spacing w:line="360" w:lineRule="auto"/>
        <w:jc w:val="both"/>
        <w:rPr>
          <w:highlight w:val="yellow"/>
          <w:lang w:val="es-ES"/>
        </w:rPr>
      </w:pPr>
    </w:p>
    <w:p w14:paraId="2D0069D1" w14:textId="26CF4066" w:rsidR="003549E8" w:rsidRPr="00C14D91" w:rsidRDefault="003549E8" w:rsidP="009C579C">
      <w:pPr>
        <w:spacing w:line="480" w:lineRule="auto"/>
        <w:jc w:val="both"/>
        <w:rPr>
          <w:lang w:val="es-ES"/>
        </w:rPr>
      </w:pPr>
      <w:r w:rsidRPr="002F5B95">
        <w:rPr>
          <w:lang w:val="es-ES"/>
        </w:rPr>
        <w:t xml:space="preserve">Con relación a la meta establecida sobre </w:t>
      </w:r>
      <w:r w:rsidRPr="002F5B95">
        <w:rPr>
          <w:b/>
          <w:lang w:val="es-ES"/>
        </w:rPr>
        <w:t>“Elaboración expedientes solicitudes de formalización explotación en minería artesanal ámbar/larimar”,</w:t>
      </w:r>
      <w:r w:rsidRPr="002F5B95">
        <w:rPr>
          <w:lang w:val="es-ES"/>
        </w:rPr>
        <w:t xml:space="preserve"> se programó evaluar y recomendar unas </w:t>
      </w:r>
      <w:r w:rsidR="00D90946" w:rsidRPr="002F5B95">
        <w:rPr>
          <w:lang w:val="es-ES"/>
        </w:rPr>
        <w:t xml:space="preserve">vente y cuatro </w:t>
      </w:r>
      <w:r w:rsidRPr="002F5B95">
        <w:rPr>
          <w:lang w:val="es-ES"/>
        </w:rPr>
        <w:t>(</w:t>
      </w:r>
      <w:r w:rsidR="00D90946" w:rsidRPr="002F5B95">
        <w:rPr>
          <w:lang w:val="es-ES"/>
        </w:rPr>
        <w:t>24</w:t>
      </w:r>
      <w:r w:rsidRPr="002F5B95">
        <w:rPr>
          <w:lang w:val="es-ES"/>
        </w:rPr>
        <w:t xml:space="preserve">) solicitudes de formalización de </w:t>
      </w:r>
      <w:r w:rsidR="00B73038" w:rsidRPr="002F5B95">
        <w:rPr>
          <w:lang w:val="es-ES"/>
        </w:rPr>
        <w:t>minería</w:t>
      </w:r>
      <w:r w:rsidRPr="002F5B95">
        <w:rPr>
          <w:lang w:val="es-ES"/>
        </w:rPr>
        <w:t xml:space="preserve"> artesanal de </w:t>
      </w:r>
      <w:r w:rsidR="00E6698C" w:rsidRPr="002F5B95">
        <w:rPr>
          <w:lang w:val="es-ES"/>
        </w:rPr>
        <w:t>ámbar</w:t>
      </w:r>
      <w:r w:rsidRPr="002F5B95">
        <w:rPr>
          <w:lang w:val="es-ES"/>
        </w:rPr>
        <w:t xml:space="preserve">/larimar, recomendadas para la firma del Ministro de Energía y Minas presentadas por los concesionarios, de las cuales se alcanzó un cumplimiento de </w:t>
      </w:r>
      <w:r w:rsidR="00D90946" w:rsidRPr="002F5B95">
        <w:rPr>
          <w:lang w:val="es-ES"/>
        </w:rPr>
        <w:t>c</w:t>
      </w:r>
      <w:r w:rsidR="002F5B95" w:rsidRPr="002F5B95">
        <w:rPr>
          <w:lang w:val="es-ES"/>
        </w:rPr>
        <w:t xml:space="preserve">ero </w:t>
      </w:r>
      <w:r w:rsidR="002F5B95" w:rsidRPr="00C14D91">
        <w:rPr>
          <w:lang w:val="es-ES"/>
        </w:rPr>
        <w:t>(</w:t>
      </w:r>
      <w:r w:rsidR="002F5B95" w:rsidRPr="002F5B95">
        <w:rPr>
          <w:lang w:val="es-ES"/>
        </w:rPr>
        <w:t>0</w:t>
      </w:r>
      <w:r w:rsidR="002F5B95" w:rsidRPr="00C14D91">
        <w:rPr>
          <w:lang w:val="es-ES"/>
        </w:rPr>
        <w:t>),</w:t>
      </w:r>
      <w:r w:rsidR="002F5B95" w:rsidRPr="002F5B95">
        <w:rPr>
          <w:lang w:val="es-ES"/>
        </w:rPr>
        <w:t xml:space="preserve"> por la razón de la espera del decreto que otorga los pasos para la formalización y extracción, </w:t>
      </w:r>
      <w:r w:rsidR="00D90946" w:rsidRPr="00C14D91">
        <w:rPr>
          <w:lang w:val="es-ES"/>
        </w:rPr>
        <w:t xml:space="preserve"> </w:t>
      </w:r>
      <w:r w:rsidRPr="00C14D91">
        <w:rPr>
          <w:lang w:val="es-ES"/>
        </w:rPr>
        <w:t xml:space="preserve">representando un </w:t>
      </w:r>
      <w:r w:rsidR="002F5B95" w:rsidRPr="002F5B95">
        <w:rPr>
          <w:lang w:val="es-ES"/>
        </w:rPr>
        <w:t>0</w:t>
      </w:r>
      <w:r w:rsidR="00D90946" w:rsidRPr="00C14D91">
        <w:rPr>
          <w:lang w:val="es-ES"/>
        </w:rPr>
        <w:t xml:space="preserve">% </w:t>
      </w:r>
      <w:r w:rsidRPr="00C14D91">
        <w:rPr>
          <w:lang w:val="es-ES"/>
        </w:rPr>
        <w:t>de cumplimiento.</w:t>
      </w:r>
    </w:p>
    <w:p w14:paraId="03E83E69" w14:textId="77777777" w:rsidR="001D6FFB" w:rsidRPr="00E406B4" w:rsidRDefault="001D6FFB" w:rsidP="00E406B4">
      <w:pPr>
        <w:jc w:val="both"/>
        <w:rPr>
          <w:highlight w:val="yellow"/>
          <w:lang w:val="es-ES"/>
        </w:rPr>
      </w:pPr>
    </w:p>
    <w:p w14:paraId="11E629F6" w14:textId="77777777" w:rsidR="008F1705" w:rsidRDefault="008F1705" w:rsidP="009C579C">
      <w:pPr>
        <w:spacing w:line="480" w:lineRule="auto"/>
        <w:jc w:val="both"/>
        <w:rPr>
          <w:lang w:val="es-ES"/>
        </w:rPr>
      </w:pPr>
    </w:p>
    <w:p w14:paraId="7FAF008E" w14:textId="77E6540E" w:rsidR="003549E8" w:rsidRPr="00C14D91" w:rsidRDefault="003549E8" w:rsidP="009C579C">
      <w:pPr>
        <w:spacing w:line="480" w:lineRule="auto"/>
        <w:jc w:val="both"/>
        <w:rPr>
          <w:lang w:val="es-ES"/>
        </w:rPr>
      </w:pPr>
      <w:r w:rsidRPr="00C14D91">
        <w:rPr>
          <w:lang w:val="es-ES"/>
        </w:rPr>
        <w:lastRenderedPageBreak/>
        <w:t xml:space="preserve">La Dirección de Pequeña Minería, </w:t>
      </w:r>
      <w:r w:rsidR="00C36F9D" w:rsidRPr="00C14D91">
        <w:rPr>
          <w:lang w:val="es-ES"/>
        </w:rPr>
        <w:t xml:space="preserve">se ha trazado la meta de </w:t>
      </w:r>
      <w:r w:rsidR="00C36F9D" w:rsidRPr="00E406B4">
        <w:rPr>
          <w:b/>
          <w:lang w:val="es-ES"/>
        </w:rPr>
        <w:t>“Fomentar minería artesanal de ámbar, larimar, oro y piedras ornamentales</w:t>
      </w:r>
      <w:r w:rsidR="000A70F6" w:rsidRPr="00C14D91">
        <w:rPr>
          <w:lang w:val="es-ES"/>
        </w:rPr>
        <w:t>”</w:t>
      </w:r>
      <w:r w:rsidR="008F1705">
        <w:rPr>
          <w:lang w:val="es-ES"/>
        </w:rPr>
        <w:t xml:space="preserve"> para aumentar empleo rural)</w:t>
      </w:r>
      <w:r w:rsidR="00C36F9D" w:rsidRPr="00C14D91">
        <w:rPr>
          <w:lang w:val="es-ES"/>
        </w:rPr>
        <w:t xml:space="preserve"> y tales fines cuenta con</w:t>
      </w:r>
      <w:r w:rsidRPr="00C14D91">
        <w:rPr>
          <w:lang w:val="es-ES"/>
        </w:rPr>
        <w:t xml:space="preserve"> las siguientes metas y resultados para el </w:t>
      </w:r>
      <w:r w:rsidR="00D90946" w:rsidRPr="006E516C">
        <w:rPr>
          <w:lang w:val="es-ES"/>
        </w:rPr>
        <w:t>201</w:t>
      </w:r>
      <w:r w:rsidR="006E516C" w:rsidRPr="006E516C">
        <w:rPr>
          <w:lang w:val="es-ES"/>
        </w:rPr>
        <w:t>9</w:t>
      </w:r>
      <w:r w:rsidRPr="00C14D91">
        <w:rPr>
          <w:lang w:val="es-ES"/>
        </w:rPr>
        <w:t>.</w:t>
      </w:r>
    </w:p>
    <w:p w14:paraId="77B5538D" w14:textId="77777777" w:rsidR="001D6FFB" w:rsidRPr="00E406B4" w:rsidRDefault="001D6FFB" w:rsidP="00E406B4">
      <w:pPr>
        <w:jc w:val="both"/>
        <w:rPr>
          <w:highlight w:val="yellow"/>
          <w:lang w:val="es-ES"/>
        </w:rPr>
      </w:pPr>
    </w:p>
    <w:p w14:paraId="02532DC1" w14:textId="7E265257" w:rsidR="003549E8" w:rsidRPr="00C14D91" w:rsidRDefault="00116BF2" w:rsidP="009C579C">
      <w:pPr>
        <w:spacing w:line="480" w:lineRule="auto"/>
        <w:jc w:val="both"/>
        <w:rPr>
          <w:lang w:val="es-ES"/>
        </w:rPr>
      </w:pPr>
      <w:r w:rsidRPr="00C14D91">
        <w:rPr>
          <w:lang w:val="es-ES"/>
        </w:rPr>
        <w:t>L</w:t>
      </w:r>
      <w:r w:rsidR="003549E8" w:rsidRPr="00C14D91">
        <w:rPr>
          <w:lang w:val="es-ES"/>
        </w:rPr>
        <w:t xml:space="preserve">a meta </w:t>
      </w:r>
      <w:r w:rsidRPr="006E516C">
        <w:rPr>
          <w:lang w:val="es-ES"/>
        </w:rPr>
        <w:t xml:space="preserve">intermedia, </w:t>
      </w:r>
      <w:r w:rsidR="003549E8" w:rsidRPr="006E516C">
        <w:rPr>
          <w:lang w:val="es-ES"/>
        </w:rPr>
        <w:t xml:space="preserve">establecida sobre </w:t>
      </w:r>
      <w:r w:rsidR="003549E8" w:rsidRPr="00E406B4">
        <w:rPr>
          <w:b/>
          <w:lang w:val="es-ES"/>
        </w:rPr>
        <w:t>“Supervisados pozos de extracción de oro aluvial, ámbar, Larimar y rocas ornamentales”</w:t>
      </w:r>
      <w:r w:rsidR="003549E8" w:rsidRPr="00C14D91">
        <w:rPr>
          <w:lang w:val="es-ES"/>
        </w:rPr>
        <w:t xml:space="preserve">, se programó supervisar unos </w:t>
      </w:r>
      <w:r w:rsidR="00D74161" w:rsidRPr="00C14D91">
        <w:rPr>
          <w:lang w:val="es-ES"/>
        </w:rPr>
        <w:t xml:space="preserve">cien </w:t>
      </w:r>
      <w:r w:rsidR="003549E8" w:rsidRPr="006E516C">
        <w:rPr>
          <w:lang w:val="es-ES"/>
        </w:rPr>
        <w:t xml:space="preserve">(100) pozos, de los existentes y creados nuevos, de los cuales se alcanzó un cumplimiento de </w:t>
      </w:r>
      <w:r w:rsidR="00D74161" w:rsidRPr="006E516C">
        <w:rPr>
          <w:lang w:val="es-ES"/>
        </w:rPr>
        <w:t xml:space="preserve">ciento </w:t>
      </w:r>
      <w:r w:rsidR="006E516C" w:rsidRPr="006E516C">
        <w:rPr>
          <w:lang w:val="es-ES"/>
        </w:rPr>
        <w:t>cuarenta</w:t>
      </w:r>
      <w:r w:rsidR="00D74161" w:rsidRPr="00C14D91">
        <w:rPr>
          <w:lang w:val="es-ES"/>
        </w:rPr>
        <w:t xml:space="preserve"> </w:t>
      </w:r>
      <w:r w:rsidR="00363CB2" w:rsidRPr="00C14D91">
        <w:rPr>
          <w:lang w:val="es-ES"/>
        </w:rPr>
        <w:t>(</w:t>
      </w:r>
      <w:r w:rsidR="00D74161" w:rsidRPr="006E516C">
        <w:rPr>
          <w:lang w:val="es-ES"/>
        </w:rPr>
        <w:t>1</w:t>
      </w:r>
      <w:r w:rsidR="006E516C" w:rsidRPr="006E516C">
        <w:rPr>
          <w:lang w:val="es-ES"/>
        </w:rPr>
        <w:t>40</w:t>
      </w:r>
      <w:r w:rsidR="00363CB2" w:rsidRPr="00C14D91">
        <w:rPr>
          <w:lang w:val="es-ES"/>
        </w:rPr>
        <w:t>)</w:t>
      </w:r>
      <w:r w:rsidR="003549E8" w:rsidRPr="00C14D91">
        <w:rPr>
          <w:lang w:val="es-ES"/>
        </w:rPr>
        <w:t xml:space="preserve">, representando un </w:t>
      </w:r>
      <w:r w:rsidR="00D74161" w:rsidRPr="006E516C">
        <w:rPr>
          <w:lang w:val="es-ES"/>
        </w:rPr>
        <w:t>1</w:t>
      </w:r>
      <w:r w:rsidR="006E516C" w:rsidRPr="006E516C">
        <w:rPr>
          <w:lang w:val="es-ES"/>
        </w:rPr>
        <w:t>4</w:t>
      </w:r>
      <w:r w:rsidR="00D74161" w:rsidRPr="00C14D91">
        <w:rPr>
          <w:lang w:val="es-ES"/>
        </w:rPr>
        <w:t>0</w:t>
      </w:r>
      <w:r w:rsidR="003549E8" w:rsidRPr="00C14D91">
        <w:rPr>
          <w:lang w:val="es-ES"/>
        </w:rPr>
        <w:t>% de cumplimiento.</w:t>
      </w:r>
    </w:p>
    <w:p w14:paraId="4C0EFD62" w14:textId="77777777" w:rsidR="001D6FFB" w:rsidRPr="00E406B4" w:rsidRDefault="001D6FFB" w:rsidP="00E406B4">
      <w:pPr>
        <w:jc w:val="both"/>
        <w:rPr>
          <w:highlight w:val="yellow"/>
          <w:lang w:val="es-ES"/>
        </w:rPr>
      </w:pPr>
    </w:p>
    <w:p w14:paraId="761B8240" w14:textId="0A3C45EE" w:rsidR="003549E8" w:rsidRPr="00C14D91" w:rsidRDefault="003549E8" w:rsidP="009C579C">
      <w:pPr>
        <w:spacing w:line="480" w:lineRule="auto"/>
        <w:jc w:val="both"/>
        <w:rPr>
          <w:lang w:val="es-ES"/>
        </w:rPr>
      </w:pPr>
      <w:r w:rsidRPr="00C14D91">
        <w:rPr>
          <w:lang w:val="es-ES"/>
        </w:rPr>
        <w:t xml:space="preserve">Con relación a la meta establecida sobre </w:t>
      </w:r>
      <w:r w:rsidRPr="00E406B4">
        <w:rPr>
          <w:b/>
          <w:lang w:val="es-ES"/>
        </w:rPr>
        <w:t xml:space="preserve">“Registrados los Mineros Artesanales de </w:t>
      </w:r>
      <w:r w:rsidR="009972E6" w:rsidRPr="00C14D91">
        <w:rPr>
          <w:b/>
          <w:lang w:val="es-ES"/>
        </w:rPr>
        <w:t>Ámbar</w:t>
      </w:r>
      <w:r w:rsidRPr="00E406B4">
        <w:rPr>
          <w:b/>
          <w:lang w:val="es-ES"/>
        </w:rPr>
        <w:t xml:space="preserve">, Larimar, Oro </w:t>
      </w:r>
      <w:r w:rsidR="009972E6" w:rsidRPr="00C14D91">
        <w:rPr>
          <w:b/>
          <w:lang w:val="es-ES"/>
        </w:rPr>
        <w:t>Aluvial</w:t>
      </w:r>
      <w:r w:rsidRPr="00E406B4">
        <w:rPr>
          <w:b/>
          <w:lang w:val="es-ES"/>
        </w:rPr>
        <w:t xml:space="preserve"> y Rocas Ornamentales”</w:t>
      </w:r>
      <w:r w:rsidRPr="00C14D91">
        <w:rPr>
          <w:lang w:val="es-ES"/>
        </w:rPr>
        <w:t xml:space="preserve">, se programó registrar unos </w:t>
      </w:r>
      <w:r w:rsidR="00523CB3" w:rsidRPr="00523CB3">
        <w:rPr>
          <w:lang w:val="es-ES"/>
        </w:rPr>
        <w:t>treci</w:t>
      </w:r>
      <w:r w:rsidR="006B5284" w:rsidRPr="00C14D91">
        <w:rPr>
          <w:lang w:val="es-ES"/>
        </w:rPr>
        <w:t xml:space="preserve">entos </w:t>
      </w:r>
      <w:r w:rsidRPr="00C14D91">
        <w:rPr>
          <w:lang w:val="es-ES"/>
        </w:rPr>
        <w:t>(</w:t>
      </w:r>
      <w:r w:rsidR="00523CB3" w:rsidRPr="00523CB3">
        <w:rPr>
          <w:lang w:val="es-ES"/>
        </w:rPr>
        <w:t>3</w:t>
      </w:r>
      <w:r w:rsidR="006B5284" w:rsidRPr="00C14D91">
        <w:rPr>
          <w:lang w:val="es-ES"/>
        </w:rPr>
        <w:t>0</w:t>
      </w:r>
      <w:r w:rsidR="00205748" w:rsidRPr="00C14D91">
        <w:rPr>
          <w:lang w:val="es-ES"/>
        </w:rPr>
        <w:t>0</w:t>
      </w:r>
      <w:r w:rsidRPr="00523CB3">
        <w:rPr>
          <w:lang w:val="es-ES"/>
        </w:rPr>
        <w:t xml:space="preserve">) </w:t>
      </w:r>
      <w:r w:rsidR="000B5420" w:rsidRPr="00523CB3">
        <w:rPr>
          <w:lang w:val="es-ES"/>
        </w:rPr>
        <w:t>mineros</w:t>
      </w:r>
      <w:r w:rsidRPr="00523CB3">
        <w:rPr>
          <w:lang w:val="es-ES"/>
        </w:rPr>
        <w:t xml:space="preserve">, de los existentes, de los cuales se alcanzó un cumplimiento de </w:t>
      </w:r>
      <w:r w:rsidR="00523CB3" w:rsidRPr="00523CB3">
        <w:rPr>
          <w:lang w:val="es-ES"/>
        </w:rPr>
        <w:t>trecientos treinta</w:t>
      </w:r>
      <w:r w:rsidR="006B5284" w:rsidRPr="00C14D91">
        <w:rPr>
          <w:lang w:val="es-ES"/>
        </w:rPr>
        <w:t xml:space="preserve"> </w:t>
      </w:r>
      <w:r w:rsidR="00363CB2" w:rsidRPr="00C14D91">
        <w:rPr>
          <w:lang w:val="es-ES"/>
        </w:rPr>
        <w:t>(</w:t>
      </w:r>
      <w:r w:rsidR="00523CB3" w:rsidRPr="00523CB3">
        <w:rPr>
          <w:lang w:val="es-ES"/>
        </w:rPr>
        <w:t>330</w:t>
      </w:r>
      <w:r w:rsidR="00363CB2" w:rsidRPr="00C14D91">
        <w:rPr>
          <w:lang w:val="es-ES"/>
        </w:rPr>
        <w:t>)</w:t>
      </w:r>
      <w:r w:rsidRPr="00C14D91">
        <w:rPr>
          <w:lang w:val="es-ES"/>
        </w:rPr>
        <w:t xml:space="preserve">, representando un </w:t>
      </w:r>
      <w:r w:rsidR="00523CB3" w:rsidRPr="00523CB3">
        <w:rPr>
          <w:lang w:val="es-ES"/>
        </w:rPr>
        <w:t>110</w:t>
      </w:r>
      <w:r w:rsidRPr="00C14D91">
        <w:rPr>
          <w:lang w:val="es-ES"/>
        </w:rPr>
        <w:t>% de cumplimiento.</w:t>
      </w:r>
    </w:p>
    <w:p w14:paraId="7195EE6F" w14:textId="77777777" w:rsidR="006B5284" w:rsidRPr="00E406B4" w:rsidRDefault="006B5284" w:rsidP="00E406B4">
      <w:pPr>
        <w:jc w:val="both"/>
        <w:rPr>
          <w:highlight w:val="yellow"/>
          <w:lang w:val="es-ES"/>
        </w:rPr>
      </w:pPr>
    </w:p>
    <w:p w14:paraId="53A993D3" w14:textId="61464B54" w:rsidR="003549E8" w:rsidRPr="00C14D91" w:rsidRDefault="003549E8" w:rsidP="009C579C">
      <w:pPr>
        <w:spacing w:line="480" w:lineRule="auto"/>
        <w:jc w:val="both"/>
        <w:rPr>
          <w:lang w:val="es-ES"/>
        </w:rPr>
      </w:pPr>
      <w:r w:rsidRPr="00C14D91">
        <w:rPr>
          <w:lang w:val="es-ES"/>
        </w:rPr>
        <w:t xml:space="preserve">Con relación a la meta establecida sobre </w:t>
      </w:r>
      <w:r w:rsidRPr="00E406B4">
        <w:rPr>
          <w:b/>
          <w:lang w:val="es-ES"/>
        </w:rPr>
        <w:t>“Inspeccionada, evaluada y Reparadas las deformaciones detectadas en el túnel minero de Larimar”</w:t>
      </w:r>
      <w:r w:rsidRPr="00C14D91">
        <w:rPr>
          <w:lang w:val="es-ES"/>
        </w:rPr>
        <w:t xml:space="preserve">, se programó </w:t>
      </w:r>
      <w:r w:rsidR="000B5420" w:rsidRPr="00C14D91">
        <w:rPr>
          <w:lang w:val="es-ES"/>
        </w:rPr>
        <w:t xml:space="preserve">inspeccionar, evaluar y reparar los </w:t>
      </w:r>
      <w:r w:rsidR="004E605D" w:rsidRPr="00C14D91">
        <w:rPr>
          <w:lang w:val="es-ES"/>
        </w:rPr>
        <w:t xml:space="preserve">426.75 </w:t>
      </w:r>
      <w:r w:rsidR="000B5420" w:rsidRPr="008F1705">
        <w:rPr>
          <w:lang w:val="es-ES"/>
        </w:rPr>
        <w:t xml:space="preserve">metros </w:t>
      </w:r>
      <w:r w:rsidR="004E605D" w:rsidRPr="008F1705">
        <w:rPr>
          <w:lang w:val="es-ES"/>
        </w:rPr>
        <w:t xml:space="preserve">de longitud </w:t>
      </w:r>
      <w:r w:rsidR="000B5420" w:rsidRPr="008F1705">
        <w:rPr>
          <w:lang w:val="es-ES"/>
        </w:rPr>
        <w:t xml:space="preserve">que tiene el </w:t>
      </w:r>
      <w:r w:rsidR="009972E6" w:rsidRPr="008F1705">
        <w:rPr>
          <w:lang w:val="es-ES"/>
        </w:rPr>
        <w:t>túnel</w:t>
      </w:r>
      <w:r w:rsidR="000B5420" w:rsidRPr="008F1705">
        <w:rPr>
          <w:lang w:val="es-ES"/>
        </w:rPr>
        <w:t xml:space="preserve"> minero</w:t>
      </w:r>
      <w:r w:rsidR="006B5284" w:rsidRPr="008F1705">
        <w:rPr>
          <w:lang w:val="es-ES"/>
        </w:rPr>
        <w:t xml:space="preserve">. A lo cual se entregó al Ministerio de </w:t>
      </w:r>
      <w:r w:rsidR="009972E6" w:rsidRPr="008F1705">
        <w:rPr>
          <w:lang w:val="es-ES"/>
        </w:rPr>
        <w:t>Energía</w:t>
      </w:r>
      <w:r w:rsidR="006B5284" w:rsidRPr="008F1705">
        <w:rPr>
          <w:lang w:val="es-ES"/>
        </w:rPr>
        <w:t xml:space="preserve"> y Minas la propuesta de reparación del túnel, lo que consideramos </w:t>
      </w:r>
      <w:r w:rsidRPr="008F1705">
        <w:rPr>
          <w:lang w:val="es-ES"/>
        </w:rPr>
        <w:t xml:space="preserve">un </w:t>
      </w:r>
      <w:r w:rsidR="006B5284" w:rsidRPr="008F1705">
        <w:rPr>
          <w:lang w:val="es-ES"/>
        </w:rPr>
        <w:t>total de</w:t>
      </w:r>
      <w:r w:rsidRPr="008F1705">
        <w:rPr>
          <w:lang w:val="es-ES"/>
        </w:rPr>
        <w:t xml:space="preserve"> un </w:t>
      </w:r>
      <w:r w:rsidR="008F1705">
        <w:rPr>
          <w:lang w:val="es-ES"/>
        </w:rPr>
        <w:t>50</w:t>
      </w:r>
      <w:r w:rsidRPr="00C14D91">
        <w:rPr>
          <w:lang w:val="es-ES"/>
        </w:rPr>
        <w:t>% de cumplimiento.</w:t>
      </w:r>
    </w:p>
    <w:p w14:paraId="2B98D707" w14:textId="77777777" w:rsidR="00FE3F01" w:rsidRPr="00E406B4" w:rsidRDefault="00FE3F01" w:rsidP="00E406B4">
      <w:pPr>
        <w:jc w:val="both"/>
        <w:rPr>
          <w:highlight w:val="yellow"/>
          <w:lang w:val="es-ES"/>
        </w:rPr>
      </w:pPr>
    </w:p>
    <w:p w14:paraId="217DE510" w14:textId="322A38C3" w:rsidR="00932FA5" w:rsidRPr="008F1705" w:rsidRDefault="00932FA5" w:rsidP="009C579C">
      <w:pPr>
        <w:spacing w:line="480" w:lineRule="auto"/>
        <w:jc w:val="both"/>
        <w:rPr>
          <w:lang w:val="es-ES"/>
        </w:rPr>
      </w:pPr>
      <w:r w:rsidRPr="00C14D91">
        <w:rPr>
          <w:lang w:val="es-ES"/>
        </w:rPr>
        <w:t xml:space="preserve">Con relación a la meta establecida sobre </w:t>
      </w:r>
      <w:r w:rsidRPr="00E406B4">
        <w:rPr>
          <w:b/>
          <w:lang w:val="es-ES"/>
        </w:rPr>
        <w:t>“Capacitados mineros artesanales en la tecnificación de los Pozos Artesanales, Seguridad y Ambiente”,</w:t>
      </w:r>
      <w:r w:rsidRPr="00C14D91">
        <w:rPr>
          <w:lang w:val="es-ES"/>
        </w:rPr>
        <w:t xml:space="preserve"> se programó capacitar unos </w:t>
      </w:r>
      <w:r w:rsidR="00770825" w:rsidRPr="00770825">
        <w:rPr>
          <w:lang w:val="es-ES"/>
        </w:rPr>
        <w:t>seiscientos</w:t>
      </w:r>
      <w:r w:rsidR="008521BA" w:rsidRPr="00C14D91">
        <w:rPr>
          <w:lang w:val="es-ES"/>
        </w:rPr>
        <w:t xml:space="preserve"> </w:t>
      </w:r>
      <w:r w:rsidRPr="00C14D91">
        <w:rPr>
          <w:lang w:val="es-ES"/>
        </w:rPr>
        <w:t>(</w:t>
      </w:r>
      <w:r w:rsidR="00770825" w:rsidRPr="00770825">
        <w:rPr>
          <w:lang w:val="es-ES"/>
        </w:rPr>
        <w:t>600</w:t>
      </w:r>
      <w:r w:rsidRPr="00C14D91">
        <w:rPr>
          <w:lang w:val="es-ES"/>
        </w:rPr>
        <w:t xml:space="preserve">) mineros, de los cuales se alcanzó un cumplimiento de </w:t>
      </w:r>
      <w:r w:rsidR="00770825" w:rsidRPr="00770825">
        <w:rPr>
          <w:lang w:val="es-ES"/>
        </w:rPr>
        <w:t xml:space="preserve">seiscientos treinta y cinco </w:t>
      </w:r>
      <w:r w:rsidR="004A1B52" w:rsidRPr="00C14D91">
        <w:rPr>
          <w:lang w:val="es-ES"/>
        </w:rPr>
        <w:t>(</w:t>
      </w:r>
      <w:r w:rsidR="00770825" w:rsidRPr="00770825">
        <w:rPr>
          <w:lang w:val="es-ES"/>
        </w:rPr>
        <w:t>635</w:t>
      </w:r>
      <w:r w:rsidR="004A1B52" w:rsidRPr="00C14D91">
        <w:rPr>
          <w:lang w:val="es-ES"/>
        </w:rPr>
        <w:t>)</w:t>
      </w:r>
      <w:r w:rsidRPr="00C14D91">
        <w:rPr>
          <w:lang w:val="es-ES"/>
        </w:rPr>
        <w:t xml:space="preserve">, representando un </w:t>
      </w:r>
      <w:r w:rsidR="00770825" w:rsidRPr="00770825">
        <w:rPr>
          <w:lang w:val="es-ES"/>
        </w:rPr>
        <w:t>105.83</w:t>
      </w:r>
      <w:r w:rsidRPr="00C14D91">
        <w:rPr>
          <w:lang w:val="es-ES"/>
        </w:rPr>
        <w:t>% de cumplimiento.</w:t>
      </w:r>
    </w:p>
    <w:p w14:paraId="46EEA226" w14:textId="18D06403" w:rsidR="00DB7D05" w:rsidRPr="00C14D91" w:rsidRDefault="00DB7D05" w:rsidP="009C579C">
      <w:pPr>
        <w:spacing w:line="480" w:lineRule="auto"/>
        <w:jc w:val="both"/>
        <w:rPr>
          <w:lang w:val="es-ES"/>
        </w:rPr>
      </w:pPr>
      <w:r w:rsidRPr="008F1705">
        <w:rPr>
          <w:lang w:val="es-ES"/>
        </w:rPr>
        <w:lastRenderedPageBreak/>
        <w:t xml:space="preserve">La Dirección de </w:t>
      </w:r>
      <w:r w:rsidR="00C36F9D" w:rsidRPr="008F1705">
        <w:rPr>
          <w:lang w:val="es-ES"/>
        </w:rPr>
        <w:t>Fiscalización</w:t>
      </w:r>
      <w:r w:rsidRPr="008F1705">
        <w:rPr>
          <w:lang w:val="es-ES"/>
        </w:rPr>
        <w:t xml:space="preserve">, cuenta con las siguientes metas y resultados para el </w:t>
      </w:r>
      <w:r w:rsidR="005F3316" w:rsidRPr="008F1705">
        <w:rPr>
          <w:lang w:val="es-ES"/>
        </w:rPr>
        <w:t>201</w:t>
      </w:r>
      <w:r w:rsidR="008F1705" w:rsidRPr="008F1705">
        <w:rPr>
          <w:lang w:val="es-ES"/>
        </w:rPr>
        <w:t>9</w:t>
      </w:r>
      <w:r w:rsidRPr="00C14D91">
        <w:rPr>
          <w:lang w:val="es-ES"/>
        </w:rPr>
        <w:t>.</w:t>
      </w:r>
    </w:p>
    <w:p w14:paraId="4BCF65F1" w14:textId="390A0591" w:rsidR="00B311F0" w:rsidRPr="00C14D91" w:rsidRDefault="00B311F0" w:rsidP="009C579C">
      <w:pPr>
        <w:spacing w:line="480" w:lineRule="auto"/>
        <w:jc w:val="both"/>
        <w:rPr>
          <w:lang w:val="es-ES"/>
        </w:rPr>
      </w:pPr>
      <w:r w:rsidRPr="00C14D91">
        <w:rPr>
          <w:lang w:val="es-ES"/>
        </w:rPr>
        <w:t xml:space="preserve">Con relación a la meta establecida sobre </w:t>
      </w:r>
      <w:r w:rsidRPr="00E406B4">
        <w:rPr>
          <w:b/>
          <w:lang w:val="es-ES"/>
        </w:rPr>
        <w:t>“</w:t>
      </w:r>
      <w:r w:rsidR="00C36F9D" w:rsidRPr="00E406B4">
        <w:rPr>
          <w:b/>
          <w:lang w:val="es-ES"/>
        </w:rPr>
        <w:t>Fiscalización de las Concesiones Mineras de Explotación Otorgadas</w:t>
      </w:r>
      <w:r w:rsidRPr="00E406B4">
        <w:rPr>
          <w:b/>
          <w:lang w:val="es-ES"/>
        </w:rPr>
        <w:t>”,</w:t>
      </w:r>
      <w:r w:rsidRPr="00C14D91">
        <w:rPr>
          <w:lang w:val="es-ES"/>
        </w:rPr>
        <w:t xml:space="preserve"> se programó </w:t>
      </w:r>
      <w:r w:rsidR="00C36F9D" w:rsidRPr="00C14D91">
        <w:rPr>
          <w:lang w:val="es-ES"/>
        </w:rPr>
        <w:t xml:space="preserve">fiscalizar </w:t>
      </w:r>
      <w:r w:rsidRPr="00C14D91">
        <w:rPr>
          <w:lang w:val="es-ES"/>
        </w:rPr>
        <w:t>un</w:t>
      </w:r>
      <w:r w:rsidR="00C36F9D" w:rsidRPr="008F1705">
        <w:rPr>
          <w:lang w:val="es-ES"/>
        </w:rPr>
        <w:t>a</w:t>
      </w:r>
      <w:r w:rsidRPr="008F1705">
        <w:rPr>
          <w:lang w:val="es-ES"/>
        </w:rPr>
        <w:t xml:space="preserve">s </w:t>
      </w:r>
      <w:r w:rsidR="005F3316" w:rsidRPr="008F1705">
        <w:rPr>
          <w:lang w:val="es-ES"/>
        </w:rPr>
        <w:t xml:space="preserve">ochenta </w:t>
      </w:r>
      <w:r w:rsidRPr="008F1705">
        <w:rPr>
          <w:lang w:val="es-ES"/>
        </w:rPr>
        <w:t>(</w:t>
      </w:r>
      <w:r w:rsidR="00C36F9D" w:rsidRPr="008F1705">
        <w:rPr>
          <w:lang w:val="es-ES"/>
        </w:rPr>
        <w:t>80</w:t>
      </w:r>
      <w:r w:rsidRPr="008F1705">
        <w:rPr>
          <w:lang w:val="es-ES"/>
        </w:rPr>
        <w:t xml:space="preserve">) </w:t>
      </w:r>
      <w:r w:rsidR="00C36F9D" w:rsidRPr="008F1705">
        <w:rPr>
          <w:lang w:val="es-ES"/>
        </w:rPr>
        <w:t>Concesiones Mineras de Explotación</w:t>
      </w:r>
      <w:r w:rsidRPr="008F1705">
        <w:rPr>
          <w:lang w:val="es-ES"/>
        </w:rPr>
        <w:t>, de l</w:t>
      </w:r>
      <w:r w:rsidR="00C36F9D" w:rsidRPr="008F1705">
        <w:rPr>
          <w:lang w:val="es-ES"/>
        </w:rPr>
        <w:t>a</w:t>
      </w:r>
      <w:r w:rsidRPr="008F1705">
        <w:rPr>
          <w:lang w:val="es-ES"/>
        </w:rPr>
        <w:t xml:space="preserve">s cuales se </w:t>
      </w:r>
      <w:r w:rsidR="00C36F9D" w:rsidRPr="008F1705">
        <w:rPr>
          <w:lang w:val="es-ES"/>
        </w:rPr>
        <w:t>fiscalizaron unas</w:t>
      </w:r>
      <w:r w:rsidRPr="008F1705">
        <w:rPr>
          <w:lang w:val="es-ES"/>
        </w:rPr>
        <w:t xml:space="preserve"> </w:t>
      </w:r>
      <w:r w:rsidR="008F1705" w:rsidRPr="008F1705">
        <w:rPr>
          <w:lang w:val="es-ES"/>
        </w:rPr>
        <w:t>noventa y ocho</w:t>
      </w:r>
      <w:r w:rsidR="004A1B52" w:rsidRPr="00C14D91">
        <w:rPr>
          <w:lang w:val="es-ES"/>
        </w:rPr>
        <w:t xml:space="preserve"> (</w:t>
      </w:r>
      <w:r w:rsidR="008F1705" w:rsidRPr="008F1705">
        <w:rPr>
          <w:lang w:val="es-ES"/>
        </w:rPr>
        <w:t>98</w:t>
      </w:r>
      <w:r w:rsidR="004A1B52" w:rsidRPr="00C14D91">
        <w:rPr>
          <w:lang w:val="es-ES"/>
        </w:rPr>
        <w:t>)</w:t>
      </w:r>
      <w:r w:rsidRPr="00C14D91">
        <w:rPr>
          <w:lang w:val="es-ES"/>
        </w:rPr>
        <w:t xml:space="preserve">, representando un </w:t>
      </w:r>
      <w:r w:rsidR="005F3316" w:rsidRPr="008F1705">
        <w:rPr>
          <w:lang w:val="es-ES"/>
        </w:rPr>
        <w:t>1</w:t>
      </w:r>
      <w:r w:rsidR="008F1705" w:rsidRPr="008F1705">
        <w:rPr>
          <w:lang w:val="es-ES"/>
        </w:rPr>
        <w:t>22</w:t>
      </w:r>
      <w:r w:rsidRPr="00C14D91">
        <w:rPr>
          <w:lang w:val="es-ES"/>
        </w:rPr>
        <w:t>% de cumplimiento.</w:t>
      </w:r>
    </w:p>
    <w:p w14:paraId="245CB2AF" w14:textId="77777777" w:rsidR="005F3316" w:rsidRPr="00E406B4" w:rsidRDefault="005F3316" w:rsidP="00E406B4">
      <w:pPr>
        <w:spacing w:line="360" w:lineRule="auto"/>
        <w:jc w:val="both"/>
        <w:rPr>
          <w:highlight w:val="yellow"/>
          <w:lang w:val="es-ES"/>
        </w:rPr>
      </w:pPr>
    </w:p>
    <w:p w14:paraId="6E86BC18" w14:textId="073511C9" w:rsidR="00C36F9D" w:rsidRPr="00C14D91" w:rsidRDefault="00C36F9D" w:rsidP="009C579C">
      <w:pPr>
        <w:spacing w:line="480" w:lineRule="auto"/>
        <w:jc w:val="both"/>
        <w:rPr>
          <w:lang w:val="es-ES"/>
        </w:rPr>
      </w:pPr>
      <w:r w:rsidRPr="00C14D91">
        <w:rPr>
          <w:lang w:val="es-ES"/>
        </w:rPr>
        <w:t xml:space="preserve">Con relación a la meta establecida sobre </w:t>
      </w:r>
      <w:r w:rsidRPr="00E406B4">
        <w:rPr>
          <w:b/>
          <w:lang w:val="es-ES"/>
        </w:rPr>
        <w:t>“Fiscalización de las Concesiones Mineras de Exploración Otorgadas”,</w:t>
      </w:r>
      <w:r w:rsidRPr="00C14D91">
        <w:rPr>
          <w:lang w:val="es-ES"/>
        </w:rPr>
        <w:t xml:space="preserve"> se programó fiscalizar unas </w:t>
      </w:r>
      <w:r w:rsidR="005F3316" w:rsidRPr="00C14D91">
        <w:rPr>
          <w:lang w:val="es-ES"/>
        </w:rPr>
        <w:t xml:space="preserve">diez </w:t>
      </w:r>
      <w:r w:rsidR="005F3316" w:rsidRPr="008F1705">
        <w:rPr>
          <w:lang w:val="es-ES"/>
        </w:rPr>
        <w:t xml:space="preserve">y </w:t>
      </w:r>
      <w:r w:rsidR="008F1705" w:rsidRPr="008F1705">
        <w:rPr>
          <w:lang w:val="es-ES"/>
        </w:rPr>
        <w:t>seis</w:t>
      </w:r>
      <w:r w:rsidR="005F3316" w:rsidRPr="00C14D91">
        <w:rPr>
          <w:lang w:val="es-ES"/>
        </w:rPr>
        <w:t xml:space="preserve"> </w:t>
      </w:r>
      <w:r w:rsidRPr="00C14D91">
        <w:rPr>
          <w:lang w:val="es-ES"/>
        </w:rPr>
        <w:t>(1</w:t>
      </w:r>
      <w:r w:rsidR="008F1705" w:rsidRPr="008F1705">
        <w:rPr>
          <w:lang w:val="es-ES"/>
        </w:rPr>
        <w:t>6</w:t>
      </w:r>
      <w:r w:rsidRPr="00C14D91">
        <w:rPr>
          <w:lang w:val="es-ES"/>
        </w:rPr>
        <w:t xml:space="preserve">) Concesiones Mineras de Exploración, de las cuales se fiscalizaron unas </w:t>
      </w:r>
      <w:r w:rsidR="005F3316" w:rsidRPr="008F1705">
        <w:rPr>
          <w:lang w:val="es-ES"/>
        </w:rPr>
        <w:t xml:space="preserve">treinta </w:t>
      </w:r>
      <w:r w:rsidR="004A1B52" w:rsidRPr="008F1705">
        <w:rPr>
          <w:lang w:val="es-ES"/>
        </w:rPr>
        <w:t xml:space="preserve">y </w:t>
      </w:r>
      <w:r w:rsidR="008F1705" w:rsidRPr="008F1705">
        <w:rPr>
          <w:lang w:val="es-ES"/>
        </w:rPr>
        <w:t>c</w:t>
      </w:r>
      <w:r w:rsidR="00C25CE1">
        <w:rPr>
          <w:lang w:val="es-ES"/>
        </w:rPr>
        <w:t>inco</w:t>
      </w:r>
      <w:r w:rsidR="004A1B52" w:rsidRPr="00C14D91">
        <w:rPr>
          <w:lang w:val="es-ES"/>
        </w:rPr>
        <w:t xml:space="preserve"> (</w:t>
      </w:r>
      <w:r w:rsidR="005F3316" w:rsidRPr="00C14D91">
        <w:rPr>
          <w:lang w:val="es-ES"/>
        </w:rPr>
        <w:t>3</w:t>
      </w:r>
      <w:r w:rsidR="00C25CE1">
        <w:rPr>
          <w:lang w:val="es-ES"/>
        </w:rPr>
        <w:t>5</w:t>
      </w:r>
      <w:r w:rsidR="004A1B52" w:rsidRPr="00C14D91">
        <w:rPr>
          <w:lang w:val="es-ES"/>
        </w:rPr>
        <w:t>)</w:t>
      </w:r>
      <w:r w:rsidRPr="00C14D91">
        <w:rPr>
          <w:lang w:val="es-ES"/>
        </w:rPr>
        <w:t xml:space="preserve">, representando un </w:t>
      </w:r>
      <w:r w:rsidR="008F1705" w:rsidRPr="008F1705">
        <w:rPr>
          <w:lang w:val="es-ES"/>
        </w:rPr>
        <w:t>21</w:t>
      </w:r>
      <w:r w:rsidR="00C25CE1">
        <w:rPr>
          <w:lang w:val="es-ES"/>
        </w:rPr>
        <w:t>8.75</w:t>
      </w:r>
      <w:r w:rsidRPr="00C14D91">
        <w:rPr>
          <w:lang w:val="es-ES"/>
        </w:rPr>
        <w:t xml:space="preserve"> de cumplimiento.</w:t>
      </w:r>
    </w:p>
    <w:p w14:paraId="1031EAC1" w14:textId="77777777" w:rsidR="00FE3F01" w:rsidRPr="00C14D91" w:rsidRDefault="00FE3F01" w:rsidP="00FE3F01">
      <w:pPr>
        <w:jc w:val="both"/>
        <w:rPr>
          <w:lang w:val="es-ES"/>
        </w:rPr>
      </w:pPr>
    </w:p>
    <w:p w14:paraId="6607B046" w14:textId="5BFFE690" w:rsidR="00932FA5" w:rsidRPr="00C14D91" w:rsidRDefault="00932FA5" w:rsidP="00FE3F01">
      <w:pPr>
        <w:spacing w:line="480" w:lineRule="auto"/>
        <w:jc w:val="both"/>
        <w:rPr>
          <w:lang w:val="es-ES"/>
        </w:rPr>
      </w:pPr>
      <w:r w:rsidRPr="00C14D91">
        <w:rPr>
          <w:lang w:val="es-ES"/>
        </w:rPr>
        <w:t xml:space="preserve">La Dirección de </w:t>
      </w:r>
      <w:r w:rsidR="00FE34DB" w:rsidRPr="00C14D91">
        <w:rPr>
          <w:lang w:val="es-ES"/>
        </w:rPr>
        <w:t>P</w:t>
      </w:r>
      <w:r w:rsidR="00D44BFF" w:rsidRPr="008F1705">
        <w:rPr>
          <w:lang w:val="es-ES"/>
        </w:rPr>
        <w:t xml:space="preserve">royectos de </w:t>
      </w:r>
      <w:r w:rsidR="008F1705" w:rsidRPr="008F1705">
        <w:rPr>
          <w:lang w:val="es-ES"/>
        </w:rPr>
        <w:t xml:space="preserve">recursos </w:t>
      </w:r>
      <w:r w:rsidR="00FE34DB" w:rsidRPr="00C14D91">
        <w:rPr>
          <w:lang w:val="es-ES"/>
        </w:rPr>
        <w:t>M</w:t>
      </w:r>
      <w:r w:rsidR="00D44BFF" w:rsidRPr="00C14D91">
        <w:rPr>
          <w:lang w:val="es-ES"/>
        </w:rPr>
        <w:t>iner</w:t>
      </w:r>
      <w:r w:rsidR="008F1705" w:rsidRPr="008F1705">
        <w:rPr>
          <w:lang w:val="es-ES"/>
        </w:rPr>
        <w:t>o</w:t>
      </w:r>
      <w:r w:rsidR="00D44BFF" w:rsidRPr="00C14D91">
        <w:rPr>
          <w:lang w:val="es-ES"/>
        </w:rPr>
        <w:t xml:space="preserve">, a los fines de determinar los Recursos del </w:t>
      </w:r>
      <w:r w:rsidR="00B745B5" w:rsidRPr="00C14D91">
        <w:rPr>
          <w:lang w:val="es-ES"/>
        </w:rPr>
        <w:t>Ámbar</w:t>
      </w:r>
      <w:r w:rsidR="00D44BFF" w:rsidRPr="008F1705">
        <w:rPr>
          <w:lang w:val="es-ES"/>
        </w:rPr>
        <w:t xml:space="preserve"> en los depósitos de El Valle, Hato Mayor, se ha trazado la siguiente meta intermedia, </w:t>
      </w:r>
      <w:r w:rsidRPr="008F1705">
        <w:rPr>
          <w:lang w:val="es-ES"/>
        </w:rPr>
        <w:t xml:space="preserve">para el </w:t>
      </w:r>
      <w:commentRangeStart w:id="310"/>
      <w:r w:rsidR="008034D4" w:rsidRPr="008F1705">
        <w:rPr>
          <w:lang w:val="es-ES"/>
        </w:rPr>
        <w:t>201</w:t>
      </w:r>
      <w:r w:rsidR="008F1705" w:rsidRPr="008F1705">
        <w:rPr>
          <w:lang w:val="es-ES"/>
        </w:rPr>
        <w:t>9</w:t>
      </w:r>
      <w:commentRangeEnd w:id="310"/>
      <w:r w:rsidR="00022127" w:rsidRPr="00C14D91">
        <w:rPr>
          <w:rStyle w:val="Refdecomentario"/>
        </w:rPr>
        <w:commentReference w:id="310"/>
      </w:r>
      <w:r w:rsidRPr="00C14D91">
        <w:rPr>
          <w:lang w:val="es-ES"/>
        </w:rPr>
        <w:t>.</w:t>
      </w:r>
    </w:p>
    <w:p w14:paraId="79572FCF" w14:textId="77777777" w:rsidR="008C46A5" w:rsidRPr="00C14D91" w:rsidRDefault="008C46A5" w:rsidP="00E406B4">
      <w:pPr>
        <w:jc w:val="both"/>
        <w:rPr>
          <w:lang w:val="es-ES"/>
        </w:rPr>
      </w:pPr>
    </w:p>
    <w:p w14:paraId="1406D9E3" w14:textId="5B00BE83" w:rsidR="007715B7" w:rsidRPr="00C14D91" w:rsidRDefault="00D44BFF" w:rsidP="007715B7">
      <w:pPr>
        <w:spacing w:line="480" w:lineRule="auto"/>
        <w:jc w:val="both"/>
        <w:rPr>
          <w:lang w:val="es-ES"/>
        </w:rPr>
      </w:pPr>
      <w:r w:rsidRPr="00E406B4">
        <w:rPr>
          <w:b/>
          <w:lang w:val="es-ES"/>
        </w:rPr>
        <w:t xml:space="preserve">Realizar unos </w:t>
      </w:r>
      <w:r w:rsidR="008F1705">
        <w:rPr>
          <w:b/>
          <w:lang w:val="es-ES"/>
        </w:rPr>
        <w:t xml:space="preserve">cuatro mil ochocientos </w:t>
      </w:r>
      <w:r w:rsidR="007715B7" w:rsidRPr="00E406B4">
        <w:rPr>
          <w:b/>
          <w:lang w:val="es-ES"/>
        </w:rPr>
        <w:t>(</w:t>
      </w:r>
      <w:r w:rsidR="008F1705">
        <w:rPr>
          <w:b/>
          <w:lang w:val="es-ES"/>
        </w:rPr>
        <w:t>4,800 mts</w:t>
      </w:r>
      <w:r w:rsidR="007715B7" w:rsidRPr="00E406B4">
        <w:rPr>
          <w:b/>
          <w:lang w:val="es-ES"/>
        </w:rPr>
        <w:t xml:space="preserve">) </w:t>
      </w:r>
      <w:r w:rsidR="008F1705">
        <w:rPr>
          <w:b/>
          <w:lang w:val="es-ES"/>
        </w:rPr>
        <w:t xml:space="preserve">metros lineales de geofísica, </w:t>
      </w:r>
      <w:r w:rsidR="007715B7" w:rsidRPr="00E406B4">
        <w:rPr>
          <w:b/>
          <w:lang w:val="es-ES"/>
        </w:rPr>
        <w:t>kilómetros</w:t>
      </w:r>
      <w:r w:rsidRPr="00E406B4">
        <w:rPr>
          <w:b/>
          <w:lang w:val="es-ES"/>
        </w:rPr>
        <w:t xml:space="preserve"> de perforaciones con recuperación de testigos, durante el año </w:t>
      </w:r>
      <w:r w:rsidR="007715B7" w:rsidRPr="00E406B4">
        <w:rPr>
          <w:b/>
          <w:lang w:val="es-ES"/>
        </w:rPr>
        <w:t>201</w:t>
      </w:r>
      <w:r w:rsidR="008F1705">
        <w:rPr>
          <w:b/>
          <w:lang w:val="es-ES"/>
        </w:rPr>
        <w:t>9</w:t>
      </w:r>
      <w:r w:rsidRPr="00E406B4">
        <w:rPr>
          <w:b/>
          <w:lang w:val="es-ES"/>
        </w:rPr>
        <w:t xml:space="preserve">, </w:t>
      </w:r>
      <w:r w:rsidRPr="00C14D91">
        <w:rPr>
          <w:lang w:val="es-ES"/>
        </w:rPr>
        <w:t>los cuales nos ofrecerán informaciones del alcance lateral y a profundidad del potencial del ámbar. El estado de la meta es normal</w:t>
      </w:r>
      <w:r w:rsidR="007715B7" w:rsidRPr="00C14D91">
        <w:rPr>
          <w:lang w:val="es-ES"/>
        </w:rPr>
        <w:t xml:space="preserve"> y en diciembre finalizaron los trabajos de campo</w:t>
      </w:r>
      <w:r w:rsidR="007715B7" w:rsidRPr="008F1705">
        <w:rPr>
          <w:lang w:val="es-ES"/>
        </w:rPr>
        <w:t xml:space="preserve"> de 700 metros de perforación contratados con la empresa Geo civil, especialmente las perforaciones para definir la cantidad de estratos de carbón que sirven con guías potencial del ámbar. En </w:t>
      </w:r>
      <w:r w:rsidR="008F1705">
        <w:rPr>
          <w:lang w:val="es-ES"/>
        </w:rPr>
        <w:t xml:space="preserve">octubre del </w:t>
      </w:r>
      <w:r w:rsidR="007715B7" w:rsidRPr="00C14D91">
        <w:rPr>
          <w:lang w:val="es-ES"/>
        </w:rPr>
        <w:t xml:space="preserve">2019 se </w:t>
      </w:r>
      <w:r w:rsidR="008F1705" w:rsidRPr="00C14D91">
        <w:rPr>
          <w:lang w:val="es-ES"/>
        </w:rPr>
        <w:t>prepar</w:t>
      </w:r>
      <w:r w:rsidR="008F1705">
        <w:rPr>
          <w:lang w:val="es-ES"/>
        </w:rPr>
        <w:t xml:space="preserve">ó </w:t>
      </w:r>
      <w:r w:rsidR="007715B7" w:rsidRPr="00C14D91">
        <w:rPr>
          <w:lang w:val="es-ES"/>
        </w:rPr>
        <w:t>el informe final de este proyecto de evaluación de los recursos de ámbar en El Valle, provincia de Hato Mayor.</w:t>
      </w:r>
    </w:p>
    <w:p w14:paraId="7DFFC2AE" w14:textId="77777777" w:rsidR="008C46A5" w:rsidRDefault="008C46A5" w:rsidP="008F1705">
      <w:pPr>
        <w:spacing w:line="360" w:lineRule="auto"/>
        <w:jc w:val="both"/>
        <w:rPr>
          <w:highlight w:val="yellow"/>
          <w:lang w:val="es-ES"/>
        </w:rPr>
      </w:pPr>
    </w:p>
    <w:p w14:paraId="5768FEC8" w14:textId="77777777" w:rsidR="004D318D" w:rsidRDefault="004D318D" w:rsidP="008F1705">
      <w:pPr>
        <w:spacing w:line="360" w:lineRule="auto"/>
        <w:jc w:val="both"/>
        <w:rPr>
          <w:highlight w:val="yellow"/>
          <w:lang w:val="es-ES"/>
        </w:rPr>
      </w:pPr>
    </w:p>
    <w:p w14:paraId="13947C16" w14:textId="77777777" w:rsidR="008F1705" w:rsidRPr="00E406B4" w:rsidRDefault="008F1705" w:rsidP="00E406B4">
      <w:pPr>
        <w:spacing w:line="360" w:lineRule="auto"/>
        <w:jc w:val="both"/>
        <w:rPr>
          <w:highlight w:val="yellow"/>
          <w:lang w:val="es-ES"/>
        </w:rPr>
      </w:pPr>
    </w:p>
    <w:p w14:paraId="28567F96" w14:textId="670C78FD" w:rsidR="00F24538" w:rsidRPr="007937F3" w:rsidRDefault="00F24538" w:rsidP="00F24538">
      <w:pPr>
        <w:pStyle w:val="Ttulo3"/>
        <w:rPr>
          <w:lang w:val="es-ES"/>
        </w:rPr>
      </w:pPr>
      <w:bookmarkStart w:id="311" w:name="_Toc29406166"/>
      <w:r w:rsidRPr="007937F3">
        <w:rPr>
          <w:lang w:val="es-ES"/>
        </w:rPr>
        <w:lastRenderedPageBreak/>
        <w:t>ii. Sistema de Monitoreo y Medición de la Gestión Pública (SMMGP)</w:t>
      </w:r>
      <w:bookmarkEnd w:id="311"/>
    </w:p>
    <w:p w14:paraId="19696A72" w14:textId="77777777" w:rsidR="00F24538" w:rsidRPr="007937F3" w:rsidRDefault="00F24538" w:rsidP="00F24538">
      <w:pPr>
        <w:rPr>
          <w:lang w:val="es-ES"/>
        </w:rPr>
      </w:pPr>
    </w:p>
    <w:p w14:paraId="40AE333B" w14:textId="3653C6AE" w:rsidR="00F24538" w:rsidRPr="00C14D91" w:rsidRDefault="007715B7" w:rsidP="00E406B4">
      <w:pPr>
        <w:spacing w:line="480" w:lineRule="auto"/>
        <w:rPr>
          <w:lang w:val="es-ES"/>
        </w:rPr>
      </w:pPr>
      <w:r w:rsidRPr="0030657A">
        <w:rPr>
          <w:lang w:val="es-ES"/>
        </w:rPr>
        <w:t xml:space="preserve">El sistema de monitoreo y medición de la gestión </w:t>
      </w:r>
      <w:r w:rsidR="00BE15A6" w:rsidRPr="00FB26F3">
        <w:rPr>
          <w:lang w:val="es-ES"/>
        </w:rPr>
        <w:t>pública</w:t>
      </w:r>
      <w:r w:rsidRPr="00381065">
        <w:rPr>
          <w:lang w:val="es-ES"/>
        </w:rPr>
        <w:t xml:space="preserve"> (SMMG</w:t>
      </w:r>
      <w:r w:rsidRPr="00CE7852">
        <w:rPr>
          <w:lang w:val="es-ES"/>
        </w:rPr>
        <w:t xml:space="preserve">P), </w:t>
      </w:r>
      <w:r w:rsidR="00BE15A6" w:rsidRPr="00E406B4">
        <w:rPr>
          <w:lang w:val="es-ES"/>
        </w:rPr>
        <w:t>está</w:t>
      </w:r>
      <w:r w:rsidRPr="00E406B4">
        <w:rPr>
          <w:lang w:val="es-ES"/>
        </w:rPr>
        <w:t xml:space="preserve"> </w:t>
      </w:r>
      <w:r w:rsidR="00BE15A6" w:rsidRPr="00E406B4">
        <w:rPr>
          <w:lang w:val="es-ES"/>
        </w:rPr>
        <w:t>c</w:t>
      </w:r>
      <w:r w:rsidRPr="00E406B4">
        <w:rPr>
          <w:lang w:val="es-ES"/>
        </w:rPr>
        <w:t>ompuesto p</w:t>
      </w:r>
      <w:r w:rsidR="007937F3">
        <w:rPr>
          <w:lang w:val="es-ES"/>
        </w:rPr>
        <w:t xml:space="preserve">or un </w:t>
      </w:r>
      <w:r w:rsidRPr="00C14D91">
        <w:rPr>
          <w:lang w:val="es-ES"/>
        </w:rPr>
        <w:t xml:space="preserve">cuadro de mando integra que presenta los resultados por trimestre de nueve (9) indicadores, entre los cuales tenemos los siguientes resultados para el </w:t>
      </w:r>
      <w:r w:rsidR="007937F3">
        <w:rPr>
          <w:lang w:val="es-ES"/>
        </w:rPr>
        <w:t>3er</w:t>
      </w:r>
      <w:r w:rsidR="007937F3" w:rsidRPr="007937F3">
        <w:rPr>
          <w:lang w:val="es-ES"/>
        </w:rPr>
        <w:t xml:space="preserve"> </w:t>
      </w:r>
      <w:r w:rsidRPr="00C14D91">
        <w:rPr>
          <w:lang w:val="es-ES"/>
        </w:rPr>
        <w:t>trimestre del 201</w:t>
      </w:r>
      <w:r w:rsidR="007937F3" w:rsidRPr="007937F3">
        <w:rPr>
          <w:lang w:val="es-ES"/>
        </w:rPr>
        <w:t>9</w:t>
      </w:r>
      <w:r w:rsidRPr="00C14D91">
        <w:rPr>
          <w:lang w:val="es-ES"/>
        </w:rPr>
        <w:t>.</w:t>
      </w:r>
    </w:p>
    <w:p w14:paraId="6CF421A2" w14:textId="77777777" w:rsidR="008C46A5" w:rsidRPr="00E406B4" w:rsidRDefault="008C46A5" w:rsidP="00E406B4">
      <w:pPr>
        <w:spacing w:line="360" w:lineRule="auto"/>
        <w:rPr>
          <w:highlight w:val="yellow"/>
          <w:lang w:val="es-ES"/>
        </w:rPr>
      </w:pPr>
    </w:p>
    <w:p w14:paraId="02BBC78D" w14:textId="1F5EF166" w:rsidR="007715B7" w:rsidRPr="00E406B4" w:rsidRDefault="00E6698C" w:rsidP="00E406B4">
      <w:pPr>
        <w:spacing w:line="360" w:lineRule="auto"/>
        <w:rPr>
          <w:b/>
          <w:sz w:val="28"/>
          <w:szCs w:val="28"/>
          <w:lang w:val="es-ES"/>
        </w:rPr>
      </w:pPr>
      <w:r w:rsidRPr="00C14D91">
        <w:rPr>
          <w:b/>
          <w:sz w:val="28"/>
          <w:szCs w:val="28"/>
          <w:lang w:val="es-ES"/>
        </w:rPr>
        <w:t>Metas P</w:t>
      </w:r>
      <w:r w:rsidRPr="00E406B4">
        <w:rPr>
          <w:b/>
          <w:sz w:val="28"/>
          <w:szCs w:val="28"/>
          <w:lang w:val="es-ES"/>
        </w:rPr>
        <w:t>residenciales</w:t>
      </w:r>
    </w:p>
    <w:p w14:paraId="57A2B995" w14:textId="66CF37AC" w:rsidR="004414D4" w:rsidRPr="00E406B4" w:rsidRDefault="00BE15A6" w:rsidP="00E406B4">
      <w:pPr>
        <w:spacing w:line="480" w:lineRule="auto"/>
        <w:rPr>
          <w:b/>
          <w:lang w:val="es-ES"/>
        </w:rPr>
      </w:pPr>
      <w:r w:rsidRPr="00C14D91">
        <w:rPr>
          <w:lang w:val="es-ES"/>
        </w:rPr>
        <w:t xml:space="preserve">Las mismas están en un cumplimiento de un cien por ciento (100%), mostrando un desempeño correcto en color verde. </w:t>
      </w:r>
      <w:r w:rsidR="004414D4" w:rsidRPr="00C14D91">
        <w:rPr>
          <w:lang w:val="es-ES"/>
        </w:rPr>
        <w:t xml:space="preserve">Para lo cual </w:t>
      </w:r>
      <w:r w:rsidR="004414D4" w:rsidRPr="0030657A">
        <w:rPr>
          <w:lang w:val="es-ES"/>
        </w:rPr>
        <w:t>mantenemos</w:t>
      </w:r>
      <w:r w:rsidR="004414D4" w:rsidRPr="00FB26F3">
        <w:rPr>
          <w:lang w:val="es-ES"/>
        </w:rPr>
        <w:t xml:space="preserve"> Siete (7) metas estable</w:t>
      </w:r>
      <w:r w:rsidR="004414D4" w:rsidRPr="00381065">
        <w:rPr>
          <w:lang w:val="es-ES"/>
        </w:rPr>
        <w:t xml:space="preserve">cidas, las cuales se detallan en el apartado </w:t>
      </w:r>
      <w:r w:rsidR="004414D4" w:rsidRPr="00CE7852">
        <w:rPr>
          <w:lang w:val="es-ES"/>
        </w:rPr>
        <w:t xml:space="preserve">g) </w:t>
      </w:r>
      <w:r w:rsidR="004414D4" w:rsidRPr="00E406B4">
        <w:rPr>
          <w:lang w:val="es-ES"/>
        </w:rPr>
        <w:t xml:space="preserve">sobre los indicadores de gestión, perspectiva estratégica de metas presidenciales, presentados en las páginas 34, 35, 36 y 37. </w:t>
      </w:r>
    </w:p>
    <w:p w14:paraId="18B67182" w14:textId="77777777" w:rsidR="004414D4" w:rsidRPr="00E406B4" w:rsidRDefault="004414D4">
      <w:pPr>
        <w:rPr>
          <w:highlight w:val="yellow"/>
          <w:lang w:val="es-ES"/>
        </w:rPr>
      </w:pPr>
    </w:p>
    <w:p w14:paraId="53266AF4" w14:textId="24E10FEF" w:rsidR="00BE15A6" w:rsidRPr="00E406B4" w:rsidRDefault="00BE15A6" w:rsidP="00E406B4">
      <w:pPr>
        <w:spacing w:line="360" w:lineRule="auto"/>
        <w:rPr>
          <w:b/>
          <w:sz w:val="28"/>
          <w:szCs w:val="28"/>
          <w:lang w:val="es-ES"/>
        </w:rPr>
      </w:pPr>
      <w:r w:rsidRPr="00E406B4">
        <w:rPr>
          <w:b/>
          <w:sz w:val="28"/>
          <w:szCs w:val="28"/>
          <w:lang w:val="es-ES"/>
        </w:rPr>
        <w:t>O</w:t>
      </w:r>
      <w:r w:rsidR="00E6698C" w:rsidRPr="00E406B4">
        <w:rPr>
          <w:b/>
          <w:sz w:val="28"/>
          <w:szCs w:val="28"/>
          <w:lang w:val="es-ES"/>
        </w:rPr>
        <w:t>bras</w:t>
      </w:r>
      <w:r w:rsidRPr="00E406B4">
        <w:rPr>
          <w:b/>
          <w:sz w:val="28"/>
          <w:szCs w:val="28"/>
          <w:lang w:val="es-ES"/>
        </w:rPr>
        <w:t xml:space="preserve">: </w:t>
      </w:r>
    </w:p>
    <w:p w14:paraId="63FC9369" w14:textId="2A833ECD" w:rsidR="00BE15A6" w:rsidRPr="0030657A" w:rsidRDefault="00BE15A6" w:rsidP="00E406B4">
      <w:pPr>
        <w:spacing w:line="360" w:lineRule="auto"/>
        <w:rPr>
          <w:lang w:val="es-ES"/>
        </w:rPr>
      </w:pPr>
      <w:r w:rsidRPr="00C14D91">
        <w:rPr>
          <w:lang w:val="es-ES"/>
        </w:rPr>
        <w:t>Este indicador al momento no aplica a la Direccion General de Minería.</w:t>
      </w:r>
    </w:p>
    <w:p w14:paraId="102B4A2E" w14:textId="77777777" w:rsidR="008C46A5" w:rsidRPr="00E406B4" w:rsidRDefault="008C46A5" w:rsidP="00E406B4">
      <w:pPr>
        <w:spacing w:line="360" w:lineRule="auto"/>
        <w:rPr>
          <w:highlight w:val="yellow"/>
          <w:lang w:val="es-ES"/>
        </w:rPr>
      </w:pPr>
    </w:p>
    <w:p w14:paraId="294566D8" w14:textId="10360BBE" w:rsidR="00BE15A6" w:rsidRPr="00E406B4" w:rsidRDefault="00E6698C" w:rsidP="00E406B4">
      <w:pPr>
        <w:rPr>
          <w:b/>
          <w:sz w:val="28"/>
          <w:szCs w:val="28"/>
          <w:lang w:val="es-ES"/>
        </w:rPr>
      </w:pPr>
      <w:r w:rsidRPr="00E406B4">
        <w:rPr>
          <w:b/>
          <w:sz w:val="28"/>
          <w:szCs w:val="28"/>
          <w:lang w:val="es-ES"/>
        </w:rPr>
        <w:t>Sistema de Monitoreo de la Administración Pública (SISMAP):</w:t>
      </w:r>
    </w:p>
    <w:p w14:paraId="351A3E4F" w14:textId="77777777" w:rsidR="004414D4" w:rsidRPr="00C14D91" w:rsidRDefault="004414D4" w:rsidP="00E406B4">
      <w:pPr>
        <w:rPr>
          <w:b/>
          <w:lang w:val="es-ES"/>
        </w:rPr>
      </w:pPr>
    </w:p>
    <w:p w14:paraId="6E0ABB4A" w14:textId="02725429" w:rsidR="004414D4" w:rsidRPr="00C14D91" w:rsidRDefault="004414D4" w:rsidP="00E406B4">
      <w:pPr>
        <w:spacing w:line="480" w:lineRule="auto"/>
        <w:jc w:val="both"/>
        <w:rPr>
          <w:lang w:val="es-ES"/>
        </w:rPr>
      </w:pPr>
      <w:r w:rsidRPr="00E406B4">
        <w:rPr>
          <w:lang w:val="es-ES"/>
        </w:rPr>
        <w:t>Al cierre de 3er trimestre del 201</w:t>
      </w:r>
      <w:r w:rsidR="0073716E" w:rsidRPr="0073716E">
        <w:rPr>
          <w:lang w:val="es-ES"/>
        </w:rPr>
        <w:t>9</w:t>
      </w:r>
      <w:r w:rsidRPr="00E406B4">
        <w:rPr>
          <w:lang w:val="es-ES"/>
        </w:rPr>
        <w:t>, cerramos con un avance de un 6</w:t>
      </w:r>
      <w:r w:rsidR="0073716E" w:rsidRPr="0073716E">
        <w:rPr>
          <w:lang w:val="es-ES"/>
        </w:rPr>
        <w:t>8</w:t>
      </w:r>
      <w:r w:rsidRPr="00E406B4">
        <w:rPr>
          <w:lang w:val="es-ES"/>
        </w:rPr>
        <w:t>% en color amarillo</w:t>
      </w:r>
      <w:r w:rsidR="0073716E" w:rsidRPr="0073716E">
        <w:rPr>
          <w:lang w:val="es-ES"/>
        </w:rPr>
        <w:t xml:space="preserve">, un 6% más que en el mismo periodo del ejercicio 2018. Continuamos con la actualización </w:t>
      </w:r>
      <w:r w:rsidRPr="00E406B4">
        <w:rPr>
          <w:lang w:val="es-ES"/>
        </w:rPr>
        <w:t xml:space="preserve">de evidencias de </w:t>
      </w:r>
      <w:r w:rsidR="00DD63CB" w:rsidRPr="00C14D91">
        <w:rPr>
          <w:lang w:val="es-ES"/>
        </w:rPr>
        <w:t xml:space="preserve">los </w:t>
      </w:r>
      <w:r w:rsidRPr="00E406B4">
        <w:rPr>
          <w:lang w:val="es-ES"/>
        </w:rPr>
        <w:t xml:space="preserve">sub indicadores, </w:t>
      </w:r>
      <w:r w:rsidR="0073716E" w:rsidRPr="0073716E">
        <w:rPr>
          <w:lang w:val="es-ES"/>
        </w:rPr>
        <w:t>para mejorar la puntuación y alcanzar la meta de un 80%, para color verde</w:t>
      </w:r>
      <w:r w:rsidRPr="00E406B4">
        <w:rPr>
          <w:lang w:val="es-ES"/>
        </w:rPr>
        <w:t>.</w:t>
      </w:r>
    </w:p>
    <w:p w14:paraId="668A0AF5" w14:textId="77777777" w:rsidR="0073716E" w:rsidRDefault="0073716E" w:rsidP="0073716E">
      <w:pPr>
        <w:spacing w:line="480" w:lineRule="auto"/>
        <w:jc w:val="both"/>
        <w:rPr>
          <w:b/>
          <w:sz w:val="28"/>
          <w:szCs w:val="28"/>
          <w:highlight w:val="yellow"/>
          <w:lang w:val="es-ES"/>
        </w:rPr>
      </w:pPr>
    </w:p>
    <w:p w14:paraId="58D3365D" w14:textId="77777777" w:rsidR="0073716E" w:rsidRDefault="0073716E" w:rsidP="0073716E">
      <w:pPr>
        <w:spacing w:line="480" w:lineRule="auto"/>
        <w:jc w:val="both"/>
        <w:rPr>
          <w:b/>
          <w:sz w:val="28"/>
          <w:szCs w:val="28"/>
          <w:highlight w:val="yellow"/>
          <w:lang w:val="es-ES"/>
        </w:rPr>
      </w:pPr>
    </w:p>
    <w:p w14:paraId="39D97410" w14:textId="77777777" w:rsidR="0073716E" w:rsidRDefault="0073716E" w:rsidP="0073716E">
      <w:pPr>
        <w:spacing w:line="480" w:lineRule="auto"/>
        <w:jc w:val="both"/>
        <w:rPr>
          <w:b/>
          <w:sz w:val="28"/>
          <w:szCs w:val="28"/>
          <w:highlight w:val="yellow"/>
          <w:lang w:val="es-ES"/>
        </w:rPr>
      </w:pPr>
    </w:p>
    <w:p w14:paraId="66466154" w14:textId="77777777" w:rsidR="0073716E" w:rsidRDefault="0073716E" w:rsidP="0073716E">
      <w:pPr>
        <w:spacing w:line="480" w:lineRule="auto"/>
        <w:jc w:val="both"/>
        <w:rPr>
          <w:b/>
          <w:sz w:val="28"/>
          <w:szCs w:val="28"/>
          <w:highlight w:val="yellow"/>
          <w:lang w:val="es-ES"/>
        </w:rPr>
      </w:pPr>
    </w:p>
    <w:p w14:paraId="35B475F2" w14:textId="5C767F98" w:rsidR="006A3A77" w:rsidRPr="00E406B4" w:rsidRDefault="00E6698C" w:rsidP="00E406B4">
      <w:pPr>
        <w:spacing w:line="480" w:lineRule="auto"/>
        <w:jc w:val="both"/>
        <w:rPr>
          <w:b/>
          <w:sz w:val="28"/>
          <w:szCs w:val="28"/>
          <w:lang w:val="es-ES"/>
        </w:rPr>
      </w:pPr>
      <w:r w:rsidRPr="00E406B4">
        <w:rPr>
          <w:b/>
          <w:sz w:val="28"/>
          <w:szCs w:val="28"/>
          <w:lang w:val="es-ES"/>
        </w:rPr>
        <w:lastRenderedPageBreak/>
        <w:t>Índice de uso de TIC E Implementación de Gobierno Electrónico</w:t>
      </w:r>
      <w:r w:rsidR="006A3A77" w:rsidRPr="00E406B4">
        <w:rPr>
          <w:b/>
          <w:sz w:val="28"/>
          <w:szCs w:val="28"/>
          <w:lang w:val="es-ES"/>
        </w:rPr>
        <w:t xml:space="preserve"> (ITICGE):</w:t>
      </w:r>
    </w:p>
    <w:p w14:paraId="671D8F77" w14:textId="516BE785" w:rsidR="006A3A77" w:rsidRPr="00C14D91" w:rsidRDefault="006A3A77" w:rsidP="00E406B4">
      <w:pPr>
        <w:spacing w:line="480" w:lineRule="auto"/>
        <w:jc w:val="both"/>
        <w:rPr>
          <w:lang w:val="es-ES"/>
        </w:rPr>
      </w:pPr>
      <w:r w:rsidRPr="00C14D91">
        <w:rPr>
          <w:lang w:val="es-ES"/>
        </w:rPr>
        <w:t>Al cierre de 3er trimestre del 201</w:t>
      </w:r>
      <w:r w:rsidR="0073716E" w:rsidRPr="0073716E">
        <w:rPr>
          <w:lang w:val="es-ES"/>
        </w:rPr>
        <w:t>9</w:t>
      </w:r>
      <w:r w:rsidRPr="00C14D91">
        <w:rPr>
          <w:lang w:val="es-ES"/>
        </w:rPr>
        <w:t xml:space="preserve">, </w:t>
      </w:r>
      <w:r w:rsidR="00A47144">
        <w:rPr>
          <w:lang w:val="es-ES"/>
        </w:rPr>
        <w:t>hay</w:t>
      </w:r>
      <w:r w:rsidRPr="00C14D91">
        <w:rPr>
          <w:lang w:val="es-ES"/>
        </w:rPr>
        <w:t xml:space="preserve"> un avance de un 73% en color amarillo</w:t>
      </w:r>
      <w:r w:rsidR="00A47144">
        <w:rPr>
          <w:lang w:val="es-ES"/>
        </w:rPr>
        <w:t xml:space="preserve">, varias acciones están en proceso, </w:t>
      </w:r>
      <w:r w:rsidRPr="00C14D91">
        <w:rPr>
          <w:lang w:val="es-ES"/>
        </w:rPr>
        <w:t>l</w:t>
      </w:r>
      <w:r w:rsidR="00A47144">
        <w:rPr>
          <w:lang w:val="es-ES"/>
        </w:rPr>
        <w:t>a</w:t>
      </w:r>
      <w:r w:rsidRPr="00C14D91">
        <w:rPr>
          <w:lang w:val="es-ES"/>
        </w:rPr>
        <w:t>s cuales servirán para completar requerimientos pendientes de las NORTIC</w:t>
      </w:r>
      <w:r w:rsidR="00A47144">
        <w:rPr>
          <w:lang w:val="es-ES"/>
        </w:rPr>
        <w:t xml:space="preserve"> y</w:t>
      </w:r>
      <w:r w:rsidR="0073716E" w:rsidRPr="0073716E">
        <w:rPr>
          <w:lang w:val="es-ES"/>
        </w:rPr>
        <w:t xml:space="preserve"> se mantiene el mismo resultado del 2018.</w:t>
      </w:r>
    </w:p>
    <w:p w14:paraId="080D07FB" w14:textId="77777777" w:rsidR="00BE15A6" w:rsidRPr="00E406B4" w:rsidRDefault="00BE15A6" w:rsidP="00E406B4">
      <w:pPr>
        <w:rPr>
          <w:highlight w:val="yellow"/>
          <w:lang w:val="es-ES"/>
        </w:rPr>
      </w:pPr>
    </w:p>
    <w:p w14:paraId="5CD7D108" w14:textId="4F10AC4C" w:rsidR="00DD63CB" w:rsidRPr="00A47144" w:rsidRDefault="00E6698C" w:rsidP="00DD63CB">
      <w:pPr>
        <w:spacing w:line="480" w:lineRule="auto"/>
        <w:jc w:val="both"/>
        <w:rPr>
          <w:b/>
          <w:lang w:val="es-ES"/>
        </w:rPr>
      </w:pPr>
      <w:r w:rsidRPr="00C14D91">
        <w:rPr>
          <w:b/>
          <w:sz w:val="28"/>
          <w:szCs w:val="28"/>
          <w:lang w:val="es-ES"/>
        </w:rPr>
        <w:t xml:space="preserve">Normas Básicas </w:t>
      </w:r>
      <w:r w:rsidRPr="00A47144">
        <w:rPr>
          <w:b/>
          <w:sz w:val="28"/>
          <w:szCs w:val="28"/>
          <w:lang w:val="es-ES"/>
        </w:rPr>
        <w:t>de Control Interno</w:t>
      </w:r>
      <w:r w:rsidRPr="00A47144">
        <w:rPr>
          <w:b/>
          <w:lang w:val="es-ES"/>
        </w:rPr>
        <w:t xml:space="preserve"> </w:t>
      </w:r>
      <w:r w:rsidR="00DD63CB" w:rsidRPr="00A47144">
        <w:rPr>
          <w:b/>
          <w:lang w:val="es-ES"/>
        </w:rPr>
        <w:t>(NOBACI):</w:t>
      </w:r>
    </w:p>
    <w:p w14:paraId="5E7AFF5D" w14:textId="41D819D9" w:rsidR="00DD63CB" w:rsidRPr="00C14D91" w:rsidRDefault="00DD63CB" w:rsidP="00DD63CB">
      <w:pPr>
        <w:spacing w:line="480" w:lineRule="auto"/>
        <w:jc w:val="both"/>
        <w:rPr>
          <w:lang w:val="es-ES"/>
        </w:rPr>
      </w:pPr>
      <w:r w:rsidRPr="00A47144">
        <w:rPr>
          <w:lang w:val="es-ES"/>
        </w:rPr>
        <w:t>Al cierre del cuarto (4to) trimestre del 201</w:t>
      </w:r>
      <w:r w:rsidR="00A47144" w:rsidRPr="00A47144">
        <w:rPr>
          <w:lang w:val="es-ES"/>
        </w:rPr>
        <w:t>9</w:t>
      </w:r>
      <w:r w:rsidRPr="00C14D91">
        <w:rPr>
          <w:lang w:val="es-ES"/>
        </w:rPr>
        <w:t xml:space="preserve">, </w:t>
      </w:r>
      <w:r w:rsidR="00877346" w:rsidRPr="00C14D91">
        <w:rPr>
          <w:lang w:val="es-ES"/>
        </w:rPr>
        <w:t xml:space="preserve">en cuanto a la evaluación institucional </w:t>
      </w:r>
      <w:r w:rsidRPr="00C14D91">
        <w:rPr>
          <w:lang w:val="es-ES"/>
        </w:rPr>
        <w:t xml:space="preserve">cerramos con un avance de un </w:t>
      </w:r>
      <w:r w:rsidR="00A47144" w:rsidRPr="00A47144">
        <w:rPr>
          <w:lang w:val="es-ES"/>
        </w:rPr>
        <w:t xml:space="preserve">82%, un 11.61% más que el 2018, para estar en color verde. </w:t>
      </w:r>
    </w:p>
    <w:p w14:paraId="744E418C" w14:textId="77777777" w:rsidR="00AD5BF6" w:rsidRPr="00E406B4" w:rsidRDefault="00AD5BF6" w:rsidP="00DD63CB">
      <w:pPr>
        <w:spacing w:line="480" w:lineRule="auto"/>
        <w:jc w:val="both"/>
        <w:rPr>
          <w:highlight w:val="yellow"/>
          <w:lang w:val="es-ES"/>
        </w:rPr>
      </w:pPr>
    </w:p>
    <w:p w14:paraId="1E3106EA" w14:textId="33CEA921" w:rsidR="00877346" w:rsidRPr="00E406B4" w:rsidRDefault="00E6698C" w:rsidP="00877346">
      <w:pPr>
        <w:spacing w:line="480" w:lineRule="auto"/>
        <w:jc w:val="both"/>
        <w:rPr>
          <w:b/>
          <w:sz w:val="28"/>
          <w:szCs w:val="28"/>
          <w:lang w:val="es-ES"/>
        </w:rPr>
      </w:pPr>
      <w:r w:rsidRPr="00E406B4">
        <w:rPr>
          <w:b/>
          <w:sz w:val="28"/>
          <w:szCs w:val="28"/>
          <w:lang w:val="es-ES"/>
        </w:rPr>
        <w:t xml:space="preserve">Cumplimiento de la Ley Sobre Libre Acceso a la Información Pública </w:t>
      </w:r>
      <w:r w:rsidR="00877346" w:rsidRPr="00E406B4">
        <w:rPr>
          <w:b/>
          <w:sz w:val="28"/>
          <w:szCs w:val="28"/>
          <w:lang w:val="es-ES"/>
        </w:rPr>
        <w:t>(LEY NO. 200-04):</w:t>
      </w:r>
    </w:p>
    <w:p w14:paraId="26BBABB2" w14:textId="1F3FE33E" w:rsidR="00C7752A" w:rsidRPr="00C14D91" w:rsidRDefault="00877346" w:rsidP="00877346">
      <w:pPr>
        <w:spacing w:line="480" w:lineRule="auto"/>
        <w:jc w:val="both"/>
        <w:rPr>
          <w:lang w:val="es-ES"/>
        </w:rPr>
      </w:pPr>
      <w:r w:rsidRPr="00C14D91">
        <w:rPr>
          <w:lang w:val="es-ES"/>
        </w:rPr>
        <w:t>Al cierre del cuarto (3er) trimestre del 201</w:t>
      </w:r>
      <w:r w:rsidR="00A47144" w:rsidRPr="00A47144">
        <w:rPr>
          <w:lang w:val="es-ES"/>
        </w:rPr>
        <w:t>9</w:t>
      </w:r>
      <w:r w:rsidRPr="00C14D91">
        <w:rPr>
          <w:lang w:val="es-ES"/>
        </w:rPr>
        <w:t xml:space="preserve">, cerramos con un avance de un </w:t>
      </w:r>
      <w:r w:rsidR="00A47144" w:rsidRPr="00A47144">
        <w:rPr>
          <w:lang w:val="es-ES"/>
        </w:rPr>
        <w:t>94%, es decir un 18</w:t>
      </w:r>
      <w:r w:rsidRPr="00C14D91">
        <w:rPr>
          <w:lang w:val="es-ES"/>
        </w:rPr>
        <w:t xml:space="preserve">% </w:t>
      </w:r>
      <w:r w:rsidR="00A47144" w:rsidRPr="00A47144">
        <w:rPr>
          <w:lang w:val="es-ES"/>
        </w:rPr>
        <w:t xml:space="preserve">más que el 2018, para color verde. </w:t>
      </w:r>
      <w:r w:rsidR="000F2C45" w:rsidRPr="00C14D91">
        <w:rPr>
          <w:lang w:val="es-ES"/>
        </w:rPr>
        <w:t>Está</w:t>
      </w:r>
      <w:r w:rsidR="001F4018" w:rsidRPr="00C14D91">
        <w:rPr>
          <w:lang w:val="es-ES"/>
        </w:rPr>
        <w:t xml:space="preserve"> compuesto por un sub indicador, el cual mide que la Direccion General de </w:t>
      </w:r>
      <w:r w:rsidR="001F4018" w:rsidRPr="00A47144">
        <w:rPr>
          <w:lang w:val="es-ES"/>
        </w:rPr>
        <w:t xml:space="preserve">Minería, debe cumplir con todos los requerimientos de estandarización requeridos para el portal de transparencia normado por la Direccion General de Ética e Integridad Gubernamental </w:t>
      </w:r>
      <w:r w:rsidR="001F4018" w:rsidRPr="00E406B4">
        <w:rPr>
          <w:b/>
          <w:lang w:val="es-ES"/>
        </w:rPr>
        <w:t>(DIGEIG)</w:t>
      </w:r>
      <w:r w:rsidR="001F4018" w:rsidRPr="00C14D91">
        <w:rPr>
          <w:lang w:val="es-ES"/>
        </w:rPr>
        <w:t xml:space="preserve">, además de tener las informaciones publicadas actualizadas y disponibles al ciudadano, el mismo tiene una meta de 100% y </w:t>
      </w:r>
      <w:r w:rsidR="001F4018" w:rsidRPr="00A47144">
        <w:rPr>
          <w:lang w:val="es-ES"/>
        </w:rPr>
        <w:t xml:space="preserve">alcanzamos un </w:t>
      </w:r>
      <w:r w:rsidR="00A47144" w:rsidRPr="00A47144">
        <w:rPr>
          <w:lang w:val="es-ES"/>
        </w:rPr>
        <w:t>94</w:t>
      </w:r>
      <w:r w:rsidR="001F4018" w:rsidRPr="00C14D91">
        <w:rPr>
          <w:lang w:val="es-ES"/>
        </w:rPr>
        <w:t xml:space="preserve">%, para un cumplimiento de un </w:t>
      </w:r>
      <w:r w:rsidR="00A47144" w:rsidRPr="00A47144">
        <w:rPr>
          <w:lang w:val="es-ES"/>
        </w:rPr>
        <w:t>94%</w:t>
      </w:r>
      <w:r w:rsidR="001F4018" w:rsidRPr="00C14D91">
        <w:rPr>
          <w:lang w:val="es-ES"/>
        </w:rPr>
        <w:t xml:space="preserve">%. Por tanto </w:t>
      </w:r>
      <w:r w:rsidR="00C7752A" w:rsidRPr="00C14D91">
        <w:rPr>
          <w:lang w:val="es-ES"/>
        </w:rPr>
        <w:t>cabe destacar que las actualizaciones de puntos observados por la Direccion General de Integridad Gu</w:t>
      </w:r>
      <w:r w:rsidR="00C7752A" w:rsidRPr="00A47144">
        <w:rPr>
          <w:lang w:val="es-ES"/>
        </w:rPr>
        <w:t xml:space="preserve">bernamental </w:t>
      </w:r>
      <w:r w:rsidR="00C7752A" w:rsidRPr="00E406B4">
        <w:rPr>
          <w:b/>
          <w:lang w:val="es-ES"/>
        </w:rPr>
        <w:t>(DIGEIG),</w:t>
      </w:r>
      <w:r w:rsidR="00C7752A" w:rsidRPr="00C14D91">
        <w:rPr>
          <w:lang w:val="es-ES"/>
        </w:rPr>
        <w:t xml:space="preserve"> fueron todos completados al cierre de este </w:t>
      </w:r>
      <w:r w:rsidR="00A47144" w:rsidRPr="00A47144">
        <w:rPr>
          <w:lang w:val="es-ES"/>
        </w:rPr>
        <w:t>trimestre.</w:t>
      </w:r>
    </w:p>
    <w:p w14:paraId="5E6320CA" w14:textId="77777777" w:rsidR="00C7752A" w:rsidRPr="00E406B4" w:rsidRDefault="00C7752A" w:rsidP="00E406B4">
      <w:pPr>
        <w:jc w:val="both"/>
        <w:rPr>
          <w:highlight w:val="yellow"/>
          <w:lang w:val="es-ES"/>
        </w:rPr>
      </w:pPr>
    </w:p>
    <w:p w14:paraId="636010D9" w14:textId="77777777" w:rsidR="00022127" w:rsidRPr="00E406B4" w:rsidRDefault="00022127" w:rsidP="00E406B4">
      <w:pPr>
        <w:jc w:val="both"/>
        <w:rPr>
          <w:highlight w:val="yellow"/>
          <w:lang w:val="es-ES"/>
        </w:rPr>
      </w:pPr>
    </w:p>
    <w:p w14:paraId="77733064" w14:textId="77777777" w:rsidR="00022127" w:rsidRPr="00E406B4" w:rsidRDefault="00022127" w:rsidP="00E406B4">
      <w:pPr>
        <w:jc w:val="both"/>
        <w:rPr>
          <w:highlight w:val="yellow"/>
          <w:lang w:val="es-ES"/>
        </w:rPr>
      </w:pPr>
    </w:p>
    <w:p w14:paraId="554B9092" w14:textId="3D18F6DF" w:rsidR="00C7752A" w:rsidRPr="00E406B4" w:rsidRDefault="00877346" w:rsidP="00C7752A">
      <w:pPr>
        <w:spacing w:line="480" w:lineRule="auto"/>
        <w:jc w:val="both"/>
        <w:rPr>
          <w:b/>
          <w:sz w:val="28"/>
          <w:szCs w:val="28"/>
          <w:lang w:val="es-ES"/>
        </w:rPr>
      </w:pPr>
      <w:r w:rsidRPr="00C14D91">
        <w:rPr>
          <w:lang w:val="es-ES"/>
        </w:rPr>
        <w:lastRenderedPageBreak/>
        <w:t xml:space="preserve"> </w:t>
      </w:r>
      <w:r w:rsidR="00E6698C" w:rsidRPr="00C14D91">
        <w:rPr>
          <w:b/>
          <w:sz w:val="28"/>
          <w:szCs w:val="28"/>
          <w:lang w:val="es-ES"/>
        </w:rPr>
        <w:t>Gestión Presupuestaria:</w:t>
      </w:r>
    </w:p>
    <w:p w14:paraId="5B624015" w14:textId="0FB5E080" w:rsidR="008C46A5" w:rsidRPr="00A02583" w:rsidRDefault="00C7752A" w:rsidP="00C7752A">
      <w:pPr>
        <w:spacing w:line="480" w:lineRule="auto"/>
        <w:jc w:val="both"/>
        <w:rPr>
          <w:lang w:val="es-ES"/>
        </w:rPr>
      </w:pPr>
      <w:r w:rsidRPr="00C14D91">
        <w:rPr>
          <w:lang w:val="es-ES"/>
        </w:rPr>
        <w:t>En este indicador al cierre del cuarto (3er) trimestre del 201</w:t>
      </w:r>
      <w:r w:rsidR="00A02583" w:rsidRPr="00A02583">
        <w:rPr>
          <w:lang w:val="es-ES"/>
        </w:rPr>
        <w:t>9</w:t>
      </w:r>
      <w:r w:rsidRPr="00C14D91">
        <w:rPr>
          <w:lang w:val="es-ES"/>
        </w:rPr>
        <w:t>, cerramos con un avance de un 100% en colo</w:t>
      </w:r>
      <w:r w:rsidRPr="00A02583">
        <w:rPr>
          <w:lang w:val="es-ES"/>
        </w:rPr>
        <w:t xml:space="preserve">r verde. El mismo está compuesto por dos (2) sub indicadores, los cuales son: </w:t>
      </w:r>
      <w:r w:rsidRPr="00E406B4">
        <w:rPr>
          <w:b/>
          <w:lang w:val="es-ES"/>
        </w:rPr>
        <w:t>Eficacia Presupuestaria,</w:t>
      </w:r>
      <w:r w:rsidRPr="00C14D91">
        <w:rPr>
          <w:lang w:val="es-ES"/>
        </w:rPr>
        <w:t xml:space="preserve"> el cual mide el grado de cumplimiento de los objetivos de la producción de bienes y servicios (producción física) de la</w:t>
      </w:r>
      <w:r w:rsidR="004454EF" w:rsidRPr="00C14D91">
        <w:rPr>
          <w:lang w:val="es-ES"/>
        </w:rPr>
        <w:t xml:space="preserve"> Direccion General de </w:t>
      </w:r>
      <w:r w:rsidR="004454EF" w:rsidRPr="00A02583">
        <w:rPr>
          <w:lang w:val="es-ES"/>
        </w:rPr>
        <w:t>Minería</w:t>
      </w:r>
      <w:r w:rsidRPr="00A02583">
        <w:rPr>
          <w:lang w:val="es-ES"/>
        </w:rPr>
        <w:t>, sin referirse al costo de los mismo, por tanto se mide el porcentaje de cumplimiento de las metas físicas del presupuesto institucional, la meta</w:t>
      </w:r>
      <w:r w:rsidR="008C46A5" w:rsidRPr="00A02583">
        <w:rPr>
          <w:lang w:val="es-ES"/>
        </w:rPr>
        <w:t xml:space="preserve"> </w:t>
      </w:r>
      <w:r w:rsidR="004723C9" w:rsidRPr="00A02583">
        <w:rPr>
          <w:lang w:val="es-ES"/>
        </w:rPr>
        <w:t>Del</w:t>
      </w:r>
      <w:r w:rsidRPr="00A02583">
        <w:rPr>
          <w:lang w:val="es-ES"/>
        </w:rPr>
        <w:t xml:space="preserve"> mismo era de un 100% para un logro de un 100%.  </w:t>
      </w:r>
    </w:p>
    <w:p w14:paraId="58C2550D" w14:textId="77777777" w:rsidR="008C46A5" w:rsidRPr="00E406B4" w:rsidRDefault="008C46A5" w:rsidP="00C7752A">
      <w:pPr>
        <w:spacing w:line="480" w:lineRule="auto"/>
        <w:jc w:val="both"/>
        <w:rPr>
          <w:highlight w:val="yellow"/>
          <w:lang w:val="es-ES"/>
        </w:rPr>
      </w:pPr>
    </w:p>
    <w:p w14:paraId="4B5F32EA" w14:textId="63413CB2" w:rsidR="00877346" w:rsidRPr="00A02583" w:rsidRDefault="00C7752A" w:rsidP="00C7752A">
      <w:pPr>
        <w:spacing w:line="480" w:lineRule="auto"/>
        <w:jc w:val="both"/>
        <w:rPr>
          <w:lang w:val="es-ES"/>
        </w:rPr>
      </w:pPr>
      <w:r w:rsidRPr="00C14D91">
        <w:rPr>
          <w:lang w:val="es-ES"/>
        </w:rPr>
        <w:t xml:space="preserve">El otro sub indicador es el de la </w:t>
      </w:r>
      <w:r w:rsidRPr="00E406B4">
        <w:rPr>
          <w:b/>
          <w:lang w:val="es-ES"/>
        </w:rPr>
        <w:t>Correcta Publicación de la Información Presupuestaria</w:t>
      </w:r>
      <w:r w:rsidRPr="00C14D91">
        <w:rPr>
          <w:lang w:val="es-ES"/>
        </w:rPr>
        <w:t xml:space="preserve">, el cual mide la apertura y validez de la información </w:t>
      </w:r>
      <w:r w:rsidRPr="00A02583">
        <w:rPr>
          <w:lang w:val="es-ES"/>
        </w:rPr>
        <w:t>presupuestaria puesta a disposición de la ciudadanía por la Direccion General de Minería en su portal de transparencia, para el mismo la meta es de un 100% con nivel de cumplimiento de un 100%.</w:t>
      </w:r>
    </w:p>
    <w:p w14:paraId="47CC2C91" w14:textId="77777777" w:rsidR="004454EF" w:rsidRPr="00E406B4" w:rsidRDefault="004454EF" w:rsidP="00E406B4">
      <w:pPr>
        <w:spacing w:line="360" w:lineRule="auto"/>
        <w:jc w:val="both"/>
        <w:rPr>
          <w:highlight w:val="yellow"/>
          <w:lang w:val="es-ES"/>
        </w:rPr>
      </w:pPr>
    </w:p>
    <w:p w14:paraId="08D7851A" w14:textId="26CE1EDE" w:rsidR="004454EF" w:rsidRPr="00E406B4" w:rsidRDefault="00E6698C" w:rsidP="004454EF">
      <w:pPr>
        <w:spacing w:line="480" w:lineRule="auto"/>
        <w:jc w:val="both"/>
        <w:rPr>
          <w:b/>
          <w:sz w:val="28"/>
          <w:szCs w:val="28"/>
          <w:lang w:val="es-ES"/>
        </w:rPr>
      </w:pPr>
      <w:r w:rsidRPr="00C14D91">
        <w:rPr>
          <w:b/>
          <w:sz w:val="28"/>
          <w:szCs w:val="28"/>
          <w:lang w:val="es-ES"/>
        </w:rPr>
        <w:t>Contrataciones Públicas:</w:t>
      </w:r>
    </w:p>
    <w:p w14:paraId="7ED69322" w14:textId="33FDA572" w:rsidR="004454EF" w:rsidRPr="00A02583" w:rsidRDefault="004454EF" w:rsidP="004454EF">
      <w:pPr>
        <w:spacing w:line="480" w:lineRule="auto"/>
        <w:jc w:val="both"/>
        <w:rPr>
          <w:lang w:val="es-ES"/>
        </w:rPr>
      </w:pPr>
      <w:r w:rsidRPr="00C14D91">
        <w:rPr>
          <w:lang w:val="es-ES"/>
        </w:rPr>
        <w:t>En este indicador al cierre del cuarto (3er) trimestre del 201</w:t>
      </w:r>
      <w:r w:rsidR="00A02583" w:rsidRPr="00A02583">
        <w:rPr>
          <w:lang w:val="es-ES"/>
        </w:rPr>
        <w:t>9</w:t>
      </w:r>
      <w:r w:rsidRPr="00C14D91">
        <w:rPr>
          <w:lang w:val="es-ES"/>
        </w:rPr>
        <w:t xml:space="preserve">, cerramos con un avance de un </w:t>
      </w:r>
      <w:r w:rsidR="00A02583" w:rsidRPr="00A02583">
        <w:rPr>
          <w:lang w:val="es-ES"/>
        </w:rPr>
        <w:t>94</w:t>
      </w:r>
      <w:r w:rsidRPr="00C14D91">
        <w:rPr>
          <w:lang w:val="es-ES"/>
        </w:rPr>
        <w:t>% en color verde. El mismo está compuesto por cinco (</w:t>
      </w:r>
      <w:r w:rsidRPr="00A02583">
        <w:rPr>
          <w:lang w:val="es-ES"/>
        </w:rPr>
        <w:t xml:space="preserve">5) sub indicadores, los cuales son los siguientes: </w:t>
      </w:r>
      <w:r w:rsidRPr="00E406B4">
        <w:rPr>
          <w:b/>
          <w:lang w:val="es-ES"/>
        </w:rPr>
        <w:t>Planificación de compras</w:t>
      </w:r>
      <w:r w:rsidRPr="00C14D91">
        <w:rPr>
          <w:lang w:val="es-ES"/>
        </w:rPr>
        <w:t xml:space="preserve">, mide que la Direccion General de </w:t>
      </w:r>
      <w:r w:rsidR="009031ED" w:rsidRPr="00C14D91">
        <w:rPr>
          <w:lang w:val="es-ES"/>
        </w:rPr>
        <w:t>Minería</w:t>
      </w:r>
      <w:r w:rsidRPr="00C14D91">
        <w:rPr>
          <w:lang w:val="es-ES"/>
        </w:rPr>
        <w:t xml:space="preserve">, haya realizado el proceso de </w:t>
      </w:r>
      <w:r w:rsidRPr="00A02583">
        <w:rPr>
          <w:lang w:val="es-ES"/>
        </w:rPr>
        <w:t xml:space="preserve">planificación establecido en la normativa, para el cual la meta es de quince (15) puntos y </w:t>
      </w:r>
      <w:r w:rsidR="009031ED" w:rsidRPr="00A02583">
        <w:rPr>
          <w:lang w:val="es-ES"/>
        </w:rPr>
        <w:t>alcanzamos</w:t>
      </w:r>
      <w:r w:rsidRPr="00A02583">
        <w:rPr>
          <w:lang w:val="es-ES"/>
        </w:rPr>
        <w:t xml:space="preserve"> un logro de los quince (15) puntos</w:t>
      </w:r>
      <w:r w:rsidR="009031ED" w:rsidRPr="00A02583">
        <w:rPr>
          <w:lang w:val="es-ES"/>
        </w:rPr>
        <w:t>, para un cumplimiento de un 100%</w:t>
      </w:r>
      <w:r w:rsidRPr="00A02583">
        <w:rPr>
          <w:lang w:val="es-ES"/>
        </w:rPr>
        <w:t>.</w:t>
      </w:r>
    </w:p>
    <w:p w14:paraId="1DDCD1BA" w14:textId="77777777" w:rsidR="004454EF" w:rsidRDefault="004454EF" w:rsidP="004970F8">
      <w:pPr>
        <w:spacing w:line="360" w:lineRule="auto"/>
        <w:jc w:val="both"/>
        <w:rPr>
          <w:lang w:val="es-ES"/>
        </w:rPr>
      </w:pPr>
    </w:p>
    <w:p w14:paraId="382BF131" w14:textId="77777777" w:rsidR="004970F8" w:rsidRPr="00C14D91" w:rsidRDefault="004970F8" w:rsidP="00E406B4">
      <w:pPr>
        <w:spacing w:line="360" w:lineRule="auto"/>
        <w:jc w:val="both"/>
        <w:rPr>
          <w:lang w:val="es-ES"/>
        </w:rPr>
      </w:pPr>
    </w:p>
    <w:p w14:paraId="3B669BFF" w14:textId="384A00AE" w:rsidR="004454EF" w:rsidRPr="00E406B4" w:rsidRDefault="009031ED" w:rsidP="004454EF">
      <w:pPr>
        <w:spacing w:line="480" w:lineRule="auto"/>
        <w:jc w:val="both"/>
        <w:rPr>
          <w:b/>
          <w:sz w:val="28"/>
          <w:szCs w:val="28"/>
          <w:lang w:val="es-ES"/>
        </w:rPr>
      </w:pPr>
      <w:r w:rsidRPr="00E406B4">
        <w:rPr>
          <w:b/>
          <w:sz w:val="28"/>
          <w:szCs w:val="28"/>
          <w:lang w:val="es-ES"/>
        </w:rPr>
        <w:lastRenderedPageBreak/>
        <w:t>Publicación</w:t>
      </w:r>
      <w:r w:rsidR="004454EF" w:rsidRPr="00E406B4">
        <w:rPr>
          <w:b/>
          <w:sz w:val="28"/>
          <w:szCs w:val="28"/>
          <w:lang w:val="es-ES"/>
        </w:rPr>
        <w:t xml:space="preserve"> de procesos:</w:t>
      </w:r>
    </w:p>
    <w:p w14:paraId="51025BE4" w14:textId="77777777" w:rsidR="009031ED" w:rsidRPr="00A02583" w:rsidRDefault="009031ED" w:rsidP="009031ED">
      <w:pPr>
        <w:spacing w:line="480" w:lineRule="auto"/>
        <w:jc w:val="both"/>
        <w:rPr>
          <w:lang w:val="es-ES"/>
        </w:rPr>
      </w:pPr>
      <w:r w:rsidRPr="00C14D91">
        <w:rPr>
          <w:lang w:val="es-ES"/>
        </w:rPr>
        <w:t>Este sub indicador mide que los procesos de compras realizados por la Direccion General de Minería, haya</w:t>
      </w:r>
      <w:r w:rsidRPr="00A02583">
        <w:rPr>
          <w:lang w:val="es-ES"/>
        </w:rPr>
        <w:t>n sido publicados en el portal transaccional, para el cual la meta es de quince (15) puntos y alcanzamos un logro de los quince (15) puntos, para un cumplimiento de un 100%.</w:t>
      </w:r>
    </w:p>
    <w:p w14:paraId="5126B194" w14:textId="628C0C66" w:rsidR="009031ED" w:rsidRPr="00A02583" w:rsidRDefault="009031ED" w:rsidP="00E406B4">
      <w:pPr>
        <w:spacing w:line="360" w:lineRule="auto"/>
        <w:jc w:val="both"/>
        <w:rPr>
          <w:lang w:val="es-ES"/>
        </w:rPr>
      </w:pPr>
    </w:p>
    <w:p w14:paraId="40888F83" w14:textId="710F09E4" w:rsidR="009031ED" w:rsidRPr="00E406B4" w:rsidRDefault="009031ED" w:rsidP="009031ED">
      <w:pPr>
        <w:spacing w:line="480" w:lineRule="auto"/>
        <w:jc w:val="both"/>
        <w:rPr>
          <w:b/>
          <w:sz w:val="28"/>
          <w:szCs w:val="28"/>
          <w:lang w:val="es-ES"/>
        </w:rPr>
      </w:pPr>
      <w:r w:rsidRPr="00E406B4">
        <w:rPr>
          <w:b/>
          <w:sz w:val="28"/>
          <w:szCs w:val="28"/>
          <w:lang w:val="es-ES"/>
        </w:rPr>
        <w:t>Gestión de procesos:</w:t>
      </w:r>
    </w:p>
    <w:p w14:paraId="4F7D4110" w14:textId="34C3796D" w:rsidR="004723C9" w:rsidRPr="00A02583" w:rsidRDefault="009031ED" w:rsidP="005B16A3">
      <w:pPr>
        <w:spacing w:line="480" w:lineRule="auto"/>
        <w:jc w:val="both"/>
        <w:rPr>
          <w:lang w:val="es-ES"/>
        </w:rPr>
      </w:pPr>
      <w:r w:rsidRPr="00C14D91">
        <w:rPr>
          <w:lang w:val="es-ES"/>
        </w:rPr>
        <w:t xml:space="preserve">Este sub indicador mide que las contrataciones sean gestionadas por la Direccion General de Minería, hayan sido publicados en el portal transaccional, agotando cada fase en las fechas establecidas en los </w:t>
      </w:r>
    </w:p>
    <w:p w14:paraId="51F66463" w14:textId="29386D71" w:rsidR="009031ED" w:rsidRPr="00C14D91" w:rsidRDefault="009031ED" w:rsidP="009031ED">
      <w:pPr>
        <w:spacing w:line="480" w:lineRule="auto"/>
        <w:jc w:val="both"/>
        <w:rPr>
          <w:lang w:val="es-ES"/>
        </w:rPr>
      </w:pPr>
      <w:r w:rsidRPr="00A02583">
        <w:rPr>
          <w:lang w:val="es-ES"/>
        </w:rPr>
        <w:t xml:space="preserve">cronogramas de procesos, para el cual la meta es de veinte (20) puntos y alcanzamos un logro de diez y </w:t>
      </w:r>
      <w:r w:rsidR="00A02583">
        <w:rPr>
          <w:lang w:val="es-ES"/>
        </w:rPr>
        <w:t>nueve</w:t>
      </w:r>
      <w:r w:rsidRPr="00C14D91">
        <w:rPr>
          <w:lang w:val="es-ES"/>
        </w:rPr>
        <w:t xml:space="preserve"> punto </w:t>
      </w:r>
      <w:r w:rsidR="00A02583">
        <w:rPr>
          <w:lang w:val="es-ES"/>
        </w:rPr>
        <w:t>cuarenta</w:t>
      </w:r>
      <w:r w:rsidRPr="00C14D91">
        <w:rPr>
          <w:lang w:val="es-ES"/>
        </w:rPr>
        <w:t xml:space="preserve"> y </w:t>
      </w:r>
      <w:r w:rsidR="00A02583">
        <w:rPr>
          <w:lang w:val="es-ES"/>
        </w:rPr>
        <w:t>uno</w:t>
      </w:r>
      <w:r w:rsidRPr="00C14D91">
        <w:rPr>
          <w:lang w:val="es-ES"/>
        </w:rPr>
        <w:t xml:space="preserve"> (1</w:t>
      </w:r>
      <w:r w:rsidR="00A02583">
        <w:rPr>
          <w:lang w:val="es-ES"/>
        </w:rPr>
        <w:t>9</w:t>
      </w:r>
      <w:r w:rsidRPr="00C14D91">
        <w:rPr>
          <w:lang w:val="es-ES"/>
        </w:rPr>
        <w:t>.</w:t>
      </w:r>
      <w:r w:rsidR="00A02583">
        <w:rPr>
          <w:lang w:val="es-ES"/>
        </w:rPr>
        <w:t>41</w:t>
      </w:r>
      <w:r w:rsidRPr="00C14D91">
        <w:rPr>
          <w:lang w:val="es-ES"/>
        </w:rPr>
        <w:t xml:space="preserve">) puntos, para un cumplimiento de un </w:t>
      </w:r>
      <w:r w:rsidR="002B1F0B" w:rsidRPr="00C14D91">
        <w:rPr>
          <w:lang w:val="es-ES"/>
        </w:rPr>
        <w:t>9</w:t>
      </w:r>
      <w:r w:rsidR="00A02583">
        <w:rPr>
          <w:lang w:val="es-ES"/>
        </w:rPr>
        <w:t>7</w:t>
      </w:r>
      <w:r w:rsidR="002B1F0B" w:rsidRPr="00C14D91">
        <w:rPr>
          <w:lang w:val="es-ES"/>
        </w:rPr>
        <w:t>.</w:t>
      </w:r>
      <w:r w:rsidR="00A02583">
        <w:rPr>
          <w:lang w:val="es-ES"/>
        </w:rPr>
        <w:t>0</w:t>
      </w:r>
      <w:r w:rsidR="002B1F0B" w:rsidRPr="00C14D91">
        <w:rPr>
          <w:lang w:val="es-ES"/>
        </w:rPr>
        <w:t>5</w:t>
      </w:r>
      <w:r w:rsidRPr="00C14D91">
        <w:rPr>
          <w:lang w:val="es-ES"/>
        </w:rPr>
        <w:t>%.</w:t>
      </w:r>
    </w:p>
    <w:p w14:paraId="4A162376" w14:textId="77777777" w:rsidR="008C46A5" w:rsidRPr="00A02583" w:rsidRDefault="008C46A5" w:rsidP="00E406B4">
      <w:pPr>
        <w:spacing w:line="360" w:lineRule="auto"/>
        <w:jc w:val="both"/>
        <w:rPr>
          <w:lang w:val="es-ES"/>
        </w:rPr>
      </w:pPr>
    </w:p>
    <w:p w14:paraId="3F48987A" w14:textId="06BD69D0" w:rsidR="002B1F0B" w:rsidRPr="00E406B4" w:rsidRDefault="002B1F0B" w:rsidP="002B1F0B">
      <w:pPr>
        <w:spacing w:line="480" w:lineRule="auto"/>
        <w:jc w:val="both"/>
        <w:rPr>
          <w:b/>
          <w:sz w:val="28"/>
          <w:szCs w:val="28"/>
          <w:lang w:val="es-ES"/>
        </w:rPr>
      </w:pPr>
      <w:r w:rsidRPr="00E406B4">
        <w:rPr>
          <w:b/>
          <w:sz w:val="28"/>
          <w:szCs w:val="28"/>
          <w:lang w:val="es-ES"/>
        </w:rPr>
        <w:t>Administración de contratos:</w:t>
      </w:r>
    </w:p>
    <w:p w14:paraId="6D570ADC" w14:textId="1220013F" w:rsidR="002B1F0B" w:rsidRPr="00C14D91" w:rsidRDefault="002B1F0B" w:rsidP="002B1F0B">
      <w:pPr>
        <w:spacing w:line="480" w:lineRule="auto"/>
        <w:jc w:val="both"/>
        <w:rPr>
          <w:lang w:val="es-ES"/>
        </w:rPr>
      </w:pPr>
      <w:r w:rsidRPr="00C14D91">
        <w:rPr>
          <w:lang w:val="es-ES"/>
        </w:rPr>
        <w:t>Este sub indicador mide que los contratos se encuentren con el estado actualizado, con sus planes de entrega registrados y que son concluidos y/o cerrados, en las fechas establecidas</w:t>
      </w:r>
      <w:r w:rsidRPr="00A02583">
        <w:rPr>
          <w:lang w:val="es-ES"/>
        </w:rPr>
        <w:t xml:space="preserve"> en el contrato, orden de compras u orden de servicio, para el cual la meta es de treinta (30) puntos y alcanzamos un logro de </w:t>
      </w:r>
      <w:r w:rsidR="00A02583">
        <w:rPr>
          <w:lang w:val="es-ES"/>
        </w:rPr>
        <w:t>veinte</w:t>
      </w:r>
      <w:r w:rsidRPr="00C14D91">
        <w:rPr>
          <w:lang w:val="es-ES"/>
        </w:rPr>
        <w:t xml:space="preserve"> y </w:t>
      </w:r>
      <w:r w:rsidR="00A02583">
        <w:rPr>
          <w:lang w:val="es-ES"/>
        </w:rPr>
        <w:t>cinco punto cero cinco</w:t>
      </w:r>
      <w:r w:rsidRPr="00C14D91">
        <w:rPr>
          <w:lang w:val="es-ES"/>
        </w:rPr>
        <w:t xml:space="preserve"> (</w:t>
      </w:r>
      <w:r w:rsidR="00A02583">
        <w:rPr>
          <w:lang w:val="es-ES"/>
        </w:rPr>
        <w:t>25.05</w:t>
      </w:r>
      <w:r w:rsidRPr="00C14D91">
        <w:rPr>
          <w:lang w:val="es-ES"/>
        </w:rPr>
        <w:t xml:space="preserve">) puntos, para un cumplimiento de un </w:t>
      </w:r>
      <w:r w:rsidR="00A02583">
        <w:rPr>
          <w:lang w:val="es-ES"/>
        </w:rPr>
        <w:t>8</w:t>
      </w:r>
      <w:r w:rsidRPr="00C14D91">
        <w:rPr>
          <w:lang w:val="es-ES"/>
        </w:rPr>
        <w:t>3.</w:t>
      </w:r>
      <w:r w:rsidR="00A02583">
        <w:rPr>
          <w:lang w:val="es-ES"/>
        </w:rPr>
        <w:t>5</w:t>
      </w:r>
      <w:r w:rsidRPr="00C14D91">
        <w:rPr>
          <w:lang w:val="es-ES"/>
        </w:rPr>
        <w:t>%.</w:t>
      </w:r>
    </w:p>
    <w:p w14:paraId="019FE78F" w14:textId="37F7E046" w:rsidR="002B1F0B" w:rsidRPr="00E406B4" w:rsidRDefault="002B1F0B" w:rsidP="002B1F0B">
      <w:pPr>
        <w:spacing w:line="480" w:lineRule="auto"/>
        <w:jc w:val="both"/>
        <w:rPr>
          <w:b/>
          <w:sz w:val="28"/>
          <w:szCs w:val="28"/>
          <w:lang w:val="es-ES"/>
        </w:rPr>
      </w:pPr>
      <w:r w:rsidRPr="00E406B4">
        <w:rPr>
          <w:b/>
          <w:sz w:val="28"/>
          <w:szCs w:val="28"/>
          <w:lang w:val="es-ES"/>
        </w:rPr>
        <w:t>Compras a Micro, Pequeña y Mediana Empresas (MiPYMES) y Mujeres:</w:t>
      </w:r>
    </w:p>
    <w:p w14:paraId="6E831351" w14:textId="01D7705F" w:rsidR="002B1F0B" w:rsidRPr="00A02583" w:rsidRDefault="002B1F0B" w:rsidP="002B1F0B">
      <w:pPr>
        <w:spacing w:line="480" w:lineRule="auto"/>
        <w:jc w:val="both"/>
        <w:rPr>
          <w:lang w:val="es-ES"/>
        </w:rPr>
      </w:pPr>
      <w:r w:rsidRPr="00C14D91">
        <w:rPr>
          <w:lang w:val="es-ES"/>
        </w:rPr>
        <w:t xml:space="preserve">Este sub indicador mide que una parte de los contratos, orden de compras u orden de servicio </w:t>
      </w:r>
      <w:r w:rsidRPr="00A02583">
        <w:rPr>
          <w:lang w:val="es-ES"/>
        </w:rPr>
        <w:t xml:space="preserve">realizados por la Direccion General de Minería, vayan orientados a ser colocados a las Micro, Pequeña y Medianas Empresas </w:t>
      </w:r>
      <w:r w:rsidRPr="00E406B4">
        <w:rPr>
          <w:b/>
          <w:lang w:val="es-ES"/>
        </w:rPr>
        <w:t>(MiPYMES)</w:t>
      </w:r>
      <w:r w:rsidRPr="00C14D91">
        <w:rPr>
          <w:lang w:val="es-ES"/>
        </w:rPr>
        <w:t xml:space="preserve"> y entre ellas mujeres, para el cual la meta es de </w:t>
      </w:r>
      <w:r w:rsidRPr="00A02583">
        <w:rPr>
          <w:lang w:val="es-ES"/>
        </w:rPr>
        <w:t>veinte (20) puntos y alcanzamos un logro de veinte (20) puntos, para un cumplimiento de un 100%.</w:t>
      </w:r>
    </w:p>
    <w:p w14:paraId="731C6E52" w14:textId="151892FA" w:rsidR="004723C9" w:rsidRPr="00E406B4" w:rsidRDefault="002A45D2" w:rsidP="004723C9">
      <w:pPr>
        <w:spacing w:line="480" w:lineRule="auto"/>
        <w:jc w:val="both"/>
        <w:rPr>
          <w:b/>
          <w:sz w:val="28"/>
          <w:szCs w:val="28"/>
          <w:lang w:val="es-ES"/>
        </w:rPr>
      </w:pPr>
      <w:r w:rsidRPr="00A02583">
        <w:rPr>
          <w:b/>
          <w:sz w:val="28"/>
          <w:szCs w:val="28"/>
          <w:lang w:val="es-ES"/>
        </w:rPr>
        <w:lastRenderedPageBreak/>
        <w:t>Transparencia Gubernamental:</w:t>
      </w:r>
    </w:p>
    <w:p w14:paraId="1EB7253E" w14:textId="2EEBCBF7" w:rsidR="004723C9" w:rsidRPr="00C14D91" w:rsidRDefault="004723C9" w:rsidP="00E406B4">
      <w:pPr>
        <w:spacing w:line="360" w:lineRule="auto"/>
        <w:jc w:val="both"/>
        <w:rPr>
          <w:lang w:val="es-ES"/>
        </w:rPr>
      </w:pPr>
      <w:r w:rsidRPr="00C14D91">
        <w:rPr>
          <w:lang w:val="es-ES"/>
        </w:rPr>
        <w:t>En este indicador al cierre del cuarto (3er) trimestre del 201</w:t>
      </w:r>
      <w:r w:rsidR="00A02583" w:rsidRPr="00A02583">
        <w:rPr>
          <w:lang w:val="es-ES"/>
        </w:rPr>
        <w:t>9</w:t>
      </w:r>
      <w:r w:rsidRPr="00C14D91">
        <w:rPr>
          <w:lang w:val="es-ES"/>
        </w:rPr>
        <w:t xml:space="preserve">, cerramos con un avance de un </w:t>
      </w:r>
      <w:r w:rsidR="00A02583" w:rsidRPr="00A02583">
        <w:rPr>
          <w:lang w:val="es-ES"/>
        </w:rPr>
        <w:t>93</w:t>
      </w:r>
      <w:r w:rsidRPr="00C14D91">
        <w:rPr>
          <w:lang w:val="es-ES"/>
        </w:rPr>
        <w:t>% en color verde</w:t>
      </w:r>
      <w:r w:rsidR="00A02583" w:rsidRPr="00A02583">
        <w:rPr>
          <w:lang w:val="es-ES"/>
        </w:rPr>
        <w:t xml:space="preserve">, un 5% más que el resultado del mismo periodo en el 2018. </w:t>
      </w:r>
      <w:r w:rsidRPr="00C14D91">
        <w:rPr>
          <w:lang w:val="es-ES"/>
        </w:rPr>
        <w:t>. El mismo está compuesto por cinco (5) sub indicadores, los cuales son los siguientes:</w:t>
      </w:r>
    </w:p>
    <w:p w14:paraId="58893EDF" w14:textId="77777777" w:rsidR="007F63CE" w:rsidRPr="00E406B4" w:rsidRDefault="007F63CE" w:rsidP="00E406B4">
      <w:pPr>
        <w:spacing w:line="360" w:lineRule="auto"/>
        <w:jc w:val="both"/>
        <w:rPr>
          <w:highlight w:val="yellow"/>
          <w:lang w:val="es-ES"/>
        </w:rPr>
      </w:pPr>
    </w:p>
    <w:p w14:paraId="25A0FAEF" w14:textId="4885ADFE" w:rsidR="004723C9" w:rsidRPr="00E406B4" w:rsidRDefault="000122AD" w:rsidP="004723C9">
      <w:pPr>
        <w:spacing w:line="480" w:lineRule="auto"/>
        <w:jc w:val="both"/>
        <w:rPr>
          <w:b/>
          <w:sz w:val="28"/>
          <w:szCs w:val="28"/>
          <w:lang w:val="es-ES"/>
        </w:rPr>
      </w:pPr>
      <w:r w:rsidRPr="00E406B4">
        <w:rPr>
          <w:b/>
          <w:sz w:val="28"/>
          <w:szCs w:val="28"/>
          <w:lang w:val="es-ES"/>
        </w:rPr>
        <w:t>Cumplimiento de la Ley 200-04</w:t>
      </w:r>
    </w:p>
    <w:p w14:paraId="4AE6A00A" w14:textId="26C0A0FC" w:rsidR="00F77D01" w:rsidRPr="00C14D91" w:rsidRDefault="00F77D01" w:rsidP="00F77D01">
      <w:pPr>
        <w:spacing w:line="480" w:lineRule="auto"/>
        <w:jc w:val="both"/>
        <w:rPr>
          <w:lang w:val="es-ES"/>
        </w:rPr>
      </w:pPr>
      <w:r w:rsidRPr="00C14D91">
        <w:rPr>
          <w:lang w:val="es-ES"/>
        </w:rPr>
        <w:t xml:space="preserve">Este sub indicador mide la verificación del cumplimiento de la Ley 200-04 sobre Libre Acceso a la información </w:t>
      </w:r>
      <w:r w:rsidRPr="00A02583">
        <w:rPr>
          <w:lang w:val="es-ES"/>
        </w:rPr>
        <w:t>Publica en la Direccion General de Minería, para el cual la meta es de cuarenta (40) puntos y alcanzamos un logro de treinta</w:t>
      </w:r>
      <w:r w:rsidR="00A02583" w:rsidRPr="00A02583">
        <w:rPr>
          <w:lang w:val="es-ES"/>
        </w:rPr>
        <w:t xml:space="preserve"> y siete </w:t>
      </w:r>
      <w:r w:rsidRPr="00C14D91">
        <w:rPr>
          <w:lang w:val="es-ES"/>
        </w:rPr>
        <w:t>punto cuatro (</w:t>
      </w:r>
      <w:r w:rsidRPr="00A02583">
        <w:rPr>
          <w:lang w:val="es-ES"/>
        </w:rPr>
        <w:t>3</w:t>
      </w:r>
      <w:r w:rsidR="00A02583" w:rsidRPr="00A02583">
        <w:rPr>
          <w:lang w:val="es-ES"/>
        </w:rPr>
        <w:t>7</w:t>
      </w:r>
      <w:r w:rsidRPr="00C14D91">
        <w:rPr>
          <w:lang w:val="es-ES"/>
        </w:rPr>
        <w:t xml:space="preserve">.4) puntos, para un cumplimiento de un </w:t>
      </w:r>
      <w:r w:rsidR="00A02583" w:rsidRPr="00A02583">
        <w:rPr>
          <w:lang w:val="es-ES"/>
        </w:rPr>
        <w:t>93.5</w:t>
      </w:r>
      <w:r w:rsidRPr="00C14D91">
        <w:rPr>
          <w:lang w:val="es-ES"/>
        </w:rPr>
        <w:t>%.</w:t>
      </w:r>
    </w:p>
    <w:p w14:paraId="1DD2C545" w14:textId="77777777" w:rsidR="004723C9" w:rsidRPr="00E406B4" w:rsidRDefault="004723C9" w:rsidP="00E406B4">
      <w:pPr>
        <w:spacing w:line="360" w:lineRule="auto"/>
        <w:jc w:val="both"/>
        <w:rPr>
          <w:highlight w:val="yellow"/>
          <w:lang w:val="es-ES"/>
        </w:rPr>
      </w:pPr>
    </w:p>
    <w:p w14:paraId="71C8BF29" w14:textId="698036F2" w:rsidR="00F77D01" w:rsidRPr="00E406B4" w:rsidRDefault="00F77D01" w:rsidP="00F77D01">
      <w:pPr>
        <w:spacing w:line="480" w:lineRule="auto"/>
        <w:jc w:val="both"/>
        <w:rPr>
          <w:b/>
          <w:sz w:val="28"/>
          <w:szCs w:val="28"/>
          <w:lang w:val="es-ES"/>
        </w:rPr>
      </w:pPr>
      <w:r w:rsidRPr="00E406B4">
        <w:rPr>
          <w:b/>
          <w:sz w:val="28"/>
          <w:szCs w:val="28"/>
          <w:lang w:val="es-ES"/>
        </w:rPr>
        <w:t>Uso del Sistema Nacional de Compras Publicas</w:t>
      </w:r>
    </w:p>
    <w:p w14:paraId="3D5A8E05" w14:textId="332AECAB" w:rsidR="00F77D01" w:rsidRPr="00C14D91" w:rsidRDefault="00F77D01" w:rsidP="00F77D01">
      <w:pPr>
        <w:spacing w:line="480" w:lineRule="auto"/>
        <w:jc w:val="both"/>
        <w:rPr>
          <w:lang w:val="es-ES"/>
        </w:rPr>
      </w:pPr>
      <w:r w:rsidRPr="00C14D91">
        <w:rPr>
          <w:lang w:val="es-ES"/>
        </w:rPr>
        <w:t>Este sub indicador mide la verificación del uso del Sistema Nacional de Compras Públicas</w:t>
      </w:r>
      <w:r w:rsidRPr="00A02583">
        <w:rPr>
          <w:lang w:val="es-ES"/>
        </w:rPr>
        <w:t xml:space="preserve">,  en la Direccion General de Minería, para el cual la meta es de </w:t>
      </w:r>
      <w:r w:rsidR="005A6A00" w:rsidRPr="00A02583">
        <w:rPr>
          <w:lang w:val="es-ES"/>
        </w:rPr>
        <w:t>veinte</w:t>
      </w:r>
      <w:r w:rsidRPr="00A02583">
        <w:rPr>
          <w:lang w:val="es-ES"/>
        </w:rPr>
        <w:t xml:space="preserve"> (</w:t>
      </w:r>
      <w:r w:rsidR="005A6A00" w:rsidRPr="00A02583">
        <w:rPr>
          <w:lang w:val="es-ES"/>
        </w:rPr>
        <w:t>20</w:t>
      </w:r>
      <w:r w:rsidRPr="00A02583">
        <w:rPr>
          <w:lang w:val="es-ES"/>
        </w:rPr>
        <w:t xml:space="preserve">) puntos y alcanzamos un logro de </w:t>
      </w:r>
      <w:r w:rsidR="005A6A00" w:rsidRPr="00A02583">
        <w:rPr>
          <w:lang w:val="es-ES"/>
        </w:rPr>
        <w:t xml:space="preserve">diez y </w:t>
      </w:r>
      <w:r w:rsidR="00A02583" w:rsidRPr="00A02583">
        <w:rPr>
          <w:lang w:val="es-ES"/>
        </w:rPr>
        <w:t>ocho</w:t>
      </w:r>
      <w:r w:rsidRPr="00C14D91">
        <w:rPr>
          <w:lang w:val="es-ES"/>
        </w:rPr>
        <w:t xml:space="preserve"> punto </w:t>
      </w:r>
      <w:r w:rsidR="00A02583" w:rsidRPr="00A02583">
        <w:rPr>
          <w:lang w:val="es-ES"/>
        </w:rPr>
        <w:t>ochenta y nueve</w:t>
      </w:r>
      <w:r w:rsidRPr="00C14D91">
        <w:rPr>
          <w:lang w:val="es-ES"/>
        </w:rPr>
        <w:t xml:space="preserve"> (</w:t>
      </w:r>
      <w:r w:rsidR="005A6A00" w:rsidRPr="00C14D91">
        <w:rPr>
          <w:lang w:val="es-ES"/>
        </w:rPr>
        <w:t>1</w:t>
      </w:r>
      <w:r w:rsidR="00A02583" w:rsidRPr="00A02583">
        <w:rPr>
          <w:lang w:val="es-ES"/>
        </w:rPr>
        <w:t>8</w:t>
      </w:r>
      <w:r w:rsidR="005A6A00" w:rsidRPr="00C14D91">
        <w:rPr>
          <w:lang w:val="es-ES"/>
        </w:rPr>
        <w:t>.</w:t>
      </w:r>
      <w:r w:rsidR="00A02583" w:rsidRPr="00A02583">
        <w:rPr>
          <w:lang w:val="es-ES"/>
        </w:rPr>
        <w:t>89</w:t>
      </w:r>
      <w:r w:rsidRPr="00C14D91">
        <w:rPr>
          <w:lang w:val="es-ES"/>
        </w:rPr>
        <w:t xml:space="preserve">) puntos, para un cumplimiento de un </w:t>
      </w:r>
      <w:r w:rsidR="00A02583" w:rsidRPr="00A02583">
        <w:rPr>
          <w:lang w:val="es-ES"/>
        </w:rPr>
        <w:t>94.4</w:t>
      </w:r>
      <w:r w:rsidRPr="00C14D91">
        <w:rPr>
          <w:lang w:val="es-ES"/>
        </w:rPr>
        <w:t>%.</w:t>
      </w:r>
    </w:p>
    <w:p w14:paraId="39E6AE0D" w14:textId="77777777" w:rsidR="004723C9" w:rsidRPr="00E406B4" w:rsidRDefault="004723C9" w:rsidP="00E406B4">
      <w:pPr>
        <w:spacing w:line="360" w:lineRule="auto"/>
        <w:jc w:val="both"/>
        <w:rPr>
          <w:highlight w:val="yellow"/>
          <w:lang w:val="es-ES"/>
        </w:rPr>
      </w:pPr>
    </w:p>
    <w:p w14:paraId="27BE5AA7" w14:textId="35D74922" w:rsidR="005A6A00" w:rsidRPr="00E406B4" w:rsidRDefault="005A6A00" w:rsidP="005A6A00">
      <w:pPr>
        <w:spacing w:line="480" w:lineRule="auto"/>
        <w:jc w:val="both"/>
        <w:rPr>
          <w:b/>
          <w:sz w:val="28"/>
          <w:szCs w:val="28"/>
          <w:lang w:val="es-ES"/>
        </w:rPr>
      </w:pPr>
      <w:r w:rsidRPr="00E406B4">
        <w:rPr>
          <w:b/>
          <w:sz w:val="28"/>
          <w:szCs w:val="28"/>
          <w:lang w:val="es-ES"/>
        </w:rPr>
        <w:t>Transparencia Presupuestaria</w:t>
      </w:r>
    </w:p>
    <w:p w14:paraId="4CA89102" w14:textId="20C4494D" w:rsidR="005A6A00" w:rsidRDefault="005A6A00" w:rsidP="005A6A00">
      <w:pPr>
        <w:spacing w:line="480" w:lineRule="auto"/>
        <w:jc w:val="both"/>
        <w:rPr>
          <w:lang w:val="es-ES"/>
        </w:rPr>
      </w:pPr>
      <w:r w:rsidRPr="00C14D91">
        <w:rPr>
          <w:lang w:val="es-ES"/>
        </w:rPr>
        <w:t>Este sub indicador mide la correcta publicación presupuestaria en el portal de transparencia institucional de la Direccion General de Minería, para el cual la meta es de veinte (20) puntos y alcanzamos un logro de veinte</w:t>
      </w:r>
      <w:r w:rsidRPr="00A02583">
        <w:rPr>
          <w:lang w:val="es-ES"/>
        </w:rPr>
        <w:t xml:space="preserve"> (20) puntos, para un cumplimiento de un 100%.</w:t>
      </w:r>
    </w:p>
    <w:p w14:paraId="257B98F8" w14:textId="77777777" w:rsidR="009B4EE9" w:rsidRDefault="009B4EE9" w:rsidP="005A6A00">
      <w:pPr>
        <w:spacing w:line="480" w:lineRule="auto"/>
        <w:jc w:val="both"/>
        <w:rPr>
          <w:lang w:val="es-ES"/>
        </w:rPr>
      </w:pPr>
    </w:p>
    <w:p w14:paraId="11A827EE" w14:textId="77777777" w:rsidR="009B4EE9" w:rsidRDefault="009B4EE9" w:rsidP="005A6A00">
      <w:pPr>
        <w:spacing w:line="480" w:lineRule="auto"/>
        <w:jc w:val="both"/>
        <w:rPr>
          <w:lang w:val="es-ES"/>
        </w:rPr>
      </w:pPr>
    </w:p>
    <w:p w14:paraId="7B109406" w14:textId="77777777" w:rsidR="009B4EE9" w:rsidRPr="00C14D91" w:rsidRDefault="009B4EE9" w:rsidP="005A6A00">
      <w:pPr>
        <w:spacing w:line="480" w:lineRule="auto"/>
        <w:jc w:val="both"/>
        <w:rPr>
          <w:lang w:val="es-ES"/>
        </w:rPr>
      </w:pPr>
    </w:p>
    <w:p w14:paraId="4602F8B6" w14:textId="21B8D97B" w:rsidR="00845602" w:rsidRPr="00E406B4" w:rsidRDefault="00845602" w:rsidP="00845602">
      <w:pPr>
        <w:spacing w:line="480" w:lineRule="auto"/>
        <w:jc w:val="both"/>
        <w:rPr>
          <w:b/>
          <w:sz w:val="28"/>
          <w:szCs w:val="28"/>
          <w:lang w:val="es-ES"/>
        </w:rPr>
      </w:pPr>
      <w:r w:rsidRPr="00E406B4">
        <w:rPr>
          <w:b/>
          <w:sz w:val="28"/>
          <w:szCs w:val="28"/>
          <w:lang w:val="es-ES"/>
        </w:rPr>
        <w:lastRenderedPageBreak/>
        <w:t>Transparencia, Gobierno Abierto y E-participación</w:t>
      </w:r>
    </w:p>
    <w:p w14:paraId="7B0C2E4A" w14:textId="7BAE4C4B" w:rsidR="00845602" w:rsidRPr="00A02583" w:rsidRDefault="00845602" w:rsidP="00845602">
      <w:pPr>
        <w:spacing w:line="480" w:lineRule="auto"/>
        <w:jc w:val="both"/>
        <w:rPr>
          <w:lang w:val="es-ES"/>
        </w:rPr>
      </w:pPr>
      <w:r w:rsidRPr="00C14D91">
        <w:rPr>
          <w:lang w:val="es-ES"/>
        </w:rPr>
        <w:t xml:space="preserve">Este sub indicador evalúa el nivel de </w:t>
      </w:r>
      <w:r w:rsidRPr="00A02583">
        <w:rPr>
          <w:lang w:val="es-ES"/>
        </w:rPr>
        <w:t>participación de los ciudadanos en las políticas públicas para la Direccion General de Minería, utilizando medios electrónicos y el empoderamiento que tienen para ejercer este derecho, para el cual la meta es de diez (10) puntos y alcanzamos un logro de ocho punto sesenta y seis (8.66) puntos, para un cumplimiento de un 86.6%.</w:t>
      </w:r>
    </w:p>
    <w:p w14:paraId="0C29F0D1" w14:textId="77777777" w:rsidR="00845602" w:rsidRPr="00E406B4" w:rsidRDefault="00845602" w:rsidP="00E406B4">
      <w:pPr>
        <w:spacing w:line="360" w:lineRule="auto"/>
        <w:jc w:val="both"/>
        <w:rPr>
          <w:highlight w:val="yellow"/>
          <w:lang w:val="es-ES"/>
        </w:rPr>
      </w:pPr>
    </w:p>
    <w:p w14:paraId="4928A1A0" w14:textId="2E90A91D" w:rsidR="00845602" w:rsidRPr="00E406B4" w:rsidRDefault="00845602" w:rsidP="00845602">
      <w:pPr>
        <w:spacing w:line="480" w:lineRule="auto"/>
        <w:jc w:val="both"/>
        <w:rPr>
          <w:b/>
          <w:sz w:val="28"/>
          <w:szCs w:val="28"/>
          <w:lang w:val="es-ES"/>
        </w:rPr>
      </w:pPr>
      <w:r w:rsidRPr="00E406B4">
        <w:rPr>
          <w:b/>
          <w:sz w:val="28"/>
          <w:szCs w:val="28"/>
          <w:lang w:val="es-ES"/>
        </w:rPr>
        <w:t>Desarrollo de E-servicios</w:t>
      </w:r>
    </w:p>
    <w:p w14:paraId="36CD63EC" w14:textId="5A6A4555" w:rsidR="00845602" w:rsidRPr="00C14D91" w:rsidRDefault="00845602" w:rsidP="00845602">
      <w:pPr>
        <w:spacing w:line="480" w:lineRule="auto"/>
        <w:jc w:val="both"/>
        <w:rPr>
          <w:lang w:val="es-ES"/>
        </w:rPr>
      </w:pPr>
      <w:r w:rsidRPr="00C14D91">
        <w:rPr>
          <w:lang w:val="es-ES"/>
        </w:rPr>
        <w:t xml:space="preserve">Este sub indicador evalúa el nivel de </w:t>
      </w:r>
      <w:r w:rsidR="00D701A6" w:rsidRPr="00C14D91">
        <w:rPr>
          <w:lang w:val="es-ES"/>
        </w:rPr>
        <w:t>avance de la</w:t>
      </w:r>
      <w:r w:rsidRPr="00C14D91">
        <w:rPr>
          <w:lang w:val="es-ES"/>
        </w:rPr>
        <w:t xml:space="preserve"> Direccion General de Minería, </w:t>
      </w:r>
      <w:r w:rsidR="00D701A6" w:rsidRPr="00A02583">
        <w:rPr>
          <w:lang w:val="es-ES"/>
        </w:rPr>
        <w:t xml:space="preserve">en materia de E-servicios, nivel de facilidad de acceso que tienen los servicios institucionales publicados en línea y su conformidad con las normas establecidas, </w:t>
      </w:r>
      <w:r w:rsidRPr="00A02583">
        <w:rPr>
          <w:lang w:val="es-ES"/>
        </w:rPr>
        <w:t xml:space="preserve">para el cual la meta es de diez (10) puntos y alcanzamos un logro de ocho punto </w:t>
      </w:r>
      <w:r w:rsidR="00A02583" w:rsidRPr="00A02583">
        <w:rPr>
          <w:lang w:val="es-ES"/>
        </w:rPr>
        <w:t>vente y ocho</w:t>
      </w:r>
      <w:r w:rsidR="00D701A6" w:rsidRPr="00C14D91">
        <w:rPr>
          <w:lang w:val="es-ES"/>
        </w:rPr>
        <w:t xml:space="preserve"> </w:t>
      </w:r>
      <w:r w:rsidRPr="00C14D91">
        <w:rPr>
          <w:lang w:val="es-ES"/>
        </w:rPr>
        <w:t>(</w:t>
      </w:r>
      <w:r w:rsidR="00A02583" w:rsidRPr="00A02583">
        <w:rPr>
          <w:lang w:val="es-ES"/>
        </w:rPr>
        <w:t>8.28</w:t>
      </w:r>
      <w:r w:rsidRPr="00C14D91">
        <w:rPr>
          <w:lang w:val="es-ES"/>
        </w:rPr>
        <w:t xml:space="preserve">) puntos, para un cumplimiento de un </w:t>
      </w:r>
      <w:r w:rsidR="00A02583" w:rsidRPr="00A02583">
        <w:rPr>
          <w:lang w:val="es-ES"/>
        </w:rPr>
        <w:t>8</w:t>
      </w:r>
      <w:r w:rsidR="00D701A6" w:rsidRPr="00C14D91">
        <w:rPr>
          <w:lang w:val="es-ES"/>
        </w:rPr>
        <w:t>2</w:t>
      </w:r>
      <w:r w:rsidR="00A02583" w:rsidRPr="00A02583">
        <w:rPr>
          <w:lang w:val="es-ES"/>
        </w:rPr>
        <w:t>.8</w:t>
      </w:r>
      <w:r w:rsidRPr="00C14D91">
        <w:rPr>
          <w:lang w:val="es-ES"/>
        </w:rPr>
        <w:t>%.</w:t>
      </w:r>
    </w:p>
    <w:p w14:paraId="4640BEAE" w14:textId="77777777" w:rsidR="007F63CE" w:rsidRPr="00E406B4" w:rsidRDefault="007F63CE" w:rsidP="00845602">
      <w:pPr>
        <w:spacing w:line="480" w:lineRule="auto"/>
        <w:jc w:val="both"/>
        <w:rPr>
          <w:highlight w:val="yellow"/>
          <w:lang w:val="es-ES"/>
        </w:rPr>
      </w:pPr>
    </w:p>
    <w:p w14:paraId="1BB2DB50" w14:textId="7C255FCB" w:rsidR="00F24538" w:rsidRPr="00C14D91" w:rsidRDefault="00F24538" w:rsidP="00F24538">
      <w:pPr>
        <w:pStyle w:val="Ttulo3"/>
        <w:rPr>
          <w:lang w:val="es-ES"/>
        </w:rPr>
      </w:pPr>
      <w:bookmarkStart w:id="312" w:name="_Toc29406167"/>
      <w:r w:rsidRPr="00C14D91">
        <w:rPr>
          <w:lang w:val="es-ES"/>
        </w:rPr>
        <w:t xml:space="preserve">iii. </w:t>
      </w:r>
      <w:r w:rsidRPr="00E406B4">
        <w:rPr>
          <w:rFonts w:ascii="Times New Roman" w:hAnsi="Times New Roman" w:cs="Times New Roman"/>
          <w:sz w:val="28"/>
          <w:szCs w:val="28"/>
          <w:lang w:val="es-ES"/>
        </w:rPr>
        <w:t>Sistema de Monitoreo de la Administración Pública (SISMAP)</w:t>
      </w:r>
      <w:bookmarkEnd w:id="312"/>
    </w:p>
    <w:p w14:paraId="379450C6" w14:textId="77777777" w:rsidR="00F24538" w:rsidRPr="00C14D91" w:rsidRDefault="00F24538" w:rsidP="00F24538">
      <w:pPr>
        <w:rPr>
          <w:lang w:val="es-ES"/>
        </w:rPr>
      </w:pPr>
    </w:p>
    <w:p w14:paraId="4FEB850F" w14:textId="262B45FF" w:rsidR="00F24538" w:rsidRPr="00C14D91" w:rsidRDefault="00F608E3" w:rsidP="00F24538">
      <w:pPr>
        <w:spacing w:line="480" w:lineRule="auto"/>
        <w:jc w:val="both"/>
        <w:rPr>
          <w:lang w:val="es-ES"/>
        </w:rPr>
      </w:pPr>
      <w:r w:rsidRPr="00C14D91">
        <w:rPr>
          <w:lang w:val="es-ES"/>
        </w:rPr>
        <w:t>Al cierre del tercer trimestre del 201</w:t>
      </w:r>
      <w:r w:rsidR="00F76A1C" w:rsidRPr="009B4EE9">
        <w:rPr>
          <w:lang w:val="es-ES"/>
        </w:rPr>
        <w:t>9</w:t>
      </w:r>
      <w:r w:rsidRPr="00C14D91">
        <w:rPr>
          <w:lang w:val="es-ES"/>
        </w:rPr>
        <w:t>, d</w:t>
      </w:r>
      <w:r w:rsidR="00F24538" w:rsidRPr="009B4EE9">
        <w:rPr>
          <w:lang w:val="es-ES"/>
        </w:rPr>
        <w:t xml:space="preserve">entro del Ranking promedio por instituciones gubernamentales, del Sistema de Monitoreo de la Administración Pública (SISMAP), hemos alcanzado un nivel de avance de un </w:t>
      </w:r>
      <w:r w:rsidRPr="009B4EE9">
        <w:rPr>
          <w:lang w:val="es-ES"/>
        </w:rPr>
        <w:t>6</w:t>
      </w:r>
      <w:r w:rsidR="00F76A1C" w:rsidRPr="009B4EE9">
        <w:rPr>
          <w:lang w:val="es-ES"/>
        </w:rPr>
        <w:t>8</w:t>
      </w:r>
      <w:r w:rsidR="00F24538" w:rsidRPr="00C14D91">
        <w:rPr>
          <w:lang w:val="es-ES"/>
        </w:rPr>
        <w:t xml:space="preserve">%, por tanto solo nos falta un </w:t>
      </w:r>
      <w:r w:rsidRPr="00C14D91">
        <w:rPr>
          <w:lang w:val="es-ES"/>
        </w:rPr>
        <w:t>3</w:t>
      </w:r>
      <w:r w:rsidR="00F76A1C" w:rsidRPr="009B4EE9">
        <w:rPr>
          <w:lang w:val="es-ES"/>
        </w:rPr>
        <w:t>2</w:t>
      </w:r>
      <w:r w:rsidR="00F24538" w:rsidRPr="00C14D91">
        <w:rPr>
          <w:lang w:val="es-ES"/>
        </w:rPr>
        <w:t xml:space="preserve">% para llegar a obtener el 100% de cumplimiento. </w:t>
      </w:r>
    </w:p>
    <w:p w14:paraId="0B0457EF" w14:textId="127173FE" w:rsidR="00F24538" w:rsidRPr="009C579C" w:rsidRDefault="008D491C" w:rsidP="00F24538">
      <w:pPr>
        <w:spacing w:line="480" w:lineRule="auto"/>
        <w:jc w:val="both"/>
        <w:rPr>
          <w:lang w:val="es-ES"/>
        </w:rPr>
      </w:pPr>
      <w:r w:rsidRPr="009B4EE9">
        <w:rPr>
          <w:lang w:val="es-ES"/>
        </w:rPr>
        <w:t>Se encuentran en proceso y avance, e</w:t>
      </w:r>
      <w:r w:rsidR="00F608E3" w:rsidRPr="009B4EE9">
        <w:rPr>
          <w:lang w:val="es-ES"/>
        </w:rPr>
        <w:t>l</w:t>
      </w:r>
      <w:r w:rsidR="00F24538" w:rsidRPr="009B4EE9">
        <w:rPr>
          <w:lang w:val="es-ES"/>
        </w:rPr>
        <w:t xml:space="preserve"> </w:t>
      </w:r>
      <w:r w:rsidRPr="009B4EE9">
        <w:rPr>
          <w:lang w:val="es-ES"/>
        </w:rPr>
        <w:t>diagnóstico</w:t>
      </w:r>
      <w:r w:rsidR="00F608E3" w:rsidRPr="009B4EE9">
        <w:rPr>
          <w:lang w:val="es-ES"/>
        </w:rPr>
        <w:t xml:space="preserve"> de la función de Recursos Humanos</w:t>
      </w:r>
      <w:r w:rsidR="00F24538" w:rsidRPr="009B4EE9">
        <w:rPr>
          <w:lang w:val="es-ES"/>
        </w:rPr>
        <w:t>, Manual de funciones</w:t>
      </w:r>
      <w:r w:rsidRPr="009B4EE9">
        <w:rPr>
          <w:lang w:val="es-ES"/>
        </w:rPr>
        <w:t>, c</w:t>
      </w:r>
      <w:r w:rsidR="00F24538" w:rsidRPr="009B4EE9">
        <w:rPr>
          <w:lang w:val="es-ES"/>
        </w:rPr>
        <w:t xml:space="preserve">oncursos </w:t>
      </w:r>
      <w:r w:rsidRPr="009B4EE9">
        <w:rPr>
          <w:lang w:val="es-ES"/>
        </w:rPr>
        <w:t>públicos, gestión de acuerdo de desempeño, evaluación del desempeño por resultados y a</w:t>
      </w:r>
      <w:r w:rsidR="00F24538" w:rsidRPr="009B4EE9">
        <w:rPr>
          <w:lang w:val="es-ES"/>
        </w:rPr>
        <w:t xml:space="preserve">sociación de </w:t>
      </w:r>
      <w:r w:rsidRPr="009B4EE9">
        <w:rPr>
          <w:lang w:val="es-ES"/>
        </w:rPr>
        <w:t>servidores públicos</w:t>
      </w:r>
      <w:r w:rsidR="00F24538" w:rsidRPr="009B4EE9">
        <w:rPr>
          <w:lang w:val="es-ES"/>
        </w:rPr>
        <w:t>.</w:t>
      </w:r>
      <w:r w:rsidR="009B4EE9">
        <w:rPr>
          <w:lang w:val="es-ES"/>
        </w:rPr>
        <w:t xml:space="preserve">  </w:t>
      </w:r>
      <w:r w:rsidR="00F24538" w:rsidRPr="00C14D91">
        <w:rPr>
          <w:lang w:val="es-ES"/>
        </w:rPr>
        <w:t xml:space="preserve">Dentro de estos indicadores, el relativo al manual de funciones, ya </w:t>
      </w:r>
      <w:r w:rsidRPr="009B4EE9">
        <w:rPr>
          <w:lang w:val="es-ES"/>
        </w:rPr>
        <w:t xml:space="preserve">fue sometido a evaluación y aprobación al </w:t>
      </w:r>
      <w:r w:rsidR="00F24538" w:rsidRPr="009B4EE9">
        <w:rPr>
          <w:lang w:val="es-ES"/>
        </w:rPr>
        <w:t xml:space="preserve">Ministerio de Administración Publica y los demás </w:t>
      </w:r>
      <w:r w:rsidR="009B4EE9" w:rsidRPr="009B4EE9">
        <w:rPr>
          <w:lang w:val="es-ES"/>
        </w:rPr>
        <w:t>continuar con</w:t>
      </w:r>
      <w:r w:rsidR="00F24538" w:rsidRPr="00C14D91">
        <w:rPr>
          <w:lang w:val="es-ES"/>
        </w:rPr>
        <w:t xml:space="preserve"> su desarrollo para el próximo año 20</w:t>
      </w:r>
      <w:r w:rsidR="009B4EE9" w:rsidRPr="009B4EE9">
        <w:rPr>
          <w:lang w:val="es-ES"/>
        </w:rPr>
        <w:t>20</w:t>
      </w:r>
      <w:r w:rsidR="00F24538" w:rsidRPr="00C14D91">
        <w:rPr>
          <w:lang w:val="es-ES"/>
        </w:rPr>
        <w:t>.</w:t>
      </w:r>
    </w:p>
    <w:p w14:paraId="62FC9EC4" w14:textId="3F1D892B" w:rsidR="00747DE2" w:rsidRPr="00E406B4" w:rsidRDefault="00747DE2" w:rsidP="0035778B">
      <w:pPr>
        <w:pStyle w:val="Ttulo2"/>
        <w:numPr>
          <w:ilvl w:val="0"/>
          <w:numId w:val="52"/>
        </w:numPr>
        <w:rPr>
          <w:rFonts w:ascii="Times New Roman" w:hAnsi="Times New Roman" w:cs="Times New Roman"/>
          <w:b/>
          <w:sz w:val="32"/>
          <w:szCs w:val="32"/>
          <w:lang w:val="es-ES"/>
        </w:rPr>
      </w:pPr>
      <w:bookmarkStart w:id="313" w:name="_Toc881883"/>
      <w:bookmarkStart w:id="314" w:name="_Toc961987"/>
      <w:bookmarkStart w:id="315" w:name="_Toc29405493"/>
      <w:bookmarkStart w:id="316" w:name="_Toc29405897"/>
      <w:bookmarkStart w:id="317" w:name="_Toc29406168"/>
      <w:bookmarkStart w:id="318" w:name="_Toc534151885"/>
      <w:bookmarkStart w:id="319" w:name="_Toc534152017"/>
      <w:bookmarkStart w:id="320" w:name="_Toc534152142"/>
      <w:bookmarkStart w:id="321" w:name="_Toc534152214"/>
      <w:bookmarkStart w:id="322" w:name="_Toc534152286"/>
      <w:bookmarkStart w:id="323" w:name="_Toc534152358"/>
      <w:bookmarkStart w:id="324" w:name="_Toc534152430"/>
      <w:bookmarkStart w:id="325" w:name="_Toc534152759"/>
      <w:bookmarkStart w:id="326" w:name="_Toc433984"/>
      <w:bookmarkStart w:id="327" w:name="_Toc881884"/>
      <w:bookmarkStart w:id="328" w:name="_Toc961988"/>
      <w:bookmarkStart w:id="329" w:name="_Toc29405494"/>
      <w:bookmarkStart w:id="330" w:name="_Toc29405898"/>
      <w:bookmarkStart w:id="331" w:name="_Toc29406169"/>
      <w:bookmarkStart w:id="332" w:name="_Toc29406170"/>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E406B4">
        <w:rPr>
          <w:rFonts w:ascii="Times New Roman" w:hAnsi="Times New Roman" w:cs="Times New Roman"/>
          <w:b/>
          <w:sz w:val="32"/>
          <w:szCs w:val="32"/>
          <w:lang w:val="es-ES"/>
        </w:rPr>
        <w:lastRenderedPageBreak/>
        <w:t>Perspectiva Operativa</w:t>
      </w:r>
      <w:bookmarkEnd w:id="332"/>
    </w:p>
    <w:p w14:paraId="1063B47A" w14:textId="77777777" w:rsidR="00E059B5" w:rsidRPr="00E059B5" w:rsidRDefault="00E059B5" w:rsidP="00E059B5">
      <w:pPr>
        <w:rPr>
          <w:lang w:val="es-ES"/>
        </w:rPr>
      </w:pPr>
    </w:p>
    <w:p w14:paraId="5C0F6CAF" w14:textId="2E9B9D63" w:rsidR="00747DE2" w:rsidRPr="00E406B4" w:rsidRDefault="00305BA4" w:rsidP="00F5636F">
      <w:pPr>
        <w:pStyle w:val="Ttulo3"/>
        <w:numPr>
          <w:ilvl w:val="0"/>
          <w:numId w:val="46"/>
        </w:numPr>
        <w:rPr>
          <w:rFonts w:ascii="Times New Roman" w:hAnsi="Times New Roman" w:cs="Times New Roman"/>
          <w:sz w:val="28"/>
          <w:szCs w:val="28"/>
          <w:lang w:val="es-ES"/>
        </w:rPr>
      </w:pPr>
      <w:bookmarkStart w:id="333" w:name="_Toc29406171"/>
      <w:r w:rsidRPr="00E406B4">
        <w:rPr>
          <w:rFonts w:ascii="Times New Roman" w:hAnsi="Times New Roman" w:cs="Times New Roman"/>
          <w:sz w:val="28"/>
          <w:szCs w:val="28"/>
          <w:lang w:val="es-ES"/>
        </w:rPr>
        <w:t>Índice</w:t>
      </w:r>
      <w:r w:rsidR="00747DE2" w:rsidRPr="00E406B4">
        <w:rPr>
          <w:rFonts w:ascii="Times New Roman" w:hAnsi="Times New Roman" w:cs="Times New Roman"/>
          <w:sz w:val="28"/>
          <w:szCs w:val="28"/>
          <w:lang w:val="es-ES"/>
        </w:rPr>
        <w:t xml:space="preserve"> de Transparencia</w:t>
      </w:r>
      <w:bookmarkEnd w:id="333"/>
    </w:p>
    <w:p w14:paraId="56C95089" w14:textId="77777777" w:rsidR="00E059B5" w:rsidRPr="00E406B4" w:rsidRDefault="00E059B5" w:rsidP="00E059B5">
      <w:pPr>
        <w:rPr>
          <w:highlight w:val="green"/>
          <w:lang w:val="es-ES"/>
        </w:rPr>
      </w:pPr>
    </w:p>
    <w:p w14:paraId="1349EDC1" w14:textId="77777777" w:rsidR="004970F8" w:rsidRDefault="004970F8" w:rsidP="00A32111">
      <w:pPr>
        <w:spacing w:line="480" w:lineRule="auto"/>
        <w:jc w:val="both"/>
        <w:rPr>
          <w:lang w:val="es-ES"/>
        </w:rPr>
      </w:pPr>
    </w:p>
    <w:p w14:paraId="782FA6D7" w14:textId="77777777" w:rsidR="00A32111" w:rsidRDefault="00A32111" w:rsidP="00A32111">
      <w:pPr>
        <w:spacing w:line="480" w:lineRule="auto"/>
        <w:jc w:val="both"/>
        <w:rPr>
          <w:lang w:val="es-ES"/>
        </w:rPr>
      </w:pPr>
      <w:r w:rsidRPr="009C579C">
        <w:rPr>
          <w:lang w:val="es-ES"/>
        </w:rPr>
        <w:t>La Dirección General de Minería, se encuentra en</w:t>
      </w:r>
      <w:r>
        <w:rPr>
          <w:lang w:val="es-ES"/>
        </w:rPr>
        <w:t>lazada a la plataforma informática del</w:t>
      </w:r>
      <w:r w:rsidRPr="009C579C">
        <w:rPr>
          <w:lang w:val="es-ES"/>
        </w:rPr>
        <w:t xml:space="preserve"> Portal Único de Acceso a la Información Pública (SAIP)</w:t>
      </w:r>
      <w:r>
        <w:rPr>
          <w:lang w:val="es-ES"/>
        </w:rPr>
        <w:t xml:space="preserve">, creado mediante Resolución DIGEIG-R-02-2017, en fecha 28 de septiembre de 2017. Esta </w:t>
      </w:r>
      <w:r w:rsidRPr="009C579C">
        <w:rPr>
          <w:lang w:val="es-ES"/>
        </w:rPr>
        <w:t xml:space="preserve">es </w:t>
      </w:r>
      <w:r>
        <w:rPr>
          <w:lang w:val="es-ES"/>
        </w:rPr>
        <w:t>una</w:t>
      </w:r>
      <w:r w:rsidRPr="009C579C">
        <w:rPr>
          <w:lang w:val="es-ES"/>
        </w:rPr>
        <w:t xml:space="preserve"> </w:t>
      </w:r>
      <w:r>
        <w:rPr>
          <w:lang w:val="es-ES"/>
        </w:rPr>
        <w:t>ventanilla única de solicitud de acceso a la información pública que permite a través de una plataforma</w:t>
      </w:r>
      <w:r w:rsidRPr="009C579C">
        <w:rPr>
          <w:lang w:val="es-ES"/>
        </w:rPr>
        <w:t xml:space="preserve"> </w:t>
      </w:r>
      <w:r>
        <w:rPr>
          <w:lang w:val="es-ES"/>
        </w:rPr>
        <w:t xml:space="preserve">automatizada, </w:t>
      </w:r>
      <w:r w:rsidRPr="009C579C">
        <w:rPr>
          <w:lang w:val="es-ES"/>
        </w:rPr>
        <w:t>un mayor nivel de transparencia en el accionar de las instituciones públicas</w:t>
      </w:r>
      <w:r>
        <w:rPr>
          <w:lang w:val="es-ES"/>
        </w:rPr>
        <w:t>, garantizando</w:t>
      </w:r>
      <w:r w:rsidRPr="009C579C">
        <w:rPr>
          <w:lang w:val="es-ES"/>
        </w:rPr>
        <w:t xml:space="preserve"> </w:t>
      </w:r>
      <w:r>
        <w:rPr>
          <w:lang w:val="es-ES"/>
        </w:rPr>
        <w:t>una</w:t>
      </w:r>
      <w:r w:rsidRPr="009C579C">
        <w:rPr>
          <w:lang w:val="es-ES"/>
        </w:rPr>
        <w:t xml:space="preserve"> participación </w:t>
      </w:r>
      <w:r>
        <w:rPr>
          <w:lang w:val="es-ES"/>
        </w:rPr>
        <w:t>activa entre</w:t>
      </w:r>
      <w:r w:rsidRPr="009C579C">
        <w:rPr>
          <w:lang w:val="es-ES"/>
        </w:rPr>
        <w:t xml:space="preserve"> la ciudadanía </w:t>
      </w:r>
      <w:r>
        <w:rPr>
          <w:lang w:val="es-ES"/>
        </w:rPr>
        <w:t xml:space="preserve">y los entes de la Administración Pública que reciben fondos del Estado.   </w:t>
      </w:r>
    </w:p>
    <w:p w14:paraId="572081A9" w14:textId="77777777" w:rsidR="00A32111" w:rsidRPr="005D4BF7" w:rsidRDefault="00A32111" w:rsidP="00A32111">
      <w:pPr>
        <w:spacing w:line="480" w:lineRule="auto"/>
        <w:jc w:val="both"/>
        <w:rPr>
          <w:sz w:val="16"/>
          <w:szCs w:val="16"/>
          <w:lang w:val="es-ES"/>
        </w:rPr>
      </w:pPr>
    </w:p>
    <w:p w14:paraId="151B1E78" w14:textId="5815238A" w:rsidR="00A32111" w:rsidRDefault="00A32111" w:rsidP="00A32111">
      <w:pPr>
        <w:spacing w:line="480" w:lineRule="auto"/>
        <w:jc w:val="both"/>
        <w:rPr>
          <w:lang w:val="es-ES"/>
        </w:rPr>
      </w:pPr>
      <w:r>
        <w:rPr>
          <w:lang w:val="es-ES"/>
        </w:rPr>
        <w:t>Además, p</w:t>
      </w:r>
      <w:r w:rsidRPr="009C579C">
        <w:rPr>
          <w:lang w:val="es-ES"/>
        </w:rPr>
        <w:t xml:space="preserve">ermite </w:t>
      </w:r>
      <w:r>
        <w:rPr>
          <w:lang w:val="es-ES"/>
        </w:rPr>
        <w:t>que los ciudadanos</w:t>
      </w:r>
      <w:r w:rsidRPr="009C579C">
        <w:rPr>
          <w:lang w:val="es-ES"/>
        </w:rPr>
        <w:t xml:space="preserve"> </w:t>
      </w:r>
      <w:r>
        <w:rPr>
          <w:lang w:val="es-ES"/>
        </w:rPr>
        <w:t xml:space="preserve">presenten </w:t>
      </w:r>
      <w:r w:rsidRPr="009C579C">
        <w:rPr>
          <w:lang w:val="es-ES"/>
        </w:rPr>
        <w:t xml:space="preserve">las solicitudes de </w:t>
      </w:r>
      <w:r>
        <w:rPr>
          <w:lang w:val="es-ES"/>
        </w:rPr>
        <w:t xml:space="preserve">acceso a la </w:t>
      </w:r>
      <w:r w:rsidRPr="009C579C">
        <w:rPr>
          <w:lang w:val="es-ES"/>
        </w:rPr>
        <w:t xml:space="preserve">información a los </w:t>
      </w:r>
      <w:r>
        <w:rPr>
          <w:lang w:val="es-ES"/>
        </w:rPr>
        <w:t xml:space="preserve">distintos </w:t>
      </w:r>
      <w:r w:rsidRPr="009C579C">
        <w:rPr>
          <w:lang w:val="es-ES"/>
        </w:rPr>
        <w:t xml:space="preserve">órganos </w:t>
      </w:r>
      <w:r>
        <w:rPr>
          <w:lang w:val="es-ES"/>
        </w:rPr>
        <w:t>y entidades</w:t>
      </w:r>
      <w:r w:rsidRPr="009C579C">
        <w:rPr>
          <w:lang w:val="es-ES"/>
        </w:rPr>
        <w:t xml:space="preserve"> </w:t>
      </w:r>
      <w:r>
        <w:rPr>
          <w:lang w:val="es-ES"/>
        </w:rPr>
        <w:t>que conforman la A</w:t>
      </w:r>
      <w:r w:rsidRPr="009C579C">
        <w:rPr>
          <w:lang w:val="es-ES"/>
        </w:rPr>
        <w:t xml:space="preserve">dministración </w:t>
      </w:r>
      <w:r>
        <w:rPr>
          <w:lang w:val="es-ES"/>
        </w:rPr>
        <w:t>Pública,</w:t>
      </w:r>
      <w:r w:rsidRPr="009C579C">
        <w:rPr>
          <w:lang w:val="es-ES"/>
        </w:rPr>
        <w:t xml:space="preserve"> </w:t>
      </w:r>
      <w:r>
        <w:rPr>
          <w:lang w:val="es-ES"/>
        </w:rPr>
        <w:t>en cumplimiento</w:t>
      </w:r>
      <w:r w:rsidRPr="009C579C">
        <w:rPr>
          <w:lang w:val="es-ES"/>
        </w:rPr>
        <w:t xml:space="preserve"> a lo establecido en la </w:t>
      </w:r>
      <w:r w:rsidRPr="001E7C0D">
        <w:rPr>
          <w:lang w:val="es-ES"/>
        </w:rPr>
        <w:t>Ley General de Libre Acceso a la Información Pública No. 200-04, fortaleciendo</w:t>
      </w:r>
      <w:r>
        <w:rPr>
          <w:lang w:val="es-ES"/>
        </w:rPr>
        <w:t xml:space="preserve"> así</w:t>
      </w:r>
      <w:r w:rsidRPr="001E7C0D">
        <w:rPr>
          <w:lang w:val="es-ES"/>
        </w:rPr>
        <w:t xml:space="preserve"> la transparencia y ética pública a</w:t>
      </w:r>
      <w:r>
        <w:rPr>
          <w:lang w:val="es-ES"/>
        </w:rPr>
        <w:t xml:space="preserve"> través de </w:t>
      </w:r>
      <w:r w:rsidRPr="001E7C0D">
        <w:rPr>
          <w:lang w:val="es-ES"/>
        </w:rPr>
        <w:t>un portal único</w:t>
      </w:r>
      <w:r>
        <w:rPr>
          <w:lang w:val="es-ES"/>
        </w:rPr>
        <w:t>,</w:t>
      </w:r>
      <w:r w:rsidRPr="001E7C0D">
        <w:rPr>
          <w:lang w:val="es-ES"/>
        </w:rPr>
        <w:t xml:space="preserve"> monitoreado por la Dirección General de Ética e Integridad Gubernamental.</w:t>
      </w:r>
      <w:r>
        <w:rPr>
          <w:lang w:val="es-ES"/>
        </w:rPr>
        <w:t xml:space="preserve">  </w:t>
      </w:r>
    </w:p>
    <w:p w14:paraId="4C6C8E8D" w14:textId="77777777" w:rsidR="00A32111" w:rsidRDefault="00A32111" w:rsidP="00A32111">
      <w:pPr>
        <w:spacing w:line="480" w:lineRule="auto"/>
        <w:jc w:val="both"/>
        <w:rPr>
          <w:sz w:val="16"/>
          <w:szCs w:val="16"/>
          <w:lang w:val="es-ES"/>
        </w:rPr>
      </w:pPr>
    </w:p>
    <w:p w14:paraId="1674A976" w14:textId="4C2ABAC0" w:rsidR="004970F8" w:rsidRPr="004970F8" w:rsidRDefault="004970F8" w:rsidP="00A32111">
      <w:pPr>
        <w:spacing w:line="480" w:lineRule="auto"/>
        <w:jc w:val="both"/>
        <w:rPr>
          <w:lang w:val="es-ES"/>
        </w:rPr>
      </w:pPr>
      <w:r w:rsidRPr="004970F8">
        <w:rPr>
          <w:lang w:val="es-ES"/>
        </w:rPr>
        <w:t>De vente y seis (26) so</w:t>
      </w:r>
      <w:r>
        <w:rPr>
          <w:lang w:val="es-ES"/>
        </w:rPr>
        <w:t xml:space="preserve">licitudes recibidas, el 76.92% fue respondidas a los usuarios (clientes/ciudadanos), dentro del plazo establecido por la Ley 200-04 sobre Libre Acceso a la Información Publica, el 11.54% fue cerrada a solicitud del cliente/ciudadano y el restante 11.54%, fue transferida al Ministerio de </w:t>
      </w:r>
      <w:r w:rsidR="00770825">
        <w:rPr>
          <w:lang w:val="es-ES"/>
        </w:rPr>
        <w:t>Energía</w:t>
      </w:r>
      <w:r>
        <w:rPr>
          <w:lang w:val="es-ES"/>
        </w:rPr>
        <w:t xml:space="preserve"> y Minas, dentro del plazo legal.</w:t>
      </w:r>
    </w:p>
    <w:p w14:paraId="4CEE6B93" w14:textId="6BC5BE13" w:rsidR="004970F8" w:rsidRPr="005D4BF7" w:rsidRDefault="004970F8" w:rsidP="00A32111">
      <w:pPr>
        <w:spacing w:line="480" w:lineRule="auto"/>
        <w:jc w:val="both"/>
        <w:rPr>
          <w:sz w:val="16"/>
          <w:szCs w:val="16"/>
          <w:lang w:val="es-ES"/>
        </w:rPr>
      </w:pPr>
      <w:r w:rsidRPr="004970F8">
        <w:rPr>
          <w:noProof/>
          <w:lang w:val="en-US"/>
        </w:rPr>
        <w:lastRenderedPageBreak/>
        <w:drawing>
          <wp:inline distT="0" distB="0" distL="0" distR="0" wp14:anchorId="22578D8E" wp14:editId="2466CA89">
            <wp:extent cx="6307415" cy="401014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6634" cy="4028717"/>
                    </a:xfrm>
                    <a:prstGeom prst="rect">
                      <a:avLst/>
                    </a:prstGeom>
                    <a:noFill/>
                    <a:ln>
                      <a:noFill/>
                    </a:ln>
                  </pic:spPr>
                </pic:pic>
              </a:graphicData>
            </a:graphic>
          </wp:inline>
        </w:drawing>
      </w:r>
    </w:p>
    <w:p w14:paraId="333DB821" w14:textId="77777777" w:rsidR="004970F8" w:rsidRDefault="004970F8" w:rsidP="00A32111">
      <w:pPr>
        <w:spacing w:line="480" w:lineRule="auto"/>
        <w:jc w:val="both"/>
        <w:rPr>
          <w:lang w:val="es-ES"/>
        </w:rPr>
      </w:pPr>
    </w:p>
    <w:p w14:paraId="7BA59075" w14:textId="69E1EE30" w:rsidR="00A32111" w:rsidRDefault="00A32111" w:rsidP="00A32111">
      <w:pPr>
        <w:spacing w:line="480" w:lineRule="auto"/>
        <w:jc w:val="both"/>
        <w:rPr>
          <w:lang w:val="es-ES"/>
        </w:rPr>
      </w:pPr>
      <w:r w:rsidRPr="009C579C">
        <w:rPr>
          <w:lang w:val="es-ES"/>
        </w:rPr>
        <w:t>Según la</w:t>
      </w:r>
      <w:r>
        <w:rPr>
          <w:lang w:val="es-ES"/>
        </w:rPr>
        <w:t>s evaluaciones</w:t>
      </w:r>
      <w:r w:rsidRPr="009C579C">
        <w:rPr>
          <w:lang w:val="es-ES"/>
        </w:rPr>
        <w:t xml:space="preserve"> realizada</w:t>
      </w:r>
      <w:r>
        <w:rPr>
          <w:lang w:val="es-ES"/>
        </w:rPr>
        <w:t>s</w:t>
      </w:r>
      <w:r w:rsidRPr="009C579C">
        <w:rPr>
          <w:lang w:val="es-ES"/>
        </w:rPr>
        <w:t xml:space="preserve"> por la Dirección General de Ética e Integridad Gubernamental (DIGEIG), al portal </w:t>
      </w:r>
      <w:r>
        <w:rPr>
          <w:lang w:val="es-ES"/>
        </w:rPr>
        <w:t>web de transparencia</w:t>
      </w:r>
      <w:r w:rsidRPr="009C579C">
        <w:rPr>
          <w:lang w:val="es-ES"/>
        </w:rPr>
        <w:t xml:space="preserve"> de la Dirección General de Minería</w:t>
      </w:r>
      <w:r>
        <w:rPr>
          <w:lang w:val="es-ES"/>
        </w:rPr>
        <w:t xml:space="preserve"> al tercer trimestre del año 2019</w:t>
      </w:r>
      <w:r w:rsidRPr="009C579C">
        <w:rPr>
          <w:lang w:val="es-ES"/>
        </w:rPr>
        <w:t xml:space="preserve">, presentamos un cumplimiento de </w:t>
      </w:r>
      <w:r w:rsidRPr="00A32111">
        <w:rPr>
          <w:lang w:val="es-ES"/>
        </w:rPr>
        <w:t>un 94%</w:t>
      </w:r>
      <w:r w:rsidRPr="009C579C">
        <w:rPr>
          <w:lang w:val="es-ES"/>
        </w:rPr>
        <w:t xml:space="preserve"> </w:t>
      </w:r>
      <w:r>
        <w:rPr>
          <w:lang w:val="es-ES"/>
        </w:rPr>
        <w:t>sobre</w:t>
      </w:r>
      <w:r w:rsidRPr="009C579C">
        <w:rPr>
          <w:lang w:val="es-ES"/>
        </w:rPr>
        <w:t xml:space="preserve"> los criterios </w:t>
      </w:r>
      <w:r>
        <w:rPr>
          <w:lang w:val="es-ES"/>
        </w:rPr>
        <w:t>de evaluación</w:t>
      </w:r>
      <w:r w:rsidRPr="009C579C">
        <w:rPr>
          <w:lang w:val="es-ES"/>
        </w:rPr>
        <w:t xml:space="preserve"> </w:t>
      </w:r>
      <w:r>
        <w:rPr>
          <w:lang w:val="es-ES"/>
        </w:rPr>
        <w:t>en materia de</w:t>
      </w:r>
      <w:r w:rsidRPr="009C579C">
        <w:rPr>
          <w:lang w:val="es-ES"/>
        </w:rPr>
        <w:t xml:space="preserve"> transparencia</w:t>
      </w:r>
      <w:r>
        <w:rPr>
          <w:lang w:val="es-ES"/>
        </w:rPr>
        <w:t>,</w:t>
      </w:r>
      <w:r w:rsidRPr="009C579C">
        <w:rPr>
          <w:lang w:val="es-ES"/>
        </w:rPr>
        <w:t xml:space="preserve"> </w:t>
      </w:r>
      <w:r>
        <w:rPr>
          <w:lang w:val="es-ES"/>
        </w:rPr>
        <w:t>en virtud de las políticas de cumplimiento definidas en la Resolución 01-2018.</w:t>
      </w:r>
    </w:p>
    <w:p w14:paraId="08D0BBF2" w14:textId="77777777" w:rsidR="004970F8" w:rsidRDefault="004970F8" w:rsidP="00A32111">
      <w:pPr>
        <w:spacing w:line="480" w:lineRule="auto"/>
        <w:jc w:val="both"/>
        <w:rPr>
          <w:lang w:val="es-ES"/>
        </w:rPr>
      </w:pPr>
    </w:p>
    <w:p w14:paraId="4AC6EFE8" w14:textId="77777777" w:rsidR="004970F8" w:rsidRDefault="004970F8" w:rsidP="00A32111">
      <w:pPr>
        <w:spacing w:line="480" w:lineRule="auto"/>
        <w:jc w:val="both"/>
        <w:rPr>
          <w:lang w:val="es-ES"/>
        </w:rPr>
      </w:pPr>
    </w:p>
    <w:p w14:paraId="41573938" w14:textId="77777777" w:rsidR="00C14D91" w:rsidRDefault="00C14D91" w:rsidP="00A32111">
      <w:pPr>
        <w:spacing w:line="480" w:lineRule="auto"/>
        <w:jc w:val="both"/>
        <w:rPr>
          <w:lang w:val="es-ES"/>
        </w:rPr>
      </w:pPr>
    </w:p>
    <w:p w14:paraId="4A3AFE59" w14:textId="77777777" w:rsidR="00C14D91" w:rsidRDefault="00C14D91" w:rsidP="00A32111">
      <w:pPr>
        <w:spacing w:line="480" w:lineRule="auto"/>
        <w:jc w:val="both"/>
        <w:rPr>
          <w:lang w:val="es-ES"/>
        </w:rPr>
      </w:pPr>
    </w:p>
    <w:p w14:paraId="19A3E586" w14:textId="77777777" w:rsidR="00A32111" w:rsidRPr="00E73046" w:rsidRDefault="00A32111" w:rsidP="00A32111">
      <w:pPr>
        <w:pStyle w:val="Ttulo3"/>
        <w:rPr>
          <w:lang w:val="es-ES"/>
        </w:rPr>
      </w:pPr>
      <w:bookmarkStart w:id="334" w:name="_Toc29406172"/>
      <w:r w:rsidRPr="00001EC6">
        <w:rPr>
          <w:rFonts w:ascii="Times New Roman" w:hAnsi="Times New Roman" w:cs="Times New Roman"/>
          <w:sz w:val="28"/>
          <w:szCs w:val="28"/>
          <w:lang w:val="es-ES"/>
        </w:rPr>
        <w:lastRenderedPageBreak/>
        <w:t>Auditorias y Declaraciones Juradas</w:t>
      </w:r>
      <w:bookmarkEnd w:id="334"/>
    </w:p>
    <w:p w14:paraId="3FA8F376" w14:textId="77777777" w:rsidR="00A32111" w:rsidRPr="00E059B5" w:rsidRDefault="00A32111" w:rsidP="00A32111">
      <w:pPr>
        <w:rPr>
          <w:lang w:val="es-ES"/>
        </w:rPr>
      </w:pPr>
    </w:p>
    <w:p w14:paraId="4F90CF08" w14:textId="77777777" w:rsidR="00A32111" w:rsidRDefault="00A32111" w:rsidP="00A32111">
      <w:pPr>
        <w:spacing w:line="480" w:lineRule="auto"/>
        <w:jc w:val="both"/>
        <w:rPr>
          <w:lang w:val="es-ES"/>
        </w:rPr>
      </w:pPr>
      <w:r>
        <w:rPr>
          <w:lang w:val="es-ES"/>
        </w:rPr>
        <w:t>En lo relativo a las Auditorias, durante el periodo fiscal al año 2019, en la Dirección General de Minería no se realizaron auditorias financieras o fiscales, excepto las revisiones que realizan las unidades de auditoria interna de la Contraloría General de La República en cuanto a las revisiones y fiscalizaciones de los libramientos y procesos de pago, así como la contratación de servicios.</w:t>
      </w:r>
    </w:p>
    <w:p w14:paraId="01634598" w14:textId="77777777" w:rsidR="00A32111" w:rsidRDefault="00A32111" w:rsidP="00A32111">
      <w:pPr>
        <w:spacing w:line="360" w:lineRule="auto"/>
        <w:jc w:val="both"/>
        <w:rPr>
          <w:lang w:val="es-ES"/>
        </w:rPr>
      </w:pPr>
    </w:p>
    <w:p w14:paraId="587189F8" w14:textId="77777777" w:rsidR="00A32111" w:rsidRDefault="00A32111" w:rsidP="00A32111">
      <w:pPr>
        <w:spacing w:line="480" w:lineRule="auto"/>
        <w:jc w:val="both"/>
        <w:rPr>
          <w:lang w:val="es-ES"/>
        </w:rPr>
      </w:pPr>
      <w:r>
        <w:rPr>
          <w:lang w:val="es-ES"/>
        </w:rPr>
        <w:t>Cabe destacar que el Departamento de Contabilidad de la Dirección General de Minería, ha presentado un excelente desempeño en cuanto al cumplimiento de los requerimientos de controles internos, presentación de soportes y documentos que sustentan los procesos de libramientos y pagos.</w:t>
      </w:r>
    </w:p>
    <w:p w14:paraId="16C6E050" w14:textId="77777777" w:rsidR="00A32111" w:rsidRDefault="00A32111" w:rsidP="00A32111">
      <w:pPr>
        <w:spacing w:line="360" w:lineRule="auto"/>
        <w:jc w:val="both"/>
        <w:rPr>
          <w:lang w:val="es-ES"/>
        </w:rPr>
      </w:pPr>
    </w:p>
    <w:p w14:paraId="66982D9C" w14:textId="77777777" w:rsidR="00A32111" w:rsidRPr="009C579C" w:rsidRDefault="00A32111" w:rsidP="00A32111">
      <w:pPr>
        <w:spacing w:line="480" w:lineRule="auto"/>
        <w:jc w:val="both"/>
        <w:rPr>
          <w:lang w:val="es-ES"/>
        </w:rPr>
      </w:pPr>
      <w:r w:rsidRPr="009C579C">
        <w:rPr>
          <w:lang w:val="es-ES"/>
        </w:rPr>
        <w:t>En cuanto al cumplimiento de lo establecido en la Ley No. 311-14 sobre Declaraciones Juradas de los Funcionarios Públicos, la Dirección General de Minería se encuentra en un cumplimiento de un 100%.</w:t>
      </w:r>
    </w:p>
    <w:p w14:paraId="771A9DA0" w14:textId="77777777" w:rsidR="00A32111" w:rsidRDefault="00A32111" w:rsidP="00A32111">
      <w:pPr>
        <w:spacing w:line="480" w:lineRule="auto"/>
        <w:jc w:val="both"/>
        <w:rPr>
          <w:b/>
          <w:lang w:val="es-ES"/>
        </w:rPr>
      </w:pPr>
      <w:r>
        <w:rPr>
          <w:lang w:val="es-ES"/>
        </w:rPr>
        <w:t xml:space="preserve">Las mismas </w:t>
      </w:r>
      <w:r w:rsidRPr="009C579C">
        <w:rPr>
          <w:lang w:val="es-ES"/>
        </w:rPr>
        <w:t xml:space="preserve">se encuentran </w:t>
      </w:r>
      <w:r>
        <w:rPr>
          <w:lang w:val="es-ES"/>
        </w:rPr>
        <w:t>depositadas en la Cámara de Cuentas de La República, así como también han sido publicadas en la página w</w:t>
      </w:r>
      <w:r w:rsidRPr="009C579C">
        <w:rPr>
          <w:lang w:val="es-ES"/>
        </w:rPr>
        <w:t xml:space="preserve">eb </w:t>
      </w:r>
      <w:r>
        <w:rPr>
          <w:lang w:val="es-ES"/>
        </w:rPr>
        <w:t xml:space="preserve">de transparencia </w:t>
      </w:r>
      <w:r w:rsidRPr="009C579C">
        <w:rPr>
          <w:lang w:val="es-ES"/>
        </w:rPr>
        <w:t>de la institución, en la siguiente dirección</w:t>
      </w:r>
      <w:r w:rsidRPr="00433C0C">
        <w:rPr>
          <w:b/>
          <w:lang w:val="es-ES"/>
        </w:rPr>
        <w:t xml:space="preserve">: </w:t>
      </w:r>
      <w:hyperlink r:id="rId14" w:history="1">
        <w:r w:rsidRPr="00433C0C">
          <w:rPr>
            <w:b/>
            <w:lang w:val="es-ES"/>
          </w:rPr>
          <w:t>http://www.dgm.gov.do/</w:t>
        </w:r>
      </w:hyperlink>
    </w:p>
    <w:p w14:paraId="531DE8CD" w14:textId="77777777" w:rsidR="00A32111" w:rsidRPr="003D052F" w:rsidRDefault="00A32111" w:rsidP="00A32111">
      <w:pPr>
        <w:spacing w:line="360" w:lineRule="auto"/>
        <w:jc w:val="both"/>
        <w:rPr>
          <w:sz w:val="16"/>
          <w:szCs w:val="16"/>
          <w:lang w:val="es-ES"/>
        </w:rPr>
      </w:pPr>
    </w:p>
    <w:p w14:paraId="3D78ED0B" w14:textId="77777777" w:rsidR="00A32111" w:rsidRPr="009C579C" w:rsidRDefault="00A32111" w:rsidP="00A32111">
      <w:pPr>
        <w:spacing w:line="480" w:lineRule="auto"/>
        <w:jc w:val="both"/>
        <w:rPr>
          <w:lang w:val="es-ES"/>
        </w:rPr>
      </w:pPr>
      <w:r w:rsidRPr="009C579C">
        <w:rPr>
          <w:lang w:val="es-ES"/>
        </w:rPr>
        <w:t>Los funcionarios que tienen y han cumplido con el requerimiento legal son los siguientes:</w:t>
      </w:r>
    </w:p>
    <w:p w14:paraId="632AA067" w14:textId="77777777" w:rsidR="00A32111" w:rsidRDefault="00A32111" w:rsidP="00A32111">
      <w:pPr>
        <w:spacing w:line="480" w:lineRule="auto"/>
        <w:jc w:val="both"/>
        <w:rPr>
          <w:lang w:val="es-ES"/>
        </w:rPr>
      </w:pPr>
      <w:r w:rsidRPr="009C579C">
        <w:rPr>
          <w:lang w:val="es-ES"/>
        </w:rPr>
        <w:t>Ing. Alexander Medina</w:t>
      </w:r>
      <w:r>
        <w:rPr>
          <w:lang w:val="es-ES"/>
        </w:rPr>
        <w:t xml:space="preserve">, </w:t>
      </w:r>
      <w:r w:rsidRPr="009C579C">
        <w:rPr>
          <w:lang w:val="es-ES"/>
        </w:rPr>
        <w:t>Director General de Minería</w:t>
      </w:r>
      <w:r>
        <w:rPr>
          <w:lang w:val="es-ES"/>
        </w:rPr>
        <w:t xml:space="preserve">, </w:t>
      </w:r>
      <w:r w:rsidRPr="009C579C">
        <w:rPr>
          <w:lang w:val="es-ES"/>
        </w:rPr>
        <w:t>Ing. Eugenio Lugo - Sub-Director General de Minería</w:t>
      </w:r>
      <w:r>
        <w:rPr>
          <w:lang w:val="es-ES"/>
        </w:rPr>
        <w:t xml:space="preserve">, </w:t>
      </w:r>
      <w:r w:rsidRPr="009C579C">
        <w:rPr>
          <w:lang w:val="es-ES"/>
        </w:rPr>
        <w:t>Ing. Ramón Morrobel - Sub-Director de Fiscalización de la Dirección General de Minería</w:t>
      </w:r>
      <w:r>
        <w:rPr>
          <w:lang w:val="es-ES"/>
        </w:rPr>
        <w:t xml:space="preserve">, </w:t>
      </w:r>
      <w:r w:rsidRPr="009C579C">
        <w:rPr>
          <w:lang w:val="es-ES"/>
        </w:rPr>
        <w:t>Jeannette Contreras - Encargada del Departamento Administrativo</w:t>
      </w:r>
      <w:r>
        <w:rPr>
          <w:lang w:val="es-ES"/>
        </w:rPr>
        <w:t xml:space="preserve"> y </w:t>
      </w:r>
      <w:r w:rsidRPr="009C579C">
        <w:rPr>
          <w:lang w:val="es-ES"/>
        </w:rPr>
        <w:t>Natalia Arias - Encargada de Compras de la Dirección General de Minería</w:t>
      </w:r>
      <w:r>
        <w:rPr>
          <w:lang w:val="es-ES"/>
        </w:rPr>
        <w:t>.</w:t>
      </w:r>
    </w:p>
    <w:p w14:paraId="75586E59" w14:textId="77777777" w:rsidR="00A32111" w:rsidRDefault="00A32111" w:rsidP="00A32111">
      <w:pPr>
        <w:spacing w:line="480" w:lineRule="auto"/>
        <w:jc w:val="both"/>
        <w:rPr>
          <w:lang w:val="es-ES"/>
        </w:rPr>
      </w:pPr>
    </w:p>
    <w:p w14:paraId="1861D475" w14:textId="77777777" w:rsidR="00A32111" w:rsidRPr="00001EC6" w:rsidRDefault="00A32111" w:rsidP="00A32111">
      <w:pPr>
        <w:pStyle w:val="Ttulo2"/>
        <w:numPr>
          <w:ilvl w:val="0"/>
          <w:numId w:val="52"/>
        </w:numPr>
        <w:rPr>
          <w:rFonts w:ascii="Times New Roman" w:hAnsi="Times New Roman" w:cs="Times New Roman"/>
          <w:b/>
          <w:sz w:val="32"/>
          <w:szCs w:val="32"/>
          <w:lang w:val="es-ES"/>
        </w:rPr>
      </w:pPr>
      <w:bookmarkStart w:id="335" w:name="_Toc29406173"/>
      <w:r w:rsidRPr="00001EC6">
        <w:rPr>
          <w:rFonts w:ascii="Times New Roman" w:hAnsi="Times New Roman" w:cs="Times New Roman"/>
          <w:b/>
          <w:sz w:val="32"/>
          <w:szCs w:val="32"/>
          <w:lang w:val="es-ES"/>
        </w:rPr>
        <w:lastRenderedPageBreak/>
        <w:t>Perspectiva de los Usuarios</w:t>
      </w:r>
      <w:bookmarkEnd w:id="335"/>
    </w:p>
    <w:p w14:paraId="7C204539" w14:textId="77777777" w:rsidR="00A32111" w:rsidRPr="00B14ABF" w:rsidRDefault="00A32111" w:rsidP="00A32111">
      <w:pPr>
        <w:rPr>
          <w:lang w:val="es-ES"/>
        </w:rPr>
      </w:pPr>
    </w:p>
    <w:p w14:paraId="7D0C88CD" w14:textId="77777777" w:rsidR="00A32111" w:rsidRDefault="00A32111" w:rsidP="00A32111">
      <w:pPr>
        <w:pStyle w:val="Ttulo3"/>
        <w:numPr>
          <w:ilvl w:val="0"/>
          <w:numId w:val="47"/>
        </w:numPr>
        <w:rPr>
          <w:rFonts w:ascii="Times New Roman" w:hAnsi="Times New Roman" w:cs="Times New Roman"/>
          <w:sz w:val="28"/>
          <w:szCs w:val="28"/>
        </w:rPr>
      </w:pPr>
      <w:bookmarkStart w:id="336" w:name="_Toc29406174"/>
      <w:r w:rsidRPr="00001EC6">
        <w:rPr>
          <w:rFonts w:ascii="Times New Roman" w:hAnsi="Times New Roman" w:cs="Times New Roman"/>
          <w:sz w:val="28"/>
          <w:szCs w:val="28"/>
        </w:rPr>
        <w:t>Sistema de Atención Ciudadana 3-1-1</w:t>
      </w:r>
      <w:bookmarkEnd w:id="336"/>
    </w:p>
    <w:p w14:paraId="64E90C4B" w14:textId="77777777" w:rsidR="00A32111" w:rsidRPr="00DA17DB" w:rsidRDefault="00A32111" w:rsidP="00A32111"/>
    <w:p w14:paraId="5B8981C5" w14:textId="77777777" w:rsidR="00A32111" w:rsidRDefault="00A32111" w:rsidP="00A32111">
      <w:pPr>
        <w:spacing w:line="480" w:lineRule="auto"/>
        <w:jc w:val="both"/>
        <w:rPr>
          <w:lang w:val="es-ES"/>
        </w:rPr>
      </w:pPr>
      <w:r w:rsidRPr="00003764">
        <w:rPr>
          <w:lang w:val="es-ES"/>
        </w:rPr>
        <w:t xml:space="preserve">Durante el ejercicio </w:t>
      </w:r>
      <w:r>
        <w:rPr>
          <w:lang w:val="es-ES"/>
        </w:rPr>
        <w:t>correspondiente al año 2019</w:t>
      </w:r>
      <w:r w:rsidRPr="00003764">
        <w:rPr>
          <w:lang w:val="es-ES"/>
        </w:rPr>
        <w:t xml:space="preserve">, </w:t>
      </w:r>
      <w:r>
        <w:rPr>
          <w:lang w:val="es-ES"/>
        </w:rPr>
        <w:t xml:space="preserve">la Dirección General de Minería, </w:t>
      </w:r>
      <w:r w:rsidRPr="00003764">
        <w:rPr>
          <w:lang w:val="es-ES"/>
        </w:rPr>
        <w:t>no ha recibi</w:t>
      </w:r>
      <w:r>
        <w:rPr>
          <w:lang w:val="es-ES"/>
        </w:rPr>
        <w:t>ó</w:t>
      </w:r>
      <w:r w:rsidRPr="00003764">
        <w:rPr>
          <w:lang w:val="es-ES"/>
        </w:rPr>
        <w:t xml:space="preserve"> ningún tipo de quejas, reclamaciones, sugerencias y denun</w:t>
      </w:r>
      <w:r>
        <w:rPr>
          <w:lang w:val="es-ES"/>
        </w:rPr>
        <w:t>cias de parte de los ciudadanos</w:t>
      </w:r>
      <w:r w:rsidRPr="00003764">
        <w:rPr>
          <w:lang w:val="es-ES"/>
        </w:rPr>
        <w:t xml:space="preserve"> </w:t>
      </w:r>
      <w:r>
        <w:rPr>
          <w:lang w:val="es-ES"/>
        </w:rPr>
        <w:t xml:space="preserve">con relación </w:t>
      </w:r>
      <w:r w:rsidRPr="00003764">
        <w:rPr>
          <w:lang w:val="es-ES"/>
        </w:rPr>
        <w:t xml:space="preserve">a los trámites y servicios que ofrece </w:t>
      </w:r>
      <w:r>
        <w:rPr>
          <w:lang w:val="es-ES"/>
        </w:rPr>
        <w:t>la Dirección General de Minería</w:t>
      </w:r>
      <w:r w:rsidRPr="00003764">
        <w:rPr>
          <w:lang w:val="es-ES"/>
        </w:rPr>
        <w:t>, así como en cuanto al comportamiento de nuestros servidores públicos, por medio del sistema de registro de</w:t>
      </w:r>
      <w:r>
        <w:rPr>
          <w:lang w:val="es-ES"/>
        </w:rPr>
        <w:t xml:space="preserve"> </w:t>
      </w:r>
      <w:r w:rsidRPr="00003764">
        <w:rPr>
          <w:lang w:val="es-ES"/>
        </w:rPr>
        <w:t>l</w:t>
      </w:r>
      <w:r>
        <w:rPr>
          <w:lang w:val="es-ES"/>
        </w:rPr>
        <w:t>a línea</w:t>
      </w:r>
      <w:r w:rsidRPr="00003764">
        <w:rPr>
          <w:lang w:val="es-ES"/>
        </w:rPr>
        <w:t xml:space="preserve"> 311.</w:t>
      </w:r>
    </w:p>
    <w:p w14:paraId="45444B51" w14:textId="77777777" w:rsidR="00A32111" w:rsidRPr="005116DE" w:rsidRDefault="00A32111" w:rsidP="00A32111">
      <w:pPr>
        <w:spacing w:line="276" w:lineRule="auto"/>
        <w:jc w:val="both"/>
        <w:rPr>
          <w:b/>
          <w:i/>
          <w:highlight w:val="yellow"/>
        </w:rPr>
      </w:pPr>
    </w:p>
    <w:p w14:paraId="6F4E68C5" w14:textId="7A3CE300" w:rsidR="00835042" w:rsidRPr="009C579C" w:rsidRDefault="00835042" w:rsidP="00E406B4">
      <w:pPr>
        <w:spacing w:line="360" w:lineRule="auto"/>
        <w:jc w:val="both"/>
        <w:rPr>
          <w:lang w:val="es-ES"/>
        </w:rPr>
      </w:pPr>
    </w:p>
    <w:p w14:paraId="718C1D88" w14:textId="64615D10" w:rsidR="00F24538" w:rsidRPr="005E578D" w:rsidRDefault="00F5636F" w:rsidP="00F5636F">
      <w:pPr>
        <w:pStyle w:val="Ttulo3"/>
        <w:rPr>
          <w:lang w:val="es-ES"/>
        </w:rPr>
      </w:pPr>
      <w:bookmarkStart w:id="337" w:name="_Toc29406175"/>
      <w:r>
        <w:rPr>
          <w:lang w:val="es-ES"/>
        </w:rPr>
        <w:t xml:space="preserve">ii. </w:t>
      </w:r>
      <w:r w:rsidR="00F24538" w:rsidRPr="00E406B4">
        <w:rPr>
          <w:rFonts w:ascii="Times New Roman" w:hAnsi="Times New Roman" w:cs="Times New Roman"/>
          <w:sz w:val="28"/>
          <w:szCs w:val="28"/>
          <w:lang w:val="es-ES"/>
        </w:rPr>
        <w:t>Índice Uso TIC e Implementación Gobierno Electrónico</w:t>
      </w:r>
      <w:bookmarkEnd w:id="337"/>
    </w:p>
    <w:p w14:paraId="2755EE48" w14:textId="77777777" w:rsidR="00F24538" w:rsidRPr="00E059B5" w:rsidRDefault="00F24538" w:rsidP="00F24538">
      <w:pPr>
        <w:rPr>
          <w:lang w:val="es-ES"/>
        </w:rPr>
      </w:pPr>
    </w:p>
    <w:p w14:paraId="33E96C84" w14:textId="378A9110" w:rsidR="004970F8" w:rsidRDefault="004970F8" w:rsidP="004970F8">
      <w:pPr>
        <w:spacing w:line="480" w:lineRule="auto"/>
        <w:jc w:val="both"/>
        <w:rPr>
          <w:lang w:val="es-ES"/>
        </w:rPr>
      </w:pPr>
      <w:r w:rsidRPr="004970F8">
        <w:rPr>
          <w:lang w:val="es-ES"/>
        </w:rPr>
        <w:t>La Dirección General de Minería ha sido evaluada en materia del uso de Tecnologías de la información</w:t>
      </w:r>
      <w:r>
        <w:rPr>
          <w:lang w:val="es-ES"/>
        </w:rPr>
        <w:t xml:space="preserve">, estando </w:t>
      </w:r>
      <w:r w:rsidRPr="004970F8">
        <w:rPr>
          <w:lang w:val="es-ES"/>
        </w:rPr>
        <w:t>en el Ranking de uso des TIC y gobierno electrónico en su versión 2019, realizado por la Oficina Presidencial de Tecnología de la Información (OPTIC)</w:t>
      </w:r>
      <w:r>
        <w:rPr>
          <w:lang w:val="es-ES"/>
        </w:rPr>
        <w:t>. A</w:t>
      </w:r>
      <w:r w:rsidRPr="004970F8">
        <w:rPr>
          <w:lang w:val="es-ES"/>
        </w:rPr>
        <w:t xml:space="preserve">l mes de diciembre contamos con una puntuación de 79.20 %, ocupando la posición 95 de 282 instituciones que fueron medidas, y mostrando un crecimiento de un 8.64 % con respecto al año pasado.  </w:t>
      </w:r>
    </w:p>
    <w:p w14:paraId="59EBD38D" w14:textId="77777777" w:rsidR="004970F8" w:rsidRPr="004970F8" w:rsidRDefault="004970F8" w:rsidP="004970F8">
      <w:pPr>
        <w:spacing w:line="480" w:lineRule="auto"/>
        <w:jc w:val="both"/>
        <w:rPr>
          <w:lang w:val="es-ES"/>
        </w:rPr>
      </w:pPr>
    </w:p>
    <w:p w14:paraId="76108765" w14:textId="6147C238" w:rsidR="004970F8" w:rsidRPr="004970F8" w:rsidRDefault="004970F8" w:rsidP="004970F8">
      <w:pPr>
        <w:spacing w:line="480" w:lineRule="auto"/>
        <w:jc w:val="both"/>
        <w:rPr>
          <w:lang w:val="es-ES"/>
        </w:rPr>
      </w:pPr>
      <w:r w:rsidRPr="004970F8">
        <w:rPr>
          <w:lang w:val="es-ES"/>
        </w:rPr>
        <w:t>Al finalizar el mes de noviembre</w:t>
      </w:r>
      <w:r>
        <w:rPr>
          <w:lang w:val="es-ES"/>
        </w:rPr>
        <w:t xml:space="preserve"> 2019</w:t>
      </w:r>
      <w:r w:rsidRPr="004970F8">
        <w:rPr>
          <w:lang w:val="es-ES"/>
        </w:rPr>
        <w:t xml:space="preserve"> tenemos en proceso la certificación NORTIC E-1</w:t>
      </w:r>
      <w:r>
        <w:rPr>
          <w:lang w:val="es-ES"/>
        </w:rPr>
        <w:t>, la cual es la n</w:t>
      </w:r>
      <w:r w:rsidRPr="004970F8">
        <w:rPr>
          <w:lang w:val="es-ES"/>
        </w:rPr>
        <w:t>ormativa para la gestión de las redes sociales en los organismos gubernamentales establece las directrices que debe seguir toda la administración pública, a fin de lograr una correcta gestión de las redes sociales en las que estos tengan presencia, siguiendo las mejores prácticas establecidas para lograr una comunicación limpia y efectiva con el ciudadano.</w:t>
      </w:r>
      <w:r>
        <w:rPr>
          <w:lang w:val="es-ES"/>
        </w:rPr>
        <w:t xml:space="preserve"> </w:t>
      </w:r>
      <w:r w:rsidRPr="004970F8">
        <w:rPr>
          <w:lang w:val="es-ES"/>
        </w:rPr>
        <w:t>Así como también la Normativa NORTIC A-4, sobre acuerdo y gestión de la interoperabilidad entre las instituciones del estado dominicano</w:t>
      </w:r>
      <w:r>
        <w:rPr>
          <w:lang w:val="es-ES"/>
        </w:rPr>
        <w:t>.</w:t>
      </w:r>
    </w:p>
    <w:p w14:paraId="73271623" w14:textId="0379EFCE" w:rsidR="004970F8" w:rsidRPr="004970F8" w:rsidRDefault="004970F8" w:rsidP="004970F8">
      <w:pPr>
        <w:spacing w:line="480" w:lineRule="auto"/>
        <w:jc w:val="both"/>
        <w:rPr>
          <w:lang w:val="es-ES"/>
        </w:rPr>
      </w:pPr>
      <w:r>
        <w:rPr>
          <w:lang w:val="es-ES"/>
        </w:rPr>
        <w:lastRenderedPageBreak/>
        <w:t>S</w:t>
      </w:r>
      <w:r w:rsidRPr="004970F8">
        <w:rPr>
          <w:lang w:val="es-ES"/>
        </w:rPr>
        <w:t>e encuentra e</w:t>
      </w:r>
      <w:r>
        <w:rPr>
          <w:lang w:val="es-ES"/>
        </w:rPr>
        <w:t>n e</w:t>
      </w:r>
      <w:r w:rsidRPr="004970F8">
        <w:rPr>
          <w:lang w:val="es-ES"/>
        </w:rPr>
        <w:t>l proceso la normativa NORTIC A-5, sobre la Prestación y Automatización de los Servicios Públicos del Estado Dominicano tiene como propósito la normalización y homogenización de todos los servicios.  En este sentido estamos coordinando las reuniones con las áreas operativas involucradas en las ofertas de servicios al ciudadano y al departamento de planificación y desarrollo.</w:t>
      </w:r>
    </w:p>
    <w:p w14:paraId="3D894503" w14:textId="77777777" w:rsidR="004970F8" w:rsidRDefault="004970F8" w:rsidP="004970F8">
      <w:pPr>
        <w:spacing w:line="480" w:lineRule="auto"/>
        <w:jc w:val="both"/>
        <w:rPr>
          <w:lang w:val="es-ES"/>
        </w:rPr>
      </w:pPr>
      <w:r w:rsidRPr="004970F8">
        <w:rPr>
          <w:lang w:val="es-ES"/>
        </w:rPr>
        <w:t>Con la obtención de estas dos normativas aseguramos una mejor calificación en el Ranking de uso e implementación de las TIC y gobierno electrónico y continuar creciendo en este indicador.</w:t>
      </w:r>
    </w:p>
    <w:p w14:paraId="77F16934" w14:textId="77777777" w:rsidR="004970F8" w:rsidRPr="004970F8" w:rsidRDefault="004970F8" w:rsidP="004970F8">
      <w:pPr>
        <w:spacing w:line="480" w:lineRule="auto"/>
        <w:jc w:val="both"/>
        <w:rPr>
          <w:lang w:val="es-ES"/>
        </w:rPr>
      </w:pPr>
    </w:p>
    <w:p w14:paraId="42A4FFD4" w14:textId="0E9F27C5" w:rsidR="004970F8" w:rsidRDefault="004970F8" w:rsidP="004970F8">
      <w:pPr>
        <w:spacing w:line="480" w:lineRule="auto"/>
        <w:jc w:val="both"/>
        <w:rPr>
          <w:lang w:val="es-ES"/>
        </w:rPr>
      </w:pPr>
      <w:r>
        <w:rPr>
          <w:lang w:val="es-ES"/>
        </w:rPr>
        <w:t xml:space="preserve">En cuanto a la </w:t>
      </w:r>
      <w:r w:rsidRPr="004970F8">
        <w:rPr>
          <w:lang w:val="es-ES"/>
        </w:rPr>
        <w:t>Infraestructura</w:t>
      </w:r>
      <w:r>
        <w:rPr>
          <w:lang w:val="es-ES"/>
        </w:rPr>
        <w:t xml:space="preserve">, durante este ejercicio fiscal, la </w:t>
      </w:r>
      <w:r w:rsidRPr="004970F8">
        <w:rPr>
          <w:lang w:val="es-ES"/>
        </w:rPr>
        <w:t>Dirección General de Minería sigue teniendo mejoras sustanciales en materia de infraestructuras informáticas, con la adquisición de un servidor de datos de última generación para servir como base para la implementación  de un sistema para la gestión de las concesiones mineras</w:t>
      </w:r>
      <w:r>
        <w:rPr>
          <w:lang w:val="es-ES"/>
        </w:rPr>
        <w:t xml:space="preserve">, así como el </w:t>
      </w:r>
      <w:r w:rsidRPr="004970F8">
        <w:rPr>
          <w:lang w:val="es-ES"/>
        </w:rPr>
        <w:t>Software</w:t>
      </w:r>
      <w:r>
        <w:rPr>
          <w:lang w:val="es-ES"/>
        </w:rPr>
        <w:t xml:space="preserve"> </w:t>
      </w:r>
      <w:r w:rsidRPr="004970F8">
        <w:rPr>
          <w:lang w:val="es-ES"/>
        </w:rPr>
        <w:t>LandFolio, uno de los programas más prestigioso en materia de gestión de derechos mineros, y que ya contamos en esta herramienta de apoyo al trabajo diario de esta Dirección General de Minería.</w:t>
      </w:r>
    </w:p>
    <w:p w14:paraId="0AC5664B" w14:textId="77777777" w:rsidR="004970F8" w:rsidRPr="004970F8" w:rsidRDefault="004970F8" w:rsidP="004970F8">
      <w:pPr>
        <w:spacing w:line="480" w:lineRule="auto"/>
        <w:jc w:val="both"/>
        <w:rPr>
          <w:lang w:val="es-ES"/>
        </w:rPr>
      </w:pPr>
    </w:p>
    <w:p w14:paraId="4EF73EDB" w14:textId="77777777" w:rsidR="004970F8" w:rsidRPr="004970F8" w:rsidRDefault="004970F8" w:rsidP="004970F8">
      <w:pPr>
        <w:spacing w:line="480" w:lineRule="auto"/>
        <w:jc w:val="both"/>
        <w:rPr>
          <w:lang w:val="es-ES"/>
        </w:rPr>
      </w:pPr>
      <w:r w:rsidRPr="004970F8">
        <w:rPr>
          <w:lang w:val="es-ES"/>
        </w:rPr>
        <w:t>Para apoyar la gestión del personal que nos visita diariamente, hemos desarrollado e implementado un módulo para entrada y salida de visitas a nuestras instalaciones y una guía para las extensiones internas.</w:t>
      </w:r>
    </w:p>
    <w:p w14:paraId="7E334566" w14:textId="77777777" w:rsidR="004970F8" w:rsidRPr="004970F8" w:rsidRDefault="004970F8" w:rsidP="004970F8">
      <w:pPr>
        <w:spacing w:line="480" w:lineRule="auto"/>
        <w:jc w:val="both"/>
        <w:rPr>
          <w:lang w:val="es-ES"/>
        </w:rPr>
      </w:pPr>
      <w:r w:rsidRPr="004970F8">
        <w:rPr>
          <w:lang w:val="es-ES"/>
        </w:rPr>
        <w:t xml:space="preserve"> Otra herramienta que se ha implementado es el uso de ArcGis Online, recurso que hemos recibido desde el Ministerio de Energía y Minas para compartir información geográfica de las áreas protegidas del ministerio de medio ambiente y recursos naturales,  para las validaciones cartográficas que se realizan con cada solicitud de concesión o denuncia de sustancias minerales.  Con lo vamos a poder contar con información actualizada en ese sentido.</w:t>
      </w:r>
    </w:p>
    <w:p w14:paraId="1C1F9673" w14:textId="280ABD02" w:rsidR="00456B39" w:rsidRPr="00C14D91" w:rsidRDefault="00F5636F" w:rsidP="00456B39">
      <w:pPr>
        <w:pStyle w:val="Ttulo3"/>
        <w:rPr>
          <w:lang w:val="es-ES"/>
        </w:rPr>
      </w:pPr>
      <w:bookmarkStart w:id="338" w:name="_Toc29406176"/>
      <w:r w:rsidRPr="00C14D91">
        <w:rPr>
          <w:lang w:val="es-ES"/>
        </w:rPr>
        <w:lastRenderedPageBreak/>
        <w:t xml:space="preserve">iii. </w:t>
      </w:r>
      <w:r w:rsidR="00456B39" w:rsidRPr="00E406B4">
        <w:rPr>
          <w:rFonts w:ascii="Times New Roman" w:hAnsi="Times New Roman" w:cs="Times New Roman"/>
          <w:sz w:val="28"/>
          <w:szCs w:val="28"/>
          <w:lang w:val="es-ES"/>
        </w:rPr>
        <w:t xml:space="preserve">Normas </w:t>
      </w:r>
      <w:r w:rsidR="002A45D2" w:rsidRPr="00C14D91">
        <w:rPr>
          <w:rFonts w:ascii="Times New Roman" w:hAnsi="Times New Roman" w:cs="Times New Roman"/>
          <w:sz w:val="28"/>
          <w:szCs w:val="28"/>
          <w:lang w:val="es-ES"/>
        </w:rPr>
        <w:t>Básicas</w:t>
      </w:r>
      <w:r w:rsidR="00456B39" w:rsidRPr="00E406B4">
        <w:rPr>
          <w:rFonts w:ascii="Times New Roman" w:hAnsi="Times New Roman" w:cs="Times New Roman"/>
          <w:sz w:val="28"/>
          <w:szCs w:val="28"/>
          <w:lang w:val="es-ES"/>
        </w:rPr>
        <w:t xml:space="preserve"> de Control Interno (NOBACI)</w:t>
      </w:r>
      <w:bookmarkEnd w:id="338"/>
    </w:p>
    <w:p w14:paraId="61AB5527" w14:textId="77777777" w:rsidR="00F5636F" w:rsidRPr="00C14D91" w:rsidRDefault="00F5636F" w:rsidP="00E059B5">
      <w:pPr>
        <w:pStyle w:val="Ttulo4"/>
        <w:rPr>
          <w:b/>
          <w:lang w:val="es-ES"/>
        </w:rPr>
      </w:pPr>
    </w:p>
    <w:p w14:paraId="60BD5787" w14:textId="690E6152" w:rsidR="002A45D2" w:rsidRPr="0030657A" w:rsidRDefault="002A45D2" w:rsidP="00E406B4">
      <w:pPr>
        <w:spacing w:line="480" w:lineRule="auto"/>
        <w:jc w:val="both"/>
        <w:rPr>
          <w:lang w:val="es-ES"/>
        </w:rPr>
      </w:pPr>
      <w:r w:rsidRPr="00C14D91">
        <w:rPr>
          <w:lang w:val="es-ES"/>
        </w:rPr>
        <w:t xml:space="preserve">El sistema de control interno institucional de la Direccion General de </w:t>
      </w:r>
      <w:r w:rsidRPr="0030657A">
        <w:rPr>
          <w:lang w:val="es-ES"/>
        </w:rPr>
        <w:t>Minería</w:t>
      </w:r>
      <w:r w:rsidRPr="00FB26F3">
        <w:rPr>
          <w:lang w:val="es-ES"/>
        </w:rPr>
        <w:t>, para las normas básicas de control interno,</w:t>
      </w:r>
      <w:r w:rsidR="005524A1" w:rsidRPr="00381065">
        <w:rPr>
          <w:lang w:val="es-ES"/>
        </w:rPr>
        <w:t xml:space="preserve"> alcanzo una evaluación institucional de un </w:t>
      </w:r>
      <w:r w:rsidR="004970F8">
        <w:rPr>
          <w:lang w:val="es-ES"/>
        </w:rPr>
        <w:t>94</w:t>
      </w:r>
      <w:r w:rsidR="005524A1" w:rsidRPr="00C14D91">
        <w:rPr>
          <w:lang w:val="es-ES"/>
        </w:rPr>
        <w:t>.</w:t>
      </w:r>
      <w:r w:rsidR="004970F8">
        <w:rPr>
          <w:lang w:val="es-ES"/>
        </w:rPr>
        <w:t>75</w:t>
      </w:r>
      <w:r w:rsidR="005524A1" w:rsidRPr="00C14D91">
        <w:rPr>
          <w:lang w:val="es-ES"/>
        </w:rPr>
        <w:t>%</w:t>
      </w:r>
      <w:r w:rsidR="004970F8">
        <w:rPr>
          <w:lang w:val="es-ES"/>
        </w:rPr>
        <w:t xml:space="preserve">, la cual luego de ser auditada </w:t>
      </w:r>
      <w:r w:rsidR="005524A1" w:rsidRPr="00C14D91">
        <w:rPr>
          <w:lang w:val="es-ES"/>
        </w:rPr>
        <w:t>por la Contraloría General de la Republica</w:t>
      </w:r>
      <w:r w:rsidR="004970F8">
        <w:rPr>
          <w:lang w:val="es-ES"/>
        </w:rPr>
        <w:t xml:space="preserve">, asciende a </w:t>
      </w:r>
      <w:r w:rsidR="005524A1" w:rsidRPr="00C14D91">
        <w:rPr>
          <w:lang w:val="es-ES"/>
        </w:rPr>
        <w:t xml:space="preserve">un </w:t>
      </w:r>
      <w:r w:rsidR="004970F8">
        <w:rPr>
          <w:lang w:val="es-ES"/>
        </w:rPr>
        <w:t>81.55%</w:t>
      </w:r>
      <w:r w:rsidR="005524A1" w:rsidRPr="00C14D91">
        <w:rPr>
          <w:lang w:val="es-ES"/>
        </w:rPr>
        <w:t>, las mismas</w:t>
      </w:r>
      <w:r w:rsidRPr="00C14D91">
        <w:rPr>
          <w:lang w:val="es-ES"/>
        </w:rPr>
        <w:t xml:space="preserve"> están integradas por cinco c</w:t>
      </w:r>
      <w:r w:rsidRPr="00E406B4">
        <w:rPr>
          <w:lang w:val="es-ES"/>
        </w:rPr>
        <w:t>omponentes</w:t>
      </w:r>
      <w:r w:rsidRPr="00C14D91">
        <w:rPr>
          <w:lang w:val="es-ES"/>
        </w:rPr>
        <w:t xml:space="preserve">, </w:t>
      </w:r>
      <w:r w:rsidR="005524A1" w:rsidRPr="00C14D91">
        <w:rPr>
          <w:lang w:val="es-ES"/>
        </w:rPr>
        <w:t xml:space="preserve">de </w:t>
      </w:r>
      <w:r w:rsidRPr="00C14D91">
        <w:rPr>
          <w:lang w:val="es-ES"/>
        </w:rPr>
        <w:t>los cuales mostramos el siguiente avance:</w:t>
      </w:r>
    </w:p>
    <w:p w14:paraId="7A599B23" w14:textId="18B2A0D5" w:rsidR="005524A1" w:rsidRPr="00381065" w:rsidRDefault="005524A1" w:rsidP="00E406B4">
      <w:pPr>
        <w:spacing w:line="480" w:lineRule="auto"/>
        <w:ind w:left="3540" w:firstLine="708"/>
        <w:jc w:val="both"/>
        <w:rPr>
          <w:b/>
          <w:sz w:val="28"/>
          <w:szCs w:val="28"/>
          <w:lang w:val="es-ES"/>
        </w:rPr>
      </w:pPr>
      <w:r w:rsidRPr="00FB26F3">
        <w:rPr>
          <w:b/>
          <w:sz w:val="28"/>
          <w:szCs w:val="28"/>
          <w:lang w:val="es-ES"/>
        </w:rPr>
        <w:t>Evaluación por:</w:t>
      </w:r>
    </w:p>
    <w:p w14:paraId="7D8097EF" w14:textId="789CB8D4" w:rsidR="005524A1" w:rsidRPr="00E406B4" w:rsidRDefault="005524A1" w:rsidP="00E406B4">
      <w:pPr>
        <w:ind w:left="3540" w:firstLine="708"/>
        <w:jc w:val="both"/>
        <w:rPr>
          <w:b/>
          <w:sz w:val="28"/>
          <w:szCs w:val="28"/>
          <w:lang w:val="es-ES"/>
        </w:rPr>
      </w:pPr>
      <w:r w:rsidRPr="00E406B4">
        <w:rPr>
          <w:b/>
          <w:sz w:val="28"/>
          <w:szCs w:val="28"/>
          <w:lang w:val="es-ES"/>
        </w:rPr>
        <w:t xml:space="preserve">                   Contraloría General</w:t>
      </w:r>
    </w:p>
    <w:p w14:paraId="0A1CF417" w14:textId="6F2CBAB1" w:rsidR="002A45D2" w:rsidRPr="00381065" w:rsidRDefault="002A45D2" w:rsidP="00E406B4">
      <w:pPr>
        <w:jc w:val="both"/>
        <w:rPr>
          <w:b/>
          <w:sz w:val="28"/>
          <w:szCs w:val="28"/>
          <w:lang w:val="es-ES"/>
        </w:rPr>
      </w:pPr>
      <w:r w:rsidRPr="00E406B4">
        <w:rPr>
          <w:b/>
          <w:sz w:val="28"/>
          <w:szCs w:val="28"/>
          <w:lang w:val="es-ES"/>
        </w:rPr>
        <w:t>Componente de:</w:t>
      </w:r>
      <w:r w:rsidRPr="00C14D91">
        <w:rPr>
          <w:b/>
          <w:sz w:val="28"/>
          <w:szCs w:val="28"/>
          <w:lang w:val="es-ES"/>
        </w:rPr>
        <w:tab/>
      </w:r>
      <w:r w:rsidRPr="00C14D91">
        <w:rPr>
          <w:b/>
          <w:sz w:val="28"/>
          <w:szCs w:val="28"/>
          <w:lang w:val="es-ES"/>
        </w:rPr>
        <w:tab/>
      </w:r>
      <w:r w:rsidRPr="00C14D91">
        <w:rPr>
          <w:b/>
          <w:sz w:val="28"/>
          <w:szCs w:val="28"/>
          <w:lang w:val="es-ES"/>
        </w:rPr>
        <w:tab/>
      </w:r>
      <w:r w:rsidR="005524A1" w:rsidRPr="00C14D91">
        <w:rPr>
          <w:b/>
          <w:sz w:val="28"/>
          <w:szCs w:val="28"/>
          <w:lang w:val="es-ES"/>
        </w:rPr>
        <w:t>Institución</w:t>
      </w:r>
      <w:r w:rsidR="005524A1" w:rsidRPr="00C14D91">
        <w:rPr>
          <w:b/>
          <w:sz w:val="28"/>
          <w:szCs w:val="28"/>
          <w:lang w:val="es-ES"/>
        </w:rPr>
        <w:tab/>
      </w:r>
      <w:r w:rsidRPr="00C14D91">
        <w:rPr>
          <w:b/>
          <w:sz w:val="28"/>
          <w:szCs w:val="28"/>
          <w:lang w:val="es-ES"/>
        </w:rPr>
        <w:tab/>
      </w:r>
      <w:r w:rsidR="005524A1" w:rsidRPr="0030657A">
        <w:rPr>
          <w:b/>
          <w:sz w:val="28"/>
          <w:szCs w:val="28"/>
          <w:lang w:val="es-ES"/>
        </w:rPr>
        <w:t xml:space="preserve">   </w:t>
      </w:r>
      <w:r w:rsidRPr="00FB26F3">
        <w:rPr>
          <w:b/>
          <w:sz w:val="28"/>
          <w:szCs w:val="28"/>
          <w:lang w:val="es-ES"/>
        </w:rPr>
        <w:t>de la Republica</w:t>
      </w:r>
    </w:p>
    <w:p w14:paraId="220310DD" w14:textId="77777777" w:rsidR="005524A1" w:rsidRPr="00E406B4" w:rsidRDefault="005524A1" w:rsidP="00E406B4">
      <w:pPr>
        <w:jc w:val="both"/>
        <w:rPr>
          <w:b/>
          <w:sz w:val="28"/>
          <w:szCs w:val="28"/>
          <w:lang w:val="es-ES"/>
        </w:rPr>
      </w:pPr>
    </w:p>
    <w:p w14:paraId="2392DE8D" w14:textId="7DC21C60" w:rsidR="002A45D2" w:rsidRPr="00E406B4" w:rsidRDefault="002A45D2" w:rsidP="00E406B4">
      <w:pPr>
        <w:spacing w:line="480" w:lineRule="auto"/>
        <w:jc w:val="both"/>
        <w:rPr>
          <w:lang w:val="es-ES"/>
        </w:rPr>
      </w:pPr>
      <w:r w:rsidRPr="00E406B4">
        <w:rPr>
          <w:lang w:val="es-ES"/>
        </w:rPr>
        <w:t>Ambiente de Control</w:t>
      </w:r>
      <w:r w:rsidR="005524A1" w:rsidRPr="00C14D91">
        <w:rPr>
          <w:lang w:val="es-ES"/>
        </w:rPr>
        <w:tab/>
      </w:r>
      <w:r w:rsidR="005524A1" w:rsidRPr="00C14D91">
        <w:rPr>
          <w:lang w:val="es-ES"/>
        </w:rPr>
        <w:tab/>
      </w:r>
      <w:r w:rsidR="005524A1" w:rsidRPr="00C14D91">
        <w:rPr>
          <w:lang w:val="es-ES"/>
        </w:rPr>
        <w:tab/>
      </w:r>
      <w:r w:rsidR="005524A1" w:rsidRPr="00C14D91">
        <w:rPr>
          <w:lang w:val="es-ES"/>
        </w:rPr>
        <w:tab/>
      </w:r>
      <w:r w:rsidR="004970F8">
        <w:rPr>
          <w:lang w:val="es-ES"/>
        </w:rPr>
        <w:t>7</w:t>
      </w:r>
      <w:r w:rsidR="005524A1" w:rsidRPr="00C14D91">
        <w:rPr>
          <w:lang w:val="es-ES"/>
        </w:rPr>
        <w:t>0.</w:t>
      </w:r>
      <w:r w:rsidR="004970F8">
        <w:rPr>
          <w:lang w:val="es-ES"/>
        </w:rPr>
        <w:t>78</w:t>
      </w:r>
      <w:r w:rsidR="005524A1" w:rsidRPr="00C14D91">
        <w:rPr>
          <w:lang w:val="es-ES"/>
        </w:rPr>
        <w:t>%</w:t>
      </w:r>
      <w:r w:rsidR="005524A1" w:rsidRPr="00C14D91">
        <w:rPr>
          <w:lang w:val="es-ES"/>
        </w:rPr>
        <w:tab/>
      </w:r>
      <w:r w:rsidR="005524A1" w:rsidRPr="00C14D91">
        <w:rPr>
          <w:lang w:val="es-ES"/>
        </w:rPr>
        <w:tab/>
      </w:r>
      <w:r w:rsidR="004970F8">
        <w:rPr>
          <w:lang w:val="es-ES"/>
        </w:rPr>
        <w:t>76</w:t>
      </w:r>
      <w:r w:rsidR="005524A1" w:rsidRPr="00C14D91">
        <w:rPr>
          <w:lang w:val="es-ES"/>
        </w:rPr>
        <w:t>.</w:t>
      </w:r>
      <w:r w:rsidR="004970F8">
        <w:rPr>
          <w:lang w:val="es-ES"/>
        </w:rPr>
        <w:t>40</w:t>
      </w:r>
      <w:r w:rsidR="005524A1" w:rsidRPr="00C14D91">
        <w:rPr>
          <w:lang w:val="es-ES"/>
        </w:rPr>
        <w:t>%</w:t>
      </w:r>
    </w:p>
    <w:p w14:paraId="54707AEC" w14:textId="674D71DA" w:rsidR="002A45D2" w:rsidRPr="00E406B4" w:rsidRDefault="002A45D2" w:rsidP="00E406B4">
      <w:pPr>
        <w:spacing w:line="480" w:lineRule="auto"/>
        <w:jc w:val="both"/>
        <w:rPr>
          <w:lang w:val="es-ES"/>
        </w:rPr>
      </w:pPr>
      <w:r w:rsidRPr="00E406B4">
        <w:rPr>
          <w:lang w:val="es-ES"/>
        </w:rPr>
        <w:t>Valoración y Administración de Riesgos</w:t>
      </w:r>
      <w:r w:rsidR="005524A1" w:rsidRPr="00C14D91">
        <w:rPr>
          <w:lang w:val="es-ES"/>
        </w:rPr>
        <w:tab/>
        <w:t>100%</w:t>
      </w:r>
      <w:r w:rsidR="005524A1" w:rsidRPr="00C14D91">
        <w:rPr>
          <w:lang w:val="es-ES"/>
        </w:rPr>
        <w:tab/>
      </w:r>
      <w:r w:rsidR="005524A1" w:rsidRPr="00C14D91">
        <w:rPr>
          <w:lang w:val="es-ES"/>
        </w:rPr>
        <w:tab/>
      </w:r>
      <w:r w:rsidR="005524A1" w:rsidRPr="00C14D91">
        <w:rPr>
          <w:lang w:val="es-ES"/>
        </w:rPr>
        <w:tab/>
      </w:r>
      <w:r w:rsidR="004970F8">
        <w:rPr>
          <w:lang w:val="es-ES"/>
        </w:rPr>
        <w:t>100</w:t>
      </w:r>
      <w:r w:rsidR="005524A1" w:rsidRPr="00C14D91">
        <w:rPr>
          <w:lang w:val="es-ES"/>
        </w:rPr>
        <w:t>%</w:t>
      </w:r>
    </w:p>
    <w:p w14:paraId="7A28964F" w14:textId="7A23130A" w:rsidR="002A45D2" w:rsidRPr="00E406B4" w:rsidRDefault="002A45D2" w:rsidP="00E406B4">
      <w:pPr>
        <w:spacing w:line="480" w:lineRule="auto"/>
        <w:jc w:val="both"/>
        <w:rPr>
          <w:lang w:val="es-ES"/>
        </w:rPr>
      </w:pPr>
      <w:r w:rsidRPr="00E406B4">
        <w:rPr>
          <w:lang w:val="es-ES"/>
        </w:rPr>
        <w:t>Actividades de Control</w:t>
      </w:r>
      <w:r w:rsidR="005524A1" w:rsidRPr="00C14D91">
        <w:rPr>
          <w:lang w:val="es-ES"/>
        </w:rPr>
        <w:tab/>
      </w:r>
      <w:r w:rsidR="005524A1" w:rsidRPr="00C14D91">
        <w:rPr>
          <w:lang w:val="es-ES"/>
        </w:rPr>
        <w:tab/>
      </w:r>
      <w:r w:rsidR="005524A1" w:rsidRPr="00C14D91">
        <w:rPr>
          <w:lang w:val="es-ES"/>
        </w:rPr>
        <w:tab/>
      </w:r>
      <w:r w:rsidR="004970F8">
        <w:rPr>
          <w:lang w:val="es-ES"/>
        </w:rPr>
        <w:t>96.30</w:t>
      </w:r>
      <w:r w:rsidR="005524A1" w:rsidRPr="00C14D91">
        <w:rPr>
          <w:lang w:val="es-ES"/>
        </w:rPr>
        <w:t>%</w:t>
      </w:r>
      <w:r w:rsidR="005524A1" w:rsidRPr="00C14D91">
        <w:rPr>
          <w:lang w:val="es-ES"/>
        </w:rPr>
        <w:tab/>
      </w:r>
      <w:r w:rsidR="005524A1" w:rsidRPr="00C14D91">
        <w:rPr>
          <w:lang w:val="es-ES"/>
        </w:rPr>
        <w:tab/>
      </w:r>
      <w:r w:rsidR="004970F8">
        <w:rPr>
          <w:lang w:val="es-ES"/>
        </w:rPr>
        <w:t>59.26</w:t>
      </w:r>
      <w:r w:rsidR="005524A1" w:rsidRPr="00C14D91">
        <w:rPr>
          <w:lang w:val="es-ES"/>
        </w:rPr>
        <w:t>%</w:t>
      </w:r>
    </w:p>
    <w:p w14:paraId="021B4818" w14:textId="364ACBB4" w:rsidR="002A45D2" w:rsidRPr="00E406B4" w:rsidRDefault="002A45D2" w:rsidP="00E406B4">
      <w:pPr>
        <w:spacing w:line="480" w:lineRule="auto"/>
        <w:jc w:val="both"/>
        <w:rPr>
          <w:lang w:val="es-ES"/>
        </w:rPr>
      </w:pPr>
      <w:r w:rsidRPr="00E406B4">
        <w:rPr>
          <w:lang w:val="es-ES"/>
        </w:rPr>
        <w:t>Información y Comunicación</w:t>
      </w:r>
      <w:r w:rsidR="005524A1" w:rsidRPr="00C14D91">
        <w:rPr>
          <w:lang w:val="es-ES"/>
        </w:rPr>
        <w:tab/>
      </w:r>
      <w:r w:rsidR="005524A1" w:rsidRPr="00C14D91">
        <w:rPr>
          <w:lang w:val="es-ES"/>
        </w:rPr>
        <w:tab/>
      </w:r>
      <w:r w:rsidR="005524A1" w:rsidRPr="00C14D91">
        <w:rPr>
          <w:lang w:val="es-ES"/>
        </w:rPr>
        <w:tab/>
        <w:t>97.67%</w:t>
      </w:r>
      <w:r w:rsidR="005524A1" w:rsidRPr="00C14D91">
        <w:rPr>
          <w:lang w:val="es-ES"/>
        </w:rPr>
        <w:tab/>
      </w:r>
      <w:r w:rsidR="005524A1" w:rsidRPr="00C14D91">
        <w:rPr>
          <w:lang w:val="es-ES"/>
        </w:rPr>
        <w:tab/>
      </w:r>
      <w:r w:rsidR="004970F8">
        <w:rPr>
          <w:lang w:val="es-ES"/>
        </w:rPr>
        <w:t>72.09</w:t>
      </w:r>
      <w:r w:rsidR="005524A1" w:rsidRPr="00C14D91">
        <w:rPr>
          <w:lang w:val="es-ES"/>
        </w:rPr>
        <w:t>%</w:t>
      </w:r>
    </w:p>
    <w:p w14:paraId="6BA969B4" w14:textId="53A905D9" w:rsidR="002A45D2" w:rsidRPr="00E406B4" w:rsidRDefault="002A45D2" w:rsidP="00E406B4">
      <w:pPr>
        <w:spacing w:line="480" w:lineRule="auto"/>
        <w:jc w:val="both"/>
        <w:rPr>
          <w:lang w:val="es-ES"/>
        </w:rPr>
      </w:pPr>
      <w:r w:rsidRPr="00E406B4">
        <w:rPr>
          <w:lang w:val="es-ES"/>
        </w:rPr>
        <w:t>Monitoreo y Evaluación</w:t>
      </w:r>
      <w:r w:rsidR="005524A1" w:rsidRPr="00C14D91">
        <w:rPr>
          <w:lang w:val="es-ES"/>
        </w:rPr>
        <w:tab/>
      </w:r>
      <w:r w:rsidR="005524A1" w:rsidRPr="00C14D91">
        <w:rPr>
          <w:lang w:val="es-ES"/>
        </w:rPr>
        <w:tab/>
      </w:r>
      <w:r w:rsidR="005524A1" w:rsidRPr="00C14D91">
        <w:rPr>
          <w:lang w:val="es-ES"/>
        </w:rPr>
        <w:tab/>
        <w:t>100%</w:t>
      </w:r>
      <w:r w:rsidR="005524A1" w:rsidRPr="00C14D91">
        <w:rPr>
          <w:lang w:val="es-ES"/>
        </w:rPr>
        <w:tab/>
      </w:r>
      <w:r w:rsidR="005524A1" w:rsidRPr="00C14D91">
        <w:rPr>
          <w:lang w:val="es-ES"/>
        </w:rPr>
        <w:tab/>
      </w:r>
      <w:r w:rsidR="005524A1" w:rsidRPr="00C14D91">
        <w:rPr>
          <w:lang w:val="es-ES"/>
        </w:rPr>
        <w:tab/>
      </w:r>
      <w:r w:rsidR="004970F8">
        <w:rPr>
          <w:lang w:val="es-ES"/>
        </w:rPr>
        <w:t>100</w:t>
      </w:r>
      <w:r w:rsidR="005524A1" w:rsidRPr="00C14D91">
        <w:rPr>
          <w:lang w:val="es-ES"/>
        </w:rPr>
        <w:t>%</w:t>
      </w:r>
    </w:p>
    <w:p w14:paraId="54BA89A6" w14:textId="288B35E2" w:rsidR="00F5636F" w:rsidRDefault="00F5636F" w:rsidP="002A3B8E">
      <w:pPr>
        <w:spacing w:line="360" w:lineRule="auto"/>
        <w:jc w:val="both"/>
        <w:rPr>
          <w:highlight w:val="yellow"/>
          <w:lang w:val="es-ES"/>
        </w:rPr>
      </w:pPr>
    </w:p>
    <w:p w14:paraId="42FDA7AA" w14:textId="77777777" w:rsidR="002A3B8E" w:rsidRDefault="002A3B8E" w:rsidP="002A3B8E">
      <w:pPr>
        <w:spacing w:line="360" w:lineRule="auto"/>
        <w:jc w:val="both"/>
        <w:rPr>
          <w:highlight w:val="yellow"/>
          <w:lang w:val="es-ES"/>
        </w:rPr>
      </w:pPr>
    </w:p>
    <w:p w14:paraId="5D4598D9" w14:textId="77777777" w:rsidR="002A3B8E" w:rsidRDefault="002A3B8E" w:rsidP="002A3B8E">
      <w:pPr>
        <w:spacing w:line="360" w:lineRule="auto"/>
        <w:jc w:val="both"/>
        <w:rPr>
          <w:highlight w:val="yellow"/>
          <w:lang w:val="es-ES"/>
        </w:rPr>
      </w:pPr>
    </w:p>
    <w:p w14:paraId="5205B145" w14:textId="77777777" w:rsidR="002A3B8E" w:rsidRDefault="002A3B8E" w:rsidP="002A3B8E">
      <w:pPr>
        <w:spacing w:line="360" w:lineRule="auto"/>
        <w:jc w:val="both"/>
        <w:rPr>
          <w:highlight w:val="yellow"/>
          <w:lang w:val="es-ES"/>
        </w:rPr>
      </w:pPr>
    </w:p>
    <w:p w14:paraId="3F6E883F" w14:textId="77777777" w:rsidR="002A3B8E" w:rsidRDefault="002A3B8E" w:rsidP="002A3B8E">
      <w:pPr>
        <w:spacing w:line="360" w:lineRule="auto"/>
        <w:jc w:val="both"/>
        <w:rPr>
          <w:highlight w:val="yellow"/>
          <w:lang w:val="es-ES"/>
        </w:rPr>
      </w:pPr>
    </w:p>
    <w:p w14:paraId="0E6DAD1C" w14:textId="77777777" w:rsidR="002A3B8E" w:rsidRDefault="002A3B8E" w:rsidP="002A3B8E">
      <w:pPr>
        <w:spacing w:line="360" w:lineRule="auto"/>
        <w:jc w:val="both"/>
        <w:rPr>
          <w:highlight w:val="yellow"/>
          <w:lang w:val="es-ES"/>
        </w:rPr>
      </w:pPr>
    </w:p>
    <w:p w14:paraId="2096C4F2" w14:textId="77777777" w:rsidR="002A3B8E" w:rsidRDefault="002A3B8E" w:rsidP="002A3B8E">
      <w:pPr>
        <w:spacing w:line="360" w:lineRule="auto"/>
        <w:jc w:val="both"/>
        <w:rPr>
          <w:highlight w:val="yellow"/>
          <w:lang w:val="es-ES"/>
        </w:rPr>
      </w:pPr>
    </w:p>
    <w:p w14:paraId="530E2D1D" w14:textId="77777777" w:rsidR="002A3B8E" w:rsidRDefault="002A3B8E" w:rsidP="002A3B8E">
      <w:pPr>
        <w:spacing w:line="360" w:lineRule="auto"/>
        <w:jc w:val="both"/>
        <w:rPr>
          <w:highlight w:val="yellow"/>
          <w:lang w:val="es-ES"/>
        </w:rPr>
      </w:pPr>
    </w:p>
    <w:p w14:paraId="340C7496" w14:textId="77777777" w:rsidR="007F63CE" w:rsidRPr="00C14D91" w:rsidRDefault="007F63CE" w:rsidP="00E406B4">
      <w:pPr>
        <w:spacing w:line="360" w:lineRule="auto"/>
        <w:jc w:val="both"/>
        <w:rPr>
          <w:lang w:val="es-ES"/>
        </w:rPr>
      </w:pPr>
    </w:p>
    <w:p w14:paraId="73980800" w14:textId="5D8FE364" w:rsidR="00456B39" w:rsidRPr="00C14D91" w:rsidRDefault="00456B39" w:rsidP="00456B39">
      <w:pPr>
        <w:pStyle w:val="Ttulo3"/>
        <w:rPr>
          <w:lang w:val="es-ES"/>
        </w:rPr>
      </w:pPr>
      <w:bookmarkStart w:id="339" w:name="_Toc29406177"/>
      <w:r w:rsidRPr="00C14D91">
        <w:rPr>
          <w:lang w:val="es-ES"/>
        </w:rPr>
        <w:lastRenderedPageBreak/>
        <w:t xml:space="preserve">iv. </w:t>
      </w:r>
      <w:r w:rsidRPr="00E406B4">
        <w:rPr>
          <w:rFonts w:ascii="Times New Roman" w:hAnsi="Times New Roman" w:cs="Times New Roman"/>
          <w:sz w:val="28"/>
          <w:szCs w:val="28"/>
          <w:lang w:val="es-ES"/>
        </w:rPr>
        <w:t>Gestión Presupuestaria</w:t>
      </w:r>
      <w:bookmarkEnd w:id="339"/>
    </w:p>
    <w:p w14:paraId="2A77DA58" w14:textId="77777777" w:rsidR="00456B39" w:rsidRPr="00C14D91" w:rsidRDefault="00456B39" w:rsidP="00456B39">
      <w:pPr>
        <w:rPr>
          <w:lang w:val="es-ES"/>
        </w:rPr>
      </w:pPr>
    </w:p>
    <w:p w14:paraId="53001CA3" w14:textId="343363B6" w:rsidR="00456B39" w:rsidRPr="00C14D91" w:rsidRDefault="00456B39" w:rsidP="00456B39">
      <w:pPr>
        <w:spacing w:line="480" w:lineRule="auto"/>
        <w:jc w:val="both"/>
        <w:rPr>
          <w:lang w:val="es-ES"/>
        </w:rPr>
      </w:pPr>
      <w:r w:rsidRPr="00C14D91">
        <w:rPr>
          <w:lang w:val="es-ES"/>
        </w:rPr>
        <w:t>El presupuesto total vigente del ejercicio 201</w:t>
      </w:r>
      <w:r w:rsidR="002A3B8E" w:rsidRPr="002A3B8E">
        <w:rPr>
          <w:lang w:val="es-ES"/>
        </w:rPr>
        <w:t>9</w:t>
      </w:r>
      <w:r w:rsidRPr="00C14D91">
        <w:rPr>
          <w:lang w:val="es-ES"/>
        </w:rPr>
        <w:t>, ascendió a la suma de RD$</w:t>
      </w:r>
      <w:r w:rsidR="00D122D8" w:rsidRPr="002A3B8E">
        <w:rPr>
          <w:lang w:val="es-ES"/>
        </w:rPr>
        <w:t>1</w:t>
      </w:r>
      <w:r w:rsidR="002A3B8E" w:rsidRPr="002A3B8E">
        <w:rPr>
          <w:lang w:val="es-ES"/>
        </w:rPr>
        <w:t>6</w:t>
      </w:r>
      <w:r w:rsidR="00D122D8" w:rsidRPr="00C14D91">
        <w:rPr>
          <w:lang w:val="es-ES"/>
        </w:rPr>
        <w:t>5</w:t>
      </w:r>
      <w:r w:rsidRPr="00C14D91">
        <w:rPr>
          <w:lang w:val="es-ES"/>
        </w:rPr>
        <w:t xml:space="preserve">, </w:t>
      </w:r>
      <w:r w:rsidR="002A3B8E" w:rsidRPr="002A3B8E">
        <w:rPr>
          <w:lang w:val="es-ES"/>
        </w:rPr>
        <w:t>341</w:t>
      </w:r>
      <w:r w:rsidR="00D122D8" w:rsidRPr="002A3B8E">
        <w:rPr>
          <w:lang w:val="es-ES"/>
        </w:rPr>
        <w:t xml:space="preserve">, </w:t>
      </w:r>
      <w:r w:rsidR="002A3B8E" w:rsidRPr="002A3B8E">
        <w:rPr>
          <w:lang w:val="es-ES"/>
        </w:rPr>
        <w:t>288</w:t>
      </w:r>
      <w:r w:rsidRPr="00C14D91">
        <w:rPr>
          <w:lang w:val="es-ES"/>
        </w:rPr>
        <w:t>.00, del cual al 30 de Noviembre se presenta un total devengado de RD$1</w:t>
      </w:r>
      <w:r w:rsidR="002A3B8E" w:rsidRPr="002A3B8E">
        <w:rPr>
          <w:lang w:val="es-ES"/>
        </w:rPr>
        <w:t>25</w:t>
      </w:r>
      <w:r w:rsidR="002A3B8E" w:rsidRPr="00C14D91">
        <w:rPr>
          <w:lang w:val="es-ES"/>
        </w:rPr>
        <w:t>,</w:t>
      </w:r>
      <w:r w:rsidR="002A3B8E" w:rsidRPr="002A3B8E">
        <w:rPr>
          <w:lang w:val="es-ES"/>
        </w:rPr>
        <w:t xml:space="preserve"> 965,489.99</w:t>
      </w:r>
      <w:r w:rsidRPr="002A3B8E">
        <w:rPr>
          <w:lang w:val="es-ES"/>
        </w:rPr>
        <w:t xml:space="preserve">, representando una ejecución de un </w:t>
      </w:r>
      <w:r w:rsidR="00D122D8" w:rsidRPr="002A3B8E">
        <w:rPr>
          <w:lang w:val="es-ES"/>
        </w:rPr>
        <w:t>7</w:t>
      </w:r>
      <w:r w:rsidR="002A3B8E" w:rsidRPr="002A3B8E">
        <w:rPr>
          <w:lang w:val="es-ES"/>
        </w:rPr>
        <w:t>6</w:t>
      </w:r>
      <w:r w:rsidR="00D122D8" w:rsidRPr="00C14D91">
        <w:rPr>
          <w:lang w:val="es-ES"/>
        </w:rPr>
        <w:t>.</w:t>
      </w:r>
      <w:r w:rsidR="002A3B8E" w:rsidRPr="002A3B8E">
        <w:rPr>
          <w:lang w:val="es-ES"/>
        </w:rPr>
        <w:t>1</w:t>
      </w:r>
      <w:r w:rsidR="00D122D8" w:rsidRPr="00C14D91">
        <w:rPr>
          <w:lang w:val="es-ES"/>
        </w:rPr>
        <w:t>9</w:t>
      </w:r>
      <w:r w:rsidRPr="00C14D91">
        <w:rPr>
          <w:lang w:val="es-ES"/>
        </w:rPr>
        <w:t>% del presupuesto vigente.</w:t>
      </w:r>
    </w:p>
    <w:p w14:paraId="46577BAC" w14:textId="77777777" w:rsidR="00456B39" w:rsidRPr="00E406B4" w:rsidRDefault="00456B39" w:rsidP="00E406B4">
      <w:pPr>
        <w:spacing w:line="360" w:lineRule="auto"/>
        <w:jc w:val="both"/>
        <w:rPr>
          <w:highlight w:val="yellow"/>
          <w:lang w:val="es-ES"/>
        </w:rPr>
      </w:pPr>
    </w:p>
    <w:p w14:paraId="7C43CF5A" w14:textId="77777777" w:rsidR="00456B39" w:rsidRPr="002A3B8E" w:rsidRDefault="00456B39" w:rsidP="00456B39">
      <w:pPr>
        <w:spacing w:line="480" w:lineRule="auto"/>
        <w:jc w:val="both"/>
        <w:rPr>
          <w:lang w:val="es-ES"/>
        </w:rPr>
      </w:pPr>
      <w:r w:rsidRPr="002A3B8E">
        <w:rPr>
          <w:lang w:val="es-ES"/>
        </w:rPr>
        <w:t>El total del presupuesto vigente para el ejercicio se compone de las siguientes partidas presupuestarias:</w:t>
      </w:r>
    </w:p>
    <w:p w14:paraId="5076B631" w14:textId="2BBB5807" w:rsidR="00456B39" w:rsidRDefault="00456B39" w:rsidP="00456B39">
      <w:pPr>
        <w:spacing w:line="480" w:lineRule="auto"/>
        <w:jc w:val="both"/>
        <w:rPr>
          <w:lang w:val="es-ES"/>
        </w:rPr>
      </w:pPr>
      <w:r w:rsidRPr="002A3B8E">
        <w:rPr>
          <w:lang w:val="es-ES"/>
        </w:rPr>
        <w:t xml:space="preserve">El </w:t>
      </w:r>
      <w:r w:rsidR="00D122D8" w:rsidRPr="002A3B8E">
        <w:rPr>
          <w:lang w:val="es-ES"/>
        </w:rPr>
        <w:t>6</w:t>
      </w:r>
      <w:r w:rsidR="002A3B8E">
        <w:rPr>
          <w:lang w:val="es-ES"/>
        </w:rPr>
        <w:t>3</w:t>
      </w:r>
      <w:r w:rsidRPr="00C14D91">
        <w:rPr>
          <w:lang w:val="es-ES"/>
        </w:rPr>
        <w:t>.</w:t>
      </w:r>
      <w:r w:rsidR="002A3B8E">
        <w:rPr>
          <w:lang w:val="es-ES"/>
        </w:rPr>
        <w:t>21</w:t>
      </w:r>
      <w:r w:rsidRPr="00C14D91">
        <w:rPr>
          <w:lang w:val="es-ES"/>
        </w:rPr>
        <w:t xml:space="preserve">% del presupuesto vigente está representado por las partidas relacionadas a las remuneraciones y contribuciones de la nómina institucional. Un </w:t>
      </w:r>
      <w:r w:rsidR="002A3B8E">
        <w:rPr>
          <w:lang w:val="es-ES"/>
        </w:rPr>
        <w:t>7</w:t>
      </w:r>
      <w:r w:rsidR="00D122D8" w:rsidRPr="00C14D91">
        <w:rPr>
          <w:lang w:val="es-ES"/>
        </w:rPr>
        <w:t>.</w:t>
      </w:r>
      <w:r w:rsidR="002A3B8E">
        <w:rPr>
          <w:lang w:val="es-ES"/>
        </w:rPr>
        <w:t>04</w:t>
      </w:r>
      <w:r w:rsidRPr="00C14D91">
        <w:rPr>
          <w:lang w:val="es-ES"/>
        </w:rPr>
        <w:t xml:space="preserve">% lo representa la partida para la contratación de servicios, un </w:t>
      </w:r>
      <w:r w:rsidR="002A3B8E">
        <w:rPr>
          <w:lang w:val="es-ES"/>
        </w:rPr>
        <w:t>3</w:t>
      </w:r>
      <w:r w:rsidRPr="00C14D91">
        <w:rPr>
          <w:lang w:val="es-ES"/>
        </w:rPr>
        <w:t>.</w:t>
      </w:r>
      <w:r w:rsidR="002A3B8E">
        <w:rPr>
          <w:lang w:val="es-ES"/>
        </w:rPr>
        <w:t>03</w:t>
      </w:r>
      <w:r w:rsidRPr="00C14D91">
        <w:rPr>
          <w:lang w:val="es-ES"/>
        </w:rPr>
        <w:t xml:space="preserve">% las partidas relativas a los materiales y suministros y un </w:t>
      </w:r>
      <w:r w:rsidR="002A3B8E">
        <w:rPr>
          <w:lang w:val="es-ES"/>
        </w:rPr>
        <w:t>2.91</w:t>
      </w:r>
      <w:r w:rsidRPr="00C14D91">
        <w:rPr>
          <w:lang w:val="es-ES"/>
        </w:rPr>
        <w:t>% lo representa los bienes muebles, inmuebles e intangibles del periodo.</w:t>
      </w:r>
    </w:p>
    <w:p w14:paraId="0C98941B" w14:textId="77777777" w:rsidR="002A3B8E" w:rsidRPr="00C14D91" w:rsidRDefault="002A3B8E" w:rsidP="00456B39">
      <w:pPr>
        <w:spacing w:line="480" w:lineRule="auto"/>
        <w:jc w:val="both"/>
        <w:rPr>
          <w:lang w:val="es-ES"/>
        </w:rPr>
      </w:pPr>
    </w:p>
    <w:p w14:paraId="4F88EEEE" w14:textId="3C1F5A01" w:rsidR="00D122D8" w:rsidRPr="00C14D91" w:rsidRDefault="002A3B8E" w:rsidP="00E406B4">
      <w:pPr>
        <w:spacing w:line="360" w:lineRule="auto"/>
        <w:jc w:val="both"/>
        <w:rPr>
          <w:lang w:val="es-ES"/>
        </w:rPr>
      </w:pPr>
      <w:r w:rsidRPr="002A3B8E">
        <w:rPr>
          <w:noProof/>
          <w:lang w:val="en-US"/>
        </w:rPr>
        <w:drawing>
          <wp:inline distT="0" distB="0" distL="0" distR="0" wp14:anchorId="19CCA16C" wp14:editId="507B1EC7">
            <wp:extent cx="6308234" cy="2996083"/>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7961" cy="3010202"/>
                    </a:xfrm>
                    <a:prstGeom prst="rect">
                      <a:avLst/>
                    </a:prstGeom>
                  </pic:spPr>
                </pic:pic>
              </a:graphicData>
            </a:graphic>
          </wp:inline>
        </w:drawing>
      </w:r>
    </w:p>
    <w:p w14:paraId="7538516F" w14:textId="2FC68386" w:rsidR="00456B39" w:rsidRPr="00C14D91" w:rsidRDefault="00456B39" w:rsidP="00456B39">
      <w:pPr>
        <w:spacing w:line="480" w:lineRule="auto"/>
        <w:jc w:val="both"/>
        <w:rPr>
          <w:lang w:val="es-ES"/>
        </w:rPr>
      </w:pPr>
    </w:p>
    <w:p w14:paraId="67CD162A" w14:textId="5CFA13E5" w:rsidR="00456B39" w:rsidRPr="002A3B8E" w:rsidRDefault="00456B39" w:rsidP="00456B39">
      <w:pPr>
        <w:spacing w:line="480" w:lineRule="auto"/>
        <w:jc w:val="both"/>
        <w:rPr>
          <w:lang w:val="es-ES"/>
        </w:rPr>
      </w:pPr>
      <w:r w:rsidRPr="00C14D91">
        <w:rPr>
          <w:lang w:val="es-ES"/>
        </w:rPr>
        <w:lastRenderedPageBreak/>
        <w:t xml:space="preserve">El total de </w:t>
      </w:r>
      <w:r w:rsidR="002A3B8E">
        <w:rPr>
          <w:lang w:val="es-ES"/>
        </w:rPr>
        <w:t>presupuesto ejecutado</w:t>
      </w:r>
      <w:r w:rsidRPr="00C14D91">
        <w:rPr>
          <w:lang w:val="es-ES"/>
        </w:rPr>
        <w:t xml:space="preserve"> del ejercicio con relación al presupuesto vigente asciende a la suma de RD$1</w:t>
      </w:r>
      <w:r w:rsidR="002A3B8E">
        <w:rPr>
          <w:lang w:val="es-ES"/>
        </w:rPr>
        <w:t>25</w:t>
      </w:r>
      <w:r w:rsidRPr="00C14D91">
        <w:rPr>
          <w:lang w:val="es-ES"/>
        </w:rPr>
        <w:t>,</w:t>
      </w:r>
      <w:r w:rsidR="002A3B8E">
        <w:rPr>
          <w:lang w:val="es-ES"/>
        </w:rPr>
        <w:t>965</w:t>
      </w:r>
      <w:r w:rsidRPr="00C14D91">
        <w:rPr>
          <w:lang w:val="es-ES"/>
        </w:rPr>
        <w:t>,</w:t>
      </w:r>
      <w:r w:rsidR="002A3B8E">
        <w:rPr>
          <w:lang w:val="es-ES"/>
        </w:rPr>
        <w:t xml:space="preserve">489.99, quedando en preventivos pendientes de ejecutar la suma de RD$20, 008,886.00 y compromisos pendientes de ejecutar por la suma de RD$1, 927,637.91 </w:t>
      </w:r>
      <w:r w:rsidRPr="002A3B8E">
        <w:rPr>
          <w:lang w:val="es-ES"/>
        </w:rPr>
        <w:t xml:space="preserve"> </w:t>
      </w:r>
    </w:p>
    <w:p w14:paraId="41D82E69" w14:textId="77777777" w:rsidR="00456B39" w:rsidRPr="002A3B8E" w:rsidRDefault="00456B39" w:rsidP="00E406B4">
      <w:pPr>
        <w:jc w:val="both"/>
        <w:rPr>
          <w:lang w:val="es-ES"/>
        </w:rPr>
      </w:pPr>
    </w:p>
    <w:p w14:paraId="066FC1B6" w14:textId="370339D7" w:rsidR="00456B39" w:rsidRPr="00C14D91" w:rsidRDefault="00456B39" w:rsidP="00456B39">
      <w:pPr>
        <w:spacing w:line="480" w:lineRule="auto"/>
        <w:jc w:val="both"/>
        <w:rPr>
          <w:lang w:val="es-ES"/>
        </w:rPr>
      </w:pPr>
      <w:r w:rsidRPr="002A3B8E">
        <w:rPr>
          <w:lang w:val="es-ES"/>
        </w:rPr>
        <w:t xml:space="preserve">Por tanto el presupuesto vigente al cierre del mes de </w:t>
      </w:r>
      <w:r w:rsidR="002A3B8E" w:rsidRPr="002A3B8E">
        <w:rPr>
          <w:lang w:val="es-ES"/>
        </w:rPr>
        <w:t>noviembre</w:t>
      </w:r>
      <w:r w:rsidRPr="002A3B8E">
        <w:rPr>
          <w:lang w:val="es-ES"/>
        </w:rPr>
        <w:t xml:space="preserve"> del 201</w:t>
      </w:r>
      <w:r w:rsidR="002A3B8E">
        <w:rPr>
          <w:lang w:val="es-ES"/>
        </w:rPr>
        <w:t>9</w:t>
      </w:r>
      <w:r w:rsidRPr="00C14D91">
        <w:rPr>
          <w:lang w:val="es-ES"/>
        </w:rPr>
        <w:t>, asciende a la suma RD$</w:t>
      </w:r>
      <w:r w:rsidR="002A3B8E">
        <w:rPr>
          <w:lang w:val="es-ES"/>
        </w:rPr>
        <w:t>17</w:t>
      </w:r>
      <w:r w:rsidRPr="00C14D91">
        <w:rPr>
          <w:lang w:val="es-ES"/>
        </w:rPr>
        <w:t xml:space="preserve">, </w:t>
      </w:r>
      <w:r w:rsidR="002A3B8E">
        <w:rPr>
          <w:lang w:val="es-ES"/>
        </w:rPr>
        <w:t>436</w:t>
      </w:r>
      <w:r w:rsidRPr="00C14D91">
        <w:rPr>
          <w:lang w:val="es-ES"/>
        </w:rPr>
        <w:t>,</w:t>
      </w:r>
      <w:r w:rsidR="002A3B8E">
        <w:rPr>
          <w:lang w:val="es-ES"/>
        </w:rPr>
        <w:t>274</w:t>
      </w:r>
      <w:r w:rsidR="00D122D8" w:rsidRPr="00C14D91">
        <w:rPr>
          <w:lang w:val="es-ES"/>
        </w:rPr>
        <w:t>.1</w:t>
      </w:r>
      <w:r w:rsidR="002A3B8E">
        <w:rPr>
          <w:lang w:val="es-ES"/>
        </w:rPr>
        <w:t>0</w:t>
      </w:r>
      <w:r w:rsidRPr="00C14D91">
        <w:rPr>
          <w:lang w:val="es-ES"/>
        </w:rPr>
        <w:t xml:space="preserve">, representando un </w:t>
      </w:r>
      <w:r w:rsidR="00D122D8" w:rsidRPr="002A3B8E">
        <w:rPr>
          <w:lang w:val="es-ES"/>
        </w:rPr>
        <w:t>1</w:t>
      </w:r>
      <w:r w:rsidR="002A3B8E">
        <w:rPr>
          <w:lang w:val="es-ES"/>
        </w:rPr>
        <w:t>0</w:t>
      </w:r>
      <w:r w:rsidRPr="00C14D91">
        <w:rPr>
          <w:lang w:val="es-ES"/>
        </w:rPr>
        <w:t>.</w:t>
      </w:r>
      <w:r w:rsidR="002A3B8E">
        <w:rPr>
          <w:lang w:val="es-ES"/>
        </w:rPr>
        <w:t>55%</w:t>
      </w:r>
      <w:r w:rsidRPr="00C14D91">
        <w:rPr>
          <w:lang w:val="es-ES"/>
        </w:rPr>
        <w:t xml:space="preserve"> del presupuesto total vigente, según se desglosa en el siguiente cuadro.</w:t>
      </w:r>
    </w:p>
    <w:p w14:paraId="08670DD4" w14:textId="77777777" w:rsidR="00456B39" w:rsidRPr="00E406B4" w:rsidRDefault="00456B39" w:rsidP="00E406B4">
      <w:pPr>
        <w:spacing w:line="360" w:lineRule="auto"/>
        <w:jc w:val="both"/>
        <w:rPr>
          <w:highlight w:val="yellow"/>
          <w:lang w:val="es-ES"/>
        </w:rPr>
      </w:pPr>
    </w:p>
    <w:p w14:paraId="748A4605" w14:textId="11CED0C3" w:rsidR="00456B39" w:rsidRPr="009C579C" w:rsidRDefault="00D122D8" w:rsidP="00456B39">
      <w:pPr>
        <w:spacing w:line="480" w:lineRule="auto"/>
        <w:jc w:val="both"/>
        <w:rPr>
          <w:lang w:val="es-ES"/>
        </w:rPr>
      </w:pPr>
      <w:r w:rsidRPr="00D122D8">
        <w:rPr>
          <w:lang w:val="es-ES"/>
        </w:rPr>
        <w:t xml:space="preserve"> </w:t>
      </w:r>
    </w:p>
    <w:p w14:paraId="77AD1D02" w14:textId="09C0949D" w:rsidR="00456B39" w:rsidRDefault="002A3B8E" w:rsidP="00E406B4">
      <w:pPr>
        <w:spacing w:line="360" w:lineRule="auto"/>
        <w:jc w:val="both"/>
        <w:rPr>
          <w:lang w:val="es-ES"/>
        </w:rPr>
      </w:pPr>
      <w:r w:rsidRPr="002A3B8E">
        <w:rPr>
          <w:noProof/>
          <w:lang w:val="en-US"/>
        </w:rPr>
        <w:drawing>
          <wp:inline distT="0" distB="0" distL="0" distR="0" wp14:anchorId="3C1211EB" wp14:editId="0CAD579A">
            <wp:extent cx="6255268" cy="2056650"/>
            <wp:effectExtent l="0" t="0" r="0" b="127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7753" cy="2073906"/>
                    </a:xfrm>
                    <a:prstGeom prst="rect">
                      <a:avLst/>
                    </a:prstGeom>
                  </pic:spPr>
                </pic:pic>
              </a:graphicData>
            </a:graphic>
          </wp:inline>
        </w:drawing>
      </w:r>
    </w:p>
    <w:p w14:paraId="71066A36" w14:textId="77777777" w:rsidR="002A3B8E" w:rsidRDefault="002A3B8E" w:rsidP="002A3B8E">
      <w:pPr>
        <w:spacing w:line="360" w:lineRule="auto"/>
        <w:jc w:val="both"/>
        <w:rPr>
          <w:lang w:val="es-ES"/>
        </w:rPr>
      </w:pPr>
    </w:p>
    <w:p w14:paraId="0E3BDC8B" w14:textId="77777777" w:rsidR="002A3B8E" w:rsidRDefault="002A3B8E" w:rsidP="002A3B8E">
      <w:pPr>
        <w:spacing w:line="360" w:lineRule="auto"/>
        <w:jc w:val="both"/>
        <w:rPr>
          <w:lang w:val="es-ES"/>
        </w:rPr>
      </w:pPr>
    </w:p>
    <w:p w14:paraId="29886F07" w14:textId="77777777" w:rsidR="002A3B8E" w:rsidRDefault="002A3B8E" w:rsidP="002A3B8E">
      <w:pPr>
        <w:spacing w:line="360" w:lineRule="auto"/>
        <w:jc w:val="both"/>
        <w:rPr>
          <w:lang w:val="es-ES"/>
        </w:rPr>
      </w:pPr>
    </w:p>
    <w:p w14:paraId="721831A9" w14:textId="77777777" w:rsidR="002A3B8E" w:rsidRDefault="002A3B8E" w:rsidP="002A3B8E">
      <w:pPr>
        <w:spacing w:line="360" w:lineRule="auto"/>
        <w:jc w:val="both"/>
        <w:rPr>
          <w:lang w:val="es-ES"/>
        </w:rPr>
      </w:pPr>
    </w:p>
    <w:p w14:paraId="25362399" w14:textId="77777777" w:rsidR="002A3B8E" w:rsidRDefault="002A3B8E" w:rsidP="002A3B8E">
      <w:pPr>
        <w:spacing w:line="360" w:lineRule="auto"/>
        <w:jc w:val="both"/>
        <w:rPr>
          <w:lang w:val="es-ES"/>
        </w:rPr>
      </w:pPr>
    </w:p>
    <w:p w14:paraId="29005A28" w14:textId="77777777" w:rsidR="002A3B8E" w:rsidRDefault="002A3B8E" w:rsidP="002A3B8E">
      <w:pPr>
        <w:spacing w:line="360" w:lineRule="auto"/>
        <w:jc w:val="both"/>
        <w:rPr>
          <w:lang w:val="es-ES"/>
        </w:rPr>
      </w:pPr>
    </w:p>
    <w:p w14:paraId="0D8F8581" w14:textId="77777777" w:rsidR="002A3B8E" w:rsidRDefault="002A3B8E" w:rsidP="002A3B8E">
      <w:pPr>
        <w:spacing w:line="360" w:lineRule="auto"/>
        <w:jc w:val="both"/>
        <w:rPr>
          <w:lang w:val="es-ES"/>
        </w:rPr>
      </w:pPr>
    </w:p>
    <w:p w14:paraId="72032C20" w14:textId="77777777" w:rsidR="004D318D" w:rsidRPr="009C579C" w:rsidRDefault="004D318D" w:rsidP="002A3B8E">
      <w:pPr>
        <w:spacing w:line="360" w:lineRule="auto"/>
        <w:jc w:val="both"/>
        <w:rPr>
          <w:lang w:val="es-ES"/>
        </w:rPr>
      </w:pPr>
    </w:p>
    <w:p w14:paraId="30732223" w14:textId="66D556AB" w:rsidR="00456B39" w:rsidRDefault="00456B39" w:rsidP="00456B39">
      <w:pPr>
        <w:pStyle w:val="Ttulo3"/>
        <w:rPr>
          <w:rFonts w:ascii="Times New Roman" w:hAnsi="Times New Roman" w:cs="Times New Roman"/>
          <w:sz w:val="28"/>
          <w:szCs w:val="28"/>
          <w:lang w:val="es-ES"/>
        </w:rPr>
      </w:pPr>
      <w:bookmarkStart w:id="340" w:name="_Toc29406178"/>
      <w:r>
        <w:rPr>
          <w:lang w:val="es-ES"/>
        </w:rPr>
        <w:lastRenderedPageBreak/>
        <w:t xml:space="preserve">v. </w:t>
      </w:r>
      <w:r w:rsidRPr="00E406B4">
        <w:rPr>
          <w:rFonts w:ascii="Times New Roman" w:hAnsi="Times New Roman" w:cs="Times New Roman"/>
          <w:sz w:val="28"/>
          <w:szCs w:val="28"/>
          <w:lang w:val="es-ES"/>
        </w:rPr>
        <w:t>Plan Anual de Compras y Contrataciones (PACC)</w:t>
      </w:r>
      <w:bookmarkEnd w:id="340"/>
    </w:p>
    <w:p w14:paraId="0DCE818E" w14:textId="77777777" w:rsidR="008F6981" w:rsidRPr="00DA17DB" w:rsidRDefault="008F6981" w:rsidP="00E406B4">
      <w:pPr>
        <w:rPr>
          <w:lang w:val="es-ES"/>
        </w:rPr>
      </w:pPr>
    </w:p>
    <w:p w14:paraId="4BF17075" w14:textId="77777777" w:rsidR="00456B39" w:rsidRPr="00E059B5" w:rsidRDefault="00456B39">
      <w:pPr>
        <w:rPr>
          <w:lang w:val="es-ES"/>
        </w:rPr>
      </w:pPr>
    </w:p>
    <w:p w14:paraId="087406E2" w14:textId="3CC212EC" w:rsidR="00456B39" w:rsidRPr="002A3B8E" w:rsidRDefault="00456B39" w:rsidP="00456B39">
      <w:pPr>
        <w:spacing w:line="480" w:lineRule="auto"/>
        <w:jc w:val="both"/>
        <w:rPr>
          <w:lang w:val="es-ES"/>
        </w:rPr>
      </w:pPr>
      <w:r w:rsidRPr="00C14D91">
        <w:rPr>
          <w:lang w:val="es-ES"/>
        </w:rPr>
        <w:t>La Dirección General de Minería al Cierre del ejercicio fiscal 201</w:t>
      </w:r>
      <w:r w:rsidR="002A3B8E" w:rsidRPr="002A3B8E">
        <w:rPr>
          <w:lang w:val="es-ES"/>
        </w:rPr>
        <w:t>9</w:t>
      </w:r>
      <w:r w:rsidRPr="00C14D91">
        <w:rPr>
          <w:lang w:val="es-ES"/>
        </w:rPr>
        <w:t xml:space="preserve">, mantuvo su Plan Anual de Compras y Contrataciones, en cumplimiento a lo establecido en la Ley No. 340/06 sobre Compras y Contrataciones, del 18 de agosto del 2006 y su Reglamento de Aplicación, promulgado mediante Decreto No. 490-07 y bajo la supervisión de la </w:t>
      </w:r>
      <w:r w:rsidRPr="002A3B8E">
        <w:rPr>
          <w:b/>
          <w:bCs/>
          <w:lang w:val="es-ES"/>
        </w:rPr>
        <w:t xml:space="preserve">Dirección General de Contrataciones Públicas, </w:t>
      </w:r>
      <w:r w:rsidRPr="002A3B8E">
        <w:rPr>
          <w:lang w:val="es-ES"/>
        </w:rPr>
        <w:t xml:space="preserve">institución que funge como Órgano Rector del Sistema de Compras y Contrataciones Públicas de Bienes, Servicios, Obras y Concesiones del Estado Dominicano. </w:t>
      </w:r>
    </w:p>
    <w:p w14:paraId="464CD67D" w14:textId="77777777" w:rsidR="008F6981" w:rsidRPr="00E406B4" w:rsidRDefault="008F6981" w:rsidP="00E406B4">
      <w:pPr>
        <w:spacing w:line="360" w:lineRule="auto"/>
        <w:jc w:val="both"/>
        <w:rPr>
          <w:highlight w:val="green"/>
          <w:lang w:val="es-ES"/>
        </w:rPr>
      </w:pPr>
    </w:p>
    <w:p w14:paraId="2A14A2B3" w14:textId="710E840D" w:rsidR="00456B39" w:rsidRDefault="00456B39" w:rsidP="00456B39">
      <w:pPr>
        <w:spacing w:line="480" w:lineRule="auto"/>
        <w:jc w:val="both"/>
        <w:rPr>
          <w:lang w:val="es-ES"/>
        </w:rPr>
      </w:pPr>
      <w:r w:rsidRPr="00C14D91">
        <w:rPr>
          <w:lang w:val="es-ES"/>
        </w:rPr>
        <w:t>El plan anual de Compras y Contrataciones de la Dirección General de Minería, para el ejercicio fiscal 201</w:t>
      </w:r>
      <w:r w:rsidR="002A3B8E" w:rsidRPr="002A3B8E">
        <w:rPr>
          <w:lang w:val="es-ES"/>
        </w:rPr>
        <w:t>9</w:t>
      </w:r>
      <w:r w:rsidRPr="00C14D91">
        <w:rPr>
          <w:lang w:val="es-ES"/>
        </w:rPr>
        <w:t xml:space="preserve">, presento un monto estimado de </w:t>
      </w:r>
      <w:r w:rsidR="00775572" w:rsidRPr="002A3B8E">
        <w:rPr>
          <w:lang w:val="es-ES"/>
        </w:rPr>
        <w:t xml:space="preserve">treinta y </w:t>
      </w:r>
      <w:r w:rsidR="002A3B8E" w:rsidRPr="002A3B8E">
        <w:rPr>
          <w:lang w:val="es-ES"/>
        </w:rPr>
        <w:t>dos</w:t>
      </w:r>
      <w:r w:rsidR="00775572" w:rsidRPr="00C14D91">
        <w:rPr>
          <w:lang w:val="es-ES"/>
        </w:rPr>
        <w:t xml:space="preserve"> millones, </w:t>
      </w:r>
      <w:r w:rsidR="002A3B8E" w:rsidRPr="002A3B8E">
        <w:rPr>
          <w:lang w:val="es-ES"/>
        </w:rPr>
        <w:t>ciento setenta y cuatro</w:t>
      </w:r>
      <w:r w:rsidR="00775572" w:rsidRPr="00C14D91">
        <w:rPr>
          <w:lang w:val="es-ES"/>
        </w:rPr>
        <w:t xml:space="preserve"> mil, </w:t>
      </w:r>
      <w:r w:rsidR="002A3B8E" w:rsidRPr="002A3B8E">
        <w:rPr>
          <w:lang w:val="es-ES"/>
        </w:rPr>
        <w:t xml:space="preserve">setenta y tres </w:t>
      </w:r>
      <w:r w:rsidR="00994A26" w:rsidRPr="00C14D91">
        <w:rPr>
          <w:lang w:val="es-ES"/>
        </w:rPr>
        <w:t xml:space="preserve">pesos </w:t>
      </w:r>
      <w:r w:rsidR="00994A26" w:rsidRPr="002A3B8E">
        <w:rPr>
          <w:lang w:val="es-ES"/>
        </w:rPr>
        <w:t xml:space="preserve">con cero centavos </w:t>
      </w:r>
      <w:r w:rsidRPr="002A3B8E">
        <w:rPr>
          <w:lang w:val="es-ES"/>
        </w:rPr>
        <w:t>(RD$</w:t>
      </w:r>
      <w:r w:rsidR="00775572" w:rsidRPr="002A3B8E">
        <w:rPr>
          <w:lang w:val="es-ES"/>
        </w:rPr>
        <w:t>3</w:t>
      </w:r>
      <w:r w:rsidR="002A3B8E" w:rsidRPr="002A3B8E">
        <w:rPr>
          <w:lang w:val="es-ES"/>
        </w:rPr>
        <w:t>2</w:t>
      </w:r>
      <w:r w:rsidRPr="00C14D91">
        <w:rPr>
          <w:lang w:val="es-ES"/>
        </w:rPr>
        <w:t>,</w:t>
      </w:r>
      <w:r w:rsidR="002A3B8E" w:rsidRPr="002A3B8E">
        <w:rPr>
          <w:lang w:val="es-ES"/>
        </w:rPr>
        <w:t>174</w:t>
      </w:r>
      <w:r w:rsidRPr="00C14D91">
        <w:rPr>
          <w:lang w:val="es-ES"/>
        </w:rPr>
        <w:t>,</w:t>
      </w:r>
      <w:r w:rsidR="002A3B8E" w:rsidRPr="002A3B8E">
        <w:rPr>
          <w:lang w:val="es-ES"/>
        </w:rPr>
        <w:t>073</w:t>
      </w:r>
      <w:r w:rsidRPr="00C14D91">
        <w:rPr>
          <w:lang w:val="es-ES"/>
        </w:rPr>
        <w:t>.00)</w:t>
      </w:r>
      <w:r w:rsidR="00775572" w:rsidRPr="00C14D91">
        <w:rPr>
          <w:lang w:val="es-ES"/>
        </w:rPr>
        <w:t xml:space="preserve">, </w:t>
      </w:r>
      <w:r w:rsidRPr="002A3B8E">
        <w:rPr>
          <w:lang w:val="es-ES"/>
        </w:rPr>
        <w:t xml:space="preserve"> </w:t>
      </w:r>
      <w:r w:rsidR="00994A26" w:rsidRPr="002A3B8E">
        <w:rPr>
          <w:lang w:val="es-ES"/>
        </w:rPr>
        <w:t>Este</w:t>
      </w:r>
      <w:r w:rsidRPr="002A3B8E">
        <w:rPr>
          <w:lang w:val="es-ES"/>
        </w:rPr>
        <w:t xml:space="preserve"> total del plan relativo al ejercicio 201</w:t>
      </w:r>
      <w:r w:rsidR="002A3B8E" w:rsidRPr="002A3B8E">
        <w:rPr>
          <w:lang w:val="es-ES"/>
        </w:rPr>
        <w:t>9</w:t>
      </w:r>
      <w:r w:rsidRPr="00C14D91">
        <w:rPr>
          <w:lang w:val="es-ES"/>
        </w:rPr>
        <w:t>, de acuerdo al tipo de procedimiento esta desglosado como se detalla a continuación:</w:t>
      </w:r>
    </w:p>
    <w:p w14:paraId="7E73472F" w14:textId="77777777" w:rsidR="002A3B8E" w:rsidRPr="00C14D91" w:rsidRDefault="002A3B8E" w:rsidP="00456B39">
      <w:pPr>
        <w:spacing w:line="480" w:lineRule="auto"/>
        <w:jc w:val="both"/>
        <w:rPr>
          <w:lang w:val="es-ES"/>
        </w:rPr>
      </w:pPr>
    </w:p>
    <w:p w14:paraId="66673B06" w14:textId="5EFCFC9C" w:rsidR="00456B39" w:rsidRDefault="00456B39" w:rsidP="00456B39">
      <w:pPr>
        <w:spacing w:line="480" w:lineRule="auto"/>
        <w:jc w:val="both"/>
        <w:rPr>
          <w:lang w:val="es-ES"/>
        </w:rPr>
      </w:pPr>
      <w:r w:rsidRPr="002A3B8E">
        <w:rPr>
          <w:lang w:val="es-ES"/>
        </w:rPr>
        <w:t xml:space="preserve">Para las compras por debajo del Umbral, un monto de </w:t>
      </w:r>
      <w:r w:rsidR="00775572" w:rsidRPr="002A3B8E">
        <w:rPr>
          <w:lang w:val="es-ES"/>
        </w:rPr>
        <w:t xml:space="preserve">un millón, </w:t>
      </w:r>
      <w:r w:rsidR="002A3B8E" w:rsidRPr="002A3B8E">
        <w:rPr>
          <w:lang w:val="es-ES"/>
        </w:rPr>
        <w:t xml:space="preserve">novecientos cincuenta y dos </w:t>
      </w:r>
      <w:r w:rsidR="00775572" w:rsidRPr="00C14D91">
        <w:rPr>
          <w:lang w:val="es-ES"/>
        </w:rPr>
        <w:t xml:space="preserve">mil, </w:t>
      </w:r>
      <w:r w:rsidR="002A3B8E" w:rsidRPr="002A3B8E">
        <w:rPr>
          <w:lang w:val="es-ES"/>
        </w:rPr>
        <w:t xml:space="preserve">setenta y nueve </w:t>
      </w:r>
      <w:r w:rsidR="00994A26" w:rsidRPr="00C14D91">
        <w:rPr>
          <w:lang w:val="es-ES"/>
        </w:rPr>
        <w:t>p</w:t>
      </w:r>
      <w:r w:rsidR="00775572" w:rsidRPr="00C14D91">
        <w:rPr>
          <w:lang w:val="es-ES"/>
        </w:rPr>
        <w:t>esos</w:t>
      </w:r>
      <w:r w:rsidRPr="002A3B8E">
        <w:rPr>
          <w:lang w:val="es-ES"/>
        </w:rPr>
        <w:t xml:space="preserve"> </w:t>
      </w:r>
      <w:r w:rsidR="00994A26" w:rsidRPr="002A3B8E">
        <w:rPr>
          <w:lang w:val="es-ES"/>
        </w:rPr>
        <w:t>c</w:t>
      </w:r>
      <w:r w:rsidRPr="002A3B8E">
        <w:rPr>
          <w:lang w:val="es-ES"/>
        </w:rPr>
        <w:t xml:space="preserve">on </w:t>
      </w:r>
      <w:r w:rsidR="00994A26" w:rsidRPr="002A3B8E">
        <w:rPr>
          <w:lang w:val="es-ES"/>
        </w:rPr>
        <w:t>c</w:t>
      </w:r>
      <w:r w:rsidRPr="002A3B8E">
        <w:rPr>
          <w:lang w:val="es-ES"/>
        </w:rPr>
        <w:t xml:space="preserve">ero </w:t>
      </w:r>
      <w:r w:rsidR="00994A26" w:rsidRPr="002A3B8E">
        <w:rPr>
          <w:lang w:val="es-ES"/>
        </w:rPr>
        <w:t xml:space="preserve">centavos </w:t>
      </w:r>
      <w:r w:rsidRPr="002A3B8E">
        <w:rPr>
          <w:lang w:val="es-ES"/>
        </w:rPr>
        <w:t>(RD$1</w:t>
      </w:r>
      <w:r w:rsidR="00775572" w:rsidRPr="002A3B8E">
        <w:rPr>
          <w:lang w:val="es-ES"/>
        </w:rPr>
        <w:t xml:space="preserve">, </w:t>
      </w:r>
      <w:r w:rsidR="002A3B8E" w:rsidRPr="002A3B8E">
        <w:rPr>
          <w:lang w:val="es-ES"/>
        </w:rPr>
        <w:t>952</w:t>
      </w:r>
      <w:r w:rsidR="00775572" w:rsidRPr="00C14D91">
        <w:rPr>
          <w:lang w:val="es-ES"/>
        </w:rPr>
        <w:t>,</w:t>
      </w:r>
      <w:r w:rsidR="002A3B8E" w:rsidRPr="002A3B8E">
        <w:rPr>
          <w:lang w:val="es-ES"/>
        </w:rPr>
        <w:t>079</w:t>
      </w:r>
      <w:r w:rsidR="00775572" w:rsidRPr="00C14D91">
        <w:rPr>
          <w:lang w:val="es-ES"/>
        </w:rPr>
        <w:t>.00</w:t>
      </w:r>
      <w:r w:rsidRPr="00C14D91">
        <w:rPr>
          <w:lang w:val="es-ES"/>
        </w:rPr>
        <w:t xml:space="preserve">), equivalente a un </w:t>
      </w:r>
      <w:r w:rsidR="002A3B8E" w:rsidRPr="002A3B8E">
        <w:rPr>
          <w:lang w:val="es-ES"/>
        </w:rPr>
        <w:t>seis</w:t>
      </w:r>
      <w:r w:rsidRPr="00C14D91">
        <w:rPr>
          <w:lang w:val="es-ES"/>
        </w:rPr>
        <w:t xml:space="preserve"> </w:t>
      </w:r>
      <w:r w:rsidR="00775572" w:rsidRPr="00C14D91">
        <w:rPr>
          <w:lang w:val="es-ES"/>
        </w:rPr>
        <w:t xml:space="preserve">puntos </w:t>
      </w:r>
      <w:r w:rsidR="002A3B8E" w:rsidRPr="002A3B8E">
        <w:rPr>
          <w:lang w:val="es-ES"/>
        </w:rPr>
        <w:t>cero s</w:t>
      </w:r>
      <w:r w:rsidR="00770825">
        <w:rPr>
          <w:lang w:val="es-ES"/>
        </w:rPr>
        <w:t>i</w:t>
      </w:r>
      <w:r w:rsidR="002A3B8E" w:rsidRPr="002A3B8E">
        <w:rPr>
          <w:lang w:val="es-ES"/>
        </w:rPr>
        <w:t>e</w:t>
      </w:r>
      <w:r w:rsidR="00770825">
        <w:rPr>
          <w:lang w:val="es-ES"/>
        </w:rPr>
        <w:t>te</w:t>
      </w:r>
      <w:r w:rsidR="002A3B8E" w:rsidRPr="002A3B8E">
        <w:rPr>
          <w:lang w:val="es-ES"/>
        </w:rPr>
        <w:t xml:space="preserve"> por ciento (6</w:t>
      </w:r>
      <w:r w:rsidRPr="00C14D91">
        <w:rPr>
          <w:lang w:val="es-ES"/>
        </w:rPr>
        <w:t>.</w:t>
      </w:r>
      <w:r w:rsidR="002A3B8E" w:rsidRPr="002A3B8E">
        <w:rPr>
          <w:lang w:val="es-ES"/>
        </w:rPr>
        <w:t>0</w:t>
      </w:r>
      <w:r w:rsidR="00770825">
        <w:rPr>
          <w:lang w:val="es-ES"/>
        </w:rPr>
        <w:t>7</w:t>
      </w:r>
      <w:r w:rsidRPr="00C14D91">
        <w:rPr>
          <w:lang w:val="es-ES"/>
        </w:rPr>
        <w:t>%) del total.</w:t>
      </w:r>
    </w:p>
    <w:p w14:paraId="55531656" w14:textId="77777777" w:rsidR="002A3B8E" w:rsidRPr="00C14D91" w:rsidRDefault="002A3B8E" w:rsidP="00456B39">
      <w:pPr>
        <w:spacing w:line="480" w:lineRule="auto"/>
        <w:jc w:val="both"/>
        <w:rPr>
          <w:lang w:val="es-ES"/>
        </w:rPr>
      </w:pPr>
    </w:p>
    <w:p w14:paraId="2150311E" w14:textId="5C29B2FB" w:rsidR="00456B39" w:rsidRPr="00C823E0" w:rsidRDefault="00456B39" w:rsidP="00456B39">
      <w:pPr>
        <w:spacing w:line="480" w:lineRule="auto"/>
        <w:jc w:val="both"/>
        <w:rPr>
          <w:lang w:val="es-ES"/>
        </w:rPr>
      </w:pPr>
      <w:r w:rsidRPr="00C14D91">
        <w:rPr>
          <w:lang w:val="es-ES"/>
        </w:rPr>
        <w:t xml:space="preserve">Las compras menores un monto de </w:t>
      </w:r>
      <w:r w:rsidR="00C823E0" w:rsidRPr="00C823E0">
        <w:rPr>
          <w:lang w:val="es-ES"/>
        </w:rPr>
        <w:t>once</w:t>
      </w:r>
      <w:r w:rsidR="00775572" w:rsidRPr="00C14D91">
        <w:rPr>
          <w:lang w:val="es-ES"/>
        </w:rPr>
        <w:t xml:space="preserve"> m</w:t>
      </w:r>
      <w:r w:rsidRPr="00C14D91">
        <w:rPr>
          <w:lang w:val="es-ES"/>
        </w:rPr>
        <w:t>illones</w:t>
      </w:r>
      <w:r w:rsidR="00775572" w:rsidRPr="00C823E0">
        <w:rPr>
          <w:lang w:val="es-ES"/>
        </w:rPr>
        <w:t xml:space="preserve">, </w:t>
      </w:r>
      <w:r w:rsidR="00C823E0" w:rsidRPr="00C823E0">
        <w:rPr>
          <w:lang w:val="es-ES"/>
        </w:rPr>
        <w:t>trecientos treinta y cuatro</w:t>
      </w:r>
      <w:r w:rsidR="00775572" w:rsidRPr="00C14D91">
        <w:rPr>
          <w:lang w:val="es-ES"/>
        </w:rPr>
        <w:t xml:space="preserve">, </w:t>
      </w:r>
      <w:r w:rsidR="00C823E0" w:rsidRPr="00C823E0">
        <w:rPr>
          <w:lang w:val="es-ES"/>
        </w:rPr>
        <w:t>nove</w:t>
      </w:r>
      <w:r w:rsidR="00775572" w:rsidRPr="00C14D91">
        <w:rPr>
          <w:lang w:val="es-ES"/>
        </w:rPr>
        <w:t xml:space="preserve">cientos </w:t>
      </w:r>
      <w:r w:rsidR="00C823E0" w:rsidRPr="00C823E0">
        <w:rPr>
          <w:lang w:val="es-ES"/>
        </w:rPr>
        <w:t>noventa</w:t>
      </w:r>
      <w:r w:rsidR="00775572" w:rsidRPr="00C14D91">
        <w:rPr>
          <w:lang w:val="es-ES"/>
        </w:rPr>
        <w:t xml:space="preserve"> y </w:t>
      </w:r>
      <w:r w:rsidR="00C823E0" w:rsidRPr="00C823E0">
        <w:rPr>
          <w:lang w:val="es-ES"/>
        </w:rPr>
        <w:t>cuatro</w:t>
      </w:r>
      <w:r w:rsidR="00775572" w:rsidRPr="00C14D91">
        <w:rPr>
          <w:lang w:val="es-ES"/>
        </w:rPr>
        <w:t xml:space="preserve"> </w:t>
      </w:r>
      <w:r w:rsidRPr="00C14D91">
        <w:rPr>
          <w:lang w:val="es-ES"/>
        </w:rPr>
        <w:t>Pesos Con Cero Centavos (RD$1</w:t>
      </w:r>
      <w:r w:rsidR="00C823E0" w:rsidRPr="00C823E0">
        <w:rPr>
          <w:lang w:val="es-ES"/>
        </w:rPr>
        <w:t>1</w:t>
      </w:r>
      <w:r w:rsidRPr="00C14D91">
        <w:rPr>
          <w:lang w:val="es-ES"/>
        </w:rPr>
        <w:t>,</w:t>
      </w:r>
      <w:r w:rsidR="00C823E0" w:rsidRPr="00C823E0">
        <w:rPr>
          <w:lang w:val="es-ES"/>
        </w:rPr>
        <w:t>334</w:t>
      </w:r>
      <w:r w:rsidRPr="00C14D91">
        <w:rPr>
          <w:lang w:val="es-ES"/>
        </w:rPr>
        <w:t>,</w:t>
      </w:r>
      <w:r w:rsidR="00C823E0" w:rsidRPr="00C823E0">
        <w:rPr>
          <w:lang w:val="es-ES"/>
        </w:rPr>
        <w:t>994</w:t>
      </w:r>
      <w:r w:rsidRPr="00C14D91">
        <w:rPr>
          <w:lang w:val="es-ES"/>
        </w:rPr>
        <w:t xml:space="preserve">.00), equivalente a un </w:t>
      </w:r>
      <w:r w:rsidR="00994A26" w:rsidRPr="00C823E0">
        <w:rPr>
          <w:lang w:val="es-ES"/>
        </w:rPr>
        <w:t xml:space="preserve">treinta </w:t>
      </w:r>
      <w:r w:rsidRPr="00C823E0">
        <w:rPr>
          <w:lang w:val="es-ES"/>
        </w:rPr>
        <w:t xml:space="preserve">y </w:t>
      </w:r>
      <w:r w:rsidR="00C823E0" w:rsidRPr="00C823E0">
        <w:rPr>
          <w:lang w:val="es-ES"/>
        </w:rPr>
        <w:t>cinco</w:t>
      </w:r>
      <w:r w:rsidR="00994A26" w:rsidRPr="00C14D91">
        <w:rPr>
          <w:lang w:val="es-ES"/>
        </w:rPr>
        <w:t xml:space="preserve"> </w:t>
      </w:r>
      <w:r w:rsidRPr="00C14D91">
        <w:rPr>
          <w:lang w:val="es-ES"/>
        </w:rPr>
        <w:t xml:space="preserve">punto </w:t>
      </w:r>
      <w:r w:rsidR="00C823E0" w:rsidRPr="00C823E0">
        <w:rPr>
          <w:lang w:val="es-ES"/>
        </w:rPr>
        <w:t>veinte</w:t>
      </w:r>
      <w:r w:rsidR="00994A26" w:rsidRPr="00C14D91">
        <w:rPr>
          <w:lang w:val="es-ES"/>
        </w:rPr>
        <w:t xml:space="preserve"> </w:t>
      </w:r>
      <w:r w:rsidRPr="00C14D91">
        <w:rPr>
          <w:lang w:val="es-ES"/>
        </w:rPr>
        <w:t xml:space="preserve">y </w:t>
      </w:r>
      <w:r w:rsidR="00C823E0" w:rsidRPr="00C823E0">
        <w:rPr>
          <w:lang w:val="es-ES"/>
        </w:rPr>
        <w:t>tres</w:t>
      </w:r>
      <w:r w:rsidR="00994A26" w:rsidRPr="00C14D91">
        <w:rPr>
          <w:lang w:val="es-ES"/>
        </w:rPr>
        <w:t xml:space="preserve"> </w:t>
      </w:r>
      <w:r w:rsidRPr="00C14D91">
        <w:rPr>
          <w:lang w:val="es-ES"/>
        </w:rPr>
        <w:t>(</w:t>
      </w:r>
      <w:r w:rsidR="00775572" w:rsidRPr="00C14D91">
        <w:rPr>
          <w:lang w:val="es-ES"/>
        </w:rPr>
        <w:t>3</w:t>
      </w:r>
      <w:r w:rsidR="00C823E0" w:rsidRPr="00C823E0">
        <w:rPr>
          <w:lang w:val="es-ES"/>
        </w:rPr>
        <w:t>5</w:t>
      </w:r>
      <w:r w:rsidR="00775572" w:rsidRPr="00C14D91">
        <w:rPr>
          <w:lang w:val="es-ES"/>
        </w:rPr>
        <w:t>.</w:t>
      </w:r>
      <w:r w:rsidR="00C823E0" w:rsidRPr="00C823E0">
        <w:rPr>
          <w:lang w:val="es-ES"/>
        </w:rPr>
        <w:t>2</w:t>
      </w:r>
      <w:r w:rsidR="00775572" w:rsidRPr="00C14D91">
        <w:rPr>
          <w:lang w:val="es-ES"/>
        </w:rPr>
        <w:t>3</w:t>
      </w:r>
      <w:r w:rsidRPr="00C14D91">
        <w:rPr>
          <w:lang w:val="es-ES"/>
        </w:rPr>
        <w:t>%) por ciento.</w:t>
      </w:r>
    </w:p>
    <w:p w14:paraId="6D003A9B" w14:textId="77777777" w:rsidR="00775572" w:rsidRPr="00E406B4" w:rsidRDefault="00775572" w:rsidP="00E406B4">
      <w:pPr>
        <w:spacing w:line="360" w:lineRule="auto"/>
        <w:jc w:val="both"/>
        <w:rPr>
          <w:highlight w:val="green"/>
          <w:lang w:val="es-ES"/>
        </w:rPr>
      </w:pPr>
    </w:p>
    <w:p w14:paraId="1C7920DF" w14:textId="2339850E" w:rsidR="00456B39" w:rsidRPr="00C14D91" w:rsidRDefault="00456B39" w:rsidP="00456B39">
      <w:pPr>
        <w:spacing w:line="480" w:lineRule="auto"/>
        <w:jc w:val="both"/>
        <w:rPr>
          <w:lang w:val="es-ES"/>
        </w:rPr>
      </w:pPr>
      <w:r w:rsidRPr="00C14D91">
        <w:rPr>
          <w:lang w:val="es-ES"/>
        </w:rPr>
        <w:lastRenderedPageBreak/>
        <w:t xml:space="preserve">Las compras relativas a comparación de </w:t>
      </w:r>
      <w:r w:rsidR="00994A26" w:rsidRPr="00770825">
        <w:rPr>
          <w:lang w:val="es-ES"/>
        </w:rPr>
        <w:t xml:space="preserve">precios </w:t>
      </w:r>
      <w:r w:rsidRPr="00770825">
        <w:rPr>
          <w:lang w:val="es-ES"/>
        </w:rPr>
        <w:t xml:space="preserve">por un monto de </w:t>
      </w:r>
      <w:r w:rsidR="00770825" w:rsidRPr="00770825">
        <w:rPr>
          <w:lang w:val="es-ES"/>
        </w:rPr>
        <w:t>trece</w:t>
      </w:r>
      <w:r w:rsidR="00994A26" w:rsidRPr="00C14D91">
        <w:rPr>
          <w:lang w:val="es-ES"/>
        </w:rPr>
        <w:t xml:space="preserve"> m</w:t>
      </w:r>
      <w:r w:rsidRPr="00C14D91">
        <w:rPr>
          <w:lang w:val="es-ES"/>
        </w:rPr>
        <w:t>illones</w:t>
      </w:r>
      <w:r w:rsidR="00994A26" w:rsidRPr="00770825">
        <w:rPr>
          <w:lang w:val="es-ES"/>
        </w:rPr>
        <w:t xml:space="preserve">, </w:t>
      </w:r>
      <w:r w:rsidR="00770825" w:rsidRPr="00770825">
        <w:rPr>
          <w:lang w:val="es-ES"/>
        </w:rPr>
        <w:t xml:space="preserve">setecientos ochenta y siete </w:t>
      </w:r>
      <w:r w:rsidR="00994A26" w:rsidRPr="00C14D91">
        <w:rPr>
          <w:lang w:val="es-ES"/>
        </w:rPr>
        <w:t>m</w:t>
      </w:r>
      <w:r w:rsidRPr="00C14D91">
        <w:rPr>
          <w:lang w:val="es-ES"/>
        </w:rPr>
        <w:t>il</w:t>
      </w:r>
      <w:r w:rsidR="00994A26" w:rsidRPr="00770825">
        <w:rPr>
          <w:lang w:val="es-ES"/>
        </w:rPr>
        <w:t xml:space="preserve">, </w:t>
      </w:r>
      <w:r w:rsidRPr="00770825">
        <w:rPr>
          <w:lang w:val="es-ES"/>
        </w:rPr>
        <w:t>Pesos Con Cero Centavos (RD$</w:t>
      </w:r>
      <w:r w:rsidR="00770825" w:rsidRPr="00770825">
        <w:rPr>
          <w:lang w:val="es-ES"/>
        </w:rPr>
        <w:t>13</w:t>
      </w:r>
      <w:r w:rsidRPr="00C14D91">
        <w:rPr>
          <w:lang w:val="es-ES"/>
        </w:rPr>
        <w:t xml:space="preserve">, </w:t>
      </w:r>
      <w:r w:rsidR="00770825" w:rsidRPr="00770825">
        <w:rPr>
          <w:lang w:val="es-ES"/>
        </w:rPr>
        <w:t>787</w:t>
      </w:r>
      <w:r w:rsidRPr="00C14D91">
        <w:rPr>
          <w:lang w:val="es-ES"/>
        </w:rPr>
        <w:t>,</w:t>
      </w:r>
      <w:r w:rsidR="00770825" w:rsidRPr="00770825">
        <w:rPr>
          <w:lang w:val="es-ES"/>
        </w:rPr>
        <w:t>0</w:t>
      </w:r>
      <w:r w:rsidR="00994A26" w:rsidRPr="00C14D91">
        <w:rPr>
          <w:lang w:val="es-ES"/>
        </w:rPr>
        <w:t>00</w:t>
      </w:r>
      <w:r w:rsidRPr="00C14D91">
        <w:rPr>
          <w:lang w:val="es-ES"/>
        </w:rPr>
        <w:t xml:space="preserve">.00), equivalente a un </w:t>
      </w:r>
      <w:r w:rsidR="00770825" w:rsidRPr="00770825">
        <w:rPr>
          <w:lang w:val="es-ES"/>
        </w:rPr>
        <w:t>cuarenta y dos p</w:t>
      </w:r>
      <w:r w:rsidRPr="00C14D91">
        <w:rPr>
          <w:lang w:val="es-ES"/>
        </w:rPr>
        <w:t xml:space="preserve">unto </w:t>
      </w:r>
      <w:r w:rsidR="00770825" w:rsidRPr="00770825">
        <w:rPr>
          <w:lang w:val="es-ES"/>
        </w:rPr>
        <w:t xml:space="preserve">ochenta </w:t>
      </w:r>
      <w:r w:rsidR="00770825" w:rsidRPr="00C14D91">
        <w:rPr>
          <w:lang w:val="es-ES"/>
        </w:rPr>
        <w:t>y</w:t>
      </w:r>
      <w:r w:rsidRPr="00C14D91">
        <w:rPr>
          <w:lang w:val="es-ES"/>
        </w:rPr>
        <w:t xml:space="preserve"> </w:t>
      </w:r>
      <w:r w:rsidR="00770825" w:rsidRPr="00770825">
        <w:rPr>
          <w:lang w:val="es-ES"/>
        </w:rPr>
        <w:t>cinco</w:t>
      </w:r>
      <w:r w:rsidRPr="00C14D91">
        <w:rPr>
          <w:lang w:val="es-ES"/>
        </w:rPr>
        <w:t xml:space="preserve"> </w:t>
      </w:r>
      <w:r w:rsidR="00994A26" w:rsidRPr="00C14D91">
        <w:rPr>
          <w:lang w:val="es-ES"/>
        </w:rPr>
        <w:t>(</w:t>
      </w:r>
      <w:r w:rsidR="00770825" w:rsidRPr="00770825">
        <w:rPr>
          <w:lang w:val="es-ES"/>
        </w:rPr>
        <w:t>42.85</w:t>
      </w:r>
      <w:r w:rsidRPr="00C14D91">
        <w:rPr>
          <w:lang w:val="es-ES"/>
        </w:rPr>
        <w:t>%</w:t>
      </w:r>
      <w:r w:rsidR="00994A26" w:rsidRPr="00770825">
        <w:rPr>
          <w:lang w:val="es-ES"/>
        </w:rPr>
        <w:t>)</w:t>
      </w:r>
      <w:r w:rsidRPr="00770825">
        <w:rPr>
          <w:lang w:val="es-ES"/>
        </w:rPr>
        <w:t xml:space="preserve"> por ciento y las compras por licitación pública por un monto de </w:t>
      </w:r>
      <w:r w:rsidR="00770825" w:rsidRPr="00770825">
        <w:rPr>
          <w:lang w:val="es-ES"/>
        </w:rPr>
        <w:t xml:space="preserve">cinco </w:t>
      </w:r>
      <w:r w:rsidR="00994A26" w:rsidRPr="00C14D91">
        <w:rPr>
          <w:lang w:val="es-ES"/>
        </w:rPr>
        <w:t>m</w:t>
      </w:r>
      <w:r w:rsidRPr="00C14D91">
        <w:rPr>
          <w:lang w:val="es-ES"/>
        </w:rPr>
        <w:t>illones</w:t>
      </w:r>
      <w:r w:rsidR="00994A26" w:rsidRPr="00770825">
        <w:rPr>
          <w:lang w:val="es-ES"/>
        </w:rPr>
        <w:t>, cien mil p</w:t>
      </w:r>
      <w:r w:rsidRPr="00770825">
        <w:rPr>
          <w:lang w:val="es-ES"/>
        </w:rPr>
        <w:t>esos Con Cero Centavos (RD$</w:t>
      </w:r>
      <w:r w:rsidR="00770825" w:rsidRPr="00770825">
        <w:rPr>
          <w:lang w:val="es-ES"/>
        </w:rPr>
        <w:t>5</w:t>
      </w:r>
      <w:r w:rsidRPr="00C14D91">
        <w:rPr>
          <w:lang w:val="es-ES"/>
        </w:rPr>
        <w:t xml:space="preserve">, </w:t>
      </w:r>
      <w:r w:rsidR="00994A26" w:rsidRPr="00770825">
        <w:rPr>
          <w:lang w:val="es-ES"/>
        </w:rPr>
        <w:t>100</w:t>
      </w:r>
      <w:r w:rsidRPr="00770825">
        <w:rPr>
          <w:lang w:val="es-ES"/>
        </w:rPr>
        <w:t>,000.00)</w:t>
      </w:r>
      <w:r w:rsidR="00994A26" w:rsidRPr="00770825">
        <w:rPr>
          <w:lang w:val="es-ES"/>
        </w:rPr>
        <w:t xml:space="preserve">, equivalente a un </w:t>
      </w:r>
      <w:r w:rsidR="00770825" w:rsidRPr="00770825">
        <w:rPr>
          <w:lang w:val="es-ES"/>
        </w:rPr>
        <w:t>15</w:t>
      </w:r>
      <w:r w:rsidR="00994A26" w:rsidRPr="00C14D91">
        <w:rPr>
          <w:lang w:val="es-ES"/>
        </w:rPr>
        <w:t>.</w:t>
      </w:r>
      <w:r w:rsidR="00770825" w:rsidRPr="00770825">
        <w:rPr>
          <w:lang w:val="es-ES"/>
        </w:rPr>
        <w:t>85</w:t>
      </w:r>
      <w:r w:rsidR="00994A26" w:rsidRPr="00C14D91">
        <w:rPr>
          <w:lang w:val="es-ES"/>
        </w:rPr>
        <w:t>%</w:t>
      </w:r>
      <w:r w:rsidRPr="00C14D91">
        <w:rPr>
          <w:lang w:val="es-ES"/>
        </w:rPr>
        <w:t>.</w:t>
      </w:r>
    </w:p>
    <w:p w14:paraId="6DEEBDBC" w14:textId="009D1285" w:rsidR="00456B39" w:rsidRPr="00C14D91" w:rsidRDefault="00770825" w:rsidP="00456B39">
      <w:pPr>
        <w:spacing w:line="480" w:lineRule="auto"/>
        <w:jc w:val="center"/>
        <w:rPr>
          <w:lang w:val="es-ES"/>
        </w:rPr>
      </w:pPr>
      <w:r w:rsidRPr="00770825">
        <w:rPr>
          <w:noProof/>
          <w:lang w:val="en-US"/>
        </w:rPr>
        <w:drawing>
          <wp:inline distT="0" distB="0" distL="0" distR="0" wp14:anchorId="542FCE26" wp14:editId="49045EF2">
            <wp:extent cx="6257143" cy="3485714"/>
            <wp:effectExtent l="0" t="0" r="0" b="6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57143" cy="3485714"/>
                    </a:xfrm>
                    <a:prstGeom prst="rect">
                      <a:avLst/>
                    </a:prstGeom>
                  </pic:spPr>
                </pic:pic>
              </a:graphicData>
            </a:graphic>
          </wp:inline>
        </w:drawing>
      </w:r>
      <w:r w:rsidR="00994A26" w:rsidRPr="00C14D91">
        <w:rPr>
          <w:lang w:val="es-ES"/>
        </w:rPr>
        <w:t xml:space="preserve"> </w:t>
      </w:r>
    </w:p>
    <w:p w14:paraId="7AF1D45F" w14:textId="77777777" w:rsidR="00456B39" w:rsidRPr="00C14D91" w:rsidRDefault="00456B39" w:rsidP="00E406B4">
      <w:pPr>
        <w:rPr>
          <w:lang w:val="es-ES"/>
        </w:rPr>
      </w:pPr>
    </w:p>
    <w:p w14:paraId="2A6D431D" w14:textId="77777777" w:rsidR="00456B39" w:rsidRPr="00770825" w:rsidRDefault="00456B39" w:rsidP="00456B39">
      <w:pPr>
        <w:spacing w:line="480" w:lineRule="auto"/>
        <w:jc w:val="both"/>
        <w:rPr>
          <w:lang w:val="es-ES"/>
        </w:rPr>
      </w:pPr>
      <w:r w:rsidRPr="00770825">
        <w:rPr>
          <w:lang w:val="es-ES"/>
        </w:rPr>
        <w:t>En el portal Web de la Dirección General de Minería, a los fines de cumplir con los requerimientos de transparencia, se presentan la lista de Proveedores, el procedimiento de registro, la lista de compras y cotizaciones realizadas y aprobadas, el plan anual de compras y contrataciones y otros, los cuales pueden ser observados en la siguiente dirección de nuestro portal Web.</w:t>
      </w:r>
    </w:p>
    <w:p w14:paraId="3CB47A17" w14:textId="77777777" w:rsidR="00456B39" w:rsidRPr="00C14D91" w:rsidRDefault="00DA17DB" w:rsidP="00456B39">
      <w:pPr>
        <w:spacing w:line="480" w:lineRule="auto"/>
        <w:jc w:val="both"/>
        <w:rPr>
          <w:lang w:val="es-ES"/>
        </w:rPr>
      </w:pPr>
      <w:hyperlink r:id="rId18" w:history="1">
        <w:r w:rsidR="00456B39" w:rsidRPr="00C14D91">
          <w:rPr>
            <w:rStyle w:val="Hipervnculo"/>
            <w:lang w:val="es-ES"/>
          </w:rPr>
          <w:t>http://www.dgm.gov.do/transparencia/index.php/compras-y-contrataciones</w:t>
        </w:r>
      </w:hyperlink>
    </w:p>
    <w:p w14:paraId="72BC93ED" w14:textId="77777777" w:rsidR="00456B39" w:rsidRPr="00E406B4" w:rsidRDefault="00456B39" w:rsidP="00E406B4">
      <w:pPr>
        <w:spacing w:line="360" w:lineRule="auto"/>
        <w:jc w:val="both"/>
        <w:rPr>
          <w:highlight w:val="green"/>
          <w:lang w:val="es-ES"/>
        </w:rPr>
      </w:pPr>
    </w:p>
    <w:p w14:paraId="603A82E1" w14:textId="16FE01D1" w:rsidR="00456B39" w:rsidRPr="00C14D91" w:rsidRDefault="00456B39" w:rsidP="00456B39">
      <w:pPr>
        <w:pStyle w:val="Ttulo3"/>
        <w:rPr>
          <w:lang w:val="es-ES"/>
        </w:rPr>
      </w:pPr>
      <w:bookmarkStart w:id="341" w:name="_Toc29406179"/>
      <w:r w:rsidRPr="00C14D91">
        <w:rPr>
          <w:lang w:val="es-ES"/>
        </w:rPr>
        <w:lastRenderedPageBreak/>
        <w:t xml:space="preserve">vi. </w:t>
      </w:r>
      <w:r w:rsidRPr="00E406B4">
        <w:rPr>
          <w:rFonts w:ascii="Times New Roman" w:hAnsi="Times New Roman" w:cs="Times New Roman"/>
          <w:sz w:val="28"/>
          <w:szCs w:val="28"/>
          <w:lang w:val="es-ES"/>
        </w:rPr>
        <w:t>Sistema Nacional de Compras y Contrataciones Públicas (SNCCP)</w:t>
      </w:r>
      <w:bookmarkEnd w:id="341"/>
    </w:p>
    <w:p w14:paraId="48180D35" w14:textId="77777777" w:rsidR="00456B39" w:rsidRPr="00C14D91" w:rsidRDefault="00456B39" w:rsidP="00456B39">
      <w:pPr>
        <w:rPr>
          <w:lang w:val="es-ES"/>
        </w:rPr>
      </w:pPr>
    </w:p>
    <w:p w14:paraId="25BEF0D5" w14:textId="77777777" w:rsidR="00743062" w:rsidRPr="00C14D91" w:rsidRDefault="00743062" w:rsidP="00743062">
      <w:pPr>
        <w:rPr>
          <w:b/>
          <w:lang w:val="es-ES"/>
        </w:rPr>
      </w:pPr>
      <w:r w:rsidRPr="00C14D91">
        <w:rPr>
          <w:b/>
          <w:lang w:val="es-ES"/>
        </w:rPr>
        <w:t>Contrataciones y Adquisiciones</w:t>
      </w:r>
    </w:p>
    <w:p w14:paraId="09A3311C" w14:textId="77777777" w:rsidR="00C85984" w:rsidRPr="00770825" w:rsidRDefault="00C85984" w:rsidP="00743062">
      <w:pPr>
        <w:rPr>
          <w:b/>
          <w:lang w:val="es-ES"/>
        </w:rPr>
      </w:pPr>
    </w:p>
    <w:p w14:paraId="2929E39D" w14:textId="77777777" w:rsidR="00743062" w:rsidRPr="00770825" w:rsidRDefault="00743062" w:rsidP="005B16A3">
      <w:pPr>
        <w:rPr>
          <w:lang w:val="es-ES"/>
        </w:rPr>
      </w:pPr>
    </w:p>
    <w:p w14:paraId="70B48B79" w14:textId="36A17E11" w:rsidR="007A6E90" w:rsidRPr="00770825" w:rsidRDefault="007A6E90" w:rsidP="00743062">
      <w:pPr>
        <w:spacing w:line="480" w:lineRule="auto"/>
        <w:jc w:val="both"/>
        <w:rPr>
          <w:lang w:val="es-ES"/>
        </w:rPr>
      </w:pPr>
      <w:r w:rsidRPr="00770825">
        <w:rPr>
          <w:lang w:val="es-ES"/>
        </w:rPr>
        <w:t xml:space="preserve">Para </w:t>
      </w:r>
      <w:r w:rsidR="00743062" w:rsidRPr="00770825">
        <w:rPr>
          <w:lang w:val="es-ES"/>
        </w:rPr>
        <w:t xml:space="preserve">el ejercicio fiscal </w:t>
      </w:r>
      <w:r w:rsidR="004A683E" w:rsidRPr="00770825">
        <w:rPr>
          <w:lang w:val="es-ES"/>
        </w:rPr>
        <w:t>201</w:t>
      </w:r>
      <w:r w:rsidR="00770825">
        <w:rPr>
          <w:lang w:val="es-ES"/>
        </w:rPr>
        <w:t>9</w:t>
      </w:r>
      <w:r w:rsidR="00743062" w:rsidRPr="00C14D91">
        <w:rPr>
          <w:lang w:val="es-ES"/>
        </w:rPr>
        <w:t xml:space="preserve">, en el periodo </w:t>
      </w:r>
      <w:r w:rsidR="008F6981" w:rsidRPr="00C14D91">
        <w:rPr>
          <w:lang w:val="es-ES"/>
        </w:rPr>
        <w:t>enero</w:t>
      </w:r>
      <w:r w:rsidR="00743062" w:rsidRPr="00770825">
        <w:rPr>
          <w:lang w:val="es-ES"/>
        </w:rPr>
        <w:t xml:space="preserve"> – </w:t>
      </w:r>
      <w:r w:rsidR="008F6981" w:rsidRPr="00770825">
        <w:rPr>
          <w:lang w:val="es-ES"/>
        </w:rPr>
        <w:t>diciembre</w:t>
      </w:r>
      <w:r w:rsidR="00743062" w:rsidRPr="00770825">
        <w:rPr>
          <w:lang w:val="es-ES"/>
        </w:rPr>
        <w:t xml:space="preserve">, la Dirección General de Minería, </w:t>
      </w:r>
      <w:r w:rsidRPr="00770825">
        <w:rPr>
          <w:lang w:val="es-ES"/>
        </w:rPr>
        <w:t xml:space="preserve">registró en el plan anual de compras, un total de unos setenta </w:t>
      </w:r>
      <w:r w:rsidR="00770825">
        <w:rPr>
          <w:lang w:val="es-ES"/>
        </w:rPr>
        <w:t xml:space="preserve">y cinco </w:t>
      </w:r>
      <w:r w:rsidRPr="00C14D91">
        <w:rPr>
          <w:lang w:val="es-ES"/>
        </w:rPr>
        <w:t>(7</w:t>
      </w:r>
      <w:r w:rsidR="00770825">
        <w:rPr>
          <w:lang w:val="es-ES"/>
        </w:rPr>
        <w:t>5</w:t>
      </w:r>
      <w:r w:rsidRPr="00C14D91">
        <w:rPr>
          <w:lang w:val="es-ES"/>
        </w:rPr>
        <w:t>) procesos en el sistema nacional de compras y contrataciones públicas</w:t>
      </w:r>
      <w:r w:rsidRPr="00770825">
        <w:rPr>
          <w:lang w:val="es-ES"/>
        </w:rPr>
        <w:t xml:space="preserve"> (SNCCP), para el capítulo número 0222, del sub capitulo número 01.</w:t>
      </w:r>
    </w:p>
    <w:p w14:paraId="10FC9D29" w14:textId="77777777" w:rsidR="007A6E90" w:rsidRPr="00770825" w:rsidRDefault="007A6E90" w:rsidP="00E406B4">
      <w:pPr>
        <w:spacing w:line="360" w:lineRule="auto"/>
        <w:jc w:val="both"/>
        <w:rPr>
          <w:lang w:val="es-ES"/>
        </w:rPr>
      </w:pPr>
    </w:p>
    <w:p w14:paraId="5B639478" w14:textId="07ACFBFF" w:rsidR="007A6E90" w:rsidRPr="00770825" w:rsidRDefault="007A6E90" w:rsidP="00743062">
      <w:pPr>
        <w:spacing w:line="480" w:lineRule="auto"/>
        <w:jc w:val="both"/>
        <w:rPr>
          <w:lang w:val="es-ES"/>
        </w:rPr>
      </w:pPr>
      <w:r w:rsidRPr="00770825">
        <w:rPr>
          <w:lang w:val="es-ES"/>
        </w:rPr>
        <w:t xml:space="preserve">Este plan anual de </w:t>
      </w:r>
      <w:r w:rsidR="00743062" w:rsidRPr="00770825">
        <w:rPr>
          <w:lang w:val="es-ES"/>
        </w:rPr>
        <w:t>compras y contrataciones</w:t>
      </w:r>
      <w:r w:rsidRPr="00770825">
        <w:rPr>
          <w:lang w:val="es-ES"/>
        </w:rPr>
        <w:t xml:space="preserve">, incluyo el nombre o referencia de contratación, el </w:t>
      </w:r>
      <w:r w:rsidR="008F6981" w:rsidRPr="00770825">
        <w:rPr>
          <w:lang w:val="es-ES"/>
        </w:rPr>
        <w:t>número</w:t>
      </w:r>
      <w:r w:rsidRPr="00770825">
        <w:rPr>
          <w:lang w:val="es-ES"/>
        </w:rPr>
        <w:t xml:space="preserve"> del </w:t>
      </w:r>
      <w:r w:rsidR="008F6981" w:rsidRPr="00770825">
        <w:rPr>
          <w:lang w:val="es-ES"/>
        </w:rPr>
        <w:t>catálogo</w:t>
      </w:r>
      <w:r w:rsidRPr="00770825">
        <w:rPr>
          <w:lang w:val="es-ES"/>
        </w:rPr>
        <w:t xml:space="preserve">, la finalidad de la contratación, la fecha de inicio de la compra, </w:t>
      </w:r>
      <w:r w:rsidR="008F6981" w:rsidRPr="00770825">
        <w:rPr>
          <w:lang w:val="es-ES"/>
        </w:rPr>
        <w:t>así</w:t>
      </w:r>
      <w:r w:rsidRPr="00770825">
        <w:rPr>
          <w:lang w:val="es-ES"/>
        </w:rPr>
        <w:t xml:space="preserve"> como de la adjudicación y el trimestre a realizarse.</w:t>
      </w:r>
    </w:p>
    <w:p w14:paraId="397EF337" w14:textId="77777777" w:rsidR="007A6E90" w:rsidRPr="00770825" w:rsidRDefault="007A6E90" w:rsidP="00E406B4">
      <w:pPr>
        <w:spacing w:line="360" w:lineRule="auto"/>
        <w:jc w:val="both"/>
        <w:rPr>
          <w:lang w:val="es-ES"/>
        </w:rPr>
      </w:pPr>
    </w:p>
    <w:p w14:paraId="470DB568" w14:textId="793E98D0" w:rsidR="00743062" w:rsidRDefault="007A6E90" w:rsidP="00743062">
      <w:pPr>
        <w:spacing w:line="480" w:lineRule="auto"/>
        <w:jc w:val="both"/>
        <w:rPr>
          <w:lang w:val="es-ES"/>
        </w:rPr>
      </w:pPr>
      <w:r w:rsidRPr="00770825">
        <w:rPr>
          <w:lang w:val="es-ES"/>
        </w:rPr>
        <w:t xml:space="preserve">Del mismo modo el </w:t>
      </w:r>
      <w:r w:rsidR="008F6981" w:rsidRPr="00770825">
        <w:rPr>
          <w:lang w:val="es-ES"/>
        </w:rPr>
        <w:t>objeto</w:t>
      </w:r>
      <w:r w:rsidRPr="00770825">
        <w:rPr>
          <w:lang w:val="es-ES"/>
        </w:rPr>
        <w:t xml:space="preserve"> de la contratación, con su </w:t>
      </w:r>
      <w:r w:rsidR="008F6981" w:rsidRPr="00770825">
        <w:rPr>
          <w:lang w:val="es-ES"/>
        </w:rPr>
        <w:t>unidad</w:t>
      </w:r>
      <w:r w:rsidRPr="00770825">
        <w:rPr>
          <w:lang w:val="es-ES"/>
        </w:rPr>
        <w:t xml:space="preserve"> de medida, la indicación del tipo de procedimiento, ya sean compras menores, licitaciones, etc.  </w:t>
      </w:r>
      <w:r w:rsidR="008F6981" w:rsidRPr="00770825">
        <w:rPr>
          <w:lang w:val="es-ES"/>
        </w:rPr>
        <w:t>También</w:t>
      </w:r>
      <w:r w:rsidRPr="00770825">
        <w:rPr>
          <w:lang w:val="es-ES"/>
        </w:rPr>
        <w:t xml:space="preserve"> el referido plan registrado en el sistema incluye las cantidades estimadas, precios y totales, </w:t>
      </w:r>
      <w:r w:rsidR="008F6981" w:rsidRPr="00770825">
        <w:rPr>
          <w:lang w:val="es-ES"/>
        </w:rPr>
        <w:t>así</w:t>
      </w:r>
      <w:r w:rsidRPr="00770825">
        <w:rPr>
          <w:lang w:val="es-ES"/>
        </w:rPr>
        <w:t xml:space="preserve"> </w:t>
      </w:r>
      <w:r w:rsidR="008F6981" w:rsidRPr="00770825">
        <w:rPr>
          <w:lang w:val="es-ES"/>
        </w:rPr>
        <w:t>c</w:t>
      </w:r>
      <w:r w:rsidRPr="00770825">
        <w:rPr>
          <w:lang w:val="es-ES"/>
        </w:rPr>
        <w:t xml:space="preserve">omo a </w:t>
      </w:r>
      <w:r w:rsidR="008F6981" w:rsidRPr="00770825">
        <w:rPr>
          <w:lang w:val="es-ES"/>
        </w:rPr>
        <w:t>qué</w:t>
      </w:r>
      <w:r w:rsidRPr="00770825">
        <w:rPr>
          <w:lang w:val="es-ES"/>
        </w:rPr>
        <w:t xml:space="preserve"> tipo de MIPYME va destinada </w:t>
      </w:r>
      <w:r w:rsidR="008F6981" w:rsidRPr="00770825">
        <w:rPr>
          <w:lang w:val="es-ES"/>
        </w:rPr>
        <w:t>la compra o contratación.</w:t>
      </w:r>
      <w:r w:rsidR="008F6981">
        <w:rPr>
          <w:lang w:val="es-ES"/>
        </w:rPr>
        <w:t xml:space="preserve"> </w:t>
      </w:r>
      <w:r w:rsidR="00743062">
        <w:rPr>
          <w:lang w:val="es-ES"/>
        </w:rPr>
        <w:t xml:space="preserve"> </w:t>
      </w:r>
    </w:p>
    <w:p w14:paraId="73F53989" w14:textId="77777777" w:rsidR="00743062" w:rsidRDefault="00743062">
      <w:pPr>
        <w:spacing w:line="360" w:lineRule="auto"/>
        <w:jc w:val="both"/>
        <w:rPr>
          <w:lang w:val="es-ES"/>
        </w:rPr>
      </w:pPr>
    </w:p>
    <w:p w14:paraId="117EBD1F" w14:textId="40861360" w:rsidR="00C85984" w:rsidRDefault="00C85984" w:rsidP="00E406B4">
      <w:pPr>
        <w:spacing w:line="360" w:lineRule="auto"/>
        <w:jc w:val="both"/>
        <w:rPr>
          <w:lang w:val="es-ES"/>
        </w:rPr>
      </w:pPr>
    </w:p>
    <w:p w14:paraId="6E83A575" w14:textId="77777777" w:rsidR="00770825" w:rsidRDefault="00770825" w:rsidP="00743062">
      <w:pPr>
        <w:spacing w:line="480" w:lineRule="auto"/>
        <w:jc w:val="both"/>
        <w:rPr>
          <w:lang w:val="es-ES"/>
        </w:rPr>
      </w:pPr>
    </w:p>
    <w:p w14:paraId="4B6F7E34" w14:textId="77777777" w:rsidR="00770825" w:rsidRDefault="00770825" w:rsidP="00743062">
      <w:pPr>
        <w:spacing w:line="480" w:lineRule="auto"/>
        <w:jc w:val="both"/>
        <w:rPr>
          <w:lang w:val="es-ES"/>
        </w:rPr>
      </w:pPr>
    </w:p>
    <w:p w14:paraId="0F495EBF" w14:textId="77777777" w:rsidR="00770825" w:rsidRDefault="00770825" w:rsidP="00743062">
      <w:pPr>
        <w:spacing w:line="480" w:lineRule="auto"/>
        <w:jc w:val="both"/>
        <w:rPr>
          <w:lang w:val="es-ES"/>
        </w:rPr>
      </w:pPr>
    </w:p>
    <w:p w14:paraId="0CC46E4D" w14:textId="77777777" w:rsidR="00770825" w:rsidRDefault="00770825" w:rsidP="00743062">
      <w:pPr>
        <w:spacing w:line="480" w:lineRule="auto"/>
        <w:jc w:val="both"/>
        <w:rPr>
          <w:lang w:val="es-ES"/>
        </w:rPr>
      </w:pPr>
    </w:p>
    <w:p w14:paraId="66C83A31" w14:textId="77777777" w:rsidR="00770825" w:rsidRDefault="00770825" w:rsidP="00743062">
      <w:pPr>
        <w:spacing w:line="480" w:lineRule="auto"/>
        <w:jc w:val="both"/>
        <w:rPr>
          <w:lang w:val="es-ES"/>
        </w:rPr>
      </w:pPr>
    </w:p>
    <w:p w14:paraId="7BF12026" w14:textId="6684574D" w:rsidR="00456B39" w:rsidRPr="00C14D91" w:rsidRDefault="00456B39" w:rsidP="00456B39">
      <w:pPr>
        <w:pStyle w:val="Ttulo3"/>
        <w:rPr>
          <w:lang w:val="es-ES"/>
        </w:rPr>
      </w:pPr>
      <w:bookmarkStart w:id="342" w:name="_Toc29406180"/>
      <w:r w:rsidRPr="00770825">
        <w:rPr>
          <w:lang w:val="es-ES"/>
        </w:rPr>
        <w:lastRenderedPageBreak/>
        <w:t xml:space="preserve">vii. </w:t>
      </w:r>
      <w:r w:rsidRPr="00E406B4">
        <w:rPr>
          <w:rFonts w:ascii="Times New Roman" w:hAnsi="Times New Roman" w:cs="Times New Roman"/>
          <w:sz w:val="28"/>
          <w:szCs w:val="28"/>
          <w:lang w:val="es-ES"/>
        </w:rPr>
        <w:t>Comisiones de Veedurías Ciudadanas</w:t>
      </w:r>
      <w:bookmarkEnd w:id="342"/>
    </w:p>
    <w:p w14:paraId="6C6B3CCD" w14:textId="77777777" w:rsidR="00456B39" w:rsidRPr="00C14D91" w:rsidRDefault="00456B39" w:rsidP="00456B39">
      <w:pPr>
        <w:rPr>
          <w:lang w:val="es-ES"/>
        </w:rPr>
      </w:pPr>
    </w:p>
    <w:p w14:paraId="034A5B77" w14:textId="57B6D295" w:rsidR="00456B39" w:rsidRPr="00770825" w:rsidRDefault="00456B39" w:rsidP="00456B39">
      <w:pPr>
        <w:spacing w:line="480" w:lineRule="auto"/>
        <w:jc w:val="both"/>
        <w:rPr>
          <w:lang w:val="es-ES"/>
        </w:rPr>
      </w:pPr>
      <w:r w:rsidRPr="00C14D91">
        <w:rPr>
          <w:lang w:val="es-ES"/>
        </w:rPr>
        <w:t>La Dirección General de Minería, al igual que El presidente Danilo Medina confía e</w:t>
      </w:r>
      <w:r w:rsidRPr="00770825">
        <w:rPr>
          <w:lang w:val="es-ES"/>
        </w:rPr>
        <w:t>n que las comisiones de Veedurías Ciudadanas que colaboran con las instituciones gubernamentales van a contribuir a lograr que la transparencia sea una práctica a la hora de autorizar compras en todos los organismos del Estado. Sus integrantes reciben informaciones a tiempo y cuentan con el apoyo para ampliar su formación en compras y contrataciones públicas.</w:t>
      </w:r>
      <w:r w:rsidR="00637939" w:rsidRPr="00770825">
        <w:rPr>
          <w:lang w:val="es-ES"/>
        </w:rPr>
        <w:t xml:space="preserve"> </w:t>
      </w:r>
      <w:r w:rsidRPr="00770825">
        <w:rPr>
          <w:lang w:val="es-ES"/>
        </w:rPr>
        <w:t>El fin es que las comisiones contribuyan a que se apliquen con todos sus alcances la ley 340-06 sobre compras y Contrataciones con las modificaciones que establece la ley 449-06 y su Reglamento de Aplicación Número 543-12.</w:t>
      </w:r>
    </w:p>
    <w:p w14:paraId="56A39C20" w14:textId="77777777" w:rsidR="00456B39" w:rsidRPr="00E406B4" w:rsidRDefault="00456B39" w:rsidP="00E406B4">
      <w:pPr>
        <w:jc w:val="both"/>
        <w:rPr>
          <w:highlight w:val="yellow"/>
          <w:lang w:val="es-ES"/>
        </w:rPr>
      </w:pPr>
    </w:p>
    <w:p w14:paraId="6C53ED4C" w14:textId="77777777" w:rsidR="00456B39" w:rsidRPr="00770825" w:rsidRDefault="00456B39" w:rsidP="00456B39">
      <w:pPr>
        <w:spacing w:line="480" w:lineRule="auto"/>
        <w:jc w:val="both"/>
        <w:rPr>
          <w:lang w:val="es-ES"/>
        </w:rPr>
      </w:pPr>
      <w:r w:rsidRPr="00770825">
        <w:rPr>
          <w:lang w:val="es-ES"/>
        </w:rPr>
        <w:t>Para asegurar el logro de la meta, el Presidente Danilo Medina, emitió el decreto 188-14, el cual define y establece los principios y las normas que sirven de guía a las Comisiones de Veedurías Ciudadanas.</w:t>
      </w:r>
    </w:p>
    <w:p w14:paraId="6AC37850" w14:textId="0023D079" w:rsidR="00456B39" w:rsidRPr="009C579C" w:rsidRDefault="00456B39" w:rsidP="00456B39">
      <w:pPr>
        <w:spacing w:line="480" w:lineRule="auto"/>
        <w:jc w:val="both"/>
        <w:rPr>
          <w:lang w:val="es-ES"/>
        </w:rPr>
      </w:pPr>
      <w:r w:rsidRPr="00770825">
        <w:rPr>
          <w:lang w:val="es-ES"/>
        </w:rPr>
        <w:t xml:space="preserve">La Dirección General de Minería, a los fines de garantizar el debido cumplimiento del procedo de Compras y Contrataciones, ha designado una comisión interna que participa en los procesos de Licitaciones del departamento de Compras y Contrataciones, de manera que personal externo a las funciones, vigile y asegure que los procesos se manejan de manera transparente y apegado a la Ley No. 340-06, integrada por: Ing. Alexander Medina Herasme, Director General de Minería, </w:t>
      </w:r>
      <w:r w:rsidR="004A683E" w:rsidRPr="00770825">
        <w:rPr>
          <w:lang w:val="es-ES"/>
        </w:rPr>
        <w:t xml:space="preserve">Lic. Julio Cesar Ferreira Núñez, Encargado del departamento de </w:t>
      </w:r>
      <w:r w:rsidRPr="00770825">
        <w:rPr>
          <w:lang w:val="es-ES"/>
        </w:rPr>
        <w:t>Planificación</w:t>
      </w:r>
      <w:r w:rsidR="004A683E" w:rsidRPr="00770825">
        <w:rPr>
          <w:lang w:val="es-ES"/>
        </w:rPr>
        <w:t xml:space="preserve"> y Desarrollo</w:t>
      </w:r>
      <w:r w:rsidRPr="00770825">
        <w:rPr>
          <w:lang w:val="es-ES"/>
        </w:rPr>
        <w:t>, Lic. Yanet Contreras, Encargada del departamento de Administración</w:t>
      </w:r>
      <w:r w:rsidR="004A683E" w:rsidRPr="00770825">
        <w:rPr>
          <w:lang w:val="es-ES"/>
        </w:rPr>
        <w:t xml:space="preserve">. </w:t>
      </w:r>
      <w:r w:rsidRPr="00770825">
        <w:rPr>
          <w:lang w:val="es-ES"/>
        </w:rPr>
        <w:t xml:space="preserve">Lic. </w:t>
      </w:r>
      <w:r w:rsidR="004A683E" w:rsidRPr="00770825">
        <w:rPr>
          <w:lang w:val="es-ES"/>
        </w:rPr>
        <w:t>Airlin Nerio</w:t>
      </w:r>
      <w:r w:rsidRPr="00770825">
        <w:rPr>
          <w:lang w:val="es-ES"/>
        </w:rPr>
        <w:t>, Consultor Jurídico</w:t>
      </w:r>
      <w:r w:rsidR="004A683E" w:rsidRPr="00770825">
        <w:rPr>
          <w:lang w:val="es-ES"/>
        </w:rPr>
        <w:t xml:space="preserve"> y Lic. Chanel Ferreira, Responsable del Acceso a la Información</w:t>
      </w:r>
      <w:r w:rsidRPr="00770825">
        <w:rPr>
          <w:lang w:val="es-ES"/>
        </w:rPr>
        <w:t>.</w:t>
      </w:r>
    </w:p>
    <w:p w14:paraId="7AB84C10" w14:textId="77777777" w:rsidR="00637939" w:rsidRDefault="00637939" w:rsidP="00743062">
      <w:pPr>
        <w:pStyle w:val="Ttulo3"/>
        <w:rPr>
          <w:lang w:val="es-ES"/>
        </w:rPr>
      </w:pPr>
    </w:p>
    <w:p w14:paraId="580EFFD2" w14:textId="77777777" w:rsidR="00637939" w:rsidRDefault="00637939" w:rsidP="00743062">
      <w:pPr>
        <w:pStyle w:val="Ttulo3"/>
        <w:rPr>
          <w:lang w:val="es-ES"/>
        </w:rPr>
      </w:pPr>
    </w:p>
    <w:p w14:paraId="682F36A6" w14:textId="77777777" w:rsidR="00637939" w:rsidRDefault="00637939" w:rsidP="00E406B4">
      <w:pPr>
        <w:rPr>
          <w:lang w:val="es-ES"/>
        </w:rPr>
      </w:pPr>
    </w:p>
    <w:p w14:paraId="7364470E" w14:textId="4FA5061A" w:rsidR="00456B39" w:rsidRPr="00C14D91" w:rsidRDefault="00743062" w:rsidP="00743062">
      <w:pPr>
        <w:pStyle w:val="Ttulo3"/>
        <w:rPr>
          <w:lang w:val="es-ES"/>
        </w:rPr>
      </w:pPr>
      <w:bookmarkStart w:id="343" w:name="_Toc29406181"/>
      <w:r w:rsidRPr="00C14D91">
        <w:rPr>
          <w:lang w:val="es-ES"/>
        </w:rPr>
        <w:lastRenderedPageBreak/>
        <w:t xml:space="preserve">viii. </w:t>
      </w:r>
      <w:r w:rsidR="00456B39" w:rsidRPr="00E406B4">
        <w:rPr>
          <w:rFonts w:ascii="Times New Roman" w:hAnsi="Times New Roman" w:cs="Times New Roman"/>
          <w:sz w:val="28"/>
          <w:szCs w:val="28"/>
          <w:lang w:val="es-ES"/>
        </w:rPr>
        <w:t>Auditorias y Declaraciones Juradas</w:t>
      </w:r>
      <w:bookmarkEnd w:id="343"/>
    </w:p>
    <w:p w14:paraId="6906DFA4" w14:textId="77777777" w:rsidR="00456B39" w:rsidRPr="00C14D91" w:rsidRDefault="00456B39" w:rsidP="00456B39">
      <w:pPr>
        <w:rPr>
          <w:lang w:val="es-ES"/>
        </w:rPr>
      </w:pPr>
    </w:p>
    <w:p w14:paraId="47BE84A6" w14:textId="79E25AB4" w:rsidR="00456B39" w:rsidRPr="00C14D91" w:rsidRDefault="00456B39" w:rsidP="00456B39">
      <w:pPr>
        <w:spacing w:line="480" w:lineRule="auto"/>
        <w:jc w:val="both"/>
        <w:rPr>
          <w:lang w:val="es-ES"/>
        </w:rPr>
      </w:pPr>
      <w:r w:rsidRPr="00C14D91">
        <w:rPr>
          <w:lang w:val="es-ES"/>
        </w:rPr>
        <w:t xml:space="preserve">En lo relativo a las Auditorias, durante el periodo fiscal </w:t>
      </w:r>
      <w:r w:rsidR="00F40026" w:rsidRPr="00770825">
        <w:rPr>
          <w:lang w:val="es-ES"/>
        </w:rPr>
        <w:t>201</w:t>
      </w:r>
      <w:r w:rsidR="00770825" w:rsidRPr="00770825">
        <w:rPr>
          <w:lang w:val="es-ES"/>
        </w:rPr>
        <w:t>9</w:t>
      </w:r>
      <w:r w:rsidRPr="00C14D91">
        <w:rPr>
          <w:lang w:val="es-ES"/>
        </w:rPr>
        <w:t>, en la Dirección General de Minería, no se realizaron auditorias financieras o fiscales, excepto las revisiones que realizan las unidades de auditoria interna de la Contraloría General de La Republica en cuanto a las revisiones y fiscalizaciones de los libramientos y procesos de pago, así como la contratación de servicios.</w:t>
      </w:r>
    </w:p>
    <w:p w14:paraId="72F3A79F" w14:textId="77777777" w:rsidR="00456B39" w:rsidRPr="00C14D91" w:rsidRDefault="00456B39" w:rsidP="00E406B4">
      <w:pPr>
        <w:spacing w:line="360" w:lineRule="auto"/>
        <w:jc w:val="both"/>
        <w:rPr>
          <w:lang w:val="es-ES"/>
        </w:rPr>
      </w:pPr>
    </w:p>
    <w:p w14:paraId="08727E5E" w14:textId="77777777" w:rsidR="00456B39" w:rsidRPr="00770825" w:rsidRDefault="00456B39" w:rsidP="00456B39">
      <w:pPr>
        <w:spacing w:line="480" w:lineRule="auto"/>
        <w:jc w:val="both"/>
        <w:rPr>
          <w:lang w:val="es-ES"/>
        </w:rPr>
      </w:pPr>
      <w:r w:rsidRPr="00C14D91">
        <w:rPr>
          <w:lang w:val="es-ES"/>
        </w:rPr>
        <w:t>Cabe destacar que el departamento de Contabilidad de la Dirección General de Minería, ha presentado un excelente desempeño en cuanto al cumplimiento de los requerimientos de controles internos, presentación de soportes y documentos que sustenta</w:t>
      </w:r>
      <w:r w:rsidRPr="00770825">
        <w:rPr>
          <w:lang w:val="es-ES"/>
        </w:rPr>
        <w:t>n los procesos de libramientos y pagos.</w:t>
      </w:r>
    </w:p>
    <w:p w14:paraId="47303391" w14:textId="77777777" w:rsidR="00F40026" w:rsidRPr="00770825" w:rsidRDefault="00F40026" w:rsidP="00E406B4">
      <w:pPr>
        <w:spacing w:line="360" w:lineRule="auto"/>
        <w:jc w:val="both"/>
        <w:rPr>
          <w:lang w:val="es-ES"/>
        </w:rPr>
      </w:pPr>
    </w:p>
    <w:p w14:paraId="2B669C83" w14:textId="77777777" w:rsidR="00456B39" w:rsidRPr="00770825" w:rsidRDefault="00456B39" w:rsidP="00456B39">
      <w:pPr>
        <w:spacing w:line="480" w:lineRule="auto"/>
        <w:jc w:val="both"/>
        <w:rPr>
          <w:lang w:val="es-ES"/>
        </w:rPr>
      </w:pPr>
      <w:r w:rsidRPr="00770825">
        <w:rPr>
          <w:lang w:val="es-ES"/>
        </w:rPr>
        <w:t>En cuanto al cumplimiento de lo establecido en la Ley No. 311-14 sobre Declaraciones Juradas de los Funcionarios Públicos, la Dirección General de Minería se encuentra en un cumplimiento de un 100%.</w:t>
      </w:r>
    </w:p>
    <w:p w14:paraId="011396B2" w14:textId="185F4985" w:rsidR="00456B39" w:rsidRPr="00C14D91" w:rsidRDefault="00F40026" w:rsidP="00456B39">
      <w:pPr>
        <w:spacing w:line="480" w:lineRule="auto"/>
        <w:jc w:val="both"/>
        <w:rPr>
          <w:b/>
          <w:lang w:val="es-ES"/>
        </w:rPr>
      </w:pPr>
      <w:r w:rsidRPr="00770825">
        <w:rPr>
          <w:lang w:val="es-ES"/>
        </w:rPr>
        <w:t xml:space="preserve">Las mismas </w:t>
      </w:r>
      <w:r w:rsidR="00456B39" w:rsidRPr="00770825">
        <w:rPr>
          <w:lang w:val="es-ES"/>
        </w:rPr>
        <w:t>se encuentran depositadas en la Cámara de Cuentas de La Republica, así como también han sido publicadas en la página Web de la institución, en la siguiente dirección</w:t>
      </w:r>
      <w:r w:rsidR="00456B39" w:rsidRPr="00770825">
        <w:rPr>
          <w:b/>
          <w:lang w:val="es-ES"/>
        </w:rPr>
        <w:t xml:space="preserve">: </w:t>
      </w:r>
      <w:hyperlink r:id="rId19" w:history="1">
        <w:r w:rsidR="00456B39" w:rsidRPr="00C14D91">
          <w:rPr>
            <w:b/>
            <w:lang w:val="es-ES"/>
          </w:rPr>
          <w:t>http://www.dgm.gov.do/</w:t>
        </w:r>
      </w:hyperlink>
    </w:p>
    <w:p w14:paraId="5FB3BDA0" w14:textId="77777777" w:rsidR="00F40026" w:rsidRPr="00C14D91" w:rsidRDefault="00F40026" w:rsidP="00E406B4">
      <w:pPr>
        <w:spacing w:line="360" w:lineRule="auto"/>
        <w:jc w:val="both"/>
        <w:rPr>
          <w:lang w:val="es-ES"/>
        </w:rPr>
      </w:pPr>
    </w:p>
    <w:p w14:paraId="6788EC99" w14:textId="77777777" w:rsidR="00456B39" w:rsidRPr="00770825" w:rsidRDefault="00456B39" w:rsidP="00456B39">
      <w:pPr>
        <w:spacing w:line="480" w:lineRule="auto"/>
        <w:jc w:val="both"/>
        <w:rPr>
          <w:lang w:val="es-ES"/>
        </w:rPr>
      </w:pPr>
      <w:r w:rsidRPr="00770825">
        <w:rPr>
          <w:lang w:val="es-ES"/>
        </w:rPr>
        <w:t>Los funcionarios que tienen y han cumplido con el requerimiento legal son los siguientes:</w:t>
      </w:r>
    </w:p>
    <w:p w14:paraId="236A1483" w14:textId="7B04D4B4" w:rsidR="00456B39" w:rsidRPr="00770825" w:rsidRDefault="00456B39" w:rsidP="00456B39">
      <w:pPr>
        <w:spacing w:line="480" w:lineRule="auto"/>
        <w:jc w:val="both"/>
        <w:rPr>
          <w:lang w:val="es-ES"/>
        </w:rPr>
      </w:pPr>
      <w:r w:rsidRPr="00770825">
        <w:rPr>
          <w:lang w:val="es-ES"/>
        </w:rPr>
        <w:t>Ing. Alexander Medina</w:t>
      </w:r>
      <w:r w:rsidR="00F40026" w:rsidRPr="00770825">
        <w:rPr>
          <w:lang w:val="es-ES"/>
        </w:rPr>
        <w:t xml:space="preserve">, </w:t>
      </w:r>
      <w:r w:rsidRPr="00770825">
        <w:rPr>
          <w:lang w:val="es-ES"/>
        </w:rPr>
        <w:t>Director General de Minería</w:t>
      </w:r>
      <w:r w:rsidR="00F40026" w:rsidRPr="00770825">
        <w:rPr>
          <w:lang w:val="es-ES"/>
        </w:rPr>
        <w:t xml:space="preserve">, </w:t>
      </w:r>
      <w:r w:rsidRPr="00C14D91">
        <w:rPr>
          <w:lang w:val="es-ES"/>
        </w:rPr>
        <w:t>Ing. Eugenio Lugo - Sub-Director General de Minería</w:t>
      </w:r>
      <w:r w:rsidR="00F40026" w:rsidRPr="00770825">
        <w:rPr>
          <w:lang w:val="es-ES"/>
        </w:rPr>
        <w:t xml:space="preserve">, </w:t>
      </w:r>
      <w:r w:rsidRPr="00770825">
        <w:rPr>
          <w:lang w:val="es-ES"/>
        </w:rPr>
        <w:t>Ing. Ramon Morrobel - Sub-Director de Fiscalización de la Dirección General de Minería</w:t>
      </w:r>
      <w:r w:rsidR="00F40026" w:rsidRPr="00770825">
        <w:rPr>
          <w:lang w:val="es-ES"/>
        </w:rPr>
        <w:t xml:space="preserve">, </w:t>
      </w:r>
      <w:r w:rsidRPr="00770825">
        <w:rPr>
          <w:lang w:val="es-ES"/>
        </w:rPr>
        <w:t>Jeannette Contreras - Encargada del Departamento Administrativo</w:t>
      </w:r>
      <w:r w:rsidR="00F40026" w:rsidRPr="00770825">
        <w:rPr>
          <w:lang w:val="es-ES"/>
        </w:rPr>
        <w:t xml:space="preserve"> y </w:t>
      </w:r>
      <w:r w:rsidRPr="00C14D91">
        <w:rPr>
          <w:lang w:val="es-ES"/>
        </w:rPr>
        <w:t>Natalia Arias - Encargada de Compras de la Dirección General de Minería</w:t>
      </w:r>
      <w:r w:rsidR="005B16A3" w:rsidRPr="00770825">
        <w:rPr>
          <w:lang w:val="es-ES"/>
        </w:rPr>
        <w:t>.</w:t>
      </w:r>
    </w:p>
    <w:p w14:paraId="7B71F631" w14:textId="77777777" w:rsidR="005B16A3" w:rsidRDefault="005B16A3" w:rsidP="00456B39">
      <w:pPr>
        <w:spacing w:line="480" w:lineRule="auto"/>
        <w:jc w:val="both"/>
        <w:rPr>
          <w:highlight w:val="green"/>
          <w:lang w:val="es-ES"/>
        </w:rPr>
      </w:pPr>
    </w:p>
    <w:p w14:paraId="0812BEB2" w14:textId="77777777" w:rsidR="00C25CE1" w:rsidRDefault="00C25CE1" w:rsidP="00456B39">
      <w:pPr>
        <w:spacing w:line="480" w:lineRule="auto"/>
        <w:jc w:val="both"/>
        <w:rPr>
          <w:highlight w:val="green"/>
          <w:lang w:val="es-ES"/>
        </w:rPr>
      </w:pPr>
    </w:p>
    <w:p w14:paraId="7EFAAC98" w14:textId="77777777" w:rsidR="00743062" w:rsidRPr="00B14ABF" w:rsidRDefault="00743062" w:rsidP="00743062">
      <w:pPr>
        <w:rPr>
          <w:lang w:val="es-ES"/>
        </w:rPr>
      </w:pPr>
      <w:bookmarkStart w:id="344" w:name="_Toc961998"/>
      <w:bookmarkStart w:id="345" w:name="_Toc29405507"/>
      <w:bookmarkStart w:id="346" w:name="_Toc961999"/>
      <w:bookmarkStart w:id="347" w:name="_Toc29405508"/>
      <w:bookmarkStart w:id="348" w:name="_Toc962000"/>
      <w:bookmarkStart w:id="349" w:name="_Toc29405509"/>
      <w:bookmarkStart w:id="350" w:name="_Toc534151895"/>
      <w:bookmarkStart w:id="351" w:name="_Toc534152027"/>
      <w:bookmarkStart w:id="352" w:name="_Toc534152152"/>
      <w:bookmarkStart w:id="353" w:name="_Toc534152224"/>
      <w:bookmarkStart w:id="354" w:name="_Toc534152296"/>
      <w:bookmarkStart w:id="355" w:name="_Toc534152368"/>
      <w:bookmarkStart w:id="356" w:name="_Toc534152440"/>
      <w:bookmarkStart w:id="357" w:name="_Toc534152769"/>
      <w:bookmarkStart w:id="358" w:name="_Toc433994"/>
      <w:bookmarkStart w:id="359" w:name="_Toc881894"/>
      <w:bookmarkStart w:id="360" w:name="_Toc962001"/>
      <w:bookmarkStart w:id="361" w:name="_Toc29405510"/>
      <w:bookmarkStart w:id="362" w:name="_Toc534151896"/>
      <w:bookmarkStart w:id="363" w:name="_Toc534152028"/>
      <w:bookmarkStart w:id="364" w:name="_Toc534152153"/>
      <w:bookmarkStart w:id="365" w:name="_Toc534152225"/>
      <w:bookmarkStart w:id="366" w:name="_Toc534152297"/>
      <w:bookmarkStart w:id="367" w:name="_Toc534152369"/>
      <w:bookmarkStart w:id="368" w:name="_Toc534152441"/>
      <w:bookmarkStart w:id="369" w:name="_Toc534152770"/>
      <w:bookmarkStart w:id="370" w:name="_Toc433995"/>
      <w:bookmarkStart w:id="371" w:name="_Toc881895"/>
      <w:bookmarkStart w:id="372" w:name="_Toc962002"/>
      <w:bookmarkStart w:id="373" w:name="_Toc29405511"/>
      <w:bookmarkStart w:id="374" w:name="_Toc534151897"/>
      <w:bookmarkStart w:id="375" w:name="_Toc534152029"/>
      <w:bookmarkStart w:id="376" w:name="_Toc534152154"/>
      <w:bookmarkStart w:id="377" w:name="_Toc534152226"/>
      <w:bookmarkStart w:id="378" w:name="_Toc534152298"/>
      <w:bookmarkStart w:id="379" w:name="_Toc534152370"/>
      <w:bookmarkStart w:id="380" w:name="_Toc534152442"/>
      <w:bookmarkStart w:id="381" w:name="_Toc534152771"/>
      <w:bookmarkStart w:id="382" w:name="_Toc433996"/>
      <w:bookmarkStart w:id="383" w:name="_Toc881896"/>
      <w:bookmarkStart w:id="384" w:name="_Toc962003"/>
      <w:bookmarkStart w:id="385" w:name="_Toc29405512"/>
      <w:bookmarkStart w:id="386" w:name="_Toc534151898"/>
      <w:bookmarkStart w:id="387" w:name="_Toc534152030"/>
      <w:bookmarkStart w:id="388" w:name="_Toc534152155"/>
      <w:bookmarkStart w:id="389" w:name="_Toc534152227"/>
      <w:bookmarkStart w:id="390" w:name="_Toc534152299"/>
      <w:bookmarkStart w:id="391" w:name="_Toc534152371"/>
      <w:bookmarkStart w:id="392" w:name="_Toc534152443"/>
      <w:bookmarkStart w:id="393" w:name="_Toc534152772"/>
      <w:bookmarkStart w:id="394" w:name="_Toc433997"/>
      <w:bookmarkStart w:id="395" w:name="_Toc881897"/>
      <w:bookmarkStart w:id="396" w:name="_Toc962004"/>
      <w:bookmarkStart w:id="397" w:name="_Toc29405513"/>
      <w:bookmarkStart w:id="398" w:name="_Toc534151899"/>
      <w:bookmarkStart w:id="399" w:name="_Toc534152031"/>
      <w:bookmarkStart w:id="400" w:name="_Toc534152156"/>
      <w:bookmarkStart w:id="401" w:name="_Toc534152228"/>
      <w:bookmarkStart w:id="402" w:name="_Toc534152300"/>
      <w:bookmarkStart w:id="403" w:name="_Toc534152372"/>
      <w:bookmarkStart w:id="404" w:name="_Toc534152444"/>
      <w:bookmarkStart w:id="405" w:name="_Toc534152773"/>
      <w:bookmarkStart w:id="406" w:name="_Toc433998"/>
      <w:bookmarkStart w:id="407" w:name="_Toc881898"/>
      <w:bookmarkStart w:id="408" w:name="_Toc962005"/>
      <w:bookmarkStart w:id="409" w:name="_Toc29405514"/>
      <w:bookmarkStart w:id="410" w:name="_Toc534151900"/>
      <w:bookmarkStart w:id="411" w:name="_Toc534152032"/>
      <w:bookmarkStart w:id="412" w:name="_Toc534152157"/>
      <w:bookmarkStart w:id="413" w:name="_Toc534152229"/>
      <w:bookmarkStart w:id="414" w:name="_Toc534152301"/>
      <w:bookmarkStart w:id="415" w:name="_Toc534152373"/>
      <w:bookmarkStart w:id="416" w:name="_Toc534152445"/>
      <w:bookmarkStart w:id="417" w:name="_Toc534152774"/>
      <w:bookmarkStart w:id="418" w:name="_Toc433999"/>
      <w:bookmarkStart w:id="419" w:name="_Toc881899"/>
      <w:bookmarkStart w:id="420" w:name="_Toc962006"/>
      <w:bookmarkStart w:id="421" w:name="_Toc29405515"/>
      <w:bookmarkStart w:id="422" w:name="_Toc534151901"/>
      <w:bookmarkStart w:id="423" w:name="_Toc534152033"/>
      <w:bookmarkStart w:id="424" w:name="_Toc534152158"/>
      <w:bookmarkStart w:id="425" w:name="_Toc534152230"/>
      <w:bookmarkStart w:id="426" w:name="_Toc534152302"/>
      <w:bookmarkStart w:id="427" w:name="_Toc534152374"/>
      <w:bookmarkStart w:id="428" w:name="_Toc534152446"/>
      <w:bookmarkStart w:id="429" w:name="_Toc534152775"/>
      <w:bookmarkStart w:id="430" w:name="_Toc434000"/>
      <w:bookmarkStart w:id="431" w:name="_Toc881900"/>
      <w:bookmarkStart w:id="432" w:name="_Toc962007"/>
      <w:bookmarkStart w:id="433" w:name="_Toc29405516"/>
      <w:bookmarkStart w:id="434" w:name="_Toc534151902"/>
      <w:bookmarkStart w:id="435" w:name="_Toc534152034"/>
      <w:bookmarkStart w:id="436" w:name="_Toc534152159"/>
      <w:bookmarkStart w:id="437" w:name="_Toc534152231"/>
      <w:bookmarkStart w:id="438" w:name="_Toc534152303"/>
      <w:bookmarkStart w:id="439" w:name="_Toc534152375"/>
      <w:bookmarkStart w:id="440" w:name="_Toc534152447"/>
      <w:bookmarkStart w:id="441" w:name="_Toc534152776"/>
      <w:bookmarkStart w:id="442" w:name="_Toc434001"/>
      <w:bookmarkStart w:id="443" w:name="_Toc881901"/>
      <w:bookmarkStart w:id="444" w:name="_Toc962008"/>
      <w:bookmarkStart w:id="445" w:name="_Toc29405517"/>
      <w:bookmarkStart w:id="446" w:name="_Toc534151903"/>
      <w:bookmarkStart w:id="447" w:name="_Toc534152035"/>
      <w:bookmarkStart w:id="448" w:name="_Toc534152160"/>
      <w:bookmarkStart w:id="449" w:name="_Toc534152232"/>
      <w:bookmarkStart w:id="450" w:name="_Toc534152304"/>
      <w:bookmarkStart w:id="451" w:name="_Toc534152376"/>
      <w:bookmarkStart w:id="452" w:name="_Toc534152448"/>
      <w:bookmarkStart w:id="453" w:name="_Toc534152777"/>
      <w:bookmarkStart w:id="454" w:name="_Toc434002"/>
      <w:bookmarkStart w:id="455" w:name="_Toc881902"/>
      <w:bookmarkStart w:id="456" w:name="_Toc962009"/>
      <w:bookmarkStart w:id="457" w:name="_Toc29405518"/>
      <w:bookmarkStart w:id="458" w:name="_Toc534151904"/>
      <w:bookmarkStart w:id="459" w:name="_Toc534152036"/>
      <w:bookmarkStart w:id="460" w:name="_Toc534152161"/>
      <w:bookmarkStart w:id="461" w:name="_Toc534152233"/>
      <w:bookmarkStart w:id="462" w:name="_Toc534152305"/>
      <w:bookmarkStart w:id="463" w:name="_Toc534152377"/>
      <w:bookmarkStart w:id="464" w:name="_Toc534152449"/>
      <w:bookmarkStart w:id="465" w:name="_Toc534152778"/>
      <w:bookmarkStart w:id="466" w:name="_Toc434003"/>
      <w:bookmarkStart w:id="467" w:name="_Toc881903"/>
      <w:bookmarkStart w:id="468" w:name="_Toc962010"/>
      <w:bookmarkStart w:id="469" w:name="_Toc2940551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33692B3E" w14:textId="7071DD55" w:rsidR="00743062" w:rsidRPr="00E406B4" w:rsidRDefault="00743062" w:rsidP="00743062">
      <w:pPr>
        <w:pStyle w:val="Ttulo2"/>
        <w:numPr>
          <w:ilvl w:val="0"/>
          <w:numId w:val="43"/>
        </w:numPr>
        <w:rPr>
          <w:rFonts w:ascii="Times New Roman" w:hAnsi="Times New Roman" w:cs="Times New Roman"/>
          <w:b/>
          <w:sz w:val="32"/>
          <w:szCs w:val="32"/>
          <w:lang w:val="es-ES"/>
        </w:rPr>
      </w:pPr>
      <w:bookmarkStart w:id="470" w:name="_Toc29406182"/>
      <w:r w:rsidRPr="00E406B4">
        <w:rPr>
          <w:rFonts w:ascii="Times New Roman" w:hAnsi="Times New Roman" w:cs="Times New Roman"/>
          <w:b/>
          <w:sz w:val="32"/>
          <w:szCs w:val="32"/>
          <w:lang w:val="es-ES"/>
        </w:rPr>
        <w:t>Otras acciones desarrolladas</w:t>
      </w:r>
      <w:bookmarkEnd w:id="470"/>
    </w:p>
    <w:p w14:paraId="0C078F80" w14:textId="77777777" w:rsidR="00743062" w:rsidRDefault="00743062">
      <w:pPr>
        <w:pStyle w:val="Ttulo4"/>
        <w:rPr>
          <w:b/>
          <w:lang w:val="es-ES"/>
        </w:rPr>
      </w:pPr>
    </w:p>
    <w:p w14:paraId="1918CDDC" w14:textId="0592ACA0" w:rsidR="00743062" w:rsidRDefault="008F6981" w:rsidP="00E406B4">
      <w:pPr>
        <w:spacing w:line="480" w:lineRule="auto"/>
        <w:jc w:val="both"/>
        <w:rPr>
          <w:lang w:val="es-ES"/>
        </w:rPr>
      </w:pPr>
      <w:r w:rsidRPr="00E406B4">
        <w:rPr>
          <w:lang w:val="es-ES"/>
        </w:rPr>
        <w:t xml:space="preserve">Dentro de las acciones desarrolladas </w:t>
      </w:r>
      <w:r w:rsidRPr="00DA17DB">
        <w:rPr>
          <w:lang w:val="es-ES"/>
        </w:rPr>
        <w:t>más</w:t>
      </w:r>
      <w:r w:rsidRPr="00E406B4">
        <w:rPr>
          <w:lang w:val="es-ES"/>
        </w:rPr>
        <w:t xml:space="preserve"> destacadas </w:t>
      </w:r>
      <w:r w:rsidRPr="00DA17DB">
        <w:rPr>
          <w:lang w:val="es-ES"/>
        </w:rPr>
        <w:t>está</w:t>
      </w:r>
      <w:r w:rsidRPr="00E406B4">
        <w:rPr>
          <w:lang w:val="es-ES"/>
        </w:rPr>
        <w:t xml:space="preserve"> el seminario regional realizado </w:t>
      </w:r>
      <w:r>
        <w:rPr>
          <w:lang w:val="es-ES"/>
        </w:rPr>
        <w:t>para</w:t>
      </w:r>
      <w:r w:rsidRPr="00E406B4">
        <w:rPr>
          <w:lang w:val="es-ES"/>
        </w:rPr>
        <w:t xml:space="preserve"> la </w:t>
      </w:r>
      <w:r>
        <w:rPr>
          <w:lang w:val="es-ES"/>
        </w:rPr>
        <w:t xml:space="preserve">hacer los planteamientos del desarrollo y formalización de </w:t>
      </w:r>
      <w:r w:rsidRPr="00E406B4">
        <w:rPr>
          <w:lang w:val="es-ES"/>
        </w:rPr>
        <w:t xml:space="preserve">la </w:t>
      </w:r>
      <w:r w:rsidRPr="00DA17DB">
        <w:rPr>
          <w:lang w:val="es-ES"/>
        </w:rPr>
        <w:t>Minería</w:t>
      </w:r>
      <w:r w:rsidRPr="00E406B4">
        <w:rPr>
          <w:lang w:val="es-ES"/>
        </w:rPr>
        <w:t xml:space="preserve"> Artesanal y Pequeña Escala, en bávaro, Punta Cana, con la </w:t>
      </w:r>
      <w:r w:rsidRPr="00DA17DB">
        <w:rPr>
          <w:lang w:val="es-ES"/>
        </w:rPr>
        <w:t>participación</w:t>
      </w:r>
      <w:r w:rsidRPr="00E406B4">
        <w:rPr>
          <w:lang w:val="es-ES"/>
        </w:rPr>
        <w:t xml:space="preserve"> de todo el sector minero nacional.</w:t>
      </w:r>
    </w:p>
    <w:p w14:paraId="31DAD8BF" w14:textId="1E0AFA1A" w:rsidR="00743062" w:rsidRPr="00E406B4" w:rsidRDefault="00743062" w:rsidP="00743062">
      <w:pPr>
        <w:pStyle w:val="Ttulo1"/>
        <w:numPr>
          <w:ilvl w:val="0"/>
          <w:numId w:val="42"/>
        </w:numPr>
        <w:rPr>
          <w:rFonts w:ascii="Times New Roman" w:hAnsi="Times New Roman" w:cs="Times New Roman"/>
          <w:b/>
          <w:lang w:val="es-ES"/>
        </w:rPr>
      </w:pPr>
      <w:bookmarkStart w:id="471" w:name="_Toc881908"/>
      <w:bookmarkStart w:id="472" w:name="_Toc962015"/>
      <w:bookmarkStart w:id="473" w:name="_Toc29405524"/>
      <w:bookmarkStart w:id="474" w:name="_Toc29405912"/>
      <w:bookmarkStart w:id="475" w:name="_Toc29406183"/>
      <w:bookmarkStart w:id="476" w:name="_Toc881909"/>
      <w:bookmarkStart w:id="477" w:name="_Toc962016"/>
      <w:bookmarkStart w:id="478" w:name="_Toc29405525"/>
      <w:bookmarkStart w:id="479" w:name="_Toc29405913"/>
      <w:bookmarkStart w:id="480" w:name="_Toc29406184"/>
      <w:bookmarkStart w:id="481" w:name="_Toc534151909"/>
      <w:bookmarkStart w:id="482" w:name="_Toc534152041"/>
      <w:bookmarkStart w:id="483" w:name="_Toc534152166"/>
      <w:bookmarkStart w:id="484" w:name="_Toc534152238"/>
      <w:bookmarkStart w:id="485" w:name="_Toc534152310"/>
      <w:bookmarkStart w:id="486" w:name="_Toc534152382"/>
      <w:bookmarkStart w:id="487" w:name="_Toc534152454"/>
      <w:bookmarkStart w:id="488" w:name="_Toc534152783"/>
      <w:bookmarkStart w:id="489" w:name="_Toc434008"/>
      <w:bookmarkStart w:id="490" w:name="_Toc881910"/>
      <w:bookmarkStart w:id="491" w:name="_Toc962017"/>
      <w:bookmarkStart w:id="492" w:name="_Toc29405526"/>
      <w:bookmarkStart w:id="493" w:name="_Toc29405914"/>
      <w:bookmarkStart w:id="494" w:name="_Toc29406185"/>
      <w:bookmarkStart w:id="495" w:name="_Toc29406186"/>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E406B4">
        <w:rPr>
          <w:rFonts w:ascii="Times New Roman" w:hAnsi="Times New Roman" w:cs="Times New Roman"/>
          <w:b/>
          <w:lang w:val="es-ES"/>
        </w:rPr>
        <w:t>Gestión Interna</w:t>
      </w:r>
      <w:bookmarkEnd w:id="495"/>
    </w:p>
    <w:p w14:paraId="42925297" w14:textId="77777777" w:rsidR="00743062" w:rsidRDefault="00743062" w:rsidP="00743062">
      <w:pPr>
        <w:rPr>
          <w:lang w:val="es-ES"/>
        </w:rPr>
      </w:pPr>
    </w:p>
    <w:p w14:paraId="33B9E457" w14:textId="3E2B6843" w:rsidR="00743062" w:rsidRPr="00C14D91" w:rsidRDefault="00743062" w:rsidP="00743062">
      <w:pPr>
        <w:pStyle w:val="Ttulo2"/>
        <w:numPr>
          <w:ilvl w:val="0"/>
          <w:numId w:val="49"/>
        </w:numPr>
        <w:rPr>
          <w:b/>
          <w:lang w:val="es-ES"/>
        </w:rPr>
      </w:pPr>
      <w:bookmarkStart w:id="496" w:name="_Toc534151911"/>
      <w:bookmarkStart w:id="497" w:name="_Toc534152043"/>
      <w:bookmarkStart w:id="498" w:name="_Toc534152168"/>
      <w:bookmarkStart w:id="499" w:name="_Toc534152240"/>
      <w:bookmarkStart w:id="500" w:name="_Toc534152312"/>
      <w:bookmarkStart w:id="501" w:name="_Toc534152384"/>
      <w:bookmarkStart w:id="502" w:name="_Toc534152456"/>
      <w:bookmarkStart w:id="503" w:name="_Toc534152785"/>
      <w:bookmarkStart w:id="504" w:name="_Toc434010"/>
      <w:bookmarkStart w:id="505" w:name="_Toc881912"/>
      <w:bookmarkStart w:id="506" w:name="_Toc962019"/>
      <w:bookmarkStart w:id="507" w:name="_Toc29405528"/>
      <w:bookmarkStart w:id="508" w:name="_Toc29405916"/>
      <w:bookmarkStart w:id="509" w:name="_Toc29406187"/>
      <w:bookmarkStart w:id="510" w:name="_Toc29406188"/>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C14D91">
        <w:rPr>
          <w:b/>
          <w:lang w:val="es-ES"/>
        </w:rPr>
        <w:t>Desempeño Financiero</w:t>
      </w:r>
      <w:bookmarkEnd w:id="510"/>
    </w:p>
    <w:p w14:paraId="6C17F71B" w14:textId="77777777" w:rsidR="00743062" w:rsidRPr="00C14D91" w:rsidRDefault="00743062" w:rsidP="00743062">
      <w:pPr>
        <w:rPr>
          <w:lang w:val="es-ES"/>
        </w:rPr>
      </w:pPr>
    </w:p>
    <w:p w14:paraId="3AF519D5" w14:textId="3437EA93" w:rsidR="000051DD" w:rsidRPr="00C14D91" w:rsidRDefault="000051DD" w:rsidP="000051DD">
      <w:pPr>
        <w:spacing w:line="480" w:lineRule="auto"/>
        <w:jc w:val="both"/>
        <w:rPr>
          <w:lang w:val="es-ES"/>
        </w:rPr>
      </w:pPr>
      <w:r w:rsidRPr="00C14D91">
        <w:rPr>
          <w:lang w:val="es-ES"/>
        </w:rPr>
        <w:t xml:space="preserve">Durante el ejercicio fiscal cortado al </w:t>
      </w:r>
      <w:r w:rsidR="00D678AD">
        <w:rPr>
          <w:lang w:val="es-ES"/>
        </w:rPr>
        <w:t>29</w:t>
      </w:r>
      <w:r w:rsidRPr="00C14D91">
        <w:rPr>
          <w:lang w:val="es-ES"/>
        </w:rPr>
        <w:t xml:space="preserve"> de Noviembre del 201</w:t>
      </w:r>
      <w:r w:rsidR="00D678AD" w:rsidRPr="00D678AD">
        <w:rPr>
          <w:lang w:val="es-ES"/>
        </w:rPr>
        <w:t>9</w:t>
      </w:r>
      <w:r w:rsidRPr="00C14D91">
        <w:rPr>
          <w:lang w:val="es-ES"/>
        </w:rPr>
        <w:t xml:space="preserve">, la institución recibió recursos de captación directa por los diferentes servicios la suma total de RD$3, </w:t>
      </w:r>
      <w:r w:rsidR="00D678AD" w:rsidRPr="00D678AD">
        <w:rPr>
          <w:lang w:val="es-ES"/>
        </w:rPr>
        <w:t>530</w:t>
      </w:r>
      <w:r w:rsidRPr="00C14D91">
        <w:rPr>
          <w:lang w:val="es-ES"/>
        </w:rPr>
        <w:t>,</w:t>
      </w:r>
      <w:r w:rsidR="00D678AD" w:rsidRPr="00D678AD">
        <w:rPr>
          <w:lang w:val="es-ES"/>
        </w:rPr>
        <w:t>979</w:t>
      </w:r>
      <w:r w:rsidRPr="00C14D91">
        <w:rPr>
          <w:lang w:val="es-ES"/>
        </w:rPr>
        <w:t>.00, donde las partidas que representan mayor volumen de ingresos, están representada por la revisión de los puntos de conexión, con un 4</w:t>
      </w:r>
      <w:r w:rsidR="00D678AD" w:rsidRPr="00D678AD">
        <w:rPr>
          <w:lang w:val="es-ES"/>
        </w:rPr>
        <w:t>4</w:t>
      </w:r>
      <w:r w:rsidRPr="00C14D91">
        <w:rPr>
          <w:lang w:val="es-ES"/>
        </w:rPr>
        <w:t>.</w:t>
      </w:r>
      <w:r w:rsidR="00D678AD" w:rsidRPr="00D678AD">
        <w:rPr>
          <w:lang w:val="es-ES"/>
        </w:rPr>
        <w:t>84</w:t>
      </w:r>
      <w:r w:rsidRPr="00C14D91">
        <w:rPr>
          <w:lang w:val="es-ES"/>
        </w:rPr>
        <w:t xml:space="preserve">%, </w:t>
      </w:r>
      <w:r w:rsidR="00D678AD" w:rsidRPr="00D678AD">
        <w:rPr>
          <w:lang w:val="es-ES"/>
        </w:rPr>
        <w:t xml:space="preserve">luego las solicitudes de concesiones mineras de exploración metálicas, </w:t>
      </w:r>
      <w:r w:rsidRPr="00C14D91">
        <w:rPr>
          <w:lang w:val="es-ES"/>
        </w:rPr>
        <w:t xml:space="preserve">con un </w:t>
      </w:r>
      <w:r w:rsidR="00D678AD" w:rsidRPr="00D678AD">
        <w:rPr>
          <w:lang w:val="es-ES"/>
        </w:rPr>
        <w:t>18.05</w:t>
      </w:r>
      <w:r w:rsidRPr="00C14D91">
        <w:rPr>
          <w:lang w:val="es-ES"/>
        </w:rPr>
        <w:t xml:space="preserve">%, </w:t>
      </w:r>
      <w:r w:rsidR="00D678AD" w:rsidRPr="00D678AD">
        <w:rPr>
          <w:lang w:val="es-ES"/>
        </w:rPr>
        <w:t xml:space="preserve">las solicitudes de concesiones de exploración mineras no metálicas, </w:t>
      </w:r>
      <w:r w:rsidR="00D678AD" w:rsidRPr="00C14D91">
        <w:rPr>
          <w:lang w:val="es-ES"/>
        </w:rPr>
        <w:t xml:space="preserve">con un </w:t>
      </w:r>
      <w:r w:rsidR="00D678AD" w:rsidRPr="00D678AD">
        <w:rPr>
          <w:lang w:val="es-ES"/>
        </w:rPr>
        <w:t>10.51</w:t>
      </w:r>
      <w:r w:rsidR="00D678AD" w:rsidRPr="00C14D91">
        <w:rPr>
          <w:lang w:val="es-ES"/>
        </w:rPr>
        <w:t xml:space="preserve">%, </w:t>
      </w:r>
      <w:r w:rsidR="00D678AD" w:rsidRPr="00D678AD">
        <w:rPr>
          <w:lang w:val="es-ES"/>
        </w:rPr>
        <w:t xml:space="preserve">el registro de derechos mineros con un 8.65%, </w:t>
      </w:r>
      <w:r w:rsidRPr="00C14D91">
        <w:rPr>
          <w:lang w:val="es-ES"/>
        </w:rPr>
        <w:t xml:space="preserve">la publicación de extractos de periódicos de las solicitudes de concesiones mineras con un </w:t>
      </w:r>
      <w:r w:rsidR="00D678AD" w:rsidRPr="00D678AD">
        <w:rPr>
          <w:lang w:val="es-ES"/>
        </w:rPr>
        <w:t>7</w:t>
      </w:r>
      <w:r w:rsidRPr="00C14D91">
        <w:rPr>
          <w:lang w:val="es-ES"/>
        </w:rPr>
        <w:t>.6</w:t>
      </w:r>
      <w:r w:rsidR="00D678AD" w:rsidRPr="00D678AD">
        <w:rPr>
          <w:lang w:val="es-ES"/>
        </w:rPr>
        <w:t>1</w:t>
      </w:r>
      <w:r w:rsidRPr="00C14D91">
        <w:rPr>
          <w:lang w:val="es-ES"/>
        </w:rPr>
        <w:t xml:space="preserve">% y las </w:t>
      </w:r>
      <w:r w:rsidR="00D678AD" w:rsidRPr="00D678AD">
        <w:rPr>
          <w:lang w:val="es-ES"/>
        </w:rPr>
        <w:t>solicitudes de concesiones de explotación no metálicas</w:t>
      </w:r>
      <w:r w:rsidRPr="00C14D91">
        <w:rPr>
          <w:lang w:val="es-ES"/>
        </w:rPr>
        <w:t xml:space="preserve"> mineras con un </w:t>
      </w:r>
      <w:r w:rsidR="00D678AD" w:rsidRPr="00D678AD">
        <w:rPr>
          <w:lang w:val="es-ES"/>
        </w:rPr>
        <w:t>4</w:t>
      </w:r>
      <w:r w:rsidRPr="00C14D91">
        <w:rPr>
          <w:lang w:val="es-ES"/>
        </w:rPr>
        <w:t>.</w:t>
      </w:r>
      <w:r w:rsidR="00D678AD" w:rsidRPr="00D678AD">
        <w:rPr>
          <w:lang w:val="es-ES"/>
        </w:rPr>
        <w:t>5</w:t>
      </w:r>
      <w:r w:rsidRPr="00C14D91">
        <w:rPr>
          <w:lang w:val="es-ES"/>
        </w:rPr>
        <w:t>%.</w:t>
      </w:r>
    </w:p>
    <w:p w14:paraId="7A47004B" w14:textId="2010DF28" w:rsidR="000051DD" w:rsidRPr="00E406B4" w:rsidRDefault="00C25CE1" w:rsidP="00743062">
      <w:pPr>
        <w:rPr>
          <w:highlight w:val="green"/>
          <w:lang w:val="es-ES"/>
        </w:rPr>
      </w:pPr>
      <w:r w:rsidRPr="00C25CE1">
        <w:rPr>
          <w:noProof/>
          <w:lang w:val="en-US"/>
        </w:rPr>
        <w:lastRenderedPageBreak/>
        <w:drawing>
          <wp:inline distT="0" distB="0" distL="0" distR="0" wp14:anchorId="424DB83B" wp14:editId="07D2FC03">
            <wp:extent cx="6308070" cy="3679634"/>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37274" cy="3696669"/>
                    </a:xfrm>
                    <a:prstGeom prst="rect">
                      <a:avLst/>
                    </a:prstGeom>
                  </pic:spPr>
                </pic:pic>
              </a:graphicData>
            </a:graphic>
          </wp:inline>
        </w:drawing>
      </w:r>
    </w:p>
    <w:p w14:paraId="72B79E29" w14:textId="77777777" w:rsidR="008F6981" w:rsidRPr="00E406B4" w:rsidRDefault="008F6981" w:rsidP="00743062">
      <w:pPr>
        <w:rPr>
          <w:highlight w:val="green"/>
          <w:lang w:val="es-ES"/>
        </w:rPr>
      </w:pPr>
    </w:p>
    <w:p w14:paraId="4E5590BD" w14:textId="09F8B9A4" w:rsidR="00743062" w:rsidRPr="00C14D91" w:rsidRDefault="00743062" w:rsidP="00743062">
      <w:pPr>
        <w:pStyle w:val="Ttulo2"/>
        <w:numPr>
          <w:ilvl w:val="0"/>
          <w:numId w:val="49"/>
        </w:numPr>
        <w:rPr>
          <w:b/>
          <w:lang w:val="es-ES"/>
        </w:rPr>
      </w:pPr>
      <w:bookmarkStart w:id="511" w:name="_Toc29406189"/>
      <w:r w:rsidRPr="00C14D91">
        <w:rPr>
          <w:b/>
          <w:lang w:val="es-ES"/>
        </w:rPr>
        <w:t>Contrataciones y Adquisiciones</w:t>
      </w:r>
      <w:bookmarkEnd w:id="511"/>
    </w:p>
    <w:p w14:paraId="7D79A5FC" w14:textId="77777777" w:rsidR="00743062" w:rsidRPr="00C14D91" w:rsidRDefault="00743062" w:rsidP="00E059B5">
      <w:pPr>
        <w:pStyle w:val="Ttulo4"/>
        <w:rPr>
          <w:b/>
          <w:lang w:val="es-ES"/>
        </w:rPr>
      </w:pPr>
    </w:p>
    <w:p w14:paraId="098733D1" w14:textId="73B5B1ED" w:rsidR="007A6E90" w:rsidRPr="00C14D91" w:rsidRDefault="007A6E90" w:rsidP="00770825">
      <w:pPr>
        <w:spacing w:line="480" w:lineRule="auto"/>
        <w:jc w:val="both"/>
        <w:rPr>
          <w:lang w:val="es-ES"/>
        </w:rPr>
      </w:pPr>
      <w:r w:rsidRPr="00770825">
        <w:rPr>
          <w:lang w:val="es-ES"/>
        </w:rPr>
        <w:t>Durante el ejercicio fiscal 201</w:t>
      </w:r>
      <w:r w:rsidR="00770825">
        <w:rPr>
          <w:lang w:val="es-ES"/>
        </w:rPr>
        <w:t>9</w:t>
      </w:r>
      <w:r w:rsidRPr="00C14D91">
        <w:rPr>
          <w:lang w:val="es-ES"/>
        </w:rPr>
        <w:t xml:space="preserve">, en el periodo </w:t>
      </w:r>
      <w:r w:rsidR="004D318D" w:rsidRPr="00C14D91">
        <w:rPr>
          <w:lang w:val="es-ES"/>
        </w:rPr>
        <w:t>enero</w:t>
      </w:r>
      <w:r w:rsidRPr="00C14D91">
        <w:rPr>
          <w:lang w:val="es-ES"/>
        </w:rPr>
        <w:t xml:space="preserve"> – </w:t>
      </w:r>
      <w:r w:rsidR="004D318D" w:rsidRPr="00770825">
        <w:rPr>
          <w:lang w:val="es-ES"/>
        </w:rPr>
        <w:t>noviembre</w:t>
      </w:r>
      <w:r w:rsidRPr="00770825">
        <w:rPr>
          <w:lang w:val="es-ES"/>
        </w:rPr>
        <w:t xml:space="preserve">, la Dirección General de Minería, ha realizado </w:t>
      </w:r>
      <w:r w:rsidR="00770825">
        <w:rPr>
          <w:lang w:val="es-ES"/>
        </w:rPr>
        <w:t xml:space="preserve">las </w:t>
      </w:r>
      <w:r w:rsidRPr="00C14D91">
        <w:rPr>
          <w:lang w:val="es-ES"/>
        </w:rPr>
        <w:t xml:space="preserve">compras y contrataciones de acuerdo al tipo de procedimiento </w:t>
      </w:r>
      <w:r w:rsidR="00770825">
        <w:rPr>
          <w:lang w:val="es-ES"/>
        </w:rPr>
        <w:t xml:space="preserve">según el Plan Anual de Compras registrado. </w:t>
      </w:r>
      <w:r w:rsidRPr="00C14D91">
        <w:rPr>
          <w:lang w:val="es-ES"/>
        </w:rPr>
        <w:t xml:space="preserve"> </w:t>
      </w:r>
    </w:p>
    <w:p w14:paraId="3EE1A038" w14:textId="77777777" w:rsidR="00743062" w:rsidRPr="00E406B4" w:rsidRDefault="00743062" w:rsidP="00E406B4">
      <w:pPr>
        <w:pStyle w:val="Ttulo4"/>
        <w:spacing w:before="0"/>
        <w:rPr>
          <w:b/>
          <w:highlight w:val="green"/>
          <w:lang w:val="es-ES"/>
        </w:rPr>
      </w:pPr>
    </w:p>
    <w:p w14:paraId="5BF60F96" w14:textId="04EEB5A1" w:rsidR="00747DE2" w:rsidRPr="00C14D91" w:rsidRDefault="00747DE2" w:rsidP="00E059B5">
      <w:pPr>
        <w:pStyle w:val="Ttulo4"/>
        <w:rPr>
          <w:b/>
          <w:lang w:val="es-ES"/>
        </w:rPr>
      </w:pPr>
      <w:r w:rsidRPr="00C14D91">
        <w:rPr>
          <w:b/>
          <w:lang w:val="es-ES"/>
        </w:rPr>
        <w:t>Normas de Control Interno (NCI)</w:t>
      </w:r>
    </w:p>
    <w:p w14:paraId="09C0D2A6" w14:textId="77777777" w:rsidR="00E059B5" w:rsidRPr="00C14D91" w:rsidRDefault="00E059B5" w:rsidP="00E059B5">
      <w:pPr>
        <w:rPr>
          <w:lang w:val="es-ES"/>
        </w:rPr>
      </w:pPr>
    </w:p>
    <w:p w14:paraId="455DE606" w14:textId="60810EC0" w:rsidR="001D5304" w:rsidRPr="00C14D91" w:rsidRDefault="001D5304" w:rsidP="001D5304">
      <w:pPr>
        <w:spacing w:line="480" w:lineRule="auto"/>
        <w:jc w:val="both"/>
      </w:pPr>
      <w:r w:rsidRPr="00C14D91">
        <w:t>Las Normas de Control Interno contribuyen a la eficiencia operativa de las instituciones, las mismas han</w:t>
      </w:r>
      <w:r w:rsidRPr="00227F73">
        <w:t xml:space="preserve"> sido emitidas por la Contraloría</w:t>
      </w:r>
      <w:r w:rsidR="00227F73" w:rsidRPr="00227F73">
        <w:t xml:space="preserve"> General de La Republica (CGR) </w:t>
      </w:r>
      <w:r w:rsidRPr="00C14D91">
        <w:t>y están basadas en las mejores prácticas internacionales de control interno, siendo la República Dominicana uno de los primeros países de Latinoamérica en trabajar con normas basadas en COSO 2013.</w:t>
      </w:r>
    </w:p>
    <w:p w14:paraId="28C4CFFD" w14:textId="77777777" w:rsidR="009972E6" w:rsidRPr="00227F73" w:rsidRDefault="009972E6" w:rsidP="00E406B4">
      <w:pPr>
        <w:spacing w:line="360" w:lineRule="auto"/>
        <w:jc w:val="both"/>
      </w:pPr>
    </w:p>
    <w:p w14:paraId="3E4E451A" w14:textId="77777777" w:rsidR="001D5304" w:rsidRPr="00227F73" w:rsidRDefault="001D5304" w:rsidP="001D5304">
      <w:pPr>
        <w:spacing w:line="480" w:lineRule="auto"/>
        <w:jc w:val="both"/>
      </w:pPr>
      <w:r w:rsidRPr="00227F73">
        <w:t>La Dirección General de Minería, con las NIC, ha logrado tener aportes significativos en cuanto a los lineamientos que dichas normas establecen, las cuales con su aplicación permiten llegar a la eficiencia operativa con transparencia, además de estandarizar el control interno en el Estado Dominicano.</w:t>
      </w:r>
    </w:p>
    <w:p w14:paraId="1CE946D0" w14:textId="599A3DF5" w:rsidR="001D5304" w:rsidRPr="00227F73" w:rsidRDefault="001D5304" w:rsidP="001D5304">
      <w:pPr>
        <w:spacing w:line="480" w:lineRule="auto"/>
        <w:jc w:val="both"/>
      </w:pPr>
      <w:r w:rsidRPr="00227F73">
        <w:t xml:space="preserve">Con su implementación, hemos pasado a una </w:t>
      </w:r>
      <w:r w:rsidR="009972E6" w:rsidRPr="00227F73">
        <w:t>cultura de</w:t>
      </w:r>
      <w:r w:rsidRPr="00227F73">
        <w:t xml:space="preserve"> control interno y gestión de riesgos, en procura de estandarizar los sistemas de administración y control de la gestión gubernamental, transparencia y rendición de cuentas.</w:t>
      </w:r>
      <w:r w:rsidR="005B16A3" w:rsidRPr="00227F73">
        <w:t xml:space="preserve"> </w:t>
      </w:r>
      <w:r w:rsidRPr="00227F73">
        <w:t xml:space="preserve">Otro de los </w:t>
      </w:r>
      <w:r w:rsidR="009972E6" w:rsidRPr="00227F73">
        <w:t>beneficios que</w:t>
      </w:r>
      <w:r w:rsidRPr="00227F73">
        <w:t xml:space="preserve"> han aportado las Normas de Control Interno (NCI)</w:t>
      </w:r>
      <w:r w:rsidR="009972E6" w:rsidRPr="00227F73">
        <w:t xml:space="preserve">, </w:t>
      </w:r>
      <w:r w:rsidRPr="00227F73">
        <w:t xml:space="preserve">es que han </w:t>
      </w:r>
      <w:r w:rsidR="009972E6" w:rsidRPr="00227F73">
        <w:t>promovido la</w:t>
      </w:r>
      <w:r w:rsidRPr="00227F73">
        <w:t xml:space="preserve"> calidad del gasto</w:t>
      </w:r>
      <w:r w:rsidR="00F162F2" w:rsidRPr="00227F73">
        <w:t xml:space="preserve">. Con la implementación de estas normas hemos logrado tener </w:t>
      </w:r>
      <w:r w:rsidRPr="00227F73">
        <w:t>herramienta</w:t>
      </w:r>
      <w:r w:rsidR="00F162F2" w:rsidRPr="00227F73">
        <w:t>s</w:t>
      </w:r>
      <w:r w:rsidRPr="00227F73">
        <w:t xml:space="preserve"> efectiva</w:t>
      </w:r>
      <w:r w:rsidR="00F162F2" w:rsidRPr="00227F73">
        <w:t>s</w:t>
      </w:r>
      <w:r w:rsidRPr="00227F73">
        <w:t xml:space="preserve"> de </w:t>
      </w:r>
      <w:r w:rsidR="00F162F2" w:rsidRPr="00227F73">
        <w:t>los co</w:t>
      </w:r>
      <w:r w:rsidRPr="00227F73">
        <w:t>mponentes</w:t>
      </w:r>
      <w:r w:rsidR="00F162F2" w:rsidRPr="00227F73">
        <w:t xml:space="preserve"> siguientes</w:t>
      </w:r>
      <w:r w:rsidR="009972E6" w:rsidRPr="00227F73">
        <w:t>; ambiente</w:t>
      </w:r>
      <w:r w:rsidRPr="00227F73">
        <w:t xml:space="preserve"> de Control, administración de riesgos, información, comunicación y monitoreo.</w:t>
      </w:r>
    </w:p>
    <w:p w14:paraId="37A093EE" w14:textId="77777777" w:rsidR="005B16A3" w:rsidRPr="00E406B4" w:rsidRDefault="005B16A3" w:rsidP="00E406B4">
      <w:pPr>
        <w:jc w:val="both"/>
        <w:rPr>
          <w:highlight w:val="green"/>
        </w:rPr>
      </w:pPr>
    </w:p>
    <w:p w14:paraId="3C4E6192" w14:textId="170FBE58" w:rsidR="001D5304" w:rsidRPr="00227F73" w:rsidRDefault="00F162F2" w:rsidP="001D5304">
      <w:pPr>
        <w:spacing w:line="480" w:lineRule="auto"/>
        <w:jc w:val="both"/>
      </w:pPr>
      <w:r w:rsidRPr="00C14D91">
        <w:t>Al cierre del ejercicio fiscal 201</w:t>
      </w:r>
      <w:r w:rsidR="00227F73" w:rsidRPr="00227F73">
        <w:t>9</w:t>
      </w:r>
      <w:r w:rsidRPr="00C14D91">
        <w:t xml:space="preserve">, la Dirección General de Minería, se encuentra en un cumplimiento de un 100%, en cuanto a los requerimientos establecidos por las normas de control interno (NIC), el cual es monitoreado y supervisado por las unidades de auditoria interna de la Contraloría General de </w:t>
      </w:r>
      <w:r w:rsidR="009972E6" w:rsidRPr="00227F73">
        <w:t xml:space="preserve">la </w:t>
      </w:r>
      <w:r w:rsidRPr="00227F73">
        <w:t>Republica, como organismo Rector</w:t>
      </w:r>
      <w:r w:rsidR="001D5304" w:rsidRPr="00227F73">
        <w:t>.</w:t>
      </w:r>
    </w:p>
    <w:p w14:paraId="2601E6DF" w14:textId="77777777" w:rsidR="001D6FFB" w:rsidRPr="00E406B4" w:rsidRDefault="001D6FFB" w:rsidP="00E406B4">
      <w:pPr>
        <w:jc w:val="both"/>
        <w:rPr>
          <w:highlight w:val="green"/>
        </w:rPr>
      </w:pPr>
    </w:p>
    <w:p w14:paraId="3202C1C5" w14:textId="77777777" w:rsidR="001D5304" w:rsidRDefault="00CC7858" w:rsidP="001D5304">
      <w:pPr>
        <w:spacing w:line="480" w:lineRule="auto"/>
        <w:jc w:val="both"/>
      </w:pPr>
      <w:r w:rsidRPr="00C14D91">
        <w:t xml:space="preserve">La unidad responsable de dar seguimiento dentro de la Contraloría General de La Republica (CGR), es </w:t>
      </w:r>
      <w:r w:rsidR="001D5304" w:rsidRPr="00C14D91">
        <w:t>la Dirección de Desarrollo Normativo de la Contraloría</w:t>
      </w:r>
      <w:r w:rsidRPr="00227F73">
        <w:t>, quienes</w:t>
      </w:r>
      <w:r w:rsidR="001D5304" w:rsidRPr="00227F73">
        <w:t xml:space="preserve"> verifican que el Plan estratégico de </w:t>
      </w:r>
      <w:r w:rsidRPr="00227F73">
        <w:t xml:space="preserve">la Dirección General de Minería, </w:t>
      </w:r>
      <w:r w:rsidR="001D5304" w:rsidRPr="00227F73">
        <w:t>esté conectado con la Estrategia Nacional de Desarrollo, con su Plan Operativo Anual y éste al Plan de Compras.</w:t>
      </w:r>
    </w:p>
    <w:p w14:paraId="543C707A" w14:textId="77777777" w:rsidR="00C14D91" w:rsidRPr="001D5304" w:rsidRDefault="00C14D91" w:rsidP="001D5304">
      <w:pPr>
        <w:spacing w:line="480" w:lineRule="auto"/>
        <w:jc w:val="both"/>
      </w:pPr>
    </w:p>
    <w:p w14:paraId="6EAF8A2E" w14:textId="51332D2B" w:rsidR="00747DE2" w:rsidRPr="00C14D91" w:rsidRDefault="00747DE2" w:rsidP="00743062">
      <w:pPr>
        <w:pStyle w:val="Ttulo1"/>
        <w:numPr>
          <w:ilvl w:val="0"/>
          <w:numId w:val="42"/>
        </w:numPr>
        <w:rPr>
          <w:b/>
        </w:rPr>
      </w:pPr>
      <w:bookmarkStart w:id="512" w:name="_Toc881915"/>
      <w:bookmarkStart w:id="513" w:name="_Toc962022"/>
      <w:bookmarkStart w:id="514" w:name="_Toc29405531"/>
      <w:bookmarkStart w:id="515" w:name="_Toc29405919"/>
      <w:bookmarkStart w:id="516" w:name="_Toc29406190"/>
      <w:bookmarkStart w:id="517" w:name="_Toc881916"/>
      <w:bookmarkStart w:id="518" w:name="_Toc962023"/>
      <w:bookmarkStart w:id="519" w:name="_Toc29405532"/>
      <w:bookmarkStart w:id="520" w:name="_Toc29405920"/>
      <w:bookmarkStart w:id="521" w:name="_Toc29406191"/>
      <w:bookmarkStart w:id="522" w:name="_Toc534151914"/>
      <w:bookmarkStart w:id="523" w:name="_Toc534152046"/>
      <w:bookmarkStart w:id="524" w:name="_Toc534152171"/>
      <w:bookmarkStart w:id="525" w:name="_Toc534152243"/>
      <w:bookmarkStart w:id="526" w:name="_Toc534152315"/>
      <w:bookmarkStart w:id="527" w:name="_Toc534152387"/>
      <w:bookmarkStart w:id="528" w:name="_Toc534152459"/>
      <w:bookmarkStart w:id="529" w:name="_Toc534152788"/>
      <w:bookmarkStart w:id="530" w:name="_Toc434013"/>
      <w:bookmarkStart w:id="531" w:name="_Toc881917"/>
      <w:bookmarkStart w:id="532" w:name="_Toc962024"/>
      <w:bookmarkStart w:id="533" w:name="_Toc29405533"/>
      <w:bookmarkStart w:id="534" w:name="_Toc29405921"/>
      <w:bookmarkStart w:id="535" w:name="_Toc29406192"/>
      <w:bookmarkStart w:id="536" w:name="_Toc534151915"/>
      <w:bookmarkStart w:id="537" w:name="_Toc534152047"/>
      <w:bookmarkStart w:id="538" w:name="_Toc534152172"/>
      <w:bookmarkStart w:id="539" w:name="_Toc534152244"/>
      <w:bookmarkStart w:id="540" w:name="_Toc534152316"/>
      <w:bookmarkStart w:id="541" w:name="_Toc534152388"/>
      <w:bookmarkStart w:id="542" w:name="_Toc534152460"/>
      <w:bookmarkStart w:id="543" w:name="_Toc534152789"/>
      <w:bookmarkStart w:id="544" w:name="_Toc434014"/>
      <w:bookmarkStart w:id="545" w:name="_Toc881918"/>
      <w:bookmarkStart w:id="546" w:name="_Toc962025"/>
      <w:bookmarkStart w:id="547" w:name="_Toc29405534"/>
      <w:bookmarkStart w:id="548" w:name="_Toc29405922"/>
      <w:bookmarkStart w:id="549" w:name="_Toc29406193"/>
      <w:bookmarkStart w:id="550" w:name="_Toc534151916"/>
      <w:bookmarkStart w:id="551" w:name="_Toc534152048"/>
      <w:bookmarkStart w:id="552" w:name="_Toc534152173"/>
      <w:bookmarkStart w:id="553" w:name="_Toc534152245"/>
      <w:bookmarkStart w:id="554" w:name="_Toc534152317"/>
      <w:bookmarkStart w:id="555" w:name="_Toc534152389"/>
      <w:bookmarkStart w:id="556" w:name="_Toc534152461"/>
      <w:bookmarkStart w:id="557" w:name="_Toc534152790"/>
      <w:bookmarkStart w:id="558" w:name="_Toc434015"/>
      <w:bookmarkStart w:id="559" w:name="_Toc881919"/>
      <w:bookmarkStart w:id="560" w:name="_Toc962026"/>
      <w:bookmarkStart w:id="561" w:name="_Toc29405535"/>
      <w:bookmarkStart w:id="562" w:name="_Toc29405923"/>
      <w:bookmarkStart w:id="563" w:name="_Toc29406194"/>
      <w:bookmarkStart w:id="564" w:name="_Toc534151917"/>
      <w:bookmarkStart w:id="565" w:name="_Toc534152049"/>
      <w:bookmarkStart w:id="566" w:name="_Toc534152174"/>
      <w:bookmarkStart w:id="567" w:name="_Toc534152246"/>
      <w:bookmarkStart w:id="568" w:name="_Toc534152318"/>
      <w:bookmarkStart w:id="569" w:name="_Toc534152390"/>
      <w:bookmarkStart w:id="570" w:name="_Toc534152462"/>
      <w:bookmarkStart w:id="571" w:name="_Toc534152791"/>
      <w:bookmarkStart w:id="572" w:name="_Toc434016"/>
      <w:bookmarkStart w:id="573" w:name="_Toc881920"/>
      <w:bookmarkStart w:id="574" w:name="_Toc962027"/>
      <w:bookmarkStart w:id="575" w:name="_Toc29405536"/>
      <w:bookmarkStart w:id="576" w:name="_Toc29405924"/>
      <w:bookmarkStart w:id="577" w:name="_Toc29406195"/>
      <w:bookmarkStart w:id="578" w:name="_Toc534151918"/>
      <w:bookmarkStart w:id="579" w:name="_Toc534152050"/>
      <w:bookmarkStart w:id="580" w:name="_Toc534152175"/>
      <w:bookmarkStart w:id="581" w:name="_Toc534152247"/>
      <w:bookmarkStart w:id="582" w:name="_Toc534152319"/>
      <w:bookmarkStart w:id="583" w:name="_Toc534152391"/>
      <w:bookmarkStart w:id="584" w:name="_Toc534152463"/>
      <w:bookmarkStart w:id="585" w:name="_Toc534152792"/>
      <w:bookmarkStart w:id="586" w:name="_Toc434017"/>
      <w:bookmarkStart w:id="587" w:name="_Toc881921"/>
      <w:bookmarkStart w:id="588" w:name="_Toc962028"/>
      <w:bookmarkStart w:id="589" w:name="_Toc29405537"/>
      <w:bookmarkStart w:id="590" w:name="_Toc29405925"/>
      <w:bookmarkStart w:id="591" w:name="_Toc29406196"/>
      <w:bookmarkStart w:id="592" w:name="_Toc534151919"/>
      <w:bookmarkStart w:id="593" w:name="_Toc534152051"/>
      <w:bookmarkStart w:id="594" w:name="_Toc534152176"/>
      <w:bookmarkStart w:id="595" w:name="_Toc534152248"/>
      <w:bookmarkStart w:id="596" w:name="_Toc534152320"/>
      <w:bookmarkStart w:id="597" w:name="_Toc534152392"/>
      <w:bookmarkStart w:id="598" w:name="_Toc534152464"/>
      <w:bookmarkStart w:id="599" w:name="_Toc534152793"/>
      <w:bookmarkStart w:id="600" w:name="_Toc434018"/>
      <w:bookmarkStart w:id="601" w:name="_Toc881922"/>
      <w:bookmarkStart w:id="602" w:name="_Toc962029"/>
      <w:bookmarkStart w:id="603" w:name="_Toc29405538"/>
      <w:bookmarkStart w:id="604" w:name="_Toc29405926"/>
      <w:bookmarkStart w:id="605" w:name="_Toc29406197"/>
      <w:bookmarkStart w:id="606" w:name="_Toc534151920"/>
      <w:bookmarkStart w:id="607" w:name="_Toc534152052"/>
      <w:bookmarkStart w:id="608" w:name="_Toc534152177"/>
      <w:bookmarkStart w:id="609" w:name="_Toc534152249"/>
      <w:bookmarkStart w:id="610" w:name="_Toc534152321"/>
      <w:bookmarkStart w:id="611" w:name="_Toc534152393"/>
      <w:bookmarkStart w:id="612" w:name="_Toc534152465"/>
      <w:bookmarkStart w:id="613" w:name="_Toc534152794"/>
      <w:bookmarkStart w:id="614" w:name="_Toc434019"/>
      <w:bookmarkStart w:id="615" w:name="_Toc881923"/>
      <w:bookmarkStart w:id="616" w:name="_Toc962030"/>
      <w:bookmarkStart w:id="617" w:name="_Toc29405539"/>
      <w:bookmarkStart w:id="618" w:name="_Toc29405927"/>
      <w:bookmarkStart w:id="619" w:name="_Toc29406198"/>
      <w:bookmarkStart w:id="620" w:name="_Toc534151921"/>
      <w:bookmarkStart w:id="621" w:name="_Toc534152053"/>
      <w:bookmarkStart w:id="622" w:name="_Toc534152178"/>
      <w:bookmarkStart w:id="623" w:name="_Toc534152250"/>
      <w:bookmarkStart w:id="624" w:name="_Toc534152322"/>
      <w:bookmarkStart w:id="625" w:name="_Toc534152394"/>
      <w:bookmarkStart w:id="626" w:name="_Toc534152466"/>
      <w:bookmarkStart w:id="627" w:name="_Toc534152795"/>
      <w:bookmarkStart w:id="628" w:name="_Toc434020"/>
      <w:bookmarkStart w:id="629" w:name="_Toc881924"/>
      <w:bookmarkStart w:id="630" w:name="_Toc962031"/>
      <w:bookmarkStart w:id="631" w:name="_Toc29405540"/>
      <w:bookmarkStart w:id="632" w:name="_Toc29405928"/>
      <w:bookmarkStart w:id="633" w:name="_Toc29406199"/>
      <w:bookmarkStart w:id="634" w:name="_Toc534151922"/>
      <w:bookmarkStart w:id="635" w:name="_Toc534152054"/>
      <w:bookmarkStart w:id="636" w:name="_Toc534152179"/>
      <w:bookmarkStart w:id="637" w:name="_Toc534152251"/>
      <w:bookmarkStart w:id="638" w:name="_Toc534152323"/>
      <w:bookmarkStart w:id="639" w:name="_Toc534152395"/>
      <w:bookmarkStart w:id="640" w:name="_Toc534152467"/>
      <w:bookmarkStart w:id="641" w:name="_Toc534152796"/>
      <w:bookmarkStart w:id="642" w:name="_Toc434021"/>
      <w:bookmarkStart w:id="643" w:name="_Toc881925"/>
      <w:bookmarkStart w:id="644" w:name="_Toc962032"/>
      <w:bookmarkStart w:id="645" w:name="_Toc29405541"/>
      <w:bookmarkStart w:id="646" w:name="_Toc29405929"/>
      <w:bookmarkStart w:id="647" w:name="_Toc29406200"/>
      <w:bookmarkStart w:id="648" w:name="_Toc534151923"/>
      <w:bookmarkStart w:id="649" w:name="_Toc534152055"/>
      <w:bookmarkStart w:id="650" w:name="_Toc534152180"/>
      <w:bookmarkStart w:id="651" w:name="_Toc534152252"/>
      <w:bookmarkStart w:id="652" w:name="_Toc534152324"/>
      <w:bookmarkStart w:id="653" w:name="_Toc534152396"/>
      <w:bookmarkStart w:id="654" w:name="_Toc534152468"/>
      <w:bookmarkStart w:id="655" w:name="_Toc534152797"/>
      <w:bookmarkStart w:id="656" w:name="_Toc434022"/>
      <w:bookmarkStart w:id="657" w:name="_Toc881926"/>
      <w:bookmarkStart w:id="658" w:name="_Toc962033"/>
      <w:bookmarkStart w:id="659" w:name="_Toc29405542"/>
      <w:bookmarkStart w:id="660" w:name="_Toc29405930"/>
      <w:bookmarkStart w:id="661" w:name="_Toc29406201"/>
      <w:bookmarkStart w:id="662" w:name="_Toc29406202"/>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C14D91">
        <w:rPr>
          <w:b/>
        </w:rPr>
        <w:lastRenderedPageBreak/>
        <w:t>Reconocimientos</w:t>
      </w:r>
      <w:bookmarkEnd w:id="662"/>
    </w:p>
    <w:p w14:paraId="5F54EC3D" w14:textId="77777777" w:rsidR="00B14ABF" w:rsidRPr="00C14D91" w:rsidRDefault="00B14ABF" w:rsidP="00B14ABF">
      <w:pPr>
        <w:rPr>
          <w:lang w:val="es-ES"/>
        </w:rPr>
      </w:pPr>
    </w:p>
    <w:p w14:paraId="57F7BECB" w14:textId="51161438" w:rsidR="00B55DA9" w:rsidRDefault="00F55F98" w:rsidP="009C579C">
      <w:pPr>
        <w:spacing w:line="480" w:lineRule="auto"/>
        <w:jc w:val="both"/>
        <w:rPr>
          <w:lang w:val="es-ES"/>
        </w:rPr>
      </w:pPr>
      <w:r w:rsidRPr="00C14D91">
        <w:rPr>
          <w:lang w:val="es-ES"/>
        </w:rPr>
        <w:t>Durante el ejercicio fiscal 201</w:t>
      </w:r>
      <w:r w:rsidR="00227F73" w:rsidRPr="00227F73">
        <w:rPr>
          <w:lang w:val="es-ES"/>
        </w:rPr>
        <w:t>9</w:t>
      </w:r>
      <w:r w:rsidRPr="00C14D91">
        <w:rPr>
          <w:lang w:val="es-ES"/>
        </w:rPr>
        <w:t>, la institución no recibió ningún tipo de reconocimiento especial por instituciones con calidad de funciones Rectoras u organismos nacionales o internacionales.</w:t>
      </w:r>
    </w:p>
    <w:p w14:paraId="565F5B65" w14:textId="233C7BCE" w:rsidR="00747DE2" w:rsidRPr="00C14D91" w:rsidRDefault="00747DE2" w:rsidP="00743062">
      <w:pPr>
        <w:pStyle w:val="Ttulo1"/>
        <w:numPr>
          <w:ilvl w:val="0"/>
          <w:numId w:val="42"/>
        </w:numPr>
        <w:rPr>
          <w:b/>
        </w:rPr>
      </w:pPr>
      <w:bookmarkStart w:id="663" w:name="_Toc29406203"/>
      <w:r w:rsidRPr="00C14D91">
        <w:rPr>
          <w:b/>
        </w:rPr>
        <w:t xml:space="preserve">Proyecciones al </w:t>
      </w:r>
      <w:r w:rsidR="00305BA4" w:rsidRPr="00C14D91">
        <w:rPr>
          <w:b/>
        </w:rPr>
        <w:t>Próximo</w:t>
      </w:r>
      <w:r w:rsidRPr="00C14D91">
        <w:rPr>
          <w:b/>
        </w:rPr>
        <w:t xml:space="preserve"> Año</w:t>
      </w:r>
      <w:bookmarkEnd w:id="663"/>
    </w:p>
    <w:p w14:paraId="23420FE1" w14:textId="77777777" w:rsidR="00B14ABF" w:rsidRPr="00227F73" w:rsidRDefault="00B14ABF" w:rsidP="00B14ABF">
      <w:pPr>
        <w:rPr>
          <w:lang w:val="es-ES"/>
        </w:rPr>
      </w:pPr>
    </w:p>
    <w:p w14:paraId="3867EA94" w14:textId="65BA594C" w:rsidR="00B55DA9" w:rsidRPr="00227F73" w:rsidRDefault="00B55DA9" w:rsidP="009C579C">
      <w:pPr>
        <w:spacing w:line="480" w:lineRule="auto"/>
        <w:jc w:val="both"/>
        <w:rPr>
          <w:lang w:val="es-ES"/>
        </w:rPr>
      </w:pPr>
      <w:r w:rsidRPr="00227F73">
        <w:rPr>
          <w:lang w:val="es-ES"/>
        </w:rPr>
        <w:t>Dentro de las metas institucionales para el próximo año 201</w:t>
      </w:r>
      <w:r w:rsidR="00E22BA3" w:rsidRPr="00227F73">
        <w:rPr>
          <w:lang w:val="es-ES"/>
        </w:rPr>
        <w:t>9</w:t>
      </w:r>
      <w:r w:rsidRPr="00227F73">
        <w:rPr>
          <w:lang w:val="es-ES"/>
        </w:rPr>
        <w:t>, tenemos impulsar el logro de las actividades programadas, así como completar la implementación de los siguientes proyectos y procesos.</w:t>
      </w:r>
    </w:p>
    <w:p w14:paraId="442BEDA6" w14:textId="77777777" w:rsidR="00E22BA3" w:rsidRPr="00227F73" w:rsidRDefault="00E22BA3" w:rsidP="00E406B4">
      <w:pPr>
        <w:jc w:val="both"/>
        <w:rPr>
          <w:lang w:val="es-ES"/>
        </w:rPr>
      </w:pPr>
    </w:p>
    <w:p w14:paraId="059F0051" w14:textId="3900A27C" w:rsidR="00B55DA9" w:rsidRPr="00C14D91" w:rsidRDefault="00B55DA9" w:rsidP="00B55DA9">
      <w:pPr>
        <w:pStyle w:val="Prrafodelista"/>
        <w:numPr>
          <w:ilvl w:val="0"/>
          <w:numId w:val="32"/>
        </w:numPr>
        <w:spacing w:line="480" w:lineRule="auto"/>
        <w:jc w:val="both"/>
        <w:rPr>
          <w:lang w:val="es-ES"/>
        </w:rPr>
      </w:pPr>
      <w:r w:rsidRPr="00227F73">
        <w:rPr>
          <w:lang w:val="es-ES"/>
        </w:rPr>
        <w:t>Co</w:t>
      </w:r>
      <w:r w:rsidR="00047B8A" w:rsidRPr="00227F73">
        <w:rPr>
          <w:lang w:val="es-ES"/>
        </w:rPr>
        <w:t xml:space="preserve">mpletar las recomendaciones recibidas del Ministerio de </w:t>
      </w:r>
      <w:r w:rsidR="00E22BA3" w:rsidRPr="00227F73">
        <w:rPr>
          <w:lang w:val="es-ES"/>
        </w:rPr>
        <w:t>Administración</w:t>
      </w:r>
      <w:r w:rsidR="00047B8A" w:rsidRPr="00227F73">
        <w:rPr>
          <w:lang w:val="es-ES"/>
        </w:rPr>
        <w:t xml:space="preserve"> Publica, para obtener la resolución aprobatoria </w:t>
      </w:r>
      <w:r w:rsidRPr="00227F73">
        <w:rPr>
          <w:lang w:val="es-ES"/>
        </w:rPr>
        <w:t xml:space="preserve">de la </w:t>
      </w:r>
      <w:r w:rsidRPr="00227F73">
        <w:rPr>
          <w:b/>
          <w:lang w:val="es-ES"/>
        </w:rPr>
        <w:t>“Carta de Compromiso”,</w:t>
      </w:r>
      <w:r w:rsidRPr="00227F73">
        <w:rPr>
          <w:lang w:val="es-ES"/>
        </w:rPr>
        <w:t xml:space="preserve"> al Ciudadano, la cual incluirá los principales servicios que ofrece la Dirección General de Minería</w:t>
      </w:r>
      <w:r w:rsidR="00E22BA3" w:rsidRPr="00227F73">
        <w:rPr>
          <w:lang w:val="es-ES"/>
        </w:rPr>
        <w:t>, durante el primer trimestre del 20</w:t>
      </w:r>
      <w:r w:rsidR="00227F73">
        <w:rPr>
          <w:lang w:val="es-ES"/>
        </w:rPr>
        <w:t>20</w:t>
      </w:r>
      <w:r w:rsidRPr="00C14D91">
        <w:rPr>
          <w:lang w:val="es-ES"/>
        </w:rPr>
        <w:t>.</w:t>
      </w:r>
    </w:p>
    <w:p w14:paraId="2565F89C" w14:textId="73FDDD21" w:rsidR="00E22BA3" w:rsidRPr="00C14D91" w:rsidRDefault="00B55DA9" w:rsidP="00E22BA3">
      <w:pPr>
        <w:pStyle w:val="Prrafodelista"/>
        <w:numPr>
          <w:ilvl w:val="0"/>
          <w:numId w:val="32"/>
        </w:numPr>
        <w:spacing w:line="480" w:lineRule="auto"/>
        <w:jc w:val="both"/>
        <w:rPr>
          <w:lang w:val="es-ES"/>
        </w:rPr>
      </w:pPr>
      <w:r w:rsidRPr="00C14D91">
        <w:rPr>
          <w:lang w:val="es-ES"/>
        </w:rPr>
        <w:t>Terminar la implementación de las Normas Básicas de Control Interno (NOBACI)</w:t>
      </w:r>
      <w:r w:rsidR="00E22BA3" w:rsidRPr="00C14D91">
        <w:rPr>
          <w:lang w:val="es-ES"/>
        </w:rPr>
        <w:t xml:space="preserve">, durante el </w:t>
      </w:r>
      <w:r w:rsidR="00227F73" w:rsidRPr="00227F73">
        <w:rPr>
          <w:lang w:val="es-ES"/>
        </w:rPr>
        <w:t>tercer</w:t>
      </w:r>
      <w:r w:rsidR="00E22BA3" w:rsidRPr="00C14D91">
        <w:rPr>
          <w:lang w:val="es-ES"/>
        </w:rPr>
        <w:t xml:space="preserve"> trimestre del 20</w:t>
      </w:r>
      <w:r w:rsidR="00227F73" w:rsidRPr="00227F73">
        <w:rPr>
          <w:lang w:val="es-ES"/>
        </w:rPr>
        <w:t>20</w:t>
      </w:r>
      <w:r w:rsidR="00E22BA3" w:rsidRPr="00C14D91">
        <w:rPr>
          <w:lang w:val="es-ES"/>
        </w:rPr>
        <w:t>.</w:t>
      </w:r>
    </w:p>
    <w:p w14:paraId="773231BA" w14:textId="77777777" w:rsidR="005B16A3" w:rsidRPr="00C14D91" w:rsidRDefault="005B16A3" w:rsidP="00E406B4">
      <w:pPr>
        <w:ind w:left="360"/>
        <w:jc w:val="both"/>
        <w:rPr>
          <w:lang w:val="es-ES"/>
        </w:rPr>
      </w:pPr>
    </w:p>
    <w:p w14:paraId="71543C21" w14:textId="7F5D1780" w:rsidR="00B55DA9" w:rsidRPr="00227F73" w:rsidRDefault="00047B8A" w:rsidP="00B55DA9">
      <w:pPr>
        <w:pStyle w:val="Prrafodelista"/>
        <w:numPr>
          <w:ilvl w:val="0"/>
          <w:numId w:val="32"/>
        </w:numPr>
        <w:spacing w:line="480" w:lineRule="auto"/>
        <w:jc w:val="both"/>
        <w:rPr>
          <w:lang w:val="es-ES"/>
        </w:rPr>
      </w:pPr>
      <w:r w:rsidRPr="00227F73">
        <w:rPr>
          <w:lang w:val="es-ES"/>
        </w:rPr>
        <w:t>Continu</w:t>
      </w:r>
      <w:r w:rsidR="00B55DA9" w:rsidRPr="00227F73">
        <w:rPr>
          <w:lang w:val="es-ES"/>
        </w:rPr>
        <w:t>ar con el desarrollo y aplicación práctica del programa de revisiones Gerenciales relativas a los indicadores y metas institucionales, así como el nivel de cumplimiento de las metas Presidenciales.</w:t>
      </w:r>
    </w:p>
    <w:p w14:paraId="4793AA7C" w14:textId="18EF3A34" w:rsidR="00B55DA9" w:rsidRPr="00C14D91" w:rsidRDefault="00464E88" w:rsidP="00B55DA9">
      <w:pPr>
        <w:pStyle w:val="Prrafodelista"/>
        <w:numPr>
          <w:ilvl w:val="0"/>
          <w:numId w:val="32"/>
        </w:numPr>
        <w:spacing w:line="480" w:lineRule="auto"/>
        <w:jc w:val="both"/>
        <w:rPr>
          <w:lang w:val="es-ES"/>
        </w:rPr>
      </w:pPr>
      <w:r w:rsidRPr="00227F73">
        <w:rPr>
          <w:lang w:val="es-ES"/>
        </w:rPr>
        <w:t>Aplicar plan y programa de entrenamientos y talleres al personal, en cumplimiento con una matriz de entrenamiento para cada posición o puesto de trabajo</w:t>
      </w:r>
      <w:r w:rsidR="00424BC3" w:rsidRPr="00227F73">
        <w:rPr>
          <w:lang w:val="es-ES"/>
        </w:rPr>
        <w:t>, a ser realizado durante el 20</w:t>
      </w:r>
      <w:r w:rsidR="00227F73" w:rsidRPr="00227F73">
        <w:rPr>
          <w:lang w:val="es-ES"/>
        </w:rPr>
        <w:t>20</w:t>
      </w:r>
      <w:r w:rsidRPr="00C14D91">
        <w:rPr>
          <w:lang w:val="es-ES"/>
        </w:rPr>
        <w:t>.</w:t>
      </w:r>
    </w:p>
    <w:p w14:paraId="2D77451B" w14:textId="77777777" w:rsidR="00464E88" w:rsidRPr="00227F73" w:rsidRDefault="00464E88" w:rsidP="00B55DA9">
      <w:pPr>
        <w:pStyle w:val="Prrafodelista"/>
        <w:numPr>
          <w:ilvl w:val="0"/>
          <w:numId w:val="32"/>
        </w:numPr>
        <w:spacing w:line="480" w:lineRule="auto"/>
        <w:jc w:val="both"/>
        <w:rPr>
          <w:lang w:val="es-ES"/>
        </w:rPr>
      </w:pPr>
      <w:r w:rsidRPr="00C14D91">
        <w:rPr>
          <w:lang w:val="es-ES"/>
        </w:rPr>
        <w:t>Revisar e implementar un plan de entrenamiento cruzado en las diferentes funciones o puestos de trabajo.</w:t>
      </w:r>
    </w:p>
    <w:p w14:paraId="3B4BEEF3" w14:textId="5079C3AC" w:rsidR="00424BC3" w:rsidRPr="00C14D91" w:rsidRDefault="00227F73" w:rsidP="00B55DA9">
      <w:pPr>
        <w:pStyle w:val="Prrafodelista"/>
        <w:numPr>
          <w:ilvl w:val="0"/>
          <w:numId w:val="32"/>
        </w:numPr>
        <w:spacing w:line="480" w:lineRule="auto"/>
        <w:jc w:val="both"/>
        <w:rPr>
          <w:lang w:val="es-ES"/>
        </w:rPr>
      </w:pPr>
      <w:r w:rsidRPr="00227F73">
        <w:rPr>
          <w:lang w:val="es-ES"/>
        </w:rPr>
        <w:lastRenderedPageBreak/>
        <w:t xml:space="preserve">Continuar </w:t>
      </w:r>
      <w:r w:rsidR="00424BC3" w:rsidRPr="00C14D91">
        <w:rPr>
          <w:lang w:val="es-ES"/>
        </w:rPr>
        <w:t>con la reingeniería de los procesos claves, operativos o sustantivos, relativos a los servicio</w:t>
      </w:r>
      <w:r w:rsidR="00424BC3" w:rsidRPr="00227F73">
        <w:rPr>
          <w:lang w:val="es-ES"/>
        </w:rPr>
        <w:t>s que ofrecemos al ciudadano, con el fin de ver las posibilidades de simplificación de trámites</w:t>
      </w:r>
      <w:r w:rsidRPr="00227F73">
        <w:rPr>
          <w:lang w:val="es-ES"/>
        </w:rPr>
        <w:t>, así como completar la revisión de las recomendaciones realizadas por el Ministerio de Administración Publica, en cuanto a los levantamientos realizados a los procesos claves</w:t>
      </w:r>
      <w:r w:rsidR="00424BC3" w:rsidRPr="00C14D91">
        <w:rPr>
          <w:lang w:val="es-ES"/>
        </w:rPr>
        <w:t>.</w:t>
      </w:r>
    </w:p>
    <w:p w14:paraId="53A2D53B" w14:textId="346702D8" w:rsidR="00464E88" w:rsidRPr="00C14D91" w:rsidRDefault="00464E88" w:rsidP="00B55DA9">
      <w:pPr>
        <w:pStyle w:val="Prrafodelista"/>
        <w:numPr>
          <w:ilvl w:val="0"/>
          <w:numId w:val="32"/>
        </w:numPr>
        <w:spacing w:line="480" w:lineRule="auto"/>
        <w:jc w:val="both"/>
        <w:rPr>
          <w:lang w:val="es-ES"/>
        </w:rPr>
      </w:pPr>
      <w:r w:rsidRPr="00C14D91">
        <w:rPr>
          <w:lang w:val="es-ES"/>
        </w:rPr>
        <w:t>Iniciar la logística de implementación de un sistema de Gestión de Calidad, basado en las normas del ISO 9001-2008</w:t>
      </w:r>
      <w:r w:rsidR="00424BC3" w:rsidRPr="00227F73">
        <w:rPr>
          <w:lang w:val="es-ES"/>
        </w:rPr>
        <w:t>, para inicios del tercer trimestre del 20</w:t>
      </w:r>
      <w:r w:rsidR="00227F73" w:rsidRPr="00227F73">
        <w:rPr>
          <w:lang w:val="es-ES"/>
        </w:rPr>
        <w:t>20</w:t>
      </w:r>
      <w:r w:rsidR="00424BC3" w:rsidRPr="00C14D91">
        <w:rPr>
          <w:lang w:val="es-ES"/>
        </w:rPr>
        <w:t>.</w:t>
      </w:r>
    </w:p>
    <w:p w14:paraId="271D8E4B" w14:textId="0E681A11" w:rsidR="009972E6" w:rsidRPr="00227F73" w:rsidRDefault="009972E6" w:rsidP="00B55DA9">
      <w:pPr>
        <w:pStyle w:val="Prrafodelista"/>
        <w:numPr>
          <w:ilvl w:val="0"/>
          <w:numId w:val="32"/>
        </w:numPr>
        <w:spacing w:line="480" w:lineRule="auto"/>
        <w:jc w:val="both"/>
        <w:rPr>
          <w:lang w:val="es-ES"/>
        </w:rPr>
      </w:pPr>
      <w:r w:rsidRPr="00C14D91">
        <w:rPr>
          <w:lang w:val="es-ES"/>
        </w:rPr>
        <w:t xml:space="preserve">Continuar con el fortalecimiento institucional del sistema de monitoreo y seguimiento del control de gasto, metas presidenciales y </w:t>
      </w:r>
      <w:r w:rsidRPr="00227F73">
        <w:rPr>
          <w:lang w:val="es-ES"/>
        </w:rPr>
        <w:t>demás indicadores del cuadro de mando integral de SIGOB.</w:t>
      </w:r>
    </w:p>
    <w:p w14:paraId="1CEC0269" w14:textId="0B934152" w:rsidR="00747DE2" w:rsidRPr="00E406B4" w:rsidRDefault="00747DE2" w:rsidP="00743062">
      <w:pPr>
        <w:pStyle w:val="Ttulo1"/>
        <w:numPr>
          <w:ilvl w:val="0"/>
          <w:numId w:val="42"/>
        </w:numPr>
        <w:rPr>
          <w:rFonts w:ascii="Times New Roman" w:hAnsi="Times New Roman" w:cs="Times New Roman"/>
          <w:b/>
        </w:rPr>
      </w:pPr>
      <w:bookmarkStart w:id="664" w:name="_Toc534151926"/>
      <w:bookmarkStart w:id="665" w:name="_Toc534152058"/>
      <w:bookmarkStart w:id="666" w:name="_Toc534152183"/>
      <w:bookmarkStart w:id="667" w:name="_Toc534152255"/>
      <w:bookmarkStart w:id="668" w:name="_Toc534152327"/>
      <w:bookmarkStart w:id="669" w:name="_Toc534152399"/>
      <w:bookmarkStart w:id="670" w:name="_Toc534152471"/>
      <w:bookmarkStart w:id="671" w:name="_Toc534152800"/>
      <w:bookmarkStart w:id="672" w:name="_Toc434025"/>
      <w:bookmarkStart w:id="673" w:name="_Toc881929"/>
      <w:bookmarkStart w:id="674" w:name="_Toc962036"/>
      <w:bookmarkStart w:id="675" w:name="_Toc29405545"/>
      <w:bookmarkStart w:id="676" w:name="_Toc29405933"/>
      <w:bookmarkStart w:id="677" w:name="_Toc29406204"/>
      <w:bookmarkStart w:id="678" w:name="_Toc534151927"/>
      <w:bookmarkStart w:id="679" w:name="_Toc534152059"/>
      <w:bookmarkStart w:id="680" w:name="_Toc534152184"/>
      <w:bookmarkStart w:id="681" w:name="_Toc534152256"/>
      <w:bookmarkStart w:id="682" w:name="_Toc534152328"/>
      <w:bookmarkStart w:id="683" w:name="_Toc534152400"/>
      <w:bookmarkStart w:id="684" w:name="_Toc534152472"/>
      <w:bookmarkStart w:id="685" w:name="_Toc534152801"/>
      <w:bookmarkStart w:id="686" w:name="_Toc434026"/>
      <w:bookmarkStart w:id="687" w:name="_Toc881930"/>
      <w:bookmarkStart w:id="688" w:name="_Toc962037"/>
      <w:bookmarkStart w:id="689" w:name="_Toc29405546"/>
      <w:bookmarkStart w:id="690" w:name="_Toc29405934"/>
      <w:bookmarkStart w:id="691" w:name="_Toc29406205"/>
      <w:bookmarkStart w:id="692" w:name="_Toc534151928"/>
      <w:bookmarkStart w:id="693" w:name="_Toc534152060"/>
      <w:bookmarkStart w:id="694" w:name="_Toc534152185"/>
      <w:bookmarkStart w:id="695" w:name="_Toc534152257"/>
      <w:bookmarkStart w:id="696" w:name="_Toc534152329"/>
      <w:bookmarkStart w:id="697" w:name="_Toc534152401"/>
      <w:bookmarkStart w:id="698" w:name="_Toc534152473"/>
      <w:bookmarkStart w:id="699" w:name="_Toc534152802"/>
      <w:bookmarkStart w:id="700" w:name="_Toc434027"/>
      <w:bookmarkStart w:id="701" w:name="_Toc881931"/>
      <w:bookmarkStart w:id="702" w:name="_Toc962038"/>
      <w:bookmarkStart w:id="703" w:name="_Toc29405547"/>
      <w:bookmarkStart w:id="704" w:name="_Toc29405935"/>
      <w:bookmarkStart w:id="705" w:name="_Toc29406206"/>
      <w:bookmarkStart w:id="706" w:name="_Toc534151929"/>
      <w:bookmarkStart w:id="707" w:name="_Toc534152061"/>
      <w:bookmarkStart w:id="708" w:name="_Toc534152186"/>
      <w:bookmarkStart w:id="709" w:name="_Toc534152258"/>
      <w:bookmarkStart w:id="710" w:name="_Toc534152330"/>
      <w:bookmarkStart w:id="711" w:name="_Toc534152402"/>
      <w:bookmarkStart w:id="712" w:name="_Toc534152474"/>
      <w:bookmarkStart w:id="713" w:name="_Toc534152803"/>
      <w:bookmarkStart w:id="714" w:name="_Toc434028"/>
      <w:bookmarkStart w:id="715" w:name="_Toc881932"/>
      <w:bookmarkStart w:id="716" w:name="_Toc962039"/>
      <w:bookmarkStart w:id="717" w:name="_Toc29405548"/>
      <w:bookmarkStart w:id="718" w:name="_Toc29405936"/>
      <w:bookmarkStart w:id="719" w:name="_Toc29406207"/>
      <w:bookmarkStart w:id="720" w:name="_Toc29406208"/>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Pr="00E406B4">
        <w:rPr>
          <w:rFonts w:ascii="Times New Roman" w:hAnsi="Times New Roman" w:cs="Times New Roman"/>
          <w:b/>
        </w:rPr>
        <w:t>Anexos</w:t>
      </w:r>
      <w:bookmarkEnd w:id="720"/>
    </w:p>
    <w:sectPr w:rsidR="00747DE2" w:rsidRPr="00E406B4" w:rsidSect="00E87F5C">
      <w:headerReference w:type="default" r:id="rId21"/>
      <w:footerReference w:type="default" r:id="rId22"/>
      <w:pgSz w:w="12240" w:h="15840" w:code="1"/>
      <w:pgMar w:top="2700" w:right="1152" w:bottom="1584" w:left="1152"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0" w:author="Julio César Ferreira Nuñez" w:date="2019-02-13T14:43:00Z" w:initials="JCFN">
    <w:p w14:paraId="2B00B255" w14:textId="54C623CB" w:rsidR="00C90DB6" w:rsidRDefault="00C90DB6">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00B2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839FB" w14:textId="77777777" w:rsidR="008F2677" w:rsidRDefault="008F2677" w:rsidP="00C73CC8">
      <w:r>
        <w:separator/>
      </w:r>
    </w:p>
  </w:endnote>
  <w:endnote w:type="continuationSeparator" w:id="0">
    <w:p w14:paraId="61F3DE62" w14:textId="77777777" w:rsidR="008F2677" w:rsidRDefault="008F2677" w:rsidP="00C7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44769"/>
      <w:docPartObj>
        <w:docPartGallery w:val="Page Numbers (Bottom of Page)"/>
        <w:docPartUnique/>
      </w:docPartObj>
    </w:sdtPr>
    <w:sdtEndPr/>
    <w:sdtContent>
      <w:p w14:paraId="034FEE34" w14:textId="77777777" w:rsidR="00C90DB6" w:rsidRDefault="00C90DB6">
        <w:pPr>
          <w:pStyle w:val="Piedepgina"/>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2336" behindDoc="0" locked="0" layoutInCell="1" allowOverlap="1" wp14:anchorId="716865DF" wp14:editId="08B9CE88">
                  <wp:simplePos x="0" y="0"/>
                  <wp:positionH relativeFrom="margin">
                    <wp:posOffset>5073015</wp:posOffset>
                  </wp:positionH>
                  <wp:positionV relativeFrom="bottomMargin">
                    <wp:posOffset>6985</wp:posOffset>
                  </wp:positionV>
                  <wp:extent cx="1282700" cy="343535"/>
                  <wp:effectExtent l="28575" t="19050" r="22225" b="8890"/>
                  <wp:wrapNone/>
                  <wp:docPr id="20" name="Cinta curvada hacia abaj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3499E40" w14:textId="77777777" w:rsidR="00C90DB6" w:rsidRDefault="00C90DB6">
                              <w:pPr>
                                <w:jc w:val="center"/>
                                <w:rPr>
                                  <w:color w:val="4F81BD" w:themeColor="accent1"/>
                                </w:rPr>
                              </w:pPr>
                              <w:r>
                                <w:fldChar w:fldCharType="begin"/>
                              </w:r>
                              <w:r>
                                <w:instrText>PAGE    \* MERGEFORMAT</w:instrText>
                              </w:r>
                              <w:r>
                                <w:fldChar w:fldCharType="separate"/>
                              </w:r>
                              <w:r w:rsidR="00E406B4" w:rsidRPr="00E406B4">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865DF"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0" o:spid="_x0000_s1026" type="#_x0000_t107" style="position:absolute;margin-left:399.45pt;margin-top:.55pt;width:101pt;height:27.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" filled="f" fillcolor="#17365d" strokecolor="#71a0dc">
                  <v:textbox>
                    <w:txbxContent>
                      <w:p w14:paraId="23499E40" w14:textId="77777777" w:rsidR="00C90DB6" w:rsidRDefault="00C90DB6">
                        <w:pPr>
                          <w:jc w:val="center"/>
                          <w:rPr>
                            <w:color w:val="4F81BD" w:themeColor="accent1"/>
                          </w:rPr>
                        </w:pPr>
                        <w:r>
                          <w:fldChar w:fldCharType="begin"/>
                        </w:r>
                        <w:r>
                          <w:instrText>PAGE    \* MERGEFORMAT</w:instrText>
                        </w:r>
                        <w:r>
                          <w:fldChar w:fldCharType="separate"/>
                        </w:r>
                        <w:r w:rsidR="00E406B4" w:rsidRPr="00E406B4">
                          <w:rPr>
                            <w:noProof/>
                            <w:color w:val="4F81BD" w:themeColor="accent1"/>
                            <w:lang w:val="es-ES"/>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B96F1" w14:textId="77777777" w:rsidR="008F2677" w:rsidRDefault="008F2677" w:rsidP="00C73CC8">
      <w:r>
        <w:separator/>
      </w:r>
    </w:p>
  </w:footnote>
  <w:footnote w:type="continuationSeparator" w:id="0">
    <w:p w14:paraId="3B141705" w14:textId="77777777" w:rsidR="008F2677" w:rsidRDefault="008F2677" w:rsidP="00C73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1AC5" w14:textId="764883E8" w:rsidR="00C90DB6" w:rsidRPr="00E406B4" w:rsidRDefault="00C90DB6" w:rsidP="00010FD4">
    <w:pPr>
      <w:jc w:val="center"/>
      <w:rPr>
        <w:b/>
        <w:color w:val="002060"/>
        <w:sz w:val="28"/>
        <w:szCs w:val="28"/>
        <w:lang w:val="es-ES"/>
      </w:rPr>
    </w:pPr>
    <w:r>
      <w:rPr>
        <w:rFonts w:ascii="Franklin Gothic Medium Cond" w:hAnsi="Franklin Gothic Medium Cond"/>
        <w:noProof/>
        <w:color w:val="002060"/>
        <w:sz w:val="36"/>
        <w:lang w:val="en-US"/>
      </w:rPr>
      <w:drawing>
        <wp:anchor distT="0" distB="0" distL="114300" distR="114300" simplePos="0" relativeHeight="251663360" behindDoc="1" locked="0" layoutInCell="1" allowOverlap="1" wp14:editId="4B487B54">
          <wp:simplePos x="0" y="0"/>
          <wp:positionH relativeFrom="margin">
            <wp:posOffset>-179070</wp:posOffset>
          </wp:positionH>
          <wp:positionV relativeFrom="paragraph">
            <wp:posOffset>-19050</wp:posOffset>
          </wp:positionV>
          <wp:extent cx="1186180" cy="773430"/>
          <wp:effectExtent l="0" t="0" r="0" b="762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0817">
      <w:rPr>
        <w:noProof/>
        <w:lang w:val="en-US"/>
      </w:rPr>
      <w:drawing>
        <wp:anchor distT="0" distB="0" distL="114300" distR="114300" simplePos="0" relativeHeight="251666432" behindDoc="0" locked="0" layoutInCell="1" allowOverlap="1" wp14:anchorId="631574E1" wp14:editId="6DB688BD">
          <wp:simplePos x="0" y="0"/>
          <wp:positionH relativeFrom="column">
            <wp:posOffset>5640705</wp:posOffset>
          </wp:positionH>
          <wp:positionV relativeFrom="paragraph">
            <wp:posOffset>-19050</wp:posOffset>
          </wp:positionV>
          <wp:extent cx="628650" cy="628650"/>
          <wp:effectExtent l="0" t="0" r="0" b="0"/>
          <wp:wrapNone/>
          <wp:docPr id="88" name="Imagen 88" descr="C:\Users\Julio_Planinicacion\AppData\Local\Microsoft\Windows\Temporary Internet Files\Content.Outlook\51EPX4OC\Logo DGM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o_Planinicacion\AppData\Local\Microsoft\Windows\Temporary Internet Files\Content.Outlook\51EPX4OC\Logo DGM 2017.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sidRPr="00E406B4">
      <w:rPr>
        <w:color w:val="002060"/>
        <w:sz w:val="28"/>
        <w:szCs w:val="28"/>
      </w:rPr>
      <w:t>DIRECCION GENERAL DE MINERIA</w:t>
    </w:r>
  </w:p>
  <w:p w14:paraId="0B03E74A" w14:textId="16BEFAF4" w:rsidR="00C90DB6" w:rsidRPr="00E406B4" w:rsidRDefault="00C90DB6" w:rsidP="00010FD4">
    <w:pPr>
      <w:pStyle w:val="Encabezado"/>
      <w:jc w:val="center"/>
      <w:rPr>
        <w:color w:val="002060"/>
      </w:rPr>
    </w:pPr>
    <w:r w:rsidRPr="00E406B4">
      <w:rPr>
        <w:color w:val="002060"/>
      </w:rPr>
      <w:t>RENDICIÓN DE CUENTAS</w:t>
    </w:r>
  </w:p>
  <w:p w14:paraId="504D7B8F" w14:textId="33F922C3" w:rsidR="00C90DB6" w:rsidRPr="00E406B4" w:rsidRDefault="00C90DB6" w:rsidP="00E406B4">
    <w:pPr>
      <w:pStyle w:val="Encabezado"/>
      <w:jc w:val="center"/>
      <w:rPr>
        <w:rFonts w:ascii="Franklin Gothic Medium Cond" w:hAnsi="Franklin Gothic Medium Cond"/>
      </w:rPr>
    </w:pPr>
    <w:r w:rsidRPr="00E406B4">
      <w:rPr>
        <w:color w:val="002060"/>
      </w:rPr>
      <w:t>MEMORIA ANUAL</w:t>
    </w:r>
    <w:r>
      <w:rPr>
        <w:color w:val="002060"/>
      </w:rPr>
      <w:t xml:space="preserve"> 2019</w:t>
    </w:r>
  </w:p>
  <w:p w14:paraId="36B02187" w14:textId="77777777" w:rsidR="00C90DB6" w:rsidRDefault="00C90DB6" w:rsidP="00E406B4">
    <w:pPr>
      <w:pStyle w:val="Encabezado"/>
      <w:rPr>
        <w:sz w:val="20"/>
        <w:szCs w:val="20"/>
      </w:rPr>
    </w:pPr>
    <w:r>
      <w:rPr>
        <w:sz w:val="20"/>
        <w:szCs w:val="20"/>
      </w:rPr>
      <w:t xml:space="preserve">                            </w:t>
    </w:r>
  </w:p>
  <w:p w14:paraId="77225926" w14:textId="77777777" w:rsidR="00C90DB6" w:rsidRDefault="00C90DB6" w:rsidP="00E406B4">
    <w:pPr>
      <w:pStyle w:val="Encabezado"/>
      <w:rPr>
        <w:sz w:val="20"/>
        <w:szCs w:val="20"/>
      </w:rPr>
    </w:pPr>
  </w:p>
  <w:p w14:paraId="2A7A0387" w14:textId="0DA8A91F" w:rsidR="00C90DB6" w:rsidRPr="00E406B4" w:rsidRDefault="00C90DB6" w:rsidP="00E406B4">
    <w:pPr>
      <w:pStyle w:val="Encabezado"/>
      <w:jc w:val="center"/>
      <w:rPr>
        <w:sz w:val="20"/>
        <w:szCs w:val="20"/>
        <w:lang w:val="es-ES"/>
      </w:rPr>
    </w:pPr>
    <w:r w:rsidRPr="00E406B4">
      <w:rPr>
        <w:sz w:val="20"/>
        <w:szCs w:val="20"/>
      </w:rPr>
      <w:t>¡Año De</w:t>
    </w:r>
    <w:r>
      <w:rPr>
        <w:sz w:val="20"/>
        <w:szCs w:val="20"/>
      </w:rPr>
      <w:t xml:space="preserve"> la Innovación y la Competitividad</w:t>
    </w:r>
    <w:r w:rsidRPr="00E406B4">
      <w:rPr>
        <w:sz w:val="20"/>
        <w:szCs w:val="20"/>
      </w:rPr>
      <w:t>!</w:t>
    </w:r>
    <w:r>
      <w:rPr>
        <w:rFonts w:ascii="Franklin Gothic Medium Cond" w:hAnsi="Franklin Gothic Medium Cond"/>
        <w:color w:val="002060"/>
        <w:sz w:val="36"/>
      </w:rPr>
      <w:t xml:space="preserve">               </w:t>
    </w:r>
  </w:p>
  <w:p w14:paraId="3093FD9D" w14:textId="4204AE2B" w:rsidR="00C90DB6" w:rsidRPr="00A50682" w:rsidRDefault="00C90DB6">
    <w:pPr>
      <w:pStyle w:val="Encabezado"/>
      <w:jc w:val="center"/>
      <w:rPr>
        <w:lang w:val="es-ES"/>
      </w:rPr>
    </w:pPr>
    <w:r w:rsidRPr="00E406B4">
      <w:rPr>
        <w:rFonts w:ascii="Arial" w:hAnsi="Arial" w:cs="Arial"/>
        <w:noProof/>
        <w:sz w:val="32"/>
        <w:szCs w:val="32"/>
        <w:lang w:val="en-US"/>
      </w:rPr>
      <mc:AlternateContent>
        <mc:Choice Requires="wps">
          <w:drawing>
            <wp:anchor distT="0" distB="0" distL="114300" distR="114300" simplePos="0" relativeHeight="251665408" behindDoc="0" locked="0" layoutInCell="1" allowOverlap="1" wp14:anchorId="32E377BB" wp14:editId="3BA7153C">
              <wp:simplePos x="0" y="0"/>
              <wp:positionH relativeFrom="column">
                <wp:posOffset>-66675</wp:posOffset>
              </wp:positionH>
              <wp:positionV relativeFrom="paragraph">
                <wp:posOffset>71120</wp:posOffset>
              </wp:positionV>
              <wp:extent cx="6191250" cy="9525"/>
              <wp:effectExtent l="38100" t="37465" r="38100" b="3873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9525"/>
                      </a:xfrm>
                      <a:prstGeom prst="straightConnector1">
                        <a:avLst/>
                      </a:prstGeom>
                      <a:noFill/>
                      <a:ln w="63500">
                        <a:solidFill>
                          <a:schemeClr val="accent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B1AC2" id="_x0000_t32" coordsize="21600,21600" o:spt="32" o:oned="t" path="m,l21600,21600e" filled="f">
              <v:path arrowok="t" fillok="f" o:connecttype="none"/>
              <o:lock v:ext="edit" shapetype="t"/>
            </v:shapetype>
            <v:shape id="Conector recto de flecha 4" o:spid="_x0000_s1026" type="#_x0000_t32" style="position:absolute;margin-left:-5.25pt;margin-top:5.6pt;width:48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" strokecolor="#243f60 [1604]"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04A286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E4E6F"/>
    <w:multiLevelType w:val="hybridMultilevel"/>
    <w:tmpl w:val="5F92BCB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A1B4D"/>
    <w:multiLevelType w:val="hybridMultilevel"/>
    <w:tmpl w:val="31BA3CC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 w15:restartNumberingAfterBreak="0">
    <w:nsid w:val="02E0058B"/>
    <w:multiLevelType w:val="hybridMultilevel"/>
    <w:tmpl w:val="BE3220A6"/>
    <w:lvl w:ilvl="0" w:tplc="0409000B">
      <w:start w:val="1"/>
      <w:numFmt w:val="bullet"/>
      <w:lvlText w:val=""/>
      <w:lvlJc w:val="left"/>
      <w:pPr>
        <w:ind w:left="720" w:hanging="360"/>
      </w:pPr>
      <w:rPr>
        <w:rFonts w:ascii="Wingdings" w:hAnsi="Wingdings" w:hint="default"/>
      </w:rPr>
    </w:lvl>
    <w:lvl w:ilvl="1" w:tplc="821255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0061B"/>
    <w:multiLevelType w:val="hybridMultilevel"/>
    <w:tmpl w:val="9218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C35BE"/>
    <w:multiLevelType w:val="hybridMultilevel"/>
    <w:tmpl w:val="E8A24938"/>
    <w:lvl w:ilvl="0" w:tplc="0C0A0001">
      <w:start w:val="1"/>
      <w:numFmt w:val="bullet"/>
      <w:lvlText w:val=""/>
      <w:lvlJc w:val="left"/>
      <w:pPr>
        <w:ind w:left="720" w:hanging="360"/>
      </w:pPr>
      <w:rPr>
        <w:rFonts w:ascii="Symbol" w:hAnsi="Symbol" w:hint="default"/>
      </w:rPr>
    </w:lvl>
    <w:lvl w:ilvl="1" w:tplc="03681184">
      <w:numFmt w:val="bullet"/>
      <w:lvlText w:val="-"/>
      <w:lvlJc w:val="left"/>
      <w:pPr>
        <w:ind w:left="1440" w:hanging="360"/>
      </w:pPr>
      <w:rPr>
        <w:rFonts w:ascii="Tahoma" w:eastAsia="MS Mincho" w:hAnsi="Tahoma" w:cs="Tahoma"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ADE1BDA"/>
    <w:multiLevelType w:val="hybridMultilevel"/>
    <w:tmpl w:val="4E50B36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A26C4"/>
    <w:multiLevelType w:val="hybridMultilevel"/>
    <w:tmpl w:val="EDEE7C5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1E109E3"/>
    <w:multiLevelType w:val="hybridMultilevel"/>
    <w:tmpl w:val="91087F62"/>
    <w:lvl w:ilvl="0" w:tplc="67A6D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46D15"/>
    <w:multiLevelType w:val="hybridMultilevel"/>
    <w:tmpl w:val="0A6A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2783A"/>
    <w:multiLevelType w:val="hybridMultilevel"/>
    <w:tmpl w:val="C388AB58"/>
    <w:lvl w:ilvl="0" w:tplc="04090017">
      <w:start w:val="1"/>
      <w:numFmt w:val="lowerLetter"/>
      <w:lvlText w:val="%1)"/>
      <w:lvlJc w:val="left"/>
      <w:pPr>
        <w:ind w:left="720" w:hanging="360"/>
      </w:pPr>
      <w:rPr>
        <w:rFonts w:hint="default"/>
      </w:rPr>
    </w:lvl>
    <w:lvl w:ilvl="1" w:tplc="821255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76488"/>
    <w:multiLevelType w:val="multilevel"/>
    <w:tmpl w:val="EBA48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8301C0"/>
    <w:multiLevelType w:val="hybridMultilevel"/>
    <w:tmpl w:val="808868F2"/>
    <w:lvl w:ilvl="0" w:tplc="1624AD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7340C"/>
    <w:multiLevelType w:val="hybridMultilevel"/>
    <w:tmpl w:val="B788919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1EEC6FEE"/>
    <w:multiLevelType w:val="hybridMultilevel"/>
    <w:tmpl w:val="45820C5A"/>
    <w:lvl w:ilvl="0" w:tplc="1C0A0015">
      <w:start w:val="1"/>
      <w:numFmt w:val="upperLetter"/>
      <w:lvlText w:val="%1."/>
      <w:lvlJc w:val="left"/>
      <w:pPr>
        <w:ind w:left="720" w:hanging="360"/>
      </w:pPr>
      <w:rPr>
        <w:rFonts w:hint="default"/>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24B49D6"/>
    <w:multiLevelType w:val="hybridMultilevel"/>
    <w:tmpl w:val="95B01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B30D5"/>
    <w:multiLevelType w:val="hybridMultilevel"/>
    <w:tmpl w:val="461ADC84"/>
    <w:lvl w:ilvl="0" w:tplc="3ED84B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50E19"/>
    <w:multiLevelType w:val="hybridMultilevel"/>
    <w:tmpl w:val="50DA3DDA"/>
    <w:lvl w:ilvl="0" w:tplc="1C0A000F">
      <w:start w:val="1"/>
      <w:numFmt w:val="decimal"/>
      <w:lvlText w:val="%1."/>
      <w:lvlJc w:val="left"/>
      <w:pPr>
        <w:ind w:left="502" w:hanging="360"/>
      </w:pPr>
    </w:lvl>
    <w:lvl w:ilvl="1" w:tplc="1C0A0019" w:tentative="1">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2B481450"/>
    <w:multiLevelType w:val="hybridMultilevel"/>
    <w:tmpl w:val="DCC4CE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101774"/>
    <w:multiLevelType w:val="hybridMultilevel"/>
    <w:tmpl w:val="DA325E2E"/>
    <w:lvl w:ilvl="0" w:tplc="0409000F">
      <w:start w:val="1"/>
      <w:numFmt w:val="decimal"/>
      <w:lvlText w:val="%1."/>
      <w:lvlJc w:val="left"/>
      <w:pPr>
        <w:ind w:left="720" w:hanging="360"/>
      </w:pPr>
    </w:lvl>
    <w:lvl w:ilvl="1" w:tplc="665A0AF2">
      <w:start w:val="1"/>
      <w:numFmt w:val="bullet"/>
      <w:lvlText w:val="•"/>
      <w:lvlJc w:val="left"/>
      <w:pPr>
        <w:ind w:left="1785" w:hanging="70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25759"/>
    <w:multiLevelType w:val="hybridMultilevel"/>
    <w:tmpl w:val="B3821D3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2D7F1494"/>
    <w:multiLevelType w:val="hybridMultilevel"/>
    <w:tmpl w:val="DC1487EE"/>
    <w:lvl w:ilvl="0" w:tplc="CE7ABA8A">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A42F09"/>
    <w:multiLevelType w:val="hybridMultilevel"/>
    <w:tmpl w:val="2F588F0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2EBC2BA0"/>
    <w:multiLevelType w:val="hybridMultilevel"/>
    <w:tmpl w:val="C33C5D8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2F4060DB"/>
    <w:multiLevelType w:val="hybridMultilevel"/>
    <w:tmpl w:val="1742C060"/>
    <w:lvl w:ilvl="0" w:tplc="3ED84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C580C"/>
    <w:multiLevelType w:val="hybridMultilevel"/>
    <w:tmpl w:val="2586F9F6"/>
    <w:lvl w:ilvl="0" w:tplc="1624AD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D31FF"/>
    <w:multiLevelType w:val="hybridMultilevel"/>
    <w:tmpl w:val="48FA27E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360A6CDC"/>
    <w:multiLevelType w:val="hybridMultilevel"/>
    <w:tmpl w:val="B1523FEC"/>
    <w:lvl w:ilvl="0" w:tplc="03681184">
      <w:numFmt w:val="bullet"/>
      <w:lvlText w:val="-"/>
      <w:lvlJc w:val="left"/>
      <w:pPr>
        <w:ind w:left="720" w:hanging="360"/>
      </w:pPr>
      <w:rPr>
        <w:rFonts w:ascii="Tahoma" w:eastAsia="MS Mincho" w:hAnsi="Tahoma" w:cs="Tahoma"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39C8791D"/>
    <w:multiLevelType w:val="hybridMultilevel"/>
    <w:tmpl w:val="DFAC6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406E15"/>
    <w:multiLevelType w:val="hybridMultilevel"/>
    <w:tmpl w:val="2EE6AC90"/>
    <w:lvl w:ilvl="0" w:tplc="695C4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697935"/>
    <w:multiLevelType w:val="hybridMultilevel"/>
    <w:tmpl w:val="7028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DF3C31"/>
    <w:multiLevelType w:val="hybridMultilevel"/>
    <w:tmpl w:val="A6C422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0A256D0"/>
    <w:multiLevelType w:val="hybridMultilevel"/>
    <w:tmpl w:val="89BEA352"/>
    <w:lvl w:ilvl="0" w:tplc="0C0A0001">
      <w:start w:val="1"/>
      <w:numFmt w:val="bullet"/>
      <w:lvlText w:val=""/>
      <w:lvlJc w:val="left"/>
      <w:pPr>
        <w:ind w:left="720" w:hanging="360"/>
      </w:pPr>
      <w:rPr>
        <w:rFonts w:ascii="Symbol" w:hAnsi="Symbol" w:hint="default"/>
      </w:rPr>
    </w:lvl>
    <w:lvl w:ilvl="1" w:tplc="03681184">
      <w:numFmt w:val="bullet"/>
      <w:lvlText w:val="-"/>
      <w:lvlJc w:val="left"/>
      <w:pPr>
        <w:ind w:left="1440" w:hanging="360"/>
      </w:pPr>
      <w:rPr>
        <w:rFonts w:ascii="Tahoma" w:eastAsia="MS Mincho" w:hAnsi="Tahoma" w:cs="Tahoma"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40A82440"/>
    <w:multiLevelType w:val="hybridMultilevel"/>
    <w:tmpl w:val="8C785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B206E9"/>
    <w:multiLevelType w:val="hybridMultilevel"/>
    <w:tmpl w:val="095E94F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41BF0CD5"/>
    <w:multiLevelType w:val="hybridMultilevel"/>
    <w:tmpl w:val="4ACA9232"/>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2310B41"/>
    <w:multiLevelType w:val="hybridMultilevel"/>
    <w:tmpl w:val="CC50BBA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444F3B27"/>
    <w:multiLevelType w:val="hybridMultilevel"/>
    <w:tmpl w:val="EC1217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5E823D6"/>
    <w:multiLevelType w:val="hybridMultilevel"/>
    <w:tmpl w:val="B8DEB78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49477518"/>
    <w:multiLevelType w:val="hybridMultilevel"/>
    <w:tmpl w:val="1D7C7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F547E1"/>
    <w:multiLevelType w:val="hybridMultilevel"/>
    <w:tmpl w:val="75BAF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A62502"/>
    <w:multiLevelType w:val="hybridMultilevel"/>
    <w:tmpl w:val="0C601570"/>
    <w:lvl w:ilvl="0" w:tplc="A5BA3898">
      <w:start w:val="1"/>
      <w:numFmt w:val="lowerRoman"/>
      <w:lvlText w:val="%1."/>
      <w:lvlJc w:val="righ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4E07376F"/>
    <w:multiLevelType w:val="hybridMultilevel"/>
    <w:tmpl w:val="42841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38D0F56"/>
    <w:multiLevelType w:val="hybridMultilevel"/>
    <w:tmpl w:val="14EC1B38"/>
    <w:lvl w:ilvl="0" w:tplc="0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4" w15:restartNumberingAfterBreak="0">
    <w:nsid w:val="582D02E1"/>
    <w:multiLevelType w:val="hybridMultilevel"/>
    <w:tmpl w:val="476EC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9C16A6"/>
    <w:multiLevelType w:val="hybridMultilevel"/>
    <w:tmpl w:val="20E683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5A617F22"/>
    <w:multiLevelType w:val="hybridMultilevel"/>
    <w:tmpl w:val="0F48B79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7" w15:restartNumberingAfterBreak="0">
    <w:nsid w:val="5B760DBB"/>
    <w:multiLevelType w:val="hybridMultilevel"/>
    <w:tmpl w:val="1B586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8C6E4D"/>
    <w:multiLevelType w:val="hybridMultilevel"/>
    <w:tmpl w:val="1FEE38D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CB50AC"/>
    <w:multiLevelType w:val="hybridMultilevel"/>
    <w:tmpl w:val="5AF61BC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0" w15:restartNumberingAfterBreak="0">
    <w:nsid w:val="61677584"/>
    <w:multiLevelType w:val="hybridMultilevel"/>
    <w:tmpl w:val="599C1654"/>
    <w:lvl w:ilvl="0" w:tplc="0672B826">
      <w:start w:val="3"/>
      <w:numFmt w:val="bullet"/>
      <w:lvlText w:val="-"/>
      <w:lvlJc w:val="left"/>
      <w:pPr>
        <w:ind w:left="928" w:hanging="360"/>
      </w:pPr>
      <w:rPr>
        <w:rFonts w:ascii="Times New Roman" w:eastAsia="Times New Roman" w:hAnsi="Times New Roman" w:cs="Times New Roman" w:hint="default"/>
      </w:rPr>
    </w:lvl>
    <w:lvl w:ilvl="1" w:tplc="9A729798">
      <w:start w:val="1"/>
      <w:numFmt w:val="decimal"/>
      <w:lvlText w:val="%2."/>
      <w:lvlJc w:val="left"/>
      <w:pPr>
        <w:ind w:left="1648" w:hanging="360"/>
      </w:pPr>
      <w:rPr>
        <w:rFonts w:hint="default"/>
      </w:rPr>
    </w:lvl>
    <w:lvl w:ilvl="2" w:tplc="1C0A001B" w:tentative="1">
      <w:start w:val="1"/>
      <w:numFmt w:val="lowerRoman"/>
      <w:lvlText w:val="%3."/>
      <w:lvlJc w:val="right"/>
      <w:pPr>
        <w:ind w:left="2368" w:hanging="180"/>
      </w:pPr>
    </w:lvl>
    <w:lvl w:ilvl="3" w:tplc="1C0A000F" w:tentative="1">
      <w:start w:val="1"/>
      <w:numFmt w:val="decimal"/>
      <w:lvlText w:val="%4."/>
      <w:lvlJc w:val="left"/>
      <w:pPr>
        <w:ind w:left="3088" w:hanging="360"/>
      </w:pPr>
    </w:lvl>
    <w:lvl w:ilvl="4" w:tplc="1C0A0019" w:tentative="1">
      <w:start w:val="1"/>
      <w:numFmt w:val="lowerLetter"/>
      <w:lvlText w:val="%5."/>
      <w:lvlJc w:val="left"/>
      <w:pPr>
        <w:ind w:left="3808" w:hanging="360"/>
      </w:pPr>
    </w:lvl>
    <w:lvl w:ilvl="5" w:tplc="1C0A001B" w:tentative="1">
      <w:start w:val="1"/>
      <w:numFmt w:val="lowerRoman"/>
      <w:lvlText w:val="%6."/>
      <w:lvlJc w:val="right"/>
      <w:pPr>
        <w:ind w:left="4528" w:hanging="180"/>
      </w:pPr>
    </w:lvl>
    <w:lvl w:ilvl="6" w:tplc="1C0A000F" w:tentative="1">
      <w:start w:val="1"/>
      <w:numFmt w:val="decimal"/>
      <w:lvlText w:val="%7."/>
      <w:lvlJc w:val="left"/>
      <w:pPr>
        <w:ind w:left="5248" w:hanging="360"/>
      </w:pPr>
    </w:lvl>
    <w:lvl w:ilvl="7" w:tplc="1C0A0019" w:tentative="1">
      <w:start w:val="1"/>
      <w:numFmt w:val="lowerLetter"/>
      <w:lvlText w:val="%8."/>
      <w:lvlJc w:val="left"/>
      <w:pPr>
        <w:ind w:left="5968" w:hanging="360"/>
      </w:pPr>
    </w:lvl>
    <w:lvl w:ilvl="8" w:tplc="1C0A001B" w:tentative="1">
      <w:start w:val="1"/>
      <w:numFmt w:val="lowerRoman"/>
      <w:lvlText w:val="%9."/>
      <w:lvlJc w:val="right"/>
      <w:pPr>
        <w:ind w:left="6688" w:hanging="180"/>
      </w:pPr>
    </w:lvl>
  </w:abstractNum>
  <w:abstractNum w:abstractNumId="51" w15:restartNumberingAfterBreak="0">
    <w:nsid w:val="61D14B90"/>
    <w:multiLevelType w:val="hybridMultilevel"/>
    <w:tmpl w:val="34FE4DB0"/>
    <w:lvl w:ilvl="0" w:tplc="E6C4B454">
      <w:start w:val="1"/>
      <w:numFmt w:val="decimal"/>
      <w:lvlText w:val="%1."/>
      <w:lvlJc w:val="left"/>
      <w:pPr>
        <w:ind w:left="720" w:hanging="360"/>
      </w:pPr>
      <w:rPr>
        <w:rFonts w:ascii="Times New Roman" w:eastAsia="Times New Roman" w:hAnsi="Times New Roman" w:cs="Times New Roman"/>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2" w15:restartNumberingAfterBreak="0">
    <w:nsid w:val="6211696B"/>
    <w:multiLevelType w:val="hybridMultilevel"/>
    <w:tmpl w:val="15E0A0D4"/>
    <w:lvl w:ilvl="0" w:tplc="16866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AC3DAB"/>
    <w:multiLevelType w:val="hybridMultilevel"/>
    <w:tmpl w:val="2D0ECE4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4" w15:restartNumberingAfterBreak="0">
    <w:nsid w:val="6AE6415D"/>
    <w:multiLevelType w:val="hybridMultilevel"/>
    <w:tmpl w:val="451CA08C"/>
    <w:lvl w:ilvl="0" w:tplc="1C0A0001">
      <w:start w:val="1"/>
      <w:numFmt w:val="bullet"/>
      <w:lvlText w:val=""/>
      <w:lvlJc w:val="left"/>
      <w:pPr>
        <w:ind w:left="776" w:hanging="360"/>
      </w:pPr>
      <w:rPr>
        <w:rFonts w:ascii="Symbol" w:hAnsi="Symbol" w:hint="default"/>
      </w:rPr>
    </w:lvl>
    <w:lvl w:ilvl="1" w:tplc="1C0A0003" w:tentative="1">
      <w:start w:val="1"/>
      <w:numFmt w:val="bullet"/>
      <w:lvlText w:val="o"/>
      <w:lvlJc w:val="left"/>
      <w:pPr>
        <w:ind w:left="1496" w:hanging="360"/>
      </w:pPr>
      <w:rPr>
        <w:rFonts w:ascii="Courier New" w:hAnsi="Courier New" w:cs="Courier New" w:hint="default"/>
      </w:rPr>
    </w:lvl>
    <w:lvl w:ilvl="2" w:tplc="1C0A0005" w:tentative="1">
      <w:start w:val="1"/>
      <w:numFmt w:val="bullet"/>
      <w:lvlText w:val=""/>
      <w:lvlJc w:val="left"/>
      <w:pPr>
        <w:ind w:left="2216" w:hanging="360"/>
      </w:pPr>
      <w:rPr>
        <w:rFonts w:ascii="Wingdings" w:hAnsi="Wingdings" w:hint="default"/>
      </w:rPr>
    </w:lvl>
    <w:lvl w:ilvl="3" w:tplc="1C0A0001" w:tentative="1">
      <w:start w:val="1"/>
      <w:numFmt w:val="bullet"/>
      <w:lvlText w:val=""/>
      <w:lvlJc w:val="left"/>
      <w:pPr>
        <w:ind w:left="2936" w:hanging="360"/>
      </w:pPr>
      <w:rPr>
        <w:rFonts w:ascii="Symbol" w:hAnsi="Symbol" w:hint="default"/>
      </w:rPr>
    </w:lvl>
    <w:lvl w:ilvl="4" w:tplc="1C0A0003" w:tentative="1">
      <w:start w:val="1"/>
      <w:numFmt w:val="bullet"/>
      <w:lvlText w:val="o"/>
      <w:lvlJc w:val="left"/>
      <w:pPr>
        <w:ind w:left="3656" w:hanging="360"/>
      </w:pPr>
      <w:rPr>
        <w:rFonts w:ascii="Courier New" w:hAnsi="Courier New" w:cs="Courier New" w:hint="default"/>
      </w:rPr>
    </w:lvl>
    <w:lvl w:ilvl="5" w:tplc="1C0A0005" w:tentative="1">
      <w:start w:val="1"/>
      <w:numFmt w:val="bullet"/>
      <w:lvlText w:val=""/>
      <w:lvlJc w:val="left"/>
      <w:pPr>
        <w:ind w:left="4376" w:hanging="360"/>
      </w:pPr>
      <w:rPr>
        <w:rFonts w:ascii="Wingdings" w:hAnsi="Wingdings" w:hint="default"/>
      </w:rPr>
    </w:lvl>
    <w:lvl w:ilvl="6" w:tplc="1C0A0001" w:tentative="1">
      <w:start w:val="1"/>
      <w:numFmt w:val="bullet"/>
      <w:lvlText w:val=""/>
      <w:lvlJc w:val="left"/>
      <w:pPr>
        <w:ind w:left="5096" w:hanging="360"/>
      </w:pPr>
      <w:rPr>
        <w:rFonts w:ascii="Symbol" w:hAnsi="Symbol" w:hint="default"/>
      </w:rPr>
    </w:lvl>
    <w:lvl w:ilvl="7" w:tplc="1C0A0003" w:tentative="1">
      <w:start w:val="1"/>
      <w:numFmt w:val="bullet"/>
      <w:lvlText w:val="o"/>
      <w:lvlJc w:val="left"/>
      <w:pPr>
        <w:ind w:left="5816" w:hanging="360"/>
      </w:pPr>
      <w:rPr>
        <w:rFonts w:ascii="Courier New" w:hAnsi="Courier New" w:cs="Courier New" w:hint="default"/>
      </w:rPr>
    </w:lvl>
    <w:lvl w:ilvl="8" w:tplc="1C0A0005" w:tentative="1">
      <w:start w:val="1"/>
      <w:numFmt w:val="bullet"/>
      <w:lvlText w:val=""/>
      <w:lvlJc w:val="left"/>
      <w:pPr>
        <w:ind w:left="6536" w:hanging="360"/>
      </w:pPr>
      <w:rPr>
        <w:rFonts w:ascii="Wingdings" w:hAnsi="Wingdings" w:hint="default"/>
      </w:rPr>
    </w:lvl>
  </w:abstractNum>
  <w:abstractNum w:abstractNumId="55" w15:restartNumberingAfterBreak="0">
    <w:nsid w:val="6B421A12"/>
    <w:multiLevelType w:val="hybridMultilevel"/>
    <w:tmpl w:val="C88EAD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FB4497"/>
    <w:multiLevelType w:val="hybridMultilevel"/>
    <w:tmpl w:val="3C54E55A"/>
    <w:lvl w:ilvl="0" w:tplc="1624AD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2B64BA"/>
    <w:multiLevelType w:val="hybridMultilevel"/>
    <w:tmpl w:val="DC9AA316"/>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8" w15:restartNumberingAfterBreak="0">
    <w:nsid w:val="6E37734A"/>
    <w:multiLevelType w:val="hybridMultilevel"/>
    <w:tmpl w:val="47785C8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9" w15:restartNumberingAfterBreak="0">
    <w:nsid w:val="70553FCF"/>
    <w:multiLevelType w:val="hybridMultilevel"/>
    <w:tmpl w:val="91202252"/>
    <w:lvl w:ilvl="0" w:tplc="C4963FDE">
      <w:start w:val="1"/>
      <w:numFmt w:val="decimal"/>
      <w:lvlText w:val="%1."/>
      <w:lvlJc w:val="left"/>
      <w:pPr>
        <w:ind w:left="360" w:hanging="360"/>
      </w:pPr>
      <w:rPr>
        <w:rFonts w:hint="default"/>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60" w15:restartNumberingAfterBreak="0">
    <w:nsid w:val="72D63B3D"/>
    <w:multiLevelType w:val="hybridMultilevel"/>
    <w:tmpl w:val="7308714C"/>
    <w:lvl w:ilvl="0" w:tplc="5A8C35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8C0293"/>
    <w:multiLevelType w:val="hybridMultilevel"/>
    <w:tmpl w:val="7294FFA4"/>
    <w:lvl w:ilvl="0" w:tplc="E9DEAB1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6666E12"/>
    <w:multiLevelType w:val="hybridMultilevel"/>
    <w:tmpl w:val="E47E6D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3" w15:restartNumberingAfterBreak="0">
    <w:nsid w:val="7809319D"/>
    <w:multiLevelType w:val="hybridMultilevel"/>
    <w:tmpl w:val="AC64E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CA05B7"/>
    <w:multiLevelType w:val="hybridMultilevel"/>
    <w:tmpl w:val="00121196"/>
    <w:lvl w:ilvl="0" w:tplc="03681184">
      <w:numFmt w:val="bullet"/>
      <w:lvlText w:val="-"/>
      <w:lvlJc w:val="left"/>
      <w:pPr>
        <w:ind w:left="720" w:hanging="360"/>
      </w:pPr>
      <w:rPr>
        <w:rFonts w:ascii="Tahoma" w:eastAsia="MS Mincho" w:hAnsi="Tahoma" w:cs="Tahoma" w:hint="default"/>
      </w:rPr>
    </w:lvl>
    <w:lvl w:ilvl="1" w:tplc="03681184">
      <w:numFmt w:val="bullet"/>
      <w:lvlText w:val="-"/>
      <w:lvlJc w:val="left"/>
      <w:pPr>
        <w:ind w:left="1440" w:hanging="360"/>
      </w:pPr>
      <w:rPr>
        <w:rFonts w:ascii="Tahoma" w:eastAsia="MS Mincho" w:hAnsi="Tahoma" w:cs="Tahoma"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5" w15:restartNumberingAfterBreak="0">
    <w:nsid w:val="7A561AD7"/>
    <w:multiLevelType w:val="hybridMultilevel"/>
    <w:tmpl w:val="B5680AAA"/>
    <w:lvl w:ilvl="0" w:tplc="3ED84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4D7924"/>
    <w:multiLevelType w:val="hybridMultilevel"/>
    <w:tmpl w:val="9C026678"/>
    <w:lvl w:ilvl="0" w:tplc="3ED84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46"/>
  </w:num>
  <w:num w:numId="4">
    <w:abstractNumId w:val="45"/>
  </w:num>
  <w:num w:numId="5">
    <w:abstractNumId w:val="7"/>
  </w:num>
  <w:num w:numId="6">
    <w:abstractNumId w:val="13"/>
  </w:num>
  <w:num w:numId="7">
    <w:abstractNumId w:val="57"/>
  </w:num>
  <w:num w:numId="8">
    <w:abstractNumId w:val="49"/>
  </w:num>
  <w:num w:numId="9">
    <w:abstractNumId w:val="23"/>
  </w:num>
  <w:num w:numId="10">
    <w:abstractNumId w:val="58"/>
  </w:num>
  <w:num w:numId="11">
    <w:abstractNumId w:val="36"/>
  </w:num>
  <w:num w:numId="12">
    <w:abstractNumId w:val="33"/>
  </w:num>
  <w:num w:numId="13">
    <w:abstractNumId w:val="42"/>
  </w:num>
  <w:num w:numId="14">
    <w:abstractNumId w:val="22"/>
  </w:num>
  <w:num w:numId="15">
    <w:abstractNumId w:val="43"/>
  </w:num>
  <w:num w:numId="16">
    <w:abstractNumId w:val="32"/>
  </w:num>
  <w:num w:numId="17">
    <w:abstractNumId w:val="5"/>
  </w:num>
  <w:num w:numId="18">
    <w:abstractNumId w:val="27"/>
  </w:num>
  <w:num w:numId="19">
    <w:abstractNumId w:val="64"/>
  </w:num>
  <w:num w:numId="20">
    <w:abstractNumId w:val="17"/>
  </w:num>
  <w:num w:numId="21">
    <w:abstractNumId w:val="51"/>
  </w:num>
  <w:num w:numId="22">
    <w:abstractNumId w:val="59"/>
  </w:num>
  <w:num w:numId="23">
    <w:abstractNumId w:val="14"/>
  </w:num>
  <w:num w:numId="24">
    <w:abstractNumId w:val="53"/>
  </w:num>
  <w:num w:numId="25">
    <w:abstractNumId w:val="2"/>
  </w:num>
  <w:num w:numId="26">
    <w:abstractNumId w:val="26"/>
  </w:num>
  <w:num w:numId="27">
    <w:abstractNumId w:val="0"/>
  </w:num>
  <w:num w:numId="28">
    <w:abstractNumId w:val="38"/>
  </w:num>
  <w:num w:numId="29">
    <w:abstractNumId w:val="54"/>
  </w:num>
  <w:num w:numId="30">
    <w:abstractNumId w:val="34"/>
  </w:num>
  <w:num w:numId="31">
    <w:abstractNumId w:val="62"/>
  </w:num>
  <w:num w:numId="32">
    <w:abstractNumId w:val="55"/>
  </w:num>
  <w:num w:numId="33">
    <w:abstractNumId w:val="50"/>
  </w:num>
  <w:num w:numId="34">
    <w:abstractNumId w:val="6"/>
  </w:num>
  <w:num w:numId="35">
    <w:abstractNumId w:val="31"/>
  </w:num>
  <w:num w:numId="36">
    <w:abstractNumId w:val="44"/>
  </w:num>
  <w:num w:numId="37">
    <w:abstractNumId w:val="39"/>
  </w:num>
  <w:num w:numId="38">
    <w:abstractNumId w:val="19"/>
  </w:num>
  <w:num w:numId="39">
    <w:abstractNumId w:val="47"/>
  </w:num>
  <w:num w:numId="40">
    <w:abstractNumId w:val="63"/>
  </w:num>
  <w:num w:numId="41">
    <w:abstractNumId w:val="60"/>
  </w:num>
  <w:num w:numId="42">
    <w:abstractNumId w:val="21"/>
  </w:num>
  <w:num w:numId="43">
    <w:abstractNumId w:val="10"/>
  </w:num>
  <w:num w:numId="44">
    <w:abstractNumId w:val="4"/>
  </w:num>
  <w:num w:numId="45">
    <w:abstractNumId w:val="11"/>
  </w:num>
  <w:num w:numId="46">
    <w:abstractNumId w:val="41"/>
  </w:num>
  <w:num w:numId="47">
    <w:abstractNumId w:val="61"/>
  </w:num>
  <w:num w:numId="48">
    <w:abstractNumId w:val="28"/>
  </w:num>
  <w:num w:numId="49">
    <w:abstractNumId w:val="15"/>
  </w:num>
  <w:num w:numId="50">
    <w:abstractNumId w:val="52"/>
  </w:num>
  <w:num w:numId="51">
    <w:abstractNumId w:val="29"/>
  </w:num>
  <w:num w:numId="52">
    <w:abstractNumId w:val="56"/>
  </w:num>
  <w:num w:numId="53">
    <w:abstractNumId w:val="25"/>
  </w:num>
  <w:num w:numId="54">
    <w:abstractNumId w:val="12"/>
  </w:num>
  <w:num w:numId="55">
    <w:abstractNumId w:val="8"/>
  </w:num>
  <w:num w:numId="56">
    <w:abstractNumId w:val="66"/>
  </w:num>
  <w:num w:numId="57">
    <w:abstractNumId w:val="24"/>
  </w:num>
  <w:num w:numId="58">
    <w:abstractNumId w:val="65"/>
  </w:num>
  <w:num w:numId="59">
    <w:abstractNumId w:val="16"/>
  </w:num>
  <w:num w:numId="60">
    <w:abstractNumId w:val="30"/>
  </w:num>
  <w:num w:numId="61">
    <w:abstractNumId w:val="3"/>
  </w:num>
  <w:num w:numId="62">
    <w:abstractNumId w:val="37"/>
  </w:num>
  <w:num w:numId="63">
    <w:abstractNumId w:val="18"/>
  </w:num>
  <w:num w:numId="64">
    <w:abstractNumId w:val="9"/>
  </w:num>
  <w:num w:numId="65">
    <w:abstractNumId w:val="40"/>
  </w:num>
  <w:num w:numId="66">
    <w:abstractNumId w:val="1"/>
  </w:num>
  <w:num w:numId="67">
    <w:abstractNumId w:val="4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o César Ferreira Nuñez">
    <w15:presenceInfo w15:providerId="Windows Live" w15:userId="75f6622b405e0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cumentProtection w:edit="trackedChange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C8"/>
    <w:rsid w:val="0000037B"/>
    <w:rsid w:val="00002CE3"/>
    <w:rsid w:val="00003A20"/>
    <w:rsid w:val="000051DD"/>
    <w:rsid w:val="00010FD4"/>
    <w:rsid w:val="0001196C"/>
    <w:rsid w:val="000122AD"/>
    <w:rsid w:val="00012F8E"/>
    <w:rsid w:val="00017AA1"/>
    <w:rsid w:val="00021DEE"/>
    <w:rsid w:val="00022127"/>
    <w:rsid w:val="000325C8"/>
    <w:rsid w:val="000350CA"/>
    <w:rsid w:val="0004266A"/>
    <w:rsid w:val="00043D86"/>
    <w:rsid w:val="00047B8A"/>
    <w:rsid w:val="000516D2"/>
    <w:rsid w:val="00053774"/>
    <w:rsid w:val="00065DBA"/>
    <w:rsid w:val="00070BB6"/>
    <w:rsid w:val="00073955"/>
    <w:rsid w:val="0007717B"/>
    <w:rsid w:val="00084A6B"/>
    <w:rsid w:val="00085123"/>
    <w:rsid w:val="000864C0"/>
    <w:rsid w:val="00086AD0"/>
    <w:rsid w:val="00092631"/>
    <w:rsid w:val="000959D2"/>
    <w:rsid w:val="000A463F"/>
    <w:rsid w:val="000A70F6"/>
    <w:rsid w:val="000B5420"/>
    <w:rsid w:val="000C0A7F"/>
    <w:rsid w:val="000C777F"/>
    <w:rsid w:val="000D09C8"/>
    <w:rsid w:val="000D5DAE"/>
    <w:rsid w:val="000E179A"/>
    <w:rsid w:val="000E1A50"/>
    <w:rsid w:val="000E50D2"/>
    <w:rsid w:val="000F1132"/>
    <w:rsid w:val="000F2C45"/>
    <w:rsid w:val="000F75B3"/>
    <w:rsid w:val="00105027"/>
    <w:rsid w:val="001050CE"/>
    <w:rsid w:val="00107E9A"/>
    <w:rsid w:val="00116BF2"/>
    <w:rsid w:val="00132AFE"/>
    <w:rsid w:val="00136F00"/>
    <w:rsid w:val="00137234"/>
    <w:rsid w:val="00140918"/>
    <w:rsid w:val="00147BBF"/>
    <w:rsid w:val="00150BA9"/>
    <w:rsid w:val="00151804"/>
    <w:rsid w:val="00161D88"/>
    <w:rsid w:val="00171410"/>
    <w:rsid w:val="00174349"/>
    <w:rsid w:val="0018691E"/>
    <w:rsid w:val="001871FD"/>
    <w:rsid w:val="00193A55"/>
    <w:rsid w:val="001946CE"/>
    <w:rsid w:val="001A1BCF"/>
    <w:rsid w:val="001A3411"/>
    <w:rsid w:val="001B2EAC"/>
    <w:rsid w:val="001C0BC1"/>
    <w:rsid w:val="001C0E93"/>
    <w:rsid w:val="001C224B"/>
    <w:rsid w:val="001C3891"/>
    <w:rsid w:val="001C6C30"/>
    <w:rsid w:val="001C6DCD"/>
    <w:rsid w:val="001C7BEF"/>
    <w:rsid w:val="001C7D85"/>
    <w:rsid w:val="001D3798"/>
    <w:rsid w:val="001D3F47"/>
    <w:rsid w:val="001D5304"/>
    <w:rsid w:val="001D6FFB"/>
    <w:rsid w:val="001D71F5"/>
    <w:rsid w:val="001E481E"/>
    <w:rsid w:val="001E7960"/>
    <w:rsid w:val="001E7FC1"/>
    <w:rsid w:val="001F070F"/>
    <w:rsid w:val="001F4018"/>
    <w:rsid w:val="001F46EE"/>
    <w:rsid w:val="001F4E87"/>
    <w:rsid w:val="002005C5"/>
    <w:rsid w:val="00203A7E"/>
    <w:rsid w:val="00205748"/>
    <w:rsid w:val="00206C3E"/>
    <w:rsid w:val="00213BDC"/>
    <w:rsid w:val="002264BF"/>
    <w:rsid w:val="00227F73"/>
    <w:rsid w:val="0023232B"/>
    <w:rsid w:val="00236206"/>
    <w:rsid w:val="002458B3"/>
    <w:rsid w:val="002538EC"/>
    <w:rsid w:val="002575AA"/>
    <w:rsid w:val="00266A26"/>
    <w:rsid w:val="002742A9"/>
    <w:rsid w:val="00276412"/>
    <w:rsid w:val="00280445"/>
    <w:rsid w:val="002903F1"/>
    <w:rsid w:val="00291673"/>
    <w:rsid w:val="00291D66"/>
    <w:rsid w:val="00296F45"/>
    <w:rsid w:val="002A3B8E"/>
    <w:rsid w:val="002A45D2"/>
    <w:rsid w:val="002A6089"/>
    <w:rsid w:val="002B1F0B"/>
    <w:rsid w:val="002B4151"/>
    <w:rsid w:val="002B510A"/>
    <w:rsid w:val="002B70A6"/>
    <w:rsid w:val="002B798E"/>
    <w:rsid w:val="002E28A2"/>
    <w:rsid w:val="002E4C94"/>
    <w:rsid w:val="002E58FB"/>
    <w:rsid w:val="002F05F5"/>
    <w:rsid w:val="002F19FA"/>
    <w:rsid w:val="002F5B95"/>
    <w:rsid w:val="002F65D9"/>
    <w:rsid w:val="002F7764"/>
    <w:rsid w:val="0030192E"/>
    <w:rsid w:val="00301E7A"/>
    <w:rsid w:val="00303295"/>
    <w:rsid w:val="00305BA4"/>
    <w:rsid w:val="0030657A"/>
    <w:rsid w:val="00306B80"/>
    <w:rsid w:val="00315540"/>
    <w:rsid w:val="00324DF0"/>
    <w:rsid w:val="00324E8D"/>
    <w:rsid w:val="003279F1"/>
    <w:rsid w:val="003353E7"/>
    <w:rsid w:val="00347984"/>
    <w:rsid w:val="00352BF5"/>
    <w:rsid w:val="003549E8"/>
    <w:rsid w:val="0035778B"/>
    <w:rsid w:val="00362566"/>
    <w:rsid w:val="00363439"/>
    <w:rsid w:val="00363CB2"/>
    <w:rsid w:val="0036400E"/>
    <w:rsid w:val="00365C63"/>
    <w:rsid w:val="00374FF7"/>
    <w:rsid w:val="00381065"/>
    <w:rsid w:val="003913E4"/>
    <w:rsid w:val="00395B62"/>
    <w:rsid w:val="00397668"/>
    <w:rsid w:val="003A671E"/>
    <w:rsid w:val="003A7799"/>
    <w:rsid w:val="003B32A7"/>
    <w:rsid w:val="003C2425"/>
    <w:rsid w:val="003C58D9"/>
    <w:rsid w:val="003D0498"/>
    <w:rsid w:val="003D2403"/>
    <w:rsid w:val="003E1B93"/>
    <w:rsid w:val="00404CEC"/>
    <w:rsid w:val="00405D4B"/>
    <w:rsid w:val="0040746E"/>
    <w:rsid w:val="00410ADE"/>
    <w:rsid w:val="004128AC"/>
    <w:rsid w:val="0041723C"/>
    <w:rsid w:val="00424BC3"/>
    <w:rsid w:val="00433BD4"/>
    <w:rsid w:val="00433C0C"/>
    <w:rsid w:val="00434CBB"/>
    <w:rsid w:val="00441270"/>
    <w:rsid w:val="004414D4"/>
    <w:rsid w:val="00441537"/>
    <w:rsid w:val="00442B65"/>
    <w:rsid w:val="004454EF"/>
    <w:rsid w:val="00451257"/>
    <w:rsid w:val="00456878"/>
    <w:rsid w:val="00456B39"/>
    <w:rsid w:val="004619C0"/>
    <w:rsid w:val="00464E88"/>
    <w:rsid w:val="00466061"/>
    <w:rsid w:val="004723C9"/>
    <w:rsid w:val="0047552D"/>
    <w:rsid w:val="004767E9"/>
    <w:rsid w:val="00490F4B"/>
    <w:rsid w:val="00494EFF"/>
    <w:rsid w:val="004970F8"/>
    <w:rsid w:val="004A1B52"/>
    <w:rsid w:val="004A569B"/>
    <w:rsid w:val="004A683E"/>
    <w:rsid w:val="004B4445"/>
    <w:rsid w:val="004B4964"/>
    <w:rsid w:val="004C0D1A"/>
    <w:rsid w:val="004C3CAC"/>
    <w:rsid w:val="004C4125"/>
    <w:rsid w:val="004D0C39"/>
    <w:rsid w:val="004D2437"/>
    <w:rsid w:val="004D318D"/>
    <w:rsid w:val="004E2A7D"/>
    <w:rsid w:val="004E510D"/>
    <w:rsid w:val="004E605D"/>
    <w:rsid w:val="004F25FE"/>
    <w:rsid w:val="005013C6"/>
    <w:rsid w:val="00514FA7"/>
    <w:rsid w:val="00523CB3"/>
    <w:rsid w:val="0054288A"/>
    <w:rsid w:val="00543BE9"/>
    <w:rsid w:val="0054697A"/>
    <w:rsid w:val="005524A1"/>
    <w:rsid w:val="00553623"/>
    <w:rsid w:val="00560716"/>
    <w:rsid w:val="00566353"/>
    <w:rsid w:val="00571722"/>
    <w:rsid w:val="00576CD5"/>
    <w:rsid w:val="005814D8"/>
    <w:rsid w:val="005828DA"/>
    <w:rsid w:val="00592A83"/>
    <w:rsid w:val="00594977"/>
    <w:rsid w:val="005A6A00"/>
    <w:rsid w:val="005A751A"/>
    <w:rsid w:val="005B16A3"/>
    <w:rsid w:val="005B6066"/>
    <w:rsid w:val="005B6722"/>
    <w:rsid w:val="005B7B76"/>
    <w:rsid w:val="005C05F7"/>
    <w:rsid w:val="005C2C22"/>
    <w:rsid w:val="005C33EF"/>
    <w:rsid w:val="005E578D"/>
    <w:rsid w:val="005F3316"/>
    <w:rsid w:val="005F48E2"/>
    <w:rsid w:val="00607346"/>
    <w:rsid w:val="0061615D"/>
    <w:rsid w:val="00616B5C"/>
    <w:rsid w:val="00622357"/>
    <w:rsid w:val="0062339E"/>
    <w:rsid w:val="00623955"/>
    <w:rsid w:val="0063023A"/>
    <w:rsid w:val="00632234"/>
    <w:rsid w:val="00633280"/>
    <w:rsid w:val="006364FF"/>
    <w:rsid w:val="0063690E"/>
    <w:rsid w:val="00637939"/>
    <w:rsid w:val="00640F73"/>
    <w:rsid w:val="00647A30"/>
    <w:rsid w:val="00664B50"/>
    <w:rsid w:val="00667D9C"/>
    <w:rsid w:val="00677208"/>
    <w:rsid w:val="006808B1"/>
    <w:rsid w:val="00685BAC"/>
    <w:rsid w:val="00695014"/>
    <w:rsid w:val="0069587A"/>
    <w:rsid w:val="00696E34"/>
    <w:rsid w:val="0069720B"/>
    <w:rsid w:val="00697436"/>
    <w:rsid w:val="006A01F2"/>
    <w:rsid w:val="006A3A77"/>
    <w:rsid w:val="006A6F07"/>
    <w:rsid w:val="006B1D44"/>
    <w:rsid w:val="006B297E"/>
    <w:rsid w:val="006B5284"/>
    <w:rsid w:val="006B68D4"/>
    <w:rsid w:val="006C16B6"/>
    <w:rsid w:val="006D0DFB"/>
    <w:rsid w:val="006D10D5"/>
    <w:rsid w:val="006D3380"/>
    <w:rsid w:val="006D6B1F"/>
    <w:rsid w:val="006E1A09"/>
    <w:rsid w:val="006E3029"/>
    <w:rsid w:val="006E516C"/>
    <w:rsid w:val="006E64CD"/>
    <w:rsid w:val="006F13B7"/>
    <w:rsid w:val="006F1619"/>
    <w:rsid w:val="006F454E"/>
    <w:rsid w:val="006F698E"/>
    <w:rsid w:val="006F7A6C"/>
    <w:rsid w:val="00700112"/>
    <w:rsid w:val="00701AF6"/>
    <w:rsid w:val="007257C3"/>
    <w:rsid w:val="00725A03"/>
    <w:rsid w:val="00725B24"/>
    <w:rsid w:val="00736DB3"/>
    <w:rsid w:val="0073716E"/>
    <w:rsid w:val="00737C4F"/>
    <w:rsid w:val="00740768"/>
    <w:rsid w:val="00743062"/>
    <w:rsid w:val="00747DE2"/>
    <w:rsid w:val="00753A72"/>
    <w:rsid w:val="00753E69"/>
    <w:rsid w:val="007567FE"/>
    <w:rsid w:val="0076314A"/>
    <w:rsid w:val="00770825"/>
    <w:rsid w:val="00770BC1"/>
    <w:rsid w:val="007715B7"/>
    <w:rsid w:val="00775572"/>
    <w:rsid w:val="007768A4"/>
    <w:rsid w:val="00777147"/>
    <w:rsid w:val="0079243F"/>
    <w:rsid w:val="007937F3"/>
    <w:rsid w:val="0079710B"/>
    <w:rsid w:val="007A4247"/>
    <w:rsid w:val="007A4A8D"/>
    <w:rsid w:val="007A6E90"/>
    <w:rsid w:val="007B76C9"/>
    <w:rsid w:val="007C052C"/>
    <w:rsid w:val="007C3616"/>
    <w:rsid w:val="007C4890"/>
    <w:rsid w:val="007C706D"/>
    <w:rsid w:val="007D1ABC"/>
    <w:rsid w:val="007D5C80"/>
    <w:rsid w:val="007E3255"/>
    <w:rsid w:val="007E4FD0"/>
    <w:rsid w:val="007E59F7"/>
    <w:rsid w:val="007F0165"/>
    <w:rsid w:val="007F538A"/>
    <w:rsid w:val="007F53A6"/>
    <w:rsid w:val="007F63CE"/>
    <w:rsid w:val="008034D4"/>
    <w:rsid w:val="00806C0F"/>
    <w:rsid w:val="00814449"/>
    <w:rsid w:val="00821CC6"/>
    <w:rsid w:val="0082243F"/>
    <w:rsid w:val="00825F6C"/>
    <w:rsid w:val="008321E3"/>
    <w:rsid w:val="00835042"/>
    <w:rsid w:val="00845602"/>
    <w:rsid w:val="00845A2E"/>
    <w:rsid w:val="00845AB0"/>
    <w:rsid w:val="008463C3"/>
    <w:rsid w:val="008521BA"/>
    <w:rsid w:val="008529B8"/>
    <w:rsid w:val="00856F5D"/>
    <w:rsid w:val="008636EB"/>
    <w:rsid w:val="008668FD"/>
    <w:rsid w:val="00877346"/>
    <w:rsid w:val="00880CD6"/>
    <w:rsid w:val="00881805"/>
    <w:rsid w:val="00883FB1"/>
    <w:rsid w:val="00884586"/>
    <w:rsid w:val="00894FDC"/>
    <w:rsid w:val="00895A10"/>
    <w:rsid w:val="008A589F"/>
    <w:rsid w:val="008A79EC"/>
    <w:rsid w:val="008B1791"/>
    <w:rsid w:val="008C46A5"/>
    <w:rsid w:val="008C60A9"/>
    <w:rsid w:val="008C6988"/>
    <w:rsid w:val="008C7058"/>
    <w:rsid w:val="008D491C"/>
    <w:rsid w:val="008D7473"/>
    <w:rsid w:val="008D7B7E"/>
    <w:rsid w:val="008E4E4F"/>
    <w:rsid w:val="008F084F"/>
    <w:rsid w:val="008F1705"/>
    <w:rsid w:val="008F2677"/>
    <w:rsid w:val="008F6981"/>
    <w:rsid w:val="008F7D39"/>
    <w:rsid w:val="009007C8"/>
    <w:rsid w:val="009031ED"/>
    <w:rsid w:val="0090338C"/>
    <w:rsid w:val="009058F8"/>
    <w:rsid w:val="00905C26"/>
    <w:rsid w:val="00906F9E"/>
    <w:rsid w:val="00921306"/>
    <w:rsid w:val="00921C66"/>
    <w:rsid w:val="00922CCC"/>
    <w:rsid w:val="00924229"/>
    <w:rsid w:val="00926914"/>
    <w:rsid w:val="00932FA5"/>
    <w:rsid w:val="00934E4D"/>
    <w:rsid w:val="00935768"/>
    <w:rsid w:val="009370B7"/>
    <w:rsid w:val="009461C5"/>
    <w:rsid w:val="009475DC"/>
    <w:rsid w:val="00956584"/>
    <w:rsid w:val="00963FB5"/>
    <w:rsid w:val="009640FB"/>
    <w:rsid w:val="00966091"/>
    <w:rsid w:val="009747A0"/>
    <w:rsid w:val="00983E88"/>
    <w:rsid w:val="00984747"/>
    <w:rsid w:val="00986DD8"/>
    <w:rsid w:val="009913C7"/>
    <w:rsid w:val="00994A26"/>
    <w:rsid w:val="009954A0"/>
    <w:rsid w:val="009972E6"/>
    <w:rsid w:val="009A7B19"/>
    <w:rsid w:val="009B0CCB"/>
    <w:rsid w:val="009B205C"/>
    <w:rsid w:val="009B4EE9"/>
    <w:rsid w:val="009B50FC"/>
    <w:rsid w:val="009C12FF"/>
    <w:rsid w:val="009C28B3"/>
    <w:rsid w:val="009C579C"/>
    <w:rsid w:val="009C7849"/>
    <w:rsid w:val="009E348A"/>
    <w:rsid w:val="009E57DB"/>
    <w:rsid w:val="009F132B"/>
    <w:rsid w:val="009F3D51"/>
    <w:rsid w:val="009F6F6D"/>
    <w:rsid w:val="009F7669"/>
    <w:rsid w:val="00A02583"/>
    <w:rsid w:val="00A0716D"/>
    <w:rsid w:val="00A10A4B"/>
    <w:rsid w:val="00A134A3"/>
    <w:rsid w:val="00A252DF"/>
    <w:rsid w:val="00A252FB"/>
    <w:rsid w:val="00A32111"/>
    <w:rsid w:val="00A46C69"/>
    <w:rsid w:val="00A47144"/>
    <w:rsid w:val="00A50682"/>
    <w:rsid w:val="00A66D15"/>
    <w:rsid w:val="00A73BF4"/>
    <w:rsid w:val="00A8356C"/>
    <w:rsid w:val="00A838A8"/>
    <w:rsid w:val="00A85344"/>
    <w:rsid w:val="00A865FB"/>
    <w:rsid w:val="00A9651F"/>
    <w:rsid w:val="00AA2834"/>
    <w:rsid w:val="00AB04B5"/>
    <w:rsid w:val="00AB2705"/>
    <w:rsid w:val="00AB3F41"/>
    <w:rsid w:val="00AB79EA"/>
    <w:rsid w:val="00AC5397"/>
    <w:rsid w:val="00AC663C"/>
    <w:rsid w:val="00AD14EB"/>
    <w:rsid w:val="00AD5BF6"/>
    <w:rsid w:val="00AD7320"/>
    <w:rsid w:val="00AE4D29"/>
    <w:rsid w:val="00AF5404"/>
    <w:rsid w:val="00AF6E27"/>
    <w:rsid w:val="00AF6F8F"/>
    <w:rsid w:val="00AF7332"/>
    <w:rsid w:val="00B01784"/>
    <w:rsid w:val="00B01B3E"/>
    <w:rsid w:val="00B02DA0"/>
    <w:rsid w:val="00B132AE"/>
    <w:rsid w:val="00B14468"/>
    <w:rsid w:val="00B14ABF"/>
    <w:rsid w:val="00B21CCD"/>
    <w:rsid w:val="00B27B23"/>
    <w:rsid w:val="00B311F0"/>
    <w:rsid w:val="00B33F2C"/>
    <w:rsid w:val="00B377B6"/>
    <w:rsid w:val="00B37D93"/>
    <w:rsid w:val="00B4146A"/>
    <w:rsid w:val="00B4779E"/>
    <w:rsid w:val="00B50D31"/>
    <w:rsid w:val="00B55DA9"/>
    <w:rsid w:val="00B56288"/>
    <w:rsid w:val="00B572D5"/>
    <w:rsid w:val="00B61525"/>
    <w:rsid w:val="00B6372F"/>
    <w:rsid w:val="00B73038"/>
    <w:rsid w:val="00B745B5"/>
    <w:rsid w:val="00B76452"/>
    <w:rsid w:val="00B76B95"/>
    <w:rsid w:val="00B76FAC"/>
    <w:rsid w:val="00B82C94"/>
    <w:rsid w:val="00B86418"/>
    <w:rsid w:val="00B95C0D"/>
    <w:rsid w:val="00B9669D"/>
    <w:rsid w:val="00B97C64"/>
    <w:rsid w:val="00BB471E"/>
    <w:rsid w:val="00BC5EEF"/>
    <w:rsid w:val="00BC6531"/>
    <w:rsid w:val="00BC65D8"/>
    <w:rsid w:val="00BD2C30"/>
    <w:rsid w:val="00BD40A9"/>
    <w:rsid w:val="00BD64EB"/>
    <w:rsid w:val="00BE0B46"/>
    <w:rsid w:val="00BE15A6"/>
    <w:rsid w:val="00BF2636"/>
    <w:rsid w:val="00BF29AC"/>
    <w:rsid w:val="00C02214"/>
    <w:rsid w:val="00C07300"/>
    <w:rsid w:val="00C0745E"/>
    <w:rsid w:val="00C116AB"/>
    <w:rsid w:val="00C11F7A"/>
    <w:rsid w:val="00C14D69"/>
    <w:rsid w:val="00C14D91"/>
    <w:rsid w:val="00C23DC0"/>
    <w:rsid w:val="00C25CE1"/>
    <w:rsid w:val="00C269CC"/>
    <w:rsid w:val="00C27C5E"/>
    <w:rsid w:val="00C325B0"/>
    <w:rsid w:val="00C36F9D"/>
    <w:rsid w:val="00C545D1"/>
    <w:rsid w:val="00C645B4"/>
    <w:rsid w:val="00C65C15"/>
    <w:rsid w:val="00C71F15"/>
    <w:rsid w:val="00C73CC8"/>
    <w:rsid w:val="00C7752A"/>
    <w:rsid w:val="00C82044"/>
    <w:rsid w:val="00C823E0"/>
    <w:rsid w:val="00C82434"/>
    <w:rsid w:val="00C85984"/>
    <w:rsid w:val="00C90DB6"/>
    <w:rsid w:val="00C923DB"/>
    <w:rsid w:val="00CA4C59"/>
    <w:rsid w:val="00CA73A2"/>
    <w:rsid w:val="00CB0AD5"/>
    <w:rsid w:val="00CB1A3A"/>
    <w:rsid w:val="00CB496F"/>
    <w:rsid w:val="00CB7197"/>
    <w:rsid w:val="00CC0C58"/>
    <w:rsid w:val="00CC2A8B"/>
    <w:rsid w:val="00CC34E0"/>
    <w:rsid w:val="00CC6147"/>
    <w:rsid w:val="00CC7065"/>
    <w:rsid w:val="00CC7858"/>
    <w:rsid w:val="00CD12A9"/>
    <w:rsid w:val="00CE7852"/>
    <w:rsid w:val="00D0378B"/>
    <w:rsid w:val="00D122D8"/>
    <w:rsid w:val="00D12F7F"/>
    <w:rsid w:val="00D161F2"/>
    <w:rsid w:val="00D17EFE"/>
    <w:rsid w:val="00D21781"/>
    <w:rsid w:val="00D241D5"/>
    <w:rsid w:val="00D2599C"/>
    <w:rsid w:val="00D27721"/>
    <w:rsid w:val="00D300F0"/>
    <w:rsid w:val="00D353FD"/>
    <w:rsid w:val="00D35DB2"/>
    <w:rsid w:val="00D36EDF"/>
    <w:rsid w:val="00D41A4D"/>
    <w:rsid w:val="00D44BFF"/>
    <w:rsid w:val="00D504B2"/>
    <w:rsid w:val="00D64ABD"/>
    <w:rsid w:val="00D678AD"/>
    <w:rsid w:val="00D701A6"/>
    <w:rsid w:val="00D72666"/>
    <w:rsid w:val="00D72FF3"/>
    <w:rsid w:val="00D74161"/>
    <w:rsid w:val="00D82B6A"/>
    <w:rsid w:val="00D85DC3"/>
    <w:rsid w:val="00D8720F"/>
    <w:rsid w:val="00D90946"/>
    <w:rsid w:val="00D94112"/>
    <w:rsid w:val="00D97803"/>
    <w:rsid w:val="00DA1058"/>
    <w:rsid w:val="00DA17DB"/>
    <w:rsid w:val="00DA3829"/>
    <w:rsid w:val="00DB1AB2"/>
    <w:rsid w:val="00DB58C4"/>
    <w:rsid w:val="00DB7D05"/>
    <w:rsid w:val="00DD63CB"/>
    <w:rsid w:val="00DE1E69"/>
    <w:rsid w:val="00DE213D"/>
    <w:rsid w:val="00DE4350"/>
    <w:rsid w:val="00DE5B67"/>
    <w:rsid w:val="00DE7D7F"/>
    <w:rsid w:val="00DF2A4D"/>
    <w:rsid w:val="00DF37E1"/>
    <w:rsid w:val="00E0354C"/>
    <w:rsid w:val="00E03D73"/>
    <w:rsid w:val="00E059B5"/>
    <w:rsid w:val="00E109BB"/>
    <w:rsid w:val="00E14EA1"/>
    <w:rsid w:val="00E15AF0"/>
    <w:rsid w:val="00E20512"/>
    <w:rsid w:val="00E22BA3"/>
    <w:rsid w:val="00E258DD"/>
    <w:rsid w:val="00E30A94"/>
    <w:rsid w:val="00E3349A"/>
    <w:rsid w:val="00E34D86"/>
    <w:rsid w:val="00E36D2C"/>
    <w:rsid w:val="00E406B4"/>
    <w:rsid w:val="00E426DA"/>
    <w:rsid w:val="00E46951"/>
    <w:rsid w:val="00E470B5"/>
    <w:rsid w:val="00E517D5"/>
    <w:rsid w:val="00E51DDE"/>
    <w:rsid w:val="00E52E54"/>
    <w:rsid w:val="00E54BC9"/>
    <w:rsid w:val="00E6698C"/>
    <w:rsid w:val="00E677F2"/>
    <w:rsid w:val="00E67B7E"/>
    <w:rsid w:val="00E73046"/>
    <w:rsid w:val="00E76E7F"/>
    <w:rsid w:val="00E812A8"/>
    <w:rsid w:val="00E829F8"/>
    <w:rsid w:val="00E85D39"/>
    <w:rsid w:val="00E87F5C"/>
    <w:rsid w:val="00E91D3A"/>
    <w:rsid w:val="00E91EF9"/>
    <w:rsid w:val="00E94B8C"/>
    <w:rsid w:val="00EA75ED"/>
    <w:rsid w:val="00EB6293"/>
    <w:rsid w:val="00EC05E9"/>
    <w:rsid w:val="00EC3557"/>
    <w:rsid w:val="00EC620F"/>
    <w:rsid w:val="00ED52E9"/>
    <w:rsid w:val="00EE232C"/>
    <w:rsid w:val="00EE5820"/>
    <w:rsid w:val="00EE7988"/>
    <w:rsid w:val="00EE7F29"/>
    <w:rsid w:val="00EF3389"/>
    <w:rsid w:val="00EF650D"/>
    <w:rsid w:val="00F02929"/>
    <w:rsid w:val="00F03934"/>
    <w:rsid w:val="00F10998"/>
    <w:rsid w:val="00F12351"/>
    <w:rsid w:val="00F162F2"/>
    <w:rsid w:val="00F172E9"/>
    <w:rsid w:val="00F2053B"/>
    <w:rsid w:val="00F24538"/>
    <w:rsid w:val="00F256D8"/>
    <w:rsid w:val="00F40026"/>
    <w:rsid w:val="00F438E7"/>
    <w:rsid w:val="00F55F98"/>
    <w:rsid w:val="00F5626F"/>
    <w:rsid w:val="00F5636F"/>
    <w:rsid w:val="00F608E3"/>
    <w:rsid w:val="00F62E5D"/>
    <w:rsid w:val="00F6628E"/>
    <w:rsid w:val="00F73E63"/>
    <w:rsid w:val="00F76A1C"/>
    <w:rsid w:val="00F77D01"/>
    <w:rsid w:val="00F80C55"/>
    <w:rsid w:val="00F82C6A"/>
    <w:rsid w:val="00F876B1"/>
    <w:rsid w:val="00F905C0"/>
    <w:rsid w:val="00F92B6D"/>
    <w:rsid w:val="00F9403E"/>
    <w:rsid w:val="00FA159A"/>
    <w:rsid w:val="00FA184A"/>
    <w:rsid w:val="00FA2109"/>
    <w:rsid w:val="00FA361E"/>
    <w:rsid w:val="00FB26F3"/>
    <w:rsid w:val="00FB57DC"/>
    <w:rsid w:val="00FC3FFF"/>
    <w:rsid w:val="00FC6A19"/>
    <w:rsid w:val="00FD2C92"/>
    <w:rsid w:val="00FE34DB"/>
    <w:rsid w:val="00FE3AC0"/>
    <w:rsid w:val="00FE3F01"/>
    <w:rsid w:val="00FE5CBB"/>
    <w:rsid w:val="00FF008F"/>
    <w:rsid w:val="00FF579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FED5"/>
  <w15:docId w15:val="{7F54D135-3521-432F-AFF4-04108B58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CC8"/>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9913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913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41A4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747D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73CC8"/>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73CC8"/>
    <w:pPr>
      <w:tabs>
        <w:tab w:val="center" w:pos="4419"/>
        <w:tab w:val="right" w:pos="8838"/>
      </w:tabs>
    </w:pPr>
  </w:style>
  <w:style w:type="character" w:customStyle="1" w:styleId="EncabezadoCar">
    <w:name w:val="Encabezado Car"/>
    <w:basedOn w:val="Fuentedeprrafopredeter"/>
    <w:link w:val="Encabezado"/>
    <w:uiPriority w:val="99"/>
    <w:rsid w:val="00C73CC8"/>
  </w:style>
  <w:style w:type="paragraph" w:styleId="Piedepgina">
    <w:name w:val="footer"/>
    <w:basedOn w:val="Normal"/>
    <w:link w:val="PiedepginaCar"/>
    <w:uiPriority w:val="99"/>
    <w:unhideWhenUsed/>
    <w:rsid w:val="00C73CC8"/>
    <w:pPr>
      <w:tabs>
        <w:tab w:val="center" w:pos="4419"/>
        <w:tab w:val="right" w:pos="8838"/>
      </w:tabs>
    </w:pPr>
  </w:style>
  <w:style w:type="character" w:customStyle="1" w:styleId="PiedepginaCar">
    <w:name w:val="Pie de página Car"/>
    <w:basedOn w:val="Fuentedeprrafopredeter"/>
    <w:link w:val="Piedepgina"/>
    <w:uiPriority w:val="99"/>
    <w:rsid w:val="00C73CC8"/>
  </w:style>
  <w:style w:type="paragraph" w:styleId="Textodeglobo">
    <w:name w:val="Balloon Text"/>
    <w:basedOn w:val="Normal"/>
    <w:link w:val="TextodegloboCar"/>
    <w:uiPriority w:val="99"/>
    <w:semiHidden/>
    <w:unhideWhenUsed/>
    <w:rsid w:val="00C73CC8"/>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CC8"/>
    <w:rPr>
      <w:rFonts w:ascii="Tahoma" w:hAnsi="Tahoma" w:cs="Tahoma"/>
      <w:sz w:val="16"/>
      <w:szCs w:val="16"/>
    </w:rPr>
  </w:style>
  <w:style w:type="paragraph" w:styleId="Sinespaciado">
    <w:name w:val="No Spacing"/>
    <w:link w:val="SinespaciadoCar"/>
    <w:uiPriority w:val="1"/>
    <w:qFormat/>
    <w:rsid w:val="00C73CC8"/>
    <w:pPr>
      <w:spacing w:after="0" w:line="240" w:lineRule="auto"/>
    </w:pPr>
  </w:style>
  <w:style w:type="character" w:customStyle="1" w:styleId="SinespaciadoCar">
    <w:name w:val="Sin espaciado Car"/>
    <w:basedOn w:val="Fuentedeprrafopredeter"/>
    <w:link w:val="Sinespaciado"/>
    <w:uiPriority w:val="1"/>
    <w:rsid w:val="00C73CC8"/>
  </w:style>
  <w:style w:type="paragraph" w:styleId="Prrafodelista">
    <w:name w:val="List Paragraph"/>
    <w:basedOn w:val="Normal"/>
    <w:uiPriority w:val="34"/>
    <w:qFormat/>
    <w:rsid w:val="00C73CC8"/>
    <w:pPr>
      <w:ind w:left="720"/>
      <w:contextualSpacing/>
    </w:pPr>
  </w:style>
  <w:style w:type="paragraph" w:styleId="NormalWeb">
    <w:name w:val="Normal (Web)"/>
    <w:basedOn w:val="Normal"/>
    <w:uiPriority w:val="99"/>
    <w:semiHidden/>
    <w:unhideWhenUsed/>
    <w:rsid w:val="00594977"/>
    <w:pPr>
      <w:spacing w:before="100" w:beforeAutospacing="1" w:after="100" w:afterAutospacing="1"/>
    </w:pPr>
    <w:rPr>
      <w:rFonts w:eastAsiaTheme="minorEastAsia"/>
      <w:lang w:eastAsia="es-DO"/>
    </w:rPr>
  </w:style>
  <w:style w:type="table" w:styleId="Tablaconcuadrcula">
    <w:name w:val="Table Grid"/>
    <w:basedOn w:val="Tablanormal"/>
    <w:uiPriority w:val="59"/>
    <w:rsid w:val="00594977"/>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Fuentedeprrafopredeter"/>
    <w:link w:val="Heading10"/>
    <w:uiPriority w:val="99"/>
    <w:locked/>
    <w:rsid w:val="00594977"/>
    <w:rPr>
      <w:rFonts w:ascii="Garamond" w:hAnsi="Garamond" w:cs="Garamond"/>
      <w:spacing w:val="10"/>
      <w:sz w:val="40"/>
      <w:szCs w:val="40"/>
      <w:shd w:val="clear" w:color="auto" w:fill="FFFFFF"/>
    </w:rPr>
  </w:style>
  <w:style w:type="character" w:customStyle="1" w:styleId="TextoindependienteCar1">
    <w:name w:val="Texto independiente Car1"/>
    <w:basedOn w:val="Fuentedeprrafopredeter"/>
    <w:link w:val="Textoindependiente"/>
    <w:uiPriority w:val="99"/>
    <w:locked/>
    <w:rsid w:val="00594977"/>
    <w:rPr>
      <w:rFonts w:ascii="Corbel" w:hAnsi="Corbel" w:cs="Corbel"/>
      <w:spacing w:val="-10"/>
      <w:sz w:val="18"/>
      <w:szCs w:val="18"/>
      <w:shd w:val="clear" w:color="auto" w:fill="FFFFFF"/>
    </w:rPr>
  </w:style>
  <w:style w:type="paragraph" w:styleId="Textoindependiente">
    <w:name w:val="Body Text"/>
    <w:basedOn w:val="Normal"/>
    <w:link w:val="TextoindependienteCar1"/>
    <w:uiPriority w:val="99"/>
    <w:rsid w:val="00594977"/>
    <w:pPr>
      <w:widowControl w:val="0"/>
      <w:shd w:val="clear" w:color="auto" w:fill="FFFFFF"/>
      <w:spacing w:before="480" w:after="60" w:line="216" w:lineRule="exact"/>
      <w:ind w:hanging="360"/>
      <w:jc w:val="both"/>
    </w:pPr>
    <w:rPr>
      <w:rFonts w:ascii="Corbel" w:eastAsiaTheme="minorHAnsi" w:hAnsi="Corbel" w:cs="Corbel"/>
      <w:spacing w:val="-10"/>
      <w:sz w:val="18"/>
      <w:szCs w:val="18"/>
    </w:rPr>
  </w:style>
  <w:style w:type="character" w:customStyle="1" w:styleId="TextoindependienteCar">
    <w:name w:val="Texto independiente Car"/>
    <w:basedOn w:val="Fuentedeprrafopredeter"/>
    <w:uiPriority w:val="99"/>
    <w:semiHidden/>
    <w:rsid w:val="00594977"/>
    <w:rPr>
      <w:rFonts w:ascii="Times New Roman" w:eastAsia="Times New Roman" w:hAnsi="Times New Roman" w:cs="Times New Roman"/>
      <w:sz w:val="24"/>
      <w:szCs w:val="24"/>
      <w:lang w:val="en-US"/>
    </w:rPr>
  </w:style>
  <w:style w:type="paragraph" w:customStyle="1" w:styleId="Heading10">
    <w:name w:val="Heading #1"/>
    <w:basedOn w:val="Normal"/>
    <w:link w:val="Heading1"/>
    <w:uiPriority w:val="99"/>
    <w:rsid w:val="00594977"/>
    <w:pPr>
      <w:widowControl w:val="0"/>
      <w:shd w:val="clear" w:color="auto" w:fill="FFFFFF"/>
      <w:spacing w:after="480" w:line="528" w:lineRule="exact"/>
      <w:outlineLvl w:val="0"/>
    </w:pPr>
    <w:rPr>
      <w:rFonts w:ascii="Garamond" w:eastAsiaTheme="minorHAnsi" w:hAnsi="Garamond" w:cs="Garamond"/>
      <w:spacing w:val="10"/>
      <w:sz w:val="40"/>
      <w:szCs w:val="40"/>
    </w:rPr>
  </w:style>
  <w:style w:type="character" w:customStyle="1" w:styleId="Ttulo1Car">
    <w:name w:val="Título 1 Car"/>
    <w:basedOn w:val="Fuentedeprrafopredeter"/>
    <w:link w:val="Ttulo1"/>
    <w:uiPriority w:val="9"/>
    <w:rsid w:val="009913C7"/>
    <w:rPr>
      <w:rFonts w:asciiTheme="majorHAnsi" w:eastAsiaTheme="majorEastAsia" w:hAnsiTheme="majorHAnsi" w:cstheme="majorBidi"/>
      <w:color w:val="365F91" w:themeColor="accent1" w:themeShade="BF"/>
      <w:sz w:val="32"/>
      <w:szCs w:val="32"/>
      <w:lang w:val="en-US"/>
    </w:rPr>
  </w:style>
  <w:style w:type="paragraph" w:styleId="TtulodeTDC">
    <w:name w:val="TOC Heading"/>
    <w:basedOn w:val="Ttulo1"/>
    <w:next w:val="Normal"/>
    <w:uiPriority w:val="39"/>
    <w:unhideWhenUsed/>
    <w:qFormat/>
    <w:rsid w:val="009913C7"/>
    <w:pPr>
      <w:spacing w:line="259" w:lineRule="auto"/>
      <w:outlineLvl w:val="9"/>
    </w:pPr>
  </w:style>
  <w:style w:type="character" w:customStyle="1" w:styleId="Ttulo2Car">
    <w:name w:val="Título 2 Car"/>
    <w:basedOn w:val="Fuentedeprrafopredeter"/>
    <w:link w:val="Ttulo2"/>
    <w:uiPriority w:val="9"/>
    <w:rsid w:val="009913C7"/>
    <w:rPr>
      <w:rFonts w:asciiTheme="majorHAnsi" w:eastAsiaTheme="majorEastAsia" w:hAnsiTheme="majorHAnsi" w:cstheme="majorBidi"/>
      <w:color w:val="365F91" w:themeColor="accent1" w:themeShade="BF"/>
      <w:sz w:val="26"/>
      <w:szCs w:val="26"/>
      <w:lang w:val="en-US"/>
    </w:rPr>
  </w:style>
  <w:style w:type="character" w:customStyle="1" w:styleId="Ttulo3Car">
    <w:name w:val="Título 3 Car"/>
    <w:basedOn w:val="Fuentedeprrafopredeter"/>
    <w:link w:val="Ttulo3"/>
    <w:uiPriority w:val="9"/>
    <w:rsid w:val="00D41A4D"/>
    <w:rPr>
      <w:rFonts w:asciiTheme="majorHAnsi" w:eastAsiaTheme="majorEastAsia" w:hAnsiTheme="majorHAnsi" w:cstheme="majorBidi"/>
      <w:color w:val="243F60" w:themeColor="accent1" w:themeShade="7F"/>
      <w:sz w:val="24"/>
      <w:szCs w:val="24"/>
      <w:lang w:val="en-US"/>
    </w:rPr>
  </w:style>
  <w:style w:type="paragraph" w:styleId="TDC2">
    <w:name w:val="toc 2"/>
    <w:basedOn w:val="Normal"/>
    <w:next w:val="Normal"/>
    <w:autoRedefine/>
    <w:uiPriority w:val="39"/>
    <w:unhideWhenUsed/>
    <w:rsid w:val="00D41A4D"/>
    <w:pPr>
      <w:spacing w:after="100" w:line="259" w:lineRule="auto"/>
      <w:ind w:left="220"/>
    </w:pPr>
    <w:rPr>
      <w:rFonts w:asciiTheme="minorHAnsi" w:eastAsiaTheme="minorEastAsia" w:hAnsiTheme="minorHAnsi"/>
      <w:sz w:val="22"/>
      <w:szCs w:val="22"/>
    </w:rPr>
  </w:style>
  <w:style w:type="paragraph" w:styleId="TDC1">
    <w:name w:val="toc 1"/>
    <w:basedOn w:val="Normal"/>
    <w:next w:val="Normal"/>
    <w:autoRedefine/>
    <w:uiPriority w:val="39"/>
    <w:unhideWhenUsed/>
    <w:rsid w:val="00D41A4D"/>
    <w:pPr>
      <w:spacing w:after="100" w:line="259" w:lineRule="auto"/>
    </w:pPr>
    <w:rPr>
      <w:rFonts w:asciiTheme="minorHAnsi" w:eastAsiaTheme="minorEastAsia" w:hAnsiTheme="minorHAnsi"/>
      <w:sz w:val="22"/>
      <w:szCs w:val="22"/>
    </w:rPr>
  </w:style>
  <w:style w:type="paragraph" w:styleId="TDC3">
    <w:name w:val="toc 3"/>
    <w:basedOn w:val="Normal"/>
    <w:next w:val="Normal"/>
    <w:autoRedefine/>
    <w:uiPriority w:val="39"/>
    <w:unhideWhenUsed/>
    <w:rsid w:val="00D41A4D"/>
    <w:pPr>
      <w:spacing w:after="100" w:line="259" w:lineRule="auto"/>
      <w:ind w:left="440"/>
    </w:pPr>
    <w:rPr>
      <w:rFonts w:asciiTheme="minorHAnsi" w:eastAsiaTheme="minorEastAsia" w:hAnsiTheme="minorHAnsi"/>
      <w:sz w:val="22"/>
      <w:szCs w:val="22"/>
    </w:rPr>
  </w:style>
  <w:style w:type="character" w:styleId="nfasis">
    <w:name w:val="Emphasis"/>
    <w:basedOn w:val="Fuentedeprrafopredeter"/>
    <w:uiPriority w:val="20"/>
    <w:qFormat/>
    <w:rsid w:val="004C0D1A"/>
    <w:rPr>
      <w:i/>
      <w:iCs/>
    </w:rPr>
  </w:style>
  <w:style w:type="character" w:customStyle="1" w:styleId="Ttulo4Car">
    <w:name w:val="Título 4 Car"/>
    <w:basedOn w:val="Fuentedeprrafopredeter"/>
    <w:link w:val="Ttulo4"/>
    <w:uiPriority w:val="9"/>
    <w:rsid w:val="00747DE2"/>
    <w:rPr>
      <w:rFonts w:asciiTheme="majorHAnsi" w:eastAsiaTheme="majorEastAsia" w:hAnsiTheme="majorHAnsi" w:cstheme="majorBidi"/>
      <w:i/>
      <w:iCs/>
      <w:color w:val="365F91" w:themeColor="accent1" w:themeShade="BF"/>
      <w:sz w:val="24"/>
      <w:szCs w:val="24"/>
      <w:lang w:val="en-US"/>
    </w:rPr>
  </w:style>
  <w:style w:type="character" w:styleId="Hipervnculo">
    <w:name w:val="Hyperlink"/>
    <w:basedOn w:val="Fuentedeprrafopredeter"/>
    <w:uiPriority w:val="99"/>
    <w:unhideWhenUsed/>
    <w:rsid w:val="00D94112"/>
    <w:rPr>
      <w:color w:val="0000FF" w:themeColor="hyperlink"/>
      <w:u w:val="single"/>
    </w:rPr>
  </w:style>
  <w:style w:type="paragraph" w:styleId="Listaconvietas2">
    <w:name w:val="List Bullet 2"/>
    <w:basedOn w:val="Normal"/>
    <w:uiPriority w:val="99"/>
    <w:unhideWhenUsed/>
    <w:rsid w:val="00CC7065"/>
    <w:pPr>
      <w:numPr>
        <w:numId w:val="27"/>
      </w:numPr>
      <w:spacing w:after="200" w:line="276" w:lineRule="auto"/>
      <w:contextualSpacing/>
    </w:pPr>
    <w:rPr>
      <w:rFonts w:asciiTheme="minorHAnsi" w:eastAsiaTheme="minorHAnsi" w:hAnsiTheme="minorHAnsi" w:cstheme="minorBidi"/>
      <w:sz w:val="22"/>
      <w:szCs w:val="22"/>
    </w:rPr>
  </w:style>
  <w:style w:type="character" w:styleId="Textoennegrita">
    <w:name w:val="Strong"/>
    <w:basedOn w:val="Fuentedeprrafopredeter"/>
    <w:uiPriority w:val="22"/>
    <w:qFormat/>
    <w:rsid w:val="007F53A6"/>
    <w:rPr>
      <w:b/>
      <w:bCs/>
    </w:rPr>
  </w:style>
  <w:style w:type="character" w:styleId="Refdecomentario">
    <w:name w:val="annotation reference"/>
    <w:basedOn w:val="Fuentedeprrafopredeter"/>
    <w:uiPriority w:val="99"/>
    <w:semiHidden/>
    <w:unhideWhenUsed/>
    <w:rsid w:val="005E578D"/>
    <w:rPr>
      <w:sz w:val="16"/>
      <w:szCs w:val="16"/>
    </w:rPr>
  </w:style>
  <w:style w:type="paragraph" w:styleId="Textocomentario">
    <w:name w:val="annotation text"/>
    <w:basedOn w:val="Normal"/>
    <w:link w:val="TextocomentarioCar"/>
    <w:uiPriority w:val="99"/>
    <w:semiHidden/>
    <w:unhideWhenUsed/>
    <w:rsid w:val="005E578D"/>
    <w:rPr>
      <w:sz w:val="20"/>
      <w:szCs w:val="20"/>
    </w:rPr>
  </w:style>
  <w:style w:type="character" w:customStyle="1" w:styleId="TextocomentarioCar">
    <w:name w:val="Texto comentario Car"/>
    <w:basedOn w:val="Fuentedeprrafopredeter"/>
    <w:link w:val="Textocomentario"/>
    <w:uiPriority w:val="99"/>
    <w:semiHidden/>
    <w:rsid w:val="005E578D"/>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E578D"/>
    <w:rPr>
      <w:b/>
      <w:bCs/>
    </w:rPr>
  </w:style>
  <w:style w:type="character" w:customStyle="1" w:styleId="AsuntodelcomentarioCar">
    <w:name w:val="Asunto del comentario Car"/>
    <w:basedOn w:val="TextocomentarioCar"/>
    <w:link w:val="Asuntodelcomentario"/>
    <w:uiPriority w:val="99"/>
    <w:semiHidden/>
    <w:rsid w:val="005E578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368180">
      <w:bodyDiv w:val="1"/>
      <w:marLeft w:val="0"/>
      <w:marRight w:val="0"/>
      <w:marTop w:val="0"/>
      <w:marBottom w:val="0"/>
      <w:divBdr>
        <w:top w:val="none" w:sz="0" w:space="0" w:color="auto"/>
        <w:left w:val="none" w:sz="0" w:space="0" w:color="auto"/>
        <w:bottom w:val="none" w:sz="0" w:space="0" w:color="auto"/>
        <w:right w:val="none" w:sz="0" w:space="0" w:color="auto"/>
      </w:divBdr>
    </w:div>
    <w:div w:id="923417972">
      <w:bodyDiv w:val="1"/>
      <w:marLeft w:val="0"/>
      <w:marRight w:val="0"/>
      <w:marTop w:val="0"/>
      <w:marBottom w:val="0"/>
      <w:divBdr>
        <w:top w:val="none" w:sz="0" w:space="0" w:color="auto"/>
        <w:left w:val="none" w:sz="0" w:space="0" w:color="auto"/>
        <w:bottom w:val="none" w:sz="0" w:space="0" w:color="auto"/>
        <w:right w:val="none" w:sz="0" w:space="0" w:color="auto"/>
      </w:divBdr>
    </w:div>
    <w:div w:id="967049972">
      <w:bodyDiv w:val="1"/>
      <w:marLeft w:val="0"/>
      <w:marRight w:val="0"/>
      <w:marTop w:val="0"/>
      <w:marBottom w:val="0"/>
      <w:divBdr>
        <w:top w:val="none" w:sz="0" w:space="0" w:color="auto"/>
        <w:left w:val="none" w:sz="0" w:space="0" w:color="auto"/>
        <w:bottom w:val="none" w:sz="0" w:space="0" w:color="auto"/>
        <w:right w:val="none" w:sz="0" w:space="0" w:color="auto"/>
      </w:divBdr>
      <w:divsChild>
        <w:div w:id="542717658">
          <w:marLeft w:val="0"/>
          <w:marRight w:val="0"/>
          <w:marTop w:val="0"/>
          <w:marBottom w:val="120"/>
          <w:divBdr>
            <w:top w:val="none" w:sz="0" w:space="0" w:color="auto"/>
            <w:left w:val="none" w:sz="0" w:space="0" w:color="auto"/>
            <w:bottom w:val="none" w:sz="0" w:space="0" w:color="auto"/>
            <w:right w:val="none" w:sz="0" w:space="0" w:color="auto"/>
          </w:divBdr>
        </w:div>
        <w:div w:id="950863873">
          <w:marLeft w:val="0"/>
          <w:marRight w:val="0"/>
          <w:marTop w:val="150"/>
          <w:marBottom w:val="75"/>
          <w:divBdr>
            <w:top w:val="none" w:sz="0" w:space="0" w:color="auto"/>
            <w:left w:val="none" w:sz="0" w:space="0" w:color="auto"/>
            <w:bottom w:val="none" w:sz="0" w:space="0" w:color="auto"/>
            <w:right w:val="none" w:sz="0" w:space="0" w:color="auto"/>
          </w:divBdr>
        </w:div>
        <w:div w:id="1588535621">
          <w:marLeft w:val="0"/>
          <w:marRight w:val="0"/>
          <w:marTop w:val="0"/>
          <w:marBottom w:val="0"/>
          <w:divBdr>
            <w:top w:val="none" w:sz="0" w:space="0" w:color="auto"/>
            <w:left w:val="none" w:sz="0" w:space="0" w:color="auto"/>
            <w:bottom w:val="none" w:sz="0" w:space="0" w:color="auto"/>
            <w:right w:val="none" w:sz="0" w:space="0" w:color="auto"/>
          </w:divBdr>
        </w:div>
        <w:div w:id="1693219289">
          <w:marLeft w:val="0"/>
          <w:marRight w:val="0"/>
          <w:marTop w:val="0"/>
          <w:marBottom w:val="0"/>
          <w:divBdr>
            <w:top w:val="none" w:sz="0" w:space="0" w:color="auto"/>
            <w:left w:val="none" w:sz="0" w:space="0" w:color="auto"/>
            <w:bottom w:val="none" w:sz="0" w:space="0" w:color="auto"/>
            <w:right w:val="none" w:sz="0" w:space="0" w:color="auto"/>
          </w:divBdr>
        </w:div>
        <w:div w:id="1898785493">
          <w:marLeft w:val="0"/>
          <w:marRight w:val="0"/>
          <w:marTop w:val="150"/>
          <w:marBottom w:val="600"/>
          <w:divBdr>
            <w:top w:val="none" w:sz="0" w:space="0" w:color="auto"/>
            <w:left w:val="none" w:sz="0" w:space="0" w:color="auto"/>
            <w:bottom w:val="none" w:sz="0" w:space="0" w:color="auto"/>
            <w:right w:val="none" w:sz="0" w:space="0" w:color="auto"/>
          </w:divBdr>
        </w:div>
        <w:div w:id="2068726981">
          <w:marLeft w:val="0"/>
          <w:marRight w:val="0"/>
          <w:marTop w:val="0"/>
          <w:marBottom w:val="0"/>
          <w:divBdr>
            <w:top w:val="none" w:sz="0" w:space="0" w:color="auto"/>
            <w:left w:val="none" w:sz="0" w:space="0" w:color="auto"/>
            <w:bottom w:val="none" w:sz="0" w:space="0" w:color="auto"/>
            <w:right w:val="none" w:sz="0" w:space="0" w:color="auto"/>
          </w:divBdr>
        </w:div>
      </w:divsChild>
    </w:div>
    <w:div w:id="1008949905">
      <w:bodyDiv w:val="1"/>
      <w:marLeft w:val="0"/>
      <w:marRight w:val="0"/>
      <w:marTop w:val="0"/>
      <w:marBottom w:val="0"/>
      <w:divBdr>
        <w:top w:val="none" w:sz="0" w:space="0" w:color="auto"/>
        <w:left w:val="none" w:sz="0" w:space="0" w:color="auto"/>
        <w:bottom w:val="none" w:sz="0" w:space="0" w:color="auto"/>
        <w:right w:val="none" w:sz="0" w:space="0" w:color="auto"/>
      </w:divBdr>
    </w:div>
    <w:div w:id="1152673591">
      <w:bodyDiv w:val="1"/>
      <w:marLeft w:val="0"/>
      <w:marRight w:val="0"/>
      <w:marTop w:val="0"/>
      <w:marBottom w:val="0"/>
      <w:divBdr>
        <w:top w:val="none" w:sz="0" w:space="0" w:color="auto"/>
        <w:left w:val="none" w:sz="0" w:space="0" w:color="auto"/>
        <w:bottom w:val="none" w:sz="0" w:space="0" w:color="auto"/>
        <w:right w:val="none" w:sz="0" w:space="0" w:color="auto"/>
      </w:divBdr>
    </w:div>
    <w:div w:id="1185171164">
      <w:bodyDiv w:val="1"/>
      <w:marLeft w:val="0"/>
      <w:marRight w:val="0"/>
      <w:marTop w:val="0"/>
      <w:marBottom w:val="0"/>
      <w:divBdr>
        <w:top w:val="none" w:sz="0" w:space="0" w:color="auto"/>
        <w:left w:val="none" w:sz="0" w:space="0" w:color="auto"/>
        <w:bottom w:val="none" w:sz="0" w:space="0" w:color="auto"/>
        <w:right w:val="none" w:sz="0" w:space="0" w:color="auto"/>
      </w:divBdr>
    </w:div>
    <w:div w:id="1211377366">
      <w:bodyDiv w:val="1"/>
      <w:marLeft w:val="0"/>
      <w:marRight w:val="0"/>
      <w:marTop w:val="0"/>
      <w:marBottom w:val="0"/>
      <w:divBdr>
        <w:top w:val="none" w:sz="0" w:space="0" w:color="auto"/>
        <w:left w:val="none" w:sz="0" w:space="0" w:color="auto"/>
        <w:bottom w:val="none" w:sz="0" w:space="0" w:color="auto"/>
        <w:right w:val="none" w:sz="0" w:space="0" w:color="auto"/>
      </w:divBdr>
    </w:div>
    <w:div w:id="1303542917">
      <w:bodyDiv w:val="1"/>
      <w:marLeft w:val="0"/>
      <w:marRight w:val="0"/>
      <w:marTop w:val="0"/>
      <w:marBottom w:val="0"/>
      <w:divBdr>
        <w:top w:val="none" w:sz="0" w:space="0" w:color="auto"/>
        <w:left w:val="none" w:sz="0" w:space="0" w:color="auto"/>
        <w:bottom w:val="none" w:sz="0" w:space="0" w:color="auto"/>
        <w:right w:val="none" w:sz="0" w:space="0" w:color="auto"/>
      </w:divBdr>
    </w:div>
    <w:div w:id="1337994938">
      <w:bodyDiv w:val="1"/>
      <w:marLeft w:val="0"/>
      <w:marRight w:val="0"/>
      <w:marTop w:val="0"/>
      <w:marBottom w:val="0"/>
      <w:divBdr>
        <w:top w:val="none" w:sz="0" w:space="0" w:color="auto"/>
        <w:left w:val="none" w:sz="0" w:space="0" w:color="auto"/>
        <w:bottom w:val="none" w:sz="0" w:space="0" w:color="auto"/>
        <w:right w:val="none" w:sz="0" w:space="0" w:color="auto"/>
      </w:divBdr>
    </w:div>
    <w:div w:id="1789624028">
      <w:bodyDiv w:val="1"/>
      <w:marLeft w:val="0"/>
      <w:marRight w:val="0"/>
      <w:marTop w:val="0"/>
      <w:marBottom w:val="0"/>
      <w:divBdr>
        <w:top w:val="none" w:sz="0" w:space="0" w:color="auto"/>
        <w:left w:val="none" w:sz="0" w:space="0" w:color="auto"/>
        <w:bottom w:val="none" w:sz="0" w:space="0" w:color="auto"/>
        <w:right w:val="none" w:sz="0" w:space="0" w:color="auto"/>
      </w:divBdr>
    </w:div>
    <w:div w:id="2109544278">
      <w:bodyDiv w:val="1"/>
      <w:marLeft w:val="0"/>
      <w:marRight w:val="0"/>
      <w:marTop w:val="0"/>
      <w:marBottom w:val="0"/>
      <w:divBdr>
        <w:top w:val="none" w:sz="0" w:space="0" w:color="auto"/>
        <w:left w:val="none" w:sz="0" w:space="0" w:color="auto"/>
        <w:bottom w:val="none" w:sz="0" w:space="0" w:color="auto"/>
        <w:right w:val="none" w:sz="0" w:space="0" w:color="auto"/>
      </w:divBdr>
      <w:divsChild>
        <w:div w:id="329068227">
          <w:marLeft w:val="0"/>
          <w:marRight w:val="0"/>
          <w:marTop w:val="0"/>
          <w:marBottom w:val="0"/>
          <w:divBdr>
            <w:top w:val="none" w:sz="0" w:space="0" w:color="auto"/>
            <w:left w:val="none" w:sz="0" w:space="0" w:color="auto"/>
            <w:bottom w:val="none" w:sz="0" w:space="0" w:color="auto"/>
            <w:right w:val="none" w:sz="0" w:space="0" w:color="auto"/>
          </w:divBdr>
          <w:divsChild>
            <w:div w:id="25109224">
              <w:marLeft w:val="0"/>
              <w:marRight w:val="0"/>
              <w:marTop w:val="0"/>
              <w:marBottom w:val="0"/>
              <w:divBdr>
                <w:top w:val="none" w:sz="0" w:space="0" w:color="auto"/>
                <w:left w:val="none" w:sz="0" w:space="0" w:color="auto"/>
                <w:bottom w:val="single" w:sz="6" w:space="8" w:color="C9C9C9"/>
                <w:right w:val="none" w:sz="0" w:space="0" w:color="auto"/>
              </w:divBdr>
              <w:divsChild>
                <w:div w:id="327710738">
                  <w:marLeft w:val="0"/>
                  <w:marRight w:val="0"/>
                  <w:marTop w:val="0"/>
                  <w:marBottom w:val="0"/>
                  <w:divBdr>
                    <w:top w:val="none" w:sz="0" w:space="0" w:color="auto"/>
                    <w:left w:val="none" w:sz="0" w:space="0" w:color="auto"/>
                    <w:bottom w:val="none" w:sz="0" w:space="0" w:color="auto"/>
                    <w:right w:val="none" w:sz="0" w:space="0" w:color="auto"/>
                  </w:divBdr>
                </w:div>
                <w:div w:id="441459435">
                  <w:marLeft w:val="0"/>
                  <w:marRight w:val="0"/>
                  <w:marTop w:val="0"/>
                  <w:marBottom w:val="0"/>
                  <w:divBdr>
                    <w:top w:val="none" w:sz="0" w:space="0" w:color="auto"/>
                    <w:left w:val="none" w:sz="0" w:space="0" w:color="auto"/>
                    <w:bottom w:val="none" w:sz="0" w:space="0" w:color="auto"/>
                    <w:right w:val="none" w:sz="0" w:space="0" w:color="auto"/>
                  </w:divBdr>
                  <w:divsChild>
                    <w:div w:id="9251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278">
              <w:marLeft w:val="0"/>
              <w:marRight w:val="0"/>
              <w:marTop w:val="0"/>
              <w:marBottom w:val="0"/>
              <w:divBdr>
                <w:top w:val="none" w:sz="0" w:space="0" w:color="auto"/>
                <w:left w:val="none" w:sz="0" w:space="0" w:color="auto"/>
                <w:bottom w:val="single" w:sz="6" w:space="8" w:color="C9C9C9"/>
                <w:right w:val="none" w:sz="0" w:space="0" w:color="auto"/>
              </w:divBdr>
              <w:divsChild>
                <w:div w:id="1588612111">
                  <w:marLeft w:val="0"/>
                  <w:marRight w:val="0"/>
                  <w:marTop w:val="0"/>
                  <w:marBottom w:val="0"/>
                  <w:divBdr>
                    <w:top w:val="none" w:sz="0" w:space="0" w:color="auto"/>
                    <w:left w:val="none" w:sz="0" w:space="0" w:color="auto"/>
                    <w:bottom w:val="none" w:sz="0" w:space="0" w:color="auto"/>
                    <w:right w:val="none" w:sz="0" w:space="0" w:color="auto"/>
                  </w:divBdr>
                  <w:divsChild>
                    <w:div w:id="119691366">
                      <w:marLeft w:val="0"/>
                      <w:marRight w:val="0"/>
                      <w:marTop w:val="0"/>
                      <w:marBottom w:val="0"/>
                      <w:divBdr>
                        <w:top w:val="none" w:sz="0" w:space="0" w:color="auto"/>
                        <w:left w:val="none" w:sz="0" w:space="0" w:color="auto"/>
                        <w:bottom w:val="none" w:sz="0" w:space="0" w:color="auto"/>
                        <w:right w:val="none" w:sz="0" w:space="0" w:color="auto"/>
                      </w:divBdr>
                    </w:div>
                  </w:divsChild>
                </w:div>
                <w:div w:id="2015185052">
                  <w:marLeft w:val="0"/>
                  <w:marRight w:val="0"/>
                  <w:marTop w:val="0"/>
                  <w:marBottom w:val="0"/>
                  <w:divBdr>
                    <w:top w:val="none" w:sz="0" w:space="0" w:color="auto"/>
                    <w:left w:val="none" w:sz="0" w:space="0" w:color="auto"/>
                    <w:bottom w:val="none" w:sz="0" w:space="0" w:color="auto"/>
                    <w:right w:val="none" w:sz="0" w:space="0" w:color="auto"/>
                  </w:divBdr>
                </w:div>
              </w:divsChild>
            </w:div>
            <w:div w:id="949821963">
              <w:marLeft w:val="0"/>
              <w:marRight w:val="0"/>
              <w:marTop w:val="0"/>
              <w:marBottom w:val="0"/>
              <w:divBdr>
                <w:top w:val="none" w:sz="0" w:space="0" w:color="auto"/>
                <w:left w:val="none" w:sz="0" w:space="0" w:color="auto"/>
                <w:bottom w:val="single" w:sz="6" w:space="8" w:color="C9C9C9"/>
                <w:right w:val="none" w:sz="0" w:space="0" w:color="auto"/>
              </w:divBdr>
              <w:divsChild>
                <w:div w:id="1304699364">
                  <w:marLeft w:val="0"/>
                  <w:marRight w:val="0"/>
                  <w:marTop w:val="0"/>
                  <w:marBottom w:val="0"/>
                  <w:divBdr>
                    <w:top w:val="none" w:sz="0" w:space="0" w:color="auto"/>
                    <w:left w:val="none" w:sz="0" w:space="0" w:color="auto"/>
                    <w:bottom w:val="none" w:sz="0" w:space="0" w:color="auto"/>
                    <w:right w:val="none" w:sz="0" w:space="0" w:color="auto"/>
                  </w:divBdr>
                </w:div>
                <w:div w:id="2089113451">
                  <w:marLeft w:val="0"/>
                  <w:marRight w:val="0"/>
                  <w:marTop w:val="0"/>
                  <w:marBottom w:val="0"/>
                  <w:divBdr>
                    <w:top w:val="none" w:sz="0" w:space="0" w:color="auto"/>
                    <w:left w:val="none" w:sz="0" w:space="0" w:color="auto"/>
                    <w:bottom w:val="none" w:sz="0" w:space="0" w:color="auto"/>
                    <w:right w:val="none" w:sz="0" w:space="0" w:color="auto"/>
                  </w:divBdr>
                  <w:divsChild>
                    <w:div w:id="5053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6474">
              <w:marLeft w:val="0"/>
              <w:marRight w:val="0"/>
              <w:marTop w:val="0"/>
              <w:marBottom w:val="0"/>
              <w:divBdr>
                <w:top w:val="none" w:sz="0" w:space="0" w:color="auto"/>
                <w:left w:val="none" w:sz="0" w:space="0" w:color="auto"/>
                <w:bottom w:val="single" w:sz="6" w:space="8" w:color="C9C9C9"/>
                <w:right w:val="none" w:sz="0" w:space="0" w:color="auto"/>
              </w:divBdr>
              <w:divsChild>
                <w:div w:id="971250178">
                  <w:marLeft w:val="0"/>
                  <w:marRight w:val="0"/>
                  <w:marTop w:val="0"/>
                  <w:marBottom w:val="0"/>
                  <w:divBdr>
                    <w:top w:val="none" w:sz="0" w:space="0" w:color="auto"/>
                    <w:left w:val="none" w:sz="0" w:space="0" w:color="auto"/>
                    <w:bottom w:val="none" w:sz="0" w:space="0" w:color="auto"/>
                    <w:right w:val="none" w:sz="0" w:space="0" w:color="auto"/>
                  </w:divBdr>
                </w:div>
                <w:div w:id="1978417682">
                  <w:marLeft w:val="0"/>
                  <w:marRight w:val="0"/>
                  <w:marTop w:val="0"/>
                  <w:marBottom w:val="0"/>
                  <w:divBdr>
                    <w:top w:val="none" w:sz="0" w:space="0" w:color="auto"/>
                    <w:left w:val="none" w:sz="0" w:space="0" w:color="auto"/>
                    <w:bottom w:val="none" w:sz="0" w:space="0" w:color="auto"/>
                    <w:right w:val="none" w:sz="0" w:space="0" w:color="auto"/>
                  </w:divBdr>
                  <w:divsChild>
                    <w:div w:id="957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516">
              <w:marLeft w:val="0"/>
              <w:marRight w:val="0"/>
              <w:marTop w:val="0"/>
              <w:marBottom w:val="0"/>
              <w:divBdr>
                <w:top w:val="none" w:sz="0" w:space="0" w:color="auto"/>
                <w:left w:val="none" w:sz="0" w:space="0" w:color="auto"/>
                <w:bottom w:val="single" w:sz="6" w:space="8" w:color="C9C9C9"/>
                <w:right w:val="none" w:sz="0" w:space="0" w:color="auto"/>
              </w:divBdr>
              <w:divsChild>
                <w:div w:id="1251043768">
                  <w:marLeft w:val="0"/>
                  <w:marRight w:val="0"/>
                  <w:marTop w:val="0"/>
                  <w:marBottom w:val="0"/>
                  <w:divBdr>
                    <w:top w:val="none" w:sz="0" w:space="0" w:color="auto"/>
                    <w:left w:val="none" w:sz="0" w:space="0" w:color="auto"/>
                    <w:bottom w:val="none" w:sz="0" w:space="0" w:color="auto"/>
                    <w:right w:val="none" w:sz="0" w:space="0" w:color="auto"/>
                  </w:divBdr>
                  <w:divsChild>
                    <w:div w:id="1865748910">
                      <w:marLeft w:val="0"/>
                      <w:marRight w:val="0"/>
                      <w:marTop w:val="0"/>
                      <w:marBottom w:val="0"/>
                      <w:divBdr>
                        <w:top w:val="none" w:sz="0" w:space="0" w:color="auto"/>
                        <w:left w:val="none" w:sz="0" w:space="0" w:color="auto"/>
                        <w:bottom w:val="none" w:sz="0" w:space="0" w:color="auto"/>
                        <w:right w:val="none" w:sz="0" w:space="0" w:color="auto"/>
                      </w:divBdr>
                    </w:div>
                  </w:divsChild>
                </w:div>
                <w:div w:id="1884707188">
                  <w:marLeft w:val="0"/>
                  <w:marRight w:val="0"/>
                  <w:marTop w:val="0"/>
                  <w:marBottom w:val="0"/>
                  <w:divBdr>
                    <w:top w:val="none" w:sz="0" w:space="0" w:color="auto"/>
                    <w:left w:val="none" w:sz="0" w:space="0" w:color="auto"/>
                    <w:bottom w:val="none" w:sz="0" w:space="0" w:color="auto"/>
                    <w:right w:val="none" w:sz="0" w:space="0" w:color="auto"/>
                  </w:divBdr>
                </w:div>
              </w:divsChild>
            </w:div>
            <w:div w:id="1626741475">
              <w:marLeft w:val="0"/>
              <w:marRight w:val="0"/>
              <w:marTop w:val="0"/>
              <w:marBottom w:val="0"/>
              <w:divBdr>
                <w:top w:val="none" w:sz="0" w:space="0" w:color="auto"/>
                <w:left w:val="none" w:sz="0" w:space="0" w:color="auto"/>
                <w:bottom w:val="single" w:sz="6" w:space="8" w:color="C9C9C9"/>
                <w:right w:val="none" w:sz="0" w:space="0" w:color="auto"/>
              </w:divBdr>
              <w:divsChild>
                <w:div w:id="253171760">
                  <w:marLeft w:val="0"/>
                  <w:marRight w:val="0"/>
                  <w:marTop w:val="0"/>
                  <w:marBottom w:val="0"/>
                  <w:divBdr>
                    <w:top w:val="none" w:sz="0" w:space="0" w:color="auto"/>
                    <w:left w:val="none" w:sz="0" w:space="0" w:color="auto"/>
                    <w:bottom w:val="none" w:sz="0" w:space="0" w:color="auto"/>
                    <w:right w:val="none" w:sz="0" w:space="0" w:color="auto"/>
                  </w:divBdr>
                  <w:divsChild>
                    <w:div w:id="334263294">
                      <w:marLeft w:val="0"/>
                      <w:marRight w:val="0"/>
                      <w:marTop w:val="0"/>
                      <w:marBottom w:val="0"/>
                      <w:divBdr>
                        <w:top w:val="none" w:sz="0" w:space="0" w:color="auto"/>
                        <w:left w:val="none" w:sz="0" w:space="0" w:color="auto"/>
                        <w:bottom w:val="none" w:sz="0" w:space="0" w:color="auto"/>
                        <w:right w:val="none" w:sz="0" w:space="0" w:color="auto"/>
                      </w:divBdr>
                    </w:div>
                  </w:divsChild>
                </w:div>
                <w:div w:id="17811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yperlink" Target="http://www.dgm.gov.do/transparencia/index.php/compras-y-contratacion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dgm.gov.do/"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dgm.gov.d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58A8-ADA1-464B-874B-37B3C517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21640</TotalTime>
  <Pages>57</Pages>
  <Words>11757</Words>
  <Characters>67021</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Ing-Fulvio</dc:creator>
  <cp:keywords/>
  <dc:description/>
  <cp:lastModifiedBy>Julio César Ferreira Nuñez</cp:lastModifiedBy>
  <cp:revision>64</cp:revision>
  <cp:lastPrinted>2019-02-13T17:55:00Z</cp:lastPrinted>
  <dcterms:created xsi:type="dcterms:W3CDTF">2019-10-28T16:05:00Z</dcterms:created>
  <dcterms:modified xsi:type="dcterms:W3CDTF">2020-01-09T13:58:00Z</dcterms:modified>
</cp:coreProperties>
</file>