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6D906" w14:textId="77777777" w:rsidR="00BE1BB4" w:rsidRPr="008C3A44" w:rsidRDefault="00BE1BB4" w:rsidP="00BE1BB4">
      <w:pPr>
        <w:pStyle w:val="Prrafodelista"/>
        <w:spacing w:line="480" w:lineRule="auto"/>
        <w:ind w:left="0"/>
        <w:rPr>
          <w:rFonts w:cs="Times New Roman"/>
          <w:b/>
          <w:sz w:val="32"/>
          <w:szCs w:val="32"/>
        </w:rPr>
      </w:pPr>
      <w:r w:rsidRPr="008C3A44">
        <w:rPr>
          <w:rFonts w:cs="Times New Roman"/>
          <w:b/>
          <w:noProof/>
          <w:sz w:val="32"/>
          <w:szCs w:val="32"/>
          <w:lang w:val="es-ES" w:eastAsia="es-ES"/>
        </w:rPr>
        <w:drawing>
          <wp:anchor distT="0" distB="0" distL="114300" distR="114300" simplePos="0" relativeHeight="251657216" behindDoc="0" locked="0" layoutInCell="1" allowOverlap="1" wp14:anchorId="0B4600AF" wp14:editId="1794E4F6">
            <wp:simplePos x="0" y="0"/>
            <wp:positionH relativeFrom="page">
              <wp:align>center</wp:align>
            </wp:positionH>
            <wp:positionV relativeFrom="margin">
              <wp:align>top</wp:align>
            </wp:positionV>
            <wp:extent cx="1143000" cy="1152144"/>
            <wp:effectExtent l="0" t="0" r="0" b="0"/>
            <wp:wrapSquare wrapText="bothSides"/>
            <wp:docPr id="448" name="Imagen 448" descr="C:\Users\bvela\Desktop\Escudo-Domini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vela\Desktop\Escudo-Dominica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52144"/>
                    </a:xfrm>
                    <a:prstGeom prst="rect">
                      <a:avLst/>
                    </a:prstGeom>
                    <a:noFill/>
                    <a:ln>
                      <a:noFill/>
                    </a:ln>
                  </pic:spPr>
                </pic:pic>
              </a:graphicData>
            </a:graphic>
          </wp:anchor>
        </w:drawing>
      </w:r>
    </w:p>
    <w:p w14:paraId="558086EE" w14:textId="77777777" w:rsidR="00BE1BB4" w:rsidRPr="008C3A44" w:rsidRDefault="00BE1BB4" w:rsidP="00BE1BB4">
      <w:pPr>
        <w:rPr>
          <w:rFonts w:cs="Times New Roman"/>
          <w:b/>
          <w:sz w:val="32"/>
          <w:szCs w:val="32"/>
        </w:rPr>
      </w:pPr>
    </w:p>
    <w:p w14:paraId="3EC54ACD" w14:textId="77777777" w:rsidR="00BE1BB4" w:rsidRPr="008C3A44" w:rsidRDefault="00BE1BB4" w:rsidP="00BE1BB4">
      <w:pPr>
        <w:rPr>
          <w:rFonts w:cs="Times New Roman"/>
          <w:b/>
          <w:sz w:val="32"/>
          <w:szCs w:val="32"/>
        </w:rPr>
      </w:pPr>
    </w:p>
    <w:p w14:paraId="31D37B5B" w14:textId="77777777" w:rsidR="00BE1BB4" w:rsidRPr="008C3A44" w:rsidRDefault="00BE1BB4" w:rsidP="00BE1BB4">
      <w:pPr>
        <w:spacing w:after="0" w:line="240" w:lineRule="auto"/>
        <w:jc w:val="center"/>
        <w:rPr>
          <w:rFonts w:cs="Times New Roman"/>
          <w:b/>
          <w:szCs w:val="24"/>
        </w:rPr>
      </w:pPr>
      <w:r w:rsidRPr="008C3A44">
        <w:rPr>
          <w:rFonts w:cs="Times New Roman"/>
          <w:b/>
          <w:szCs w:val="24"/>
        </w:rPr>
        <w:t>República Dominicana</w:t>
      </w:r>
    </w:p>
    <w:p w14:paraId="19302695" w14:textId="77777777" w:rsidR="00BE1BB4" w:rsidRPr="008C3A44" w:rsidRDefault="00BE1BB4" w:rsidP="00BE1BB4">
      <w:pPr>
        <w:spacing w:after="0" w:line="240" w:lineRule="auto"/>
        <w:jc w:val="center"/>
        <w:rPr>
          <w:rFonts w:cs="Times New Roman"/>
          <w:b/>
          <w:szCs w:val="24"/>
        </w:rPr>
      </w:pPr>
      <w:r w:rsidRPr="008C3A44">
        <w:rPr>
          <w:rFonts w:cs="Times New Roman"/>
          <w:b/>
          <w:szCs w:val="24"/>
        </w:rPr>
        <w:t>PROCURADURÍA GENERAL DE LA REPÚBLICA</w:t>
      </w:r>
    </w:p>
    <w:p w14:paraId="6744D168" w14:textId="77777777" w:rsidR="00BE1BB4" w:rsidRPr="008C3A44" w:rsidRDefault="00BE1BB4" w:rsidP="00BE1BB4">
      <w:pPr>
        <w:spacing w:after="0" w:line="240" w:lineRule="auto"/>
        <w:jc w:val="center"/>
        <w:rPr>
          <w:rFonts w:cs="Times New Roman"/>
          <w:b/>
          <w:szCs w:val="24"/>
        </w:rPr>
      </w:pPr>
      <w:r w:rsidRPr="008C3A44">
        <w:rPr>
          <w:rFonts w:cs="Times New Roman"/>
          <w:b/>
          <w:szCs w:val="24"/>
        </w:rPr>
        <w:t>(PGR)</w:t>
      </w:r>
    </w:p>
    <w:p w14:paraId="56227439" w14:textId="77777777" w:rsidR="00BE1BB4" w:rsidRPr="008C3A44" w:rsidRDefault="00BE1BB4" w:rsidP="00BE1BB4">
      <w:pPr>
        <w:pStyle w:val="Prrafodelista"/>
        <w:spacing w:line="480" w:lineRule="auto"/>
        <w:ind w:left="0"/>
        <w:rPr>
          <w:rFonts w:cs="Times New Roman"/>
          <w:b/>
          <w:sz w:val="32"/>
          <w:szCs w:val="32"/>
        </w:rPr>
      </w:pPr>
    </w:p>
    <w:p w14:paraId="02D188B3" w14:textId="77777777" w:rsidR="00BE1BB4" w:rsidRPr="008C3A44" w:rsidRDefault="00BE1BB4" w:rsidP="00BE1BB4">
      <w:pPr>
        <w:pStyle w:val="Prrafodelista"/>
        <w:spacing w:line="480" w:lineRule="auto"/>
        <w:ind w:left="0"/>
        <w:rPr>
          <w:rFonts w:cs="Times New Roman"/>
          <w:b/>
          <w:sz w:val="32"/>
          <w:szCs w:val="32"/>
        </w:rPr>
      </w:pPr>
    </w:p>
    <w:p w14:paraId="3B75F446" w14:textId="77777777" w:rsidR="00BE1BB4" w:rsidRPr="008C3A44" w:rsidRDefault="00BE1BB4" w:rsidP="00BE1BB4">
      <w:pPr>
        <w:pStyle w:val="Prrafodelista"/>
        <w:spacing w:line="480" w:lineRule="auto"/>
        <w:ind w:left="0"/>
        <w:rPr>
          <w:rFonts w:cs="Times New Roman"/>
          <w:b/>
          <w:sz w:val="32"/>
          <w:szCs w:val="32"/>
        </w:rPr>
      </w:pPr>
    </w:p>
    <w:p w14:paraId="3728F295" w14:textId="77777777" w:rsidR="00BE1BB4" w:rsidRDefault="00BE1BB4" w:rsidP="00BE1BB4">
      <w:pPr>
        <w:pStyle w:val="Prrafodelista"/>
        <w:spacing w:line="480" w:lineRule="auto"/>
        <w:ind w:left="0"/>
        <w:rPr>
          <w:rFonts w:cs="Times New Roman"/>
          <w:b/>
          <w:sz w:val="32"/>
          <w:szCs w:val="32"/>
        </w:rPr>
      </w:pPr>
    </w:p>
    <w:p w14:paraId="38EEFDBE" w14:textId="77777777" w:rsidR="00F5758C" w:rsidRPr="008C3A44" w:rsidRDefault="00F5758C" w:rsidP="00BE1BB4">
      <w:pPr>
        <w:pStyle w:val="Prrafodelista"/>
        <w:spacing w:line="480" w:lineRule="auto"/>
        <w:ind w:left="0"/>
        <w:rPr>
          <w:rFonts w:cs="Times New Roman"/>
          <w:b/>
          <w:sz w:val="32"/>
          <w:szCs w:val="32"/>
        </w:rPr>
      </w:pPr>
    </w:p>
    <w:p w14:paraId="43894408" w14:textId="77777777" w:rsidR="00BE1BB4" w:rsidRPr="008C3A44" w:rsidRDefault="00BE1BB4" w:rsidP="00BE1BB4">
      <w:pPr>
        <w:pStyle w:val="Prrafodelista"/>
        <w:spacing w:line="480" w:lineRule="auto"/>
        <w:ind w:left="0"/>
        <w:rPr>
          <w:rFonts w:cs="Times New Roman"/>
          <w:b/>
          <w:sz w:val="32"/>
          <w:szCs w:val="32"/>
        </w:rPr>
      </w:pPr>
    </w:p>
    <w:p w14:paraId="0403B0DD" w14:textId="77777777" w:rsidR="00BE1BB4" w:rsidRDefault="00D521EE" w:rsidP="00BE1BB4">
      <w:pPr>
        <w:pStyle w:val="Prrafodelista"/>
        <w:spacing w:line="480" w:lineRule="auto"/>
        <w:ind w:left="0"/>
        <w:jc w:val="center"/>
        <w:rPr>
          <w:rFonts w:cs="Times New Roman"/>
          <w:b/>
          <w:sz w:val="32"/>
          <w:szCs w:val="32"/>
        </w:rPr>
      </w:pPr>
      <w:r>
        <w:rPr>
          <w:rFonts w:cs="Times New Roman"/>
          <w:b/>
          <w:sz w:val="32"/>
          <w:szCs w:val="32"/>
        </w:rPr>
        <w:t>MEMORIA INSTITUCIONAL</w:t>
      </w:r>
      <w:r w:rsidR="00334CF5">
        <w:rPr>
          <w:rFonts w:cs="Times New Roman"/>
          <w:b/>
          <w:sz w:val="32"/>
          <w:szCs w:val="32"/>
        </w:rPr>
        <w:t xml:space="preserve"> 2019</w:t>
      </w:r>
    </w:p>
    <w:p w14:paraId="1CA4CC7A" w14:textId="77777777" w:rsidR="00BE1BB4" w:rsidRPr="008C3A44" w:rsidRDefault="00BE1BB4" w:rsidP="00BE1BB4">
      <w:pPr>
        <w:pStyle w:val="Prrafodelista"/>
        <w:spacing w:line="480" w:lineRule="auto"/>
        <w:ind w:left="0"/>
        <w:rPr>
          <w:rFonts w:cs="Times New Roman"/>
          <w:b/>
          <w:sz w:val="32"/>
          <w:szCs w:val="32"/>
        </w:rPr>
      </w:pPr>
    </w:p>
    <w:p w14:paraId="79453504" w14:textId="77777777" w:rsidR="00BE1BB4" w:rsidRPr="008C3A44" w:rsidRDefault="00BE1BB4" w:rsidP="00BE1BB4">
      <w:pPr>
        <w:pStyle w:val="Prrafodelista"/>
        <w:spacing w:line="480" w:lineRule="auto"/>
        <w:ind w:left="0"/>
        <w:rPr>
          <w:rFonts w:cs="Times New Roman"/>
          <w:b/>
          <w:sz w:val="32"/>
          <w:szCs w:val="32"/>
        </w:rPr>
      </w:pPr>
    </w:p>
    <w:p w14:paraId="6F0FCC57" w14:textId="77777777" w:rsidR="00BE1BB4" w:rsidRPr="008C3A44" w:rsidRDefault="00BE1BB4" w:rsidP="00BE1BB4">
      <w:pPr>
        <w:pStyle w:val="Prrafodelista"/>
        <w:spacing w:line="480" w:lineRule="auto"/>
        <w:ind w:left="0"/>
        <w:rPr>
          <w:rFonts w:cs="Times New Roman"/>
          <w:b/>
          <w:sz w:val="32"/>
          <w:szCs w:val="32"/>
        </w:rPr>
      </w:pPr>
    </w:p>
    <w:p w14:paraId="4C1F2967" w14:textId="77777777" w:rsidR="00ED7216" w:rsidRDefault="00ED7216" w:rsidP="00BE1BB4">
      <w:pPr>
        <w:pStyle w:val="Prrafodelista"/>
        <w:spacing w:line="480" w:lineRule="auto"/>
        <w:ind w:left="0"/>
        <w:rPr>
          <w:rFonts w:cs="Times New Roman"/>
          <w:b/>
          <w:sz w:val="32"/>
          <w:szCs w:val="32"/>
        </w:rPr>
      </w:pPr>
    </w:p>
    <w:p w14:paraId="628441BD" w14:textId="77777777" w:rsidR="00ED7216" w:rsidRDefault="00ED7216">
      <w:pPr>
        <w:rPr>
          <w:rFonts w:cs="Times New Roman"/>
          <w:b/>
          <w:sz w:val="32"/>
          <w:szCs w:val="32"/>
        </w:rPr>
      </w:pPr>
      <w:r>
        <w:rPr>
          <w:rFonts w:cs="Times New Roman"/>
          <w:b/>
          <w:sz w:val="32"/>
          <w:szCs w:val="32"/>
        </w:rPr>
        <w:br w:type="page"/>
      </w:r>
    </w:p>
    <w:p w14:paraId="06DACA07" w14:textId="77777777" w:rsidR="005F7C6F" w:rsidRDefault="005F7C6F">
      <w:pPr>
        <w:rPr>
          <w:rFonts w:cs="Times New Roman"/>
          <w:b/>
          <w:sz w:val="32"/>
          <w:szCs w:val="32"/>
        </w:rPr>
        <w:sectPr w:rsidR="005F7C6F" w:rsidSect="00FC6959">
          <w:footerReference w:type="default" r:id="rId9"/>
          <w:pgSz w:w="11906" w:h="16838"/>
          <w:pgMar w:top="1417" w:right="1701" w:bottom="1417" w:left="1701" w:header="708" w:footer="708" w:gutter="0"/>
          <w:cols w:space="708"/>
          <w:docGrid w:linePitch="360"/>
        </w:sectPr>
      </w:pPr>
    </w:p>
    <w:sdt>
      <w:sdtPr>
        <w:rPr>
          <w:b/>
          <w:lang w:val="es-ES"/>
        </w:rPr>
        <w:id w:val="608319775"/>
        <w:docPartObj>
          <w:docPartGallery w:val="Table of Contents"/>
          <w:docPartUnique/>
        </w:docPartObj>
      </w:sdtPr>
      <w:sdtEndPr>
        <w:rPr>
          <w:bCs/>
        </w:rPr>
      </w:sdtEndPr>
      <w:sdtContent>
        <w:p w14:paraId="12852445" w14:textId="77777777" w:rsidR="00247A37" w:rsidRPr="000664B6" w:rsidRDefault="00247A37" w:rsidP="00247A37">
          <w:pPr>
            <w:rPr>
              <w:rFonts w:cs="Times New Roman"/>
              <w:b/>
              <w:sz w:val="36"/>
              <w:szCs w:val="36"/>
            </w:rPr>
          </w:pPr>
          <w:r w:rsidRPr="000664B6">
            <w:rPr>
              <w:rFonts w:cs="Times New Roman"/>
              <w:b/>
              <w:sz w:val="36"/>
              <w:szCs w:val="36"/>
            </w:rPr>
            <w:t>Índice Contenido</w:t>
          </w:r>
        </w:p>
        <w:p w14:paraId="13C267F5" w14:textId="77777777" w:rsidR="00502D8F" w:rsidRPr="00502D8F" w:rsidRDefault="00247A37">
          <w:pPr>
            <w:pStyle w:val="TDC1"/>
            <w:rPr>
              <w:rFonts w:asciiTheme="minorHAnsi" w:eastAsiaTheme="minorEastAsia" w:hAnsiTheme="minorHAnsi" w:cstheme="minorBidi"/>
              <w:b/>
              <w:noProof/>
              <w:color w:val="auto"/>
              <w:sz w:val="22"/>
              <w:szCs w:val="22"/>
              <w:lang w:val="es-ES"/>
            </w:rPr>
          </w:pPr>
          <w:r w:rsidRPr="00502D8F">
            <w:rPr>
              <w:rFonts w:ascii="Times New Roman" w:hAnsi="Times New Roman"/>
              <w:b/>
            </w:rPr>
            <w:fldChar w:fldCharType="begin"/>
          </w:r>
          <w:r w:rsidRPr="00502D8F">
            <w:rPr>
              <w:rFonts w:ascii="Times New Roman" w:hAnsi="Times New Roman"/>
              <w:b/>
            </w:rPr>
            <w:instrText xml:space="preserve"> TOC \o "1-3" \h \z \u </w:instrText>
          </w:r>
          <w:r w:rsidRPr="00502D8F">
            <w:rPr>
              <w:rFonts w:ascii="Times New Roman" w:hAnsi="Times New Roman"/>
              <w:b/>
            </w:rPr>
            <w:fldChar w:fldCharType="separate"/>
          </w:r>
          <w:hyperlink w:anchor="_Toc29891689" w:history="1">
            <w:r w:rsidR="00502D8F" w:rsidRPr="00502D8F">
              <w:rPr>
                <w:rStyle w:val="Hipervnculo"/>
                <w:b/>
                <w:noProof/>
              </w:rPr>
              <w:t>I.</w:t>
            </w:r>
            <w:r w:rsidR="00502D8F" w:rsidRPr="00502D8F">
              <w:rPr>
                <w:rFonts w:asciiTheme="minorHAnsi" w:eastAsiaTheme="minorEastAsia" w:hAnsiTheme="minorHAnsi" w:cstheme="minorBidi"/>
                <w:b/>
                <w:noProof/>
                <w:color w:val="auto"/>
                <w:sz w:val="22"/>
                <w:szCs w:val="22"/>
                <w:lang w:val="es-ES"/>
              </w:rPr>
              <w:tab/>
            </w:r>
            <w:r w:rsidR="00502D8F" w:rsidRPr="00502D8F">
              <w:rPr>
                <w:rStyle w:val="Hipervnculo"/>
                <w:b/>
                <w:noProof/>
              </w:rPr>
              <w:t>RESUMEN EJECUTIVO</w:t>
            </w:r>
            <w:r w:rsidR="00502D8F" w:rsidRPr="00502D8F">
              <w:rPr>
                <w:b/>
                <w:noProof/>
                <w:webHidden/>
              </w:rPr>
              <w:tab/>
            </w:r>
            <w:r w:rsidR="00502D8F" w:rsidRPr="00502D8F">
              <w:rPr>
                <w:b/>
                <w:noProof/>
                <w:webHidden/>
              </w:rPr>
              <w:fldChar w:fldCharType="begin"/>
            </w:r>
            <w:r w:rsidR="00502D8F" w:rsidRPr="00502D8F">
              <w:rPr>
                <w:b/>
                <w:noProof/>
                <w:webHidden/>
              </w:rPr>
              <w:instrText xml:space="preserve"> PAGEREF _Toc29891689 \h </w:instrText>
            </w:r>
            <w:r w:rsidR="00502D8F" w:rsidRPr="00502D8F">
              <w:rPr>
                <w:b/>
                <w:noProof/>
                <w:webHidden/>
              </w:rPr>
            </w:r>
            <w:r w:rsidR="00502D8F" w:rsidRPr="00502D8F">
              <w:rPr>
                <w:b/>
                <w:noProof/>
                <w:webHidden/>
              </w:rPr>
              <w:fldChar w:fldCharType="separate"/>
            </w:r>
            <w:r w:rsidR="00502D8F" w:rsidRPr="00502D8F">
              <w:rPr>
                <w:b/>
                <w:noProof/>
                <w:webHidden/>
              </w:rPr>
              <w:t>2</w:t>
            </w:r>
            <w:r w:rsidR="00502D8F" w:rsidRPr="00502D8F">
              <w:rPr>
                <w:b/>
                <w:noProof/>
                <w:webHidden/>
              </w:rPr>
              <w:fldChar w:fldCharType="end"/>
            </w:r>
          </w:hyperlink>
        </w:p>
        <w:p w14:paraId="241AF04E"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0" w:history="1">
            <w:r w:rsidRPr="00502D8F">
              <w:rPr>
                <w:rStyle w:val="Hipervnculo"/>
                <w:b/>
                <w:noProof/>
              </w:rPr>
              <w:t>II.</w:t>
            </w:r>
            <w:r w:rsidRPr="00502D8F">
              <w:rPr>
                <w:rFonts w:asciiTheme="minorHAnsi" w:eastAsiaTheme="minorEastAsia" w:hAnsiTheme="minorHAnsi" w:cstheme="minorBidi"/>
                <w:b/>
                <w:noProof/>
                <w:color w:val="auto"/>
                <w:sz w:val="22"/>
                <w:szCs w:val="22"/>
                <w:lang w:val="es-ES"/>
              </w:rPr>
              <w:tab/>
            </w:r>
            <w:r w:rsidRPr="00502D8F">
              <w:rPr>
                <w:rStyle w:val="Hipervnculo"/>
                <w:b/>
                <w:noProof/>
              </w:rPr>
              <w:t>INFORMACIÓN INSTITUCIONAL</w:t>
            </w:r>
            <w:r w:rsidRPr="00502D8F">
              <w:rPr>
                <w:b/>
                <w:noProof/>
                <w:webHidden/>
              </w:rPr>
              <w:tab/>
            </w:r>
            <w:r w:rsidRPr="00502D8F">
              <w:rPr>
                <w:b/>
                <w:noProof/>
                <w:webHidden/>
              </w:rPr>
              <w:fldChar w:fldCharType="begin"/>
            </w:r>
            <w:r w:rsidRPr="00502D8F">
              <w:rPr>
                <w:b/>
                <w:noProof/>
                <w:webHidden/>
              </w:rPr>
              <w:instrText xml:space="preserve"> PAGEREF _Toc29891690 \h </w:instrText>
            </w:r>
            <w:r w:rsidRPr="00502D8F">
              <w:rPr>
                <w:b/>
                <w:noProof/>
                <w:webHidden/>
              </w:rPr>
            </w:r>
            <w:r w:rsidRPr="00502D8F">
              <w:rPr>
                <w:b/>
                <w:noProof/>
                <w:webHidden/>
              </w:rPr>
              <w:fldChar w:fldCharType="separate"/>
            </w:r>
            <w:r w:rsidRPr="00502D8F">
              <w:rPr>
                <w:b/>
                <w:noProof/>
                <w:webHidden/>
              </w:rPr>
              <w:t>9</w:t>
            </w:r>
            <w:r w:rsidRPr="00502D8F">
              <w:rPr>
                <w:b/>
                <w:noProof/>
                <w:webHidden/>
              </w:rPr>
              <w:fldChar w:fldCharType="end"/>
            </w:r>
          </w:hyperlink>
        </w:p>
        <w:p w14:paraId="3881B30F"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1" w:history="1">
            <w:r w:rsidRPr="00502D8F">
              <w:rPr>
                <w:rStyle w:val="Hipervnculo"/>
                <w:b/>
                <w:noProof/>
              </w:rPr>
              <w:t>a.</w:t>
            </w:r>
            <w:r w:rsidRPr="00502D8F">
              <w:rPr>
                <w:rFonts w:asciiTheme="minorHAnsi" w:eastAsiaTheme="minorEastAsia" w:hAnsiTheme="minorHAnsi" w:cstheme="minorBidi"/>
                <w:b/>
                <w:noProof/>
                <w:color w:val="auto"/>
                <w:sz w:val="22"/>
                <w:szCs w:val="22"/>
                <w:lang w:val="es-ES"/>
              </w:rPr>
              <w:tab/>
            </w:r>
            <w:r w:rsidRPr="00502D8F">
              <w:rPr>
                <w:rStyle w:val="Hipervnculo"/>
                <w:b/>
                <w:noProof/>
              </w:rPr>
              <w:t>Misión y Visión</w:t>
            </w:r>
            <w:r w:rsidRPr="00502D8F">
              <w:rPr>
                <w:b/>
                <w:noProof/>
                <w:webHidden/>
              </w:rPr>
              <w:tab/>
            </w:r>
            <w:r w:rsidRPr="00502D8F">
              <w:rPr>
                <w:b/>
                <w:noProof/>
                <w:webHidden/>
              </w:rPr>
              <w:fldChar w:fldCharType="begin"/>
            </w:r>
            <w:r w:rsidRPr="00502D8F">
              <w:rPr>
                <w:b/>
                <w:noProof/>
                <w:webHidden/>
              </w:rPr>
              <w:instrText xml:space="preserve"> PAGEREF _Toc29891691 \h </w:instrText>
            </w:r>
            <w:r w:rsidRPr="00502D8F">
              <w:rPr>
                <w:b/>
                <w:noProof/>
                <w:webHidden/>
              </w:rPr>
            </w:r>
            <w:r w:rsidRPr="00502D8F">
              <w:rPr>
                <w:b/>
                <w:noProof/>
                <w:webHidden/>
              </w:rPr>
              <w:fldChar w:fldCharType="separate"/>
            </w:r>
            <w:r w:rsidRPr="00502D8F">
              <w:rPr>
                <w:b/>
                <w:noProof/>
                <w:webHidden/>
              </w:rPr>
              <w:t>9</w:t>
            </w:r>
            <w:r w:rsidRPr="00502D8F">
              <w:rPr>
                <w:b/>
                <w:noProof/>
                <w:webHidden/>
              </w:rPr>
              <w:fldChar w:fldCharType="end"/>
            </w:r>
          </w:hyperlink>
        </w:p>
        <w:p w14:paraId="62BF0E4E"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2" w:history="1">
            <w:r w:rsidRPr="00502D8F">
              <w:rPr>
                <w:rStyle w:val="Hipervnculo"/>
                <w:b/>
                <w:noProof/>
              </w:rPr>
              <w:t>b.</w:t>
            </w:r>
            <w:r w:rsidRPr="00502D8F">
              <w:rPr>
                <w:rFonts w:asciiTheme="minorHAnsi" w:eastAsiaTheme="minorEastAsia" w:hAnsiTheme="minorHAnsi" w:cstheme="minorBidi"/>
                <w:b/>
                <w:noProof/>
                <w:color w:val="auto"/>
                <w:sz w:val="22"/>
                <w:szCs w:val="22"/>
                <w:lang w:val="es-ES"/>
              </w:rPr>
              <w:tab/>
            </w:r>
            <w:r w:rsidRPr="00502D8F">
              <w:rPr>
                <w:rStyle w:val="Hipervnculo"/>
                <w:b/>
                <w:noProof/>
              </w:rPr>
              <w:t>Principales Funcionarios</w:t>
            </w:r>
            <w:r w:rsidRPr="00502D8F">
              <w:rPr>
                <w:b/>
                <w:noProof/>
                <w:webHidden/>
              </w:rPr>
              <w:tab/>
            </w:r>
            <w:r w:rsidRPr="00502D8F">
              <w:rPr>
                <w:b/>
                <w:noProof/>
                <w:webHidden/>
              </w:rPr>
              <w:fldChar w:fldCharType="begin"/>
            </w:r>
            <w:r w:rsidRPr="00502D8F">
              <w:rPr>
                <w:b/>
                <w:noProof/>
                <w:webHidden/>
              </w:rPr>
              <w:instrText xml:space="preserve"> PAGEREF _Toc29891692 \h </w:instrText>
            </w:r>
            <w:r w:rsidRPr="00502D8F">
              <w:rPr>
                <w:b/>
                <w:noProof/>
                <w:webHidden/>
              </w:rPr>
            </w:r>
            <w:r w:rsidRPr="00502D8F">
              <w:rPr>
                <w:b/>
                <w:noProof/>
                <w:webHidden/>
              </w:rPr>
              <w:fldChar w:fldCharType="separate"/>
            </w:r>
            <w:r w:rsidRPr="00502D8F">
              <w:rPr>
                <w:b/>
                <w:noProof/>
                <w:webHidden/>
              </w:rPr>
              <w:t>9</w:t>
            </w:r>
            <w:r w:rsidRPr="00502D8F">
              <w:rPr>
                <w:b/>
                <w:noProof/>
                <w:webHidden/>
              </w:rPr>
              <w:fldChar w:fldCharType="end"/>
            </w:r>
          </w:hyperlink>
        </w:p>
        <w:p w14:paraId="5694A798"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3" w:history="1">
            <w:r w:rsidRPr="00502D8F">
              <w:rPr>
                <w:rStyle w:val="Hipervnculo"/>
                <w:b/>
                <w:noProof/>
              </w:rPr>
              <w:t>c.</w:t>
            </w:r>
            <w:r w:rsidRPr="00502D8F">
              <w:rPr>
                <w:rFonts w:asciiTheme="minorHAnsi" w:eastAsiaTheme="minorEastAsia" w:hAnsiTheme="minorHAnsi" w:cstheme="minorBidi"/>
                <w:b/>
                <w:noProof/>
                <w:color w:val="auto"/>
                <w:sz w:val="22"/>
                <w:szCs w:val="22"/>
                <w:lang w:val="es-ES"/>
              </w:rPr>
              <w:tab/>
            </w:r>
            <w:r w:rsidRPr="00502D8F">
              <w:rPr>
                <w:rStyle w:val="Hipervnculo"/>
                <w:b/>
                <w:noProof/>
              </w:rPr>
              <w:t>Base Legal:</w:t>
            </w:r>
            <w:r w:rsidRPr="00502D8F">
              <w:rPr>
                <w:b/>
                <w:noProof/>
                <w:webHidden/>
              </w:rPr>
              <w:tab/>
            </w:r>
            <w:r w:rsidRPr="00502D8F">
              <w:rPr>
                <w:b/>
                <w:noProof/>
                <w:webHidden/>
              </w:rPr>
              <w:fldChar w:fldCharType="begin"/>
            </w:r>
            <w:r w:rsidRPr="00502D8F">
              <w:rPr>
                <w:b/>
                <w:noProof/>
                <w:webHidden/>
              </w:rPr>
              <w:instrText xml:space="preserve"> PAGEREF _Toc29891693 \h </w:instrText>
            </w:r>
            <w:r w:rsidRPr="00502D8F">
              <w:rPr>
                <w:b/>
                <w:noProof/>
                <w:webHidden/>
              </w:rPr>
            </w:r>
            <w:r w:rsidRPr="00502D8F">
              <w:rPr>
                <w:b/>
                <w:noProof/>
                <w:webHidden/>
              </w:rPr>
              <w:fldChar w:fldCharType="separate"/>
            </w:r>
            <w:r w:rsidRPr="00502D8F">
              <w:rPr>
                <w:b/>
                <w:noProof/>
                <w:webHidden/>
              </w:rPr>
              <w:t>15</w:t>
            </w:r>
            <w:r w:rsidRPr="00502D8F">
              <w:rPr>
                <w:b/>
                <w:noProof/>
                <w:webHidden/>
              </w:rPr>
              <w:fldChar w:fldCharType="end"/>
            </w:r>
          </w:hyperlink>
        </w:p>
        <w:p w14:paraId="1FEE4338"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4" w:history="1">
            <w:r w:rsidRPr="00502D8F">
              <w:rPr>
                <w:rStyle w:val="Hipervnculo"/>
                <w:b/>
                <w:noProof/>
              </w:rPr>
              <w:t>III.</w:t>
            </w:r>
            <w:r w:rsidRPr="00502D8F">
              <w:rPr>
                <w:rFonts w:asciiTheme="minorHAnsi" w:eastAsiaTheme="minorEastAsia" w:hAnsiTheme="minorHAnsi" w:cstheme="minorBidi"/>
                <w:b/>
                <w:noProof/>
                <w:color w:val="auto"/>
                <w:sz w:val="22"/>
                <w:szCs w:val="22"/>
                <w:lang w:val="es-ES"/>
              </w:rPr>
              <w:tab/>
            </w:r>
            <w:r w:rsidRPr="00502D8F">
              <w:rPr>
                <w:rStyle w:val="Hipervnculo"/>
                <w:b/>
                <w:noProof/>
              </w:rPr>
              <w:t>RESULTADOS DE LA GESTIÓN</w:t>
            </w:r>
            <w:r w:rsidRPr="00502D8F">
              <w:rPr>
                <w:b/>
                <w:noProof/>
                <w:webHidden/>
              </w:rPr>
              <w:tab/>
            </w:r>
            <w:r w:rsidRPr="00502D8F">
              <w:rPr>
                <w:b/>
                <w:noProof/>
                <w:webHidden/>
              </w:rPr>
              <w:fldChar w:fldCharType="begin"/>
            </w:r>
            <w:r w:rsidRPr="00502D8F">
              <w:rPr>
                <w:b/>
                <w:noProof/>
                <w:webHidden/>
              </w:rPr>
              <w:instrText xml:space="preserve"> PAGEREF _Toc29891694 \h </w:instrText>
            </w:r>
            <w:r w:rsidRPr="00502D8F">
              <w:rPr>
                <w:b/>
                <w:noProof/>
                <w:webHidden/>
              </w:rPr>
            </w:r>
            <w:r w:rsidRPr="00502D8F">
              <w:rPr>
                <w:b/>
                <w:noProof/>
                <w:webHidden/>
              </w:rPr>
              <w:fldChar w:fldCharType="separate"/>
            </w:r>
            <w:r w:rsidRPr="00502D8F">
              <w:rPr>
                <w:b/>
                <w:noProof/>
                <w:webHidden/>
              </w:rPr>
              <w:t>17</w:t>
            </w:r>
            <w:r w:rsidRPr="00502D8F">
              <w:rPr>
                <w:b/>
                <w:noProof/>
                <w:webHidden/>
              </w:rPr>
              <w:fldChar w:fldCharType="end"/>
            </w:r>
          </w:hyperlink>
        </w:p>
        <w:p w14:paraId="12957C62"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5" w:history="1">
            <w:r w:rsidRPr="00502D8F">
              <w:rPr>
                <w:rStyle w:val="Hipervnculo"/>
                <w:b/>
                <w:noProof/>
              </w:rPr>
              <w:t>a.</w:t>
            </w:r>
            <w:r w:rsidRPr="00502D8F">
              <w:rPr>
                <w:rFonts w:asciiTheme="minorHAnsi" w:eastAsiaTheme="minorEastAsia" w:hAnsiTheme="minorHAnsi" w:cstheme="minorBidi"/>
                <w:b/>
                <w:noProof/>
                <w:color w:val="auto"/>
                <w:sz w:val="22"/>
                <w:szCs w:val="22"/>
                <w:lang w:val="es-ES"/>
              </w:rPr>
              <w:tab/>
            </w:r>
            <w:r w:rsidRPr="00502D8F">
              <w:rPr>
                <w:rStyle w:val="Hipervnculo"/>
                <w:b/>
                <w:noProof/>
              </w:rPr>
              <w:t>Humanización del Sistema Penitenciario</w:t>
            </w:r>
            <w:r w:rsidRPr="00502D8F">
              <w:rPr>
                <w:b/>
                <w:noProof/>
                <w:webHidden/>
              </w:rPr>
              <w:tab/>
            </w:r>
            <w:r w:rsidRPr="00502D8F">
              <w:rPr>
                <w:b/>
                <w:noProof/>
                <w:webHidden/>
              </w:rPr>
              <w:fldChar w:fldCharType="begin"/>
            </w:r>
            <w:r w:rsidRPr="00502D8F">
              <w:rPr>
                <w:b/>
                <w:noProof/>
                <w:webHidden/>
              </w:rPr>
              <w:instrText xml:space="preserve"> PAGEREF _Toc29891695 \h </w:instrText>
            </w:r>
            <w:r w:rsidRPr="00502D8F">
              <w:rPr>
                <w:b/>
                <w:noProof/>
                <w:webHidden/>
              </w:rPr>
            </w:r>
            <w:r w:rsidRPr="00502D8F">
              <w:rPr>
                <w:b/>
                <w:noProof/>
                <w:webHidden/>
              </w:rPr>
              <w:fldChar w:fldCharType="separate"/>
            </w:r>
            <w:r w:rsidRPr="00502D8F">
              <w:rPr>
                <w:b/>
                <w:noProof/>
                <w:webHidden/>
              </w:rPr>
              <w:t>17</w:t>
            </w:r>
            <w:r w:rsidRPr="00502D8F">
              <w:rPr>
                <w:b/>
                <w:noProof/>
                <w:webHidden/>
              </w:rPr>
              <w:fldChar w:fldCharType="end"/>
            </w:r>
          </w:hyperlink>
        </w:p>
        <w:p w14:paraId="0BD1888E"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6" w:history="1">
            <w:r w:rsidRPr="00502D8F">
              <w:rPr>
                <w:rStyle w:val="Hipervnculo"/>
                <w:b/>
                <w:noProof/>
              </w:rPr>
              <w:t>b.</w:t>
            </w:r>
            <w:r w:rsidRPr="00502D8F">
              <w:rPr>
                <w:rFonts w:asciiTheme="minorHAnsi" w:eastAsiaTheme="minorEastAsia" w:hAnsiTheme="minorHAnsi" w:cstheme="minorBidi"/>
                <w:b/>
                <w:noProof/>
                <w:color w:val="auto"/>
                <w:sz w:val="22"/>
                <w:szCs w:val="22"/>
                <w:lang w:val="es-ES"/>
              </w:rPr>
              <w:tab/>
            </w:r>
            <w:r w:rsidRPr="00502D8F">
              <w:rPr>
                <w:rStyle w:val="Hipervnculo"/>
                <w:b/>
                <w:noProof/>
              </w:rPr>
              <w:t>Plan Nacional Contra la Violencia de Género</w:t>
            </w:r>
            <w:r w:rsidRPr="00502D8F">
              <w:rPr>
                <w:b/>
                <w:noProof/>
                <w:webHidden/>
              </w:rPr>
              <w:tab/>
            </w:r>
            <w:r w:rsidRPr="00502D8F">
              <w:rPr>
                <w:b/>
                <w:noProof/>
                <w:webHidden/>
              </w:rPr>
              <w:fldChar w:fldCharType="begin"/>
            </w:r>
            <w:r w:rsidRPr="00502D8F">
              <w:rPr>
                <w:b/>
                <w:noProof/>
                <w:webHidden/>
              </w:rPr>
              <w:instrText xml:space="preserve"> PAGEREF _Toc29891696 \h </w:instrText>
            </w:r>
            <w:r w:rsidRPr="00502D8F">
              <w:rPr>
                <w:b/>
                <w:noProof/>
                <w:webHidden/>
              </w:rPr>
            </w:r>
            <w:r w:rsidRPr="00502D8F">
              <w:rPr>
                <w:b/>
                <w:noProof/>
                <w:webHidden/>
              </w:rPr>
              <w:fldChar w:fldCharType="separate"/>
            </w:r>
            <w:r w:rsidRPr="00502D8F">
              <w:rPr>
                <w:b/>
                <w:noProof/>
                <w:webHidden/>
              </w:rPr>
              <w:t>19</w:t>
            </w:r>
            <w:r w:rsidRPr="00502D8F">
              <w:rPr>
                <w:b/>
                <w:noProof/>
                <w:webHidden/>
              </w:rPr>
              <w:fldChar w:fldCharType="end"/>
            </w:r>
          </w:hyperlink>
        </w:p>
        <w:p w14:paraId="007077F9"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7" w:history="1">
            <w:r w:rsidRPr="00502D8F">
              <w:rPr>
                <w:rStyle w:val="Hipervnculo"/>
                <w:b/>
                <w:noProof/>
              </w:rPr>
              <w:t>c.</w:t>
            </w:r>
            <w:r w:rsidRPr="00502D8F">
              <w:rPr>
                <w:rFonts w:asciiTheme="minorHAnsi" w:eastAsiaTheme="minorEastAsia" w:hAnsiTheme="minorHAnsi" w:cstheme="minorBidi"/>
                <w:b/>
                <w:noProof/>
                <w:color w:val="auto"/>
                <w:sz w:val="22"/>
                <w:szCs w:val="22"/>
                <w:lang w:val="es-ES"/>
              </w:rPr>
              <w:tab/>
            </w:r>
            <w:r w:rsidRPr="00502D8F">
              <w:rPr>
                <w:rStyle w:val="Hipervnculo"/>
                <w:b/>
                <w:noProof/>
              </w:rPr>
              <w:t>Lucha contra la criminalidad</w:t>
            </w:r>
            <w:r w:rsidRPr="00502D8F">
              <w:rPr>
                <w:b/>
                <w:noProof/>
                <w:webHidden/>
              </w:rPr>
              <w:tab/>
            </w:r>
            <w:r w:rsidRPr="00502D8F">
              <w:rPr>
                <w:b/>
                <w:noProof/>
                <w:webHidden/>
              </w:rPr>
              <w:fldChar w:fldCharType="begin"/>
            </w:r>
            <w:r w:rsidRPr="00502D8F">
              <w:rPr>
                <w:b/>
                <w:noProof/>
                <w:webHidden/>
              </w:rPr>
              <w:instrText xml:space="preserve"> PAGEREF _Toc29891697 \h </w:instrText>
            </w:r>
            <w:r w:rsidRPr="00502D8F">
              <w:rPr>
                <w:b/>
                <w:noProof/>
                <w:webHidden/>
              </w:rPr>
            </w:r>
            <w:r w:rsidRPr="00502D8F">
              <w:rPr>
                <w:b/>
                <w:noProof/>
                <w:webHidden/>
              </w:rPr>
              <w:fldChar w:fldCharType="separate"/>
            </w:r>
            <w:r w:rsidRPr="00502D8F">
              <w:rPr>
                <w:b/>
                <w:noProof/>
                <w:webHidden/>
              </w:rPr>
              <w:t>21</w:t>
            </w:r>
            <w:r w:rsidRPr="00502D8F">
              <w:rPr>
                <w:b/>
                <w:noProof/>
                <w:webHidden/>
              </w:rPr>
              <w:fldChar w:fldCharType="end"/>
            </w:r>
          </w:hyperlink>
        </w:p>
        <w:p w14:paraId="75B72A66"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8" w:history="1">
            <w:r w:rsidRPr="00502D8F">
              <w:rPr>
                <w:rStyle w:val="Hipervnculo"/>
                <w:rFonts w:eastAsiaTheme="minorHAnsi"/>
                <w:b/>
                <w:noProof/>
              </w:rPr>
              <w:t>d.</w:t>
            </w:r>
            <w:r w:rsidRPr="00502D8F">
              <w:rPr>
                <w:rFonts w:asciiTheme="minorHAnsi" w:eastAsiaTheme="minorEastAsia" w:hAnsiTheme="minorHAnsi" w:cstheme="minorBidi"/>
                <w:b/>
                <w:noProof/>
                <w:color w:val="auto"/>
                <w:sz w:val="22"/>
                <w:szCs w:val="22"/>
                <w:lang w:val="es-ES"/>
              </w:rPr>
              <w:tab/>
            </w:r>
            <w:r w:rsidRPr="00502D8F">
              <w:rPr>
                <w:rStyle w:val="Hipervnculo"/>
                <w:rFonts w:eastAsiaTheme="minorHAnsi"/>
                <w:b/>
                <w:noProof/>
              </w:rPr>
              <w:t>Fortalecimiento institucional</w:t>
            </w:r>
            <w:r w:rsidRPr="00502D8F">
              <w:rPr>
                <w:b/>
                <w:noProof/>
                <w:webHidden/>
              </w:rPr>
              <w:tab/>
            </w:r>
            <w:r w:rsidRPr="00502D8F">
              <w:rPr>
                <w:b/>
                <w:noProof/>
                <w:webHidden/>
              </w:rPr>
              <w:fldChar w:fldCharType="begin"/>
            </w:r>
            <w:r w:rsidRPr="00502D8F">
              <w:rPr>
                <w:b/>
                <w:noProof/>
                <w:webHidden/>
              </w:rPr>
              <w:instrText xml:space="preserve"> PAGEREF _Toc29891698 \h </w:instrText>
            </w:r>
            <w:r w:rsidRPr="00502D8F">
              <w:rPr>
                <w:b/>
                <w:noProof/>
                <w:webHidden/>
              </w:rPr>
            </w:r>
            <w:r w:rsidRPr="00502D8F">
              <w:rPr>
                <w:b/>
                <w:noProof/>
                <w:webHidden/>
              </w:rPr>
              <w:fldChar w:fldCharType="separate"/>
            </w:r>
            <w:r w:rsidRPr="00502D8F">
              <w:rPr>
                <w:b/>
                <w:noProof/>
                <w:webHidden/>
              </w:rPr>
              <w:t>23</w:t>
            </w:r>
            <w:r w:rsidRPr="00502D8F">
              <w:rPr>
                <w:b/>
                <w:noProof/>
                <w:webHidden/>
              </w:rPr>
              <w:fldChar w:fldCharType="end"/>
            </w:r>
          </w:hyperlink>
        </w:p>
        <w:p w14:paraId="0EE28BF0"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699" w:history="1">
            <w:r w:rsidRPr="00502D8F">
              <w:rPr>
                <w:rStyle w:val="Hipervnculo"/>
                <w:rFonts w:eastAsiaTheme="minorHAnsi"/>
                <w:b/>
                <w:noProof/>
              </w:rPr>
              <w:t>e.</w:t>
            </w:r>
            <w:r w:rsidRPr="00502D8F">
              <w:rPr>
                <w:rFonts w:asciiTheme="minorHAnsi" w:eastAsiaTheme="minorEastAsia" w:hAnsiTheme="minorHAnsi" w:cstheme="minorBidi"/>
                <w:b/>
                <w:noProof/>
                <w:color w:val="auto"/>
                <w:sz w:val="22"/>
                <w:szCs w:val="22"/>
                <w:lang w:val="es-ES"/>
              </w:rPr>
              <w:tab/>
            </w:r>
            <w:r w:rsidRPr="00502D8F">
              <w:rPr>
                <w:rStyle w:val="Hipervnculo"/>
                <w:rFonts w:eastAsiaTheme="minorHAnsi"/>
                <w:b/>
                <w:noProof/>
              </w:rPr>
              <w:t>Servicio al Ciudadano</w:t>
            </w:r>
            <w:r w:rsidRPr="00502D8F">
              <w:rPr>
                <w:b/>
                <w:noProof/>
                <w:webHidden/>
              </w:rPr>
              <w:tab/>
            </w:r>
            <w:r w:rsidRPr="00502D8F">
              <w:rPr>
                <w:b/>
                <w:noProof/>
                <w:webHidden/>
              </w:rPr>
              <w:fldChar w:fldCharType="begin"/>
            </w:r>
            <w:r w:rsidRPr="00502D8F">
              <w:rPr>
                <w:b/>
                <w:noProof/>
                <w:webHidden/>
              </w:rPr>
              <w:instrText xml:space="preserve"> PAGEREF _Toc29891699 \h </w:instrText>
            </w:r>
            <w:r w:rsidRPr="00502D8F">
              <w:rPr>
                <w:b/>
                <w:noProof/>
                <w:webHidden/>
              </w:rPr>
            </w:r>
            <w:r w:rsidRPr="00502D8F">
              <w:rPr>
                <w:b/>
                <w:noProof/>
                <w:webHidden/>
              </w:rPr>
              <w:fldChar w:fldCharType="separate"/>
            </w:r>
            <w:r w:rsidRPr="00502D8F">
              <w:rPr>
                <w:b/>
                <w:noProof/>
                <w:webHidden/>
              </w:rPr>
              <w:t>24</w:t>
            </w:r>
            <w:r w:rsidRPr="00502D8F">
              <w:rPr>
                <w:b/>
                <w:noProof/>
                <w:webHidden/>
              </w:rPr>
              <w:fldChar w:fldCharType="end"/>
            </w:r>
          </w:hyperlink>
        </w:p>
        <w:p w14:paraId="241F1F07"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0" w:history="1">
            <w:r w:rsidRPr="00502D8F">
              <w:rPr>
                <w:rStyle w:val="Hipervnculo"/>
                <w:b/>
                <w:noProof/>
              </w:rPr>
              <w:t>f.</w:t>
            </w:r>
            <w:r w:rsidRPr="00502D8F">
              <w:rPr>
                <w:rFonts w:asciiTheme="minorHAnsi" w:eastAsiaTheme="minorEastAsia" w:hAnsiTheme="minorHAnsi" w:cstheme="minorBidi"/>
                <w:b/>
                <w:noProof/>
                <w:color w:val="auto"/>
                <w:sz w:val="22"/>
                <w:szCs w:val="22"/>
                <w:lang w:val="es-ES"/>
              </w:rPr>
              <w:tab/>
            </w:r>
            <w:r w:rsidRPr="00502D8F">
              <w:rPr>
                <w:rStyle w:val="Hipervnculo"/>
                <w:rFonts w:eastAsiaTheme="minorHAnsi"/>
                <w:b/>
                <w:noProof/>
              </w:rPr>
              <w:t>Perspectiva Estratégica</w:t>
            </w:r>
            <w:r w:rsidRPr="00502D8F">
              <w:rPr>
                <w:b/>
                <w:noProof/>
                <w:webHidden/>
              </w:rPr>
              <w:tab/>
            </w:r>
            <w:r w:rsidRPr="00502D8F">
              <w:rPr>
                <w:b/>
                <w:noProof/>
                <w:webHidden/>
              </w:rPr>
              <w:fldChar w:fldCharType="begin"/>
            </w:r>
            <w:r w:rsidRPr="00502D8F">
              <w:rPr>
                <w:b/>
                <w:noProof/>
                <w:webHidden/>
              </w:rPr>
              <w:instrText xml:space="preserve"> PAGEREF _Toc29891700 \h </w:instrText>
            </w:r>
            <w:r w:rsidRPr="00502D8F">
              <w:rPr>
                <w:b/>
                <w:noProof/>
                <w:webHidden/>
              </w:rPr>
            </w:r>
            <w:r w:rsidRPr="00502D8F">
              <w:rPr>
                <w:b/>
                <w:noProof/>
                <w:webHidden/>
              </w:rPr>
              <w:fldChar w:fldCharType="separate"/>
            </w:r>
            <w:r w:rsidRPr="00502D8F">
              <w:rPr>
                <w:b/>
                <w:noProof/>
                <w:webHidden/>
              </w:rPr>
              <w:t>26</w:t>
            </w:r>
            <w:r w:rsidRPr="00502D8F">
              <w:rPr>
                <w:b/>
                <w:noProof/>
                <w:webHidden/>
              </w:rPr>
              <w:fldChar w:fldCharType="end"/>
            </w:r>
          </w:hyperlink>
        </w:p>
        <w:p w14:paraId="58F602CB"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1" w:history="1">
            <w:r w:rsidRPr="00502D8F">
              <w:rPr>
                <w:rStyle w:val="Hipervnculo"/>
                <w:b/>
                <w:noProof/>
              </w:rPr>
              <w:t>i.</w:t>
            </w:r>
            <w:r w:rsidRPr="00502D8F">
              <w:rPr>
                <w:rFonts w:asciiTheme="minorHAnsi" w:eastAsiaTheme="minorEastAsia" w:hAnsiTheme="minorHAnsi" w:cstheme="minorBidi"/>
                <w:b/>
                <w:noProof/>
                <w:color w:val="auto"/>
                <w:sz w:val="22"/>
                <w:szCs w:val="22"/>
                <w:lang w:val="es-ES"/>
              </w:rPr>
              <w:tab/>
            </w:r>
            <w:r w:rsidRPr="00502D8F">
              <w:rPr>
                <w:rStyle w:val="Hipervnculo"/>
                <w:b/>
                <w:noProof/>
              </w:rPr>
              <w:t>Plan Nacional Plurianual del Sector Público</w:t>
            </w:r>
            <w:r w:rsidRPr="00502D8F">
              <w:rPr>
                <w:b/>
                <w:noProof/>
                <w:webHidden/>
              </w:rPr>
              <w:tab/>
            </w:r>
            <w:r w:rsidRPr="00502D8F">
              <w:rPr>
                <w:b/>
                <w:noProof/>
                <w:webHidden/>
              </w:rPr>
              <w:fldChar w:fldCharType="begin"/>
            </w:r>
            <w:r w:rsidRPr="00502D8F">
              <w:rPr>
                <w:b/>
                <w:noProof/>
                <w:webHidden/>
              </w:rPr>
              <w:instrText xml:space="preserve"> PAGEREF _Toc29891701 \h </w:instrText>
            </w:r>
            <w:r w:rsidRPr="00502D8F">
              <w:rPr>
                <w:b/>
                <w:noProof/>
                <w:webHidden/>
              </w:rPr>
            </w:r>
            <w:r w:rsidRPr="00502D8F">
              <w:rPr>
                <w:b/>
                <w:noProof/>
                <w:webHidden/>
              </w:rPr>
              <w:fldChar w:fldCharType="separate"/>
            </w:r>
            <w:r w:rsidRPr="00502D8F">
              <w:rPr>
                <w:b/>
                <w:noProof/>
                <w:webHidden/>
              </w:rPr>
              <w:t>26</w:t>
            </w:r>
            <w:r w:rsidRPr="00502D8F">
              <w:rPr>
                <w:b/>
                <w:noProof/>
                <w:webHidden/>
              </w:rPr>
              <w:fldChar w:fldCharType="end"/>
            </w:r>
          </w:hyperlink>
        </w:p>
        <w:p w14:paraId="70D608E0"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2" w:history="1">
            <w:r w:rsidRPr="00502D8F">
              <w:rPr>
                <w:rStyle w:val="Hipervnculo"/>
                <w:b/>
                <w:noProof/>
              </w:rPr>
              <w:t>ii.</w:t>
            </w:r>
            <w:r w:rsidRPr="00502D8F">
              <w:rPr>
                <w:rFonts w:asciiTheme="minorHAnsi" w:eastAsiaTheme="minorEastAsia" w:hAnsiTheme="minorHAnsi" w:cstheme="minorBidi"/>
                <w:b/>
                <w:noProof/>
                <w:color w:val="auto"/>
                <w:sz w:val="22"/>
                <w:szCs w:val="22"/>
                <w:lang w:val="es-ES"/>
              </w:rPr>
              <w:tab/>
            </w:r>
            <w:r w:rsidRPr="00502D8F">
              <w:rPr>
                <w:rStyle w:val="Hipervnculo"/>
                <w:b/>
                <w:noProof/>
              </w:rPr>
              <w:t>Metas Presidenciales</w:t>
            </w:r>
            <w:r w:rsidRPr="00502D8F">
              <w:rPr>
                <w:b/>
                <w:noProof/>
                <w:webHidden/>
              </w:rPr>
              <w:tab/>
            </w:r>
            <w:r w:rsidRPr="00502D8F">
              <w:rPr>
                <w:b/>
                <w:noProof/>
                <w:webHidden/>
              </w:rPr>
              <w:fldChar w:fldCharType="begin"/>
            </w:r>
            <w:r w:rsidRPr="00502D8F">
              <w:rPr>
                <w:b/>
                <w:noProof/>
                <w:webHidden/>
              </w:rPr>
              <w:instrText xml:space="preserve"> PAGEREF _Toc29891702 \h </w:instrText>
            </w:r>
            <w:r w:rsidRPr="00502D8F">
              <w:rPr>
                <w:b/>
                <w:noProof/>
                <w:webHidden/>
              </w:rPr>
            </w:r>
            <w:r w:rsidRPr="00502D8F">
              <w:rPr>
                <w:b/>
                <w:noProof/>
                <w:webHidden/>
              </w:rPr>
              <w:fldChar w:fldCharType="separate"/>
            </w:r>
            <w:r w:rsidRPr="00502D8F">
              <w:rPr>
                <w:b/>
                <w:noProof/>
                <w:webHidden/>
              </w:rPr>
              <w:t>31</w:t>
            </w:r>
            <w:r w:rsidRPr="00502D8F">
              <w:rPr>
                <w:b/>
                <w:noProof/>
                <w:webHidden/>
              </w:rPr>
              <w:fldChar w:fldCharType="end"/>
            </w:r>
          </w:hyperlink>
        </w:p>
        <w:p w14:paraId="5E1F5F20"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3" w:history="1">
            <w:r w:rsidRPr="00502D8F">
              <w:rPr>
                <w:rStyle w:val="Hipervnculo"/>
                <w:b/>
                <w:noProof/>
              </w:rPr>
              <w:t>iii.</w:t>
            </w:r>
            <w:r w:rsidRPr="00502D8F">
              <w:rPr>
                <w:rFonts w:asciiTheme="minorHAnsi" w:eastAsiaTheme="minorEastAsia" w:hAnsiTheme="minorHAnsi" w:cstheme="minorBidi"/>
                <w:b/>
                <w:noProof/>
                <w:color w:val="auto"/>
                <w:sz w:val="22"/>
                <w:szCs w:val="22"/>
                <w:lang w:val="es-ES"/>
              </w:rPr>
              <w:tab/>
            </w:r>
            <w:r w:rsidRPr="00502D8F">
              <w:rPr>
                <w:rStyle w:val="Hipervnculo"/>
                <w:b/>
                <w:noProof/>
              </w:rPr>
              <w:t>Sistema de Monitoreo y Medición de la Gestión Pública (SMMGP)</w:t>
            </w:r>
            <w:r w:rsidRPr="00502D8F">
              <w:rPr>
                <w:b/>
                <w:noProof/>
                <w:webHidden/>
              </w:rPr>
              <w:tab/>
            </w:r>
            <w:r w:rsidRPr="00502D8F">
              <w:rPr>
                <w:b/>
                <w:noProof/>
                <w:webHidden/>
              </w:rPr>
              <w:fldChar w:fldCharType="begin"/>
            </w:r>
            <w:r w:rsidRPr="00502D8F">
              <w:rPr>
                <w:b/>
                <w:noProof/>
                <w:webHidden/>
              </w:rPr>
              <w:instrText xml:space="preserve"> PAGEREF _Toc29891703 \h </w:instrText>
            </w:r>
            <w:r w:rsidRPr="00502D8F">
              <w:rPr>
                <w:b/>
                <w:noProof/>
                <w:webHidden/>
              </w:rPr>
            </w:r>
            <w:r w:rsidRPr="00502D8F">
              <w:rPr>
                <w:b/>
                <w:noProof/>
                <w:webHidden/>
              </w:rPr>
              <w:fldChar w:fldCharType="separate"/>
            </w:r>
            <w:r w:rsidRPr="00502D8F">
              <w:rPr>
                <w:b/>
                <w:noProof/>
                <w:webHidden/>
              </w:rPr>
              <w:t>40</w:t>
            </w:r>
            <w:r w:rsidRPr="00502D8F">
              <w:rPr>
                <w:b/>
                <w:noProof/>
                <w:webHidden/>
              </w:rPr>
              <w:fldChar w:fldCharType="end"/>
            </w:r>
          </w:hyperlink>
        </w:p>
        <w:p w14:paraId="7491423D"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4" w:history="1">
            <w:r w:rsidRPr="00502D8F">
              <w:rPr>
                <w:rStyle w:val="Hipervnculo"/>
                <w:b/>
                <w:noProof/>
              </w:rPr>
              <w:t>iv.</w:t>
            </w:r>
            <w:r w:rsidRPr="00502D8F">
              <w:rPr>
                <w:rFonts w:asciiTheme="minorHAnsi" w:eastAsiaTheme="minorEastAsia" w:hAnsiTheme="minorHAnsi" w:cstheme="minorBidi"/>
                <w:b/>
                <w:noProof/>
                <w:color w:val="auto"/>
                <w:sz w:val="22"/>
                <w:szCs w:val="22"/>
                <w:lang w:val="es-ES"/>
              </w:rPr>
              <w:tab/>
            </w:r>
            <w:r w:rsidRPr="00502D8F">
              <w:rPr>
                <w:rStyle w:val="Hipervnculo"/>
                <w:b/>
                <w:noProof/>
              </w:rPr>
              <w:t>Sistema de Monitoreo de la Administración Pública (SISMAP)</w:t>
            </w:r>
            <w:r w:rsidRPr="00502D8F">
              <w:rPr>
                <w:b/>
                <w:noProof/>
                <w:webHidden/>
              </w:rPr>
              <w:tab/>
            </w:r>
            <w:r w:rsidRPr="00502D8F">
              <w:rPr>
                <w:b/>
                <w:noProof/>
                <w:webHidden/>
              </w:rPr>
              <w:fldChar w:fldCharType="begin"/>
            </w:r>
            <w:r w:rsidRPr="00502D8F">
              <w:rPr>
                <w:b/>
                <w:noProof/>
                <w:webHidden/>
              </w:rPr>
              <w:instrText xml:space="preserve"> PAGEREF _Toc29891704 \h </w:instrText>
            </w:r>
            <w:r w:rsidRPr="00502D8F">
              <w:rPr>
                <w:b/>
                <w:noProof/>
                <w:webHidden/>
              </w:rPr>
            </w:r>
            <w:r w:rsidRPr="00502D8F">
              <w:rPr>
                <w:b/>
                <w:noProof/>
                <w:webHidden/>
              </w:rPr>
              <w:fldChar w:fldCharType="separate"/>
            </w:r>
            <w:r w:rsidRPr="00502D8F">
              <w:rPr>
                <w:b/>
                <w:noProof/>
                <w:webHidden/>
              </w:rPr>
              <w:t>41</w:t>
            </w:r>
            <w:r w:rsidRPr="00502D8F">
              <w:rPr>
                <w:b/>
                <w:noProof/>
                <w:webHidden/>
              </w:rPr>
              <w:fldChar w:fldCharType="end"/>
            </w:r>
          </w:hyperlink>
        </w:p>
        <w:p w14:paraId="03A7026B"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5" w:history="1">
            <w:r w:rsidRPr="00502D8F">
              <w:rPr>
                <w:rStyle w:val="Hipervnculo"/>
                <w:b/>
                <w:noProof/>
              </w:rPr>
              <w:t>g.</w:t>
            </w:r>
            <w:r w:rsidRPr="00502D8F">
              <w:rPr>
                <w:rFonts w:asciiTheme="minorHAnsi" w:eastAsiaTheme="minorEastAsia" w:hAnsiTheme="minorHAnsi" w:cstheme="minorBidi"/>
                <w:b/>
                <w:noProof/>
                <w:color w:val="auto"/>
                <w:sz w:val="22"/>
                <w:szCs w:val="22"/>
                <w:lang w:val="es-ES"/>
              </w:rPr>
              <w:tab/>
            </w:r>
            <w:r w:rsidRPr="00502D8F">
              <w:rPr>
                <w:rStyle w:val="Hipervnculo"/>
                <w:b/>
                <w:noProof/>
              </w:rPr>
              <w:t>Perspectiva Operativa</w:t>
            </w:r>
            <w:r w:rsidRPr="00502D8F">
              <w:rPr>
                <w:b/>
                <w:noProof/>
                <w:webHidden/>
              </w:rPr>
              <w:tab/>
            </w:r>
            <w:r w:rsidRPr="00502D8F">
              <w:rPr>
                <w:b/>
                <w:noProof/>
                <w:webHidden/>
              </w:rPr>
              <w:fldChar w:fldCharType="begin"/>
            </w:r>
            <w:r w:rsidRPr="00502D8F">
              <w:rPr>
                <w:b/>
                <w:noProof/>
                <w:webHidden/>
              </w:rPr>
              <w:instrText xml:space="preserve"> PAGEREF _Toc29891705 \h </w:instrText>
            </w:r>
            <w:r w:rsidRPr="00502D8F">
              <w:rPr>
                <w:b/>
                <w:noProof/>
                <w:webHidden/>
              </w:rPr>
            </w:r>
            <w:r w:rsidRPr="00502D8F">
              <w:rPr>
                <w:b/>
                <w:noProof/>
                <w:webHidden/>
              </w:rPr>
              <w:fldChar w:fldCharType="separate"/>
            </w:r>
            <w:r w:rsidRPr="00502D8F">
              <w:rPr>
                <w:b/>
                <w:noProof/>
                <w:webHidden/>
              </w:rPr>
              <w:t>43</w:t>
            </w:r>
            <w:r w:rsidRPr="00502D8F">
              <w:rPr>
                <w:b/>
                <w:noProof/>
                <w:webHidden/>
              </w:rPr>
              <w:fldChar w:fldCharType="end"/>
            </w:r>
          </w:hyperlink>
        </w:p>
        <w:p w14:paraId="391477D9"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6" w:history="1">
            <w:r w:rsidRPr="00502D8F">
              <w:rPr>
                <w:rStyle w:val="Hipervnculo"/>
                <w:b/>
                <w:noProof/>
              </w:rPr>
              <w:t>i.</w:t>
            </w:r>
            <w:r w:rsidRPr="00502D8F">
              <w:rPr>
                <w:rFonts w:asciiTheme="minorHAnsi" w:eastAsiaTheme="minorEastAsia" w:hAnsiTheme="minorHAnsi" w:cstheme="minorBidi"/>
                <w:b/>
                <w:noProof/>
                <w:color w:val="auto"/>
                <w:sz w:val="22"/>
                <w:szCs w:val="22"/>
                <w:lang w:val="es-ES"/>
              </w:rPr>
              <w:tab/>
            </w:r>
            <w:r w:rsidRPr="00502D8F">
              <w:rPr>
                <w:rStyle w:val="Hipervnculo"/>
                <w:b/>
                <w:noProof/>
              </w:rPr>
              <w:t>Índice de Transparencia</w:t>
            </w:r>
            <w:r w:rsidRPr="00502D8F">
              <w:rPr>
                <w:b/>
                <w:noProof/>
                <w:webHidden/>
              </w:rPr>
              <w:tab/>
            </w:r>
            <w:r w:rsidRPr="00502D8F">
              <w:rPr>
                <w:b/>
                <w:noProof/>
                <w:webHidden/>
              </w:rPr>
              <w:fldChar w:fldCharType="begin"/>
            </w:r>
            <w:r w:rsidRPr="00502D8F">
              <w:rPr>
                <w:b/>
                <w:noProof/>
                <w:webHidden/>
              </w:rPr>
              <w:instrText xml:space="preserve"> PAGEREF _Toc29891706 \h </w:instrText>
            </w:r>
            <w:r w:rsidRPr="00502D8F">
              <w:rPr>
                <w:b/>
                <w:noProof/>
                <w:webHidden/>
              </w:rPr>
            </w:r>
            <w:r w:rsidRPr="00502D8F">
              <w:rPr>
                <w:b/>
                <w:noProof/>
                <w:webHidden/>
              </w:rPr>
              <w:fldChar w:fldCharType="separate"/>
            </w:r>
            <w:r w:rsidRPr="00502D8F">
              <w:rPr>
                <w:b/>
                <w:noProof/>
                <w:webHidden/>
              </w:rPr>
              <w:t>43</w:t>
            </w:r>
            <w:r w:rsidRPr="00502D8F">
              <w:rPr>
                <w:b/>
                <w:noProof/>
                <w:webHidden/>
              </w:rPr>
              <w:fldChar w:fldCharType="end"/>
            </w:r>
          </w:hyperlink>
        </w:p>
        <w:p w14:paraId="6146836A"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7" w:history="1">
            <w:r w:rsidRPr="00502D8F">
              <w:rPr>
                <w:rStyle w:val="Hipervnculo"/>
                <w:b/>
                <w:noProof/>
              </w:rPr>
              <w:t>ii.</w:t>
            </w:r>
            <w:r w:rsidRPr="00502D8F">
              <w:rPr>
                <w:rFonts w:asciiTheme="minorHAnsi" w:eastAsiaTheme="minorEastAsia" w:hAnsiTheme="minorHAnsi" w:cstheme="minorBidi"/>
                <w:b/>
                <w:noProof/>
                <w:color w:val="auto"/>
                <w:sz w:val="22"/>
                <w:szCs w:val="22"/>
                <w:lang w:val="es-ES"/>
              </w:rPr>
              <w:tab/>
            </w:r>
            <w:r w:rsidRPr="00502D8F">
              <w:rPr>
                <w:rStyle w:val="Hipervnculo"/>
                <w:b/>
                <w:noProof/>
              </w:rPr>
              <w:t>Índice de Uso TIC e Implementación de Gobierno Electrónico (ITICGE)</w:t>
            </w:r>
            <w:r w:rsidRPr="00502D8F">
              <w:rPr>
                <w:b/>
                <w:noProof/>
                <w:webHidden/>
              </w:rPr>
              <w:tab/>
            </w:r>
            <w:r w:rsidRPr="00502D8F">
              <w:rPr>
                <w:b/>
                <w:noProof/>
                <w:webHidden/>
              </w:rPr>
              <w:fldChar w:fldCharType="begin"/>
            </w:r>
            <w:r w:rsidRPr="00502D8F">
              <w:rPr>
                <w:b/>
                <w:noProof/>
                <w:webHidden/>
              </w:rPr>
              <w:instrText xml:space="preserve"> PAGEREF _Toc29891707 \h </w:instrText>
            </w:r>
            <w:r w:rsidRPr="00502D8F">
              <w:rPr>
                <w:b/>
                <w:noProof/>
                <w:webHidden/>
              </w:rPr>
            </w:r>
            <w:r w:rsidRPr="00502D8F">
              <w:rPr>
                <w:b/>
                <w:noProof/>
                <w:webHidden/>
              </w:rPr>
              <w:fldChar w:fldCharType="separate"/>
            </w:r>
            <w:r w:rsidRPr="00502D8F">
              <w:rPr>
                <w:b/>
                <w:noProof/>
                <w:webHidden/>
              </w:rPr>
              <w:t>46</w:t>
            </w:r>
            <w:r w:rsidRPr="00502D8F">
              <w:rPr>
                <w:b/>
                <w:noProof/>
                <w:webHidden/>
              </w:rPr>
              <w:fldChar w:fldCharType="end"/>
            </w:r>
          </w:hyperlink>
        </w:p>
        <w:p w14:paraId="692C7390"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8" w:history="1">
            <w:r w:rsidRPr="00502D8F">
              <w:rPr>
                <w:rStyle w:val="Hipervnculo"/>
                <w:b/>
                <w:noProof/>
              </w:rPr>
              <w:t>iii.</w:t>
            </w:r>
            <w:r w:rsidRPr="00502D8F">
              <w:rPr>
                <w:rFonts w:asciiTheme="minorHAnsi" w:eastAsiaTheme="minorEastAsia" w:hAnsiTheme="minorHAnsi" w:cstheme="minorBidi"/>
                <w:b/>
                <w:noProof/>
                <w:color w:val="auto"/>
                <w:sz w:val="22"/>
                <w:szCs w:val="22"/>
                <w:lang w:val="es-ES"/>
              </w:rPr>
              <w:tab/>
            </w:r>
            <w:r w:rsidRPr="00502D8F">
              <w:rPr>
                <w:rStyle w:val="Hipervnculo"/>
                <w:b/>
                <w:noProof/>
              </w:rPr>
              <w:t>Normas Básicas de Control Interno (NOBACI)</w:t>
            </w:r>
            <w:r w:rsidRPr="00502D8F">
              <w:rPr>
                <w:b/>
                <w:noProof/>
                <w:webHidden/>
              </w:rPr>
              <w:tab/>
            </w:r>
            <w:r w:rsidRPr="00502D8F">
              <w:rPr>
                <w:b/>
                <w:noProof/>
                <w:webHidden/>
              </w:rPr>
              <w:fldChar w:fldCharType="begin"/>
            </w:r>
            <w:r w:rsidRPr="00502D8F">
              <w:rPr>
                <w:b/>
                <w:noProof/>
                <w:webHidden/>
              </w:rPr>
              <w:instrText xml:space="preserve"> PAGEREF _Toc29891708 \h </w:instrText>
            </w:r>
            <w:r w:rsidRPr="00502D8F">
              <w:rPr>
                <w:b/>
                <w:noProof/>
                <w:webHidden/>
              </w:rPr>
            </w:r>
            <w:r w:rsidRPr="00502D8F">
              <w:rPr>
                <w:b/>
                <w:noProof/>
                <w:webHidden/>
              </w:rPr>
              <w:fldChar w:fldCharType="separate"/>
            </w:r>
            <w:r w:rsidRPr="00502D8F">
              <w:rPr>
                <w:b/>
                <w:noProof/>
                <w:webHidden/>
              </w:rPr>
              <w:t>47</w:t>
            </w:r>
            <w:r w:rsidRPr="00502D8F">
              <w:rPr>
                <w:b/>
                <w:noProof/>
                <w:webHidden/>
              </w:rPr>
              <w:fldChar w:fldCharType="end"/>
            </w:r>
          </w:hyperlink>
        </w:p>
        <w:p w14:paraId="695A5764"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09" w:history="1">
            <w:r w:rsidRPr="00502D8F">
              <w:rPr>
                <w:rStyle w:val="Hipervnculo"/>
                <w:b/>
                <w:noProof/>
              </w:rPr>
              <w:t>iv.</w:t>
            </w:r>
            <w:r w:rsidRPr="00502D8F">
              <w:rPr>
                <w:rFonts w:asciiTheme="minorHAnsi" w:eastAsiaTheme="minorEastAsia" w:hAnsiTheme="minorHAnsi" w:cstheme="minorBidi"/>
                <w:b/>
                <w:noProof/>
                <w:color w:val="auto"/>
                <w:sz w:val="22"/>
                <w:szCs w:val="22"/>
                <w:lang w:val="es-ES"/>
              </w:rPr>
              <w:tab/>
            </w:r>
            <w:r w:rsidRPr="00502D8F">
              <w:rPr>
                <w:rStyle w:val="Hipervnculo"/>
                <w:b/>
                <w:noProof/>
              </w:rPr>
              <w:t>Plan Anual de Compras y Contrataciones</w:t>
            </w:r>
            <w:r w:rsidRPr="00502D8F">
              <w:rPr>
                <w:b/>
                <w:noProof/>
                <w:webHidden/>
              </w:rPr>
              <w:tab/>
            </w:r>
            <w:r w:rsidRPr="00502D8F">
              <w:rPr>
                <w:b/>
                <w:noProof/>
                <w:webHidden/>
              </w:rPr>
              <w:fldChar w:fldCharType="begin"/>
            </w:r>
            <w:r w:rsidRPr="00502D8F">
              <w:rPr>
                <w:b/>
                <w:noProof/>
                <w:webHidden/>
              </w:rPr>
              <w:instrText xml:space="preserve"> PAGEREF _Toc29891709 \h </w:instrText>
            </w:r>
            <w:r w:rsidRPr="00502D8F">
              <w:rPr>
                <w:b/>
                <w:noProof/>
                <w:webHidden/>
              </w:rPr>
            </w:r>
            <w:r w:rsidRPr="00502D8F">
              <w:rPr>
                <w:b/>
                <w:noProof/>
                <w:webHidden/>
              </w:rPr>
              <w:fldChar w:fldCharType="separate"/>
            </w:r>
            <w:r w:rsidRPr="00502D8F">
              <w:rPr>
                <w:b/>
                <w:noProof/>
                <w:webHidden/>
              </w:rPr>
              <w:t>51</w:t>
            </w:r>
            <w:r w:rsidRPr="00502D8F">
              <w:rPr>
                <w:b/>
                <w:noProof/>
                <w:webHidden/>
              </w:rPr>
              <w:fldChar w:fldCharType="end"/>
            </w:r>
          </w:hyperlink>
        </w:p>
        <w:p w14:paraId="49D78FBD"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0" w:history="1">
            <w:r w:rsidRPr="00502D8F">
              <w:rPr>
                <w:rStyle w:val="Hipervnculo"/>
                <w:b/>
                <w:noProof/>
              </w:rPr>
              <w:t>v.</w:t>
            </w:r>
            <w:r w:rsidRPr="00502D8F">
              <w:rPr>
                <w:rFonts w:asciiTheme="minorHAnsi" w:eastAsiaTheme="minorEastAsia" w:hAnsiTheme="minorHAnsi" w:cstheme="minorBidi"/>
                <w:b/>
                <w:noProof/>
                <w:color w:val="auto"/>
                <w:sz w:val="22"/>
                <w:szCs w:val="22"/>
                <w:lang w:val="es-ES"/>
              </w:rPr>
              <w:tab/>
            </w:r>
            <w:r w:rsidRPr="00502D8F">
              <w:rPr>
                <w:rStyle w:val="Hipervnculo"/>
                <w:b/>
                <w:noProof/>
              </w:rPr>
              <w:t>Sistema Nacional de Compras y Contrataciones Públicas (SNCCP)</w:t>
            </w:r>
            <w:r w:rsidRPr="00502D8F">
              <w:rPr>
                <w:b/>
                <w:noProof/>
                <w:webHidden/>
              </w:rPr>
              <w:tab/>
            </w:r>
            <w:r w:rsidRPr="00502D8F">
              <w:rPr>
                <w:b/>
                <w:noProof/>
                <w:webHidden/>
              </w:rPr>
              <w:fldChar w:fldCharType="begin"/>
            </w:r>
            <w:r w:rsidRPr="00502D8F">
              <w:rPr>
                <w:b/>
                <w:noProof/>
                <w:webHidden/>
              </w:rPr>
              <w:instrText xml:space="preserve"> PAGEREF _Toc29891710 \h </w:instrText>
            </w:r>
            <w:r w:rsidRPr="00502D8F">
              <w:rPr>
                <w:b/>
                <w:noProof/>
                <w:webHidden/>
              </w:rPr>
            </w:r>
            <w:r w:rsidRPr="00502D8F">
              <w:rPr>
                <w:b/>
                <w:noProof/>
                <w:webHidden/>
              </w:rPr>
              <w:fldChar w:fldCharType="separate"/>
            </w:r>
            <w:r w:rsidRPr="00502D8F">
              <w:rPr>
                <w:b/>
                <w:noProof/>
                <w:webHidden/>
              </w:rPr>
              <w:t>52</w:t>
            </w:r>
            <w:r w:rsidRPr="00502D8F">
              <w:rPr>
                <w:b/>
                <w:noProof/>
                <w:webHidden/>
              </w:rPr>
              <w:fldChar w:fldCharType="end"/>
            </w:r>
          </w:hyperlink>
        </w:p>
        <w:p w14:paraId="6DB21B87"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1" w:history="1">
            <w:r w:rsidRPr="00502D8F">
              <w:rPr>
                <w:rStyle w:val="Hipervnculo"/>
                <w:b/>
                <w:noProof/>
              </w:rPr>
              <w:t>f.</w:t>
            </w:r>
            <w:r w:rsidRPr="00502D8F">
              <w:rPr>
                <w:rFonts w:asciiTheme="minorHAnsi" w:eastAsiaTheme="minorEastAsia" w:hAnsiTheme="minorHAnsi" w:cstheme="minorBidi"/>
                <w:b/>
                <w:noProof/>
                <w:color w:val="auto"/>
                <w:sz w:val="22"/>
                <w:szCs w:val="22"/>
                <w:lang w:val="es-ES"/>
              </w:rPr>
              <w:tab/>
            </w:r>
            <w:r w:rsidRPr="00502D8F">
              <w:rPr>
                <w:rStyle w:val="Hipervnculo"/>
                <w:b/>
                <w:noProof/>
              </w:rPr>
              <w:t>Declaraciones Juradas</w:t>
            </w:r>
            <w:r w:rsidRPr="00502D8F">
              <w:rPr>
                <w:b/>
                <w:noProof/>
                <w:webHidden/>
              </w:rPr>
              <w:tab/>
            </w:r>
            <w:r w:rsidRPr="00502D8F">
              <w:rPr>
                <w:b/>
                <w:noProof/>
                <w:webHidden/>
              </w:rPr>
              <w:fldChar w:fldCharType="begin"/>
            </w:r>
            <w:r w:rsidRPr="00502D8F">
              <w:rPr>
                <w:b/>
                <w:noProof/>
                <w:webHidden/>
              </w:rPr>
              <w:instrText xml:space="preserve"> PAGEREF _Toc29891711 \h </w:instrText>
            </w:r>
            <w:r w:rsidRPr="00502D8F">
              <w:rPr>
                <w:b/>
                <w:noProof/>
                <w:webHidden/>
              </w:rPr>
            </w:r>
            <w:r w:rsidRPr="00502D8F">
              <w:rPr>
                <w:b/>
                <w:noProof/>
                <w:webHidden/>
              </w:rPr>
              <w:fldChar w:fldCharType="separate"/>
            </w:r>
            <w:r w:rsidRPr="00502D8F">
              <w:rPr>
                <w:b/>
                <w:noProof/>
                <w:webHidden/>
              </w:rPr>
              <w:t>53</w:t>
            </w:r>
            <w:r w:rsidRPr="00502D8F">
              <w:rPr>
                <w:b/>
                <w:noProof/>
                <w:webHidden/>
              </w:rPr>
              <w:fldChar w:fldCharType="end"/>
            </w:r>
          </w:hyperlink>
        </w:p>
        <w:p w14:paraId="64D6EA06"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2" w:history="1">
            <w:r w:rsidRPr="00502D8F">
              <w:rPr>
                <w:rStyle w:val="Hipervnculo"/>
                <w:b/>
                <w:noProof/>
              </w:rPr>
              <w:t>IV.</w:t>
            </w:r>
            <w:r w:rsidRPr="00502D8F">
              <w:rPr>
                <w:rFonts w:asciiTheme="minorHAnsi" w:eastAsiaTheme="minorEastAsia" w:hAnsiTheme="minorHAnsi" w:cstheme="minorBidi"/>
                <w:b/>
                <w:noProof/>
                <w:color w:val="auto"/>
                <w:sz w:val="22"/>
                <w:szCs w:val="22"/>
                <w:lang w:val="es-ES"/>
              </w:rPr>
              <w:tab/>
            </w:r>
            <w:r w:rsidRPr="00502D8F">
              <w:rPr>
                <w:rStyle w:val="Hipervnculo"/>
                <w:b/>
                <w:noProof/>
              </w:rPr>
              <w:t>GESTIÓN INTERNA</w:t>
            </w:r>
            <w:r w:rsidRPr="00502D8F">
              <w:rPr>
                <w:b/>
                <w:noProof/>
                <w:webHidden/>
              </w:rPr>
              <w:tab/>
            </w:r>
            <w:r w:rsidRPr="00502D8F">
              <w:rPr>
                <w:b/>
                <w:noProof/>
                <w:webHidden/>
              </w:rPr>
              <w:fldChar w:fldCharType="begin"/>
            </w:r>
            <w:r w:rsidRPr="00502D8F">
              <w:rPr>
                <w:b/>
                <w:noProof/>
                <w:webHidden/>
              </w:rPr>
              <w:instrText xml:space="preserve"> PAGEREF _Toc29891712 \h </w:instrText>
            </w:r>
            <w:r w:rsidRPr="00502D8F">
              <w:rPr>
                <w:b/>
                <w:noProof/>
                <w:webHidden/>
              </w:rPr>
            </w:r>
            <w:r w:rsidRPr="00502D8F">
              <w:rPr>
                <w:b/>
                <w:noProof/>
                <w:webHidden/>
              </w:rPr>
              <w:fldChar w:fldCharType="separate"/>
            </w:r>
            <w:r w:rsidRPr="00502D8F">
              <w:rPr>
                <w:b/>
                <w:noProof/>
                <w:webHidden/>
              </w:rPr>
              <w:t>53</w:t>
            </w:r>
            <w:r w:rsidRPr="00502D8F">
              <w:rPr>
                <w:b/>
                <w:noProof/>
                <w:webHidden/>
              </w:rPr>
              <w:fldChar w:fldCharType="end"/>
            </w:r>
          </w:hyperlink>
        </w:p>
        <w:p w14:paraId="23DCDC3F"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3" w:history="1">
            <w:r w:rsidRPr="00502D8F">
              <w:rPr>
                <w:rStyle w:val="Hipervnculo"/>
                <w:b/>
                <w:noProof/>
              </w:rPr>
              <w:t>a.</w:t>
            </w:r>
            <w:r w:rsidRPr="00502D8F">
              <w:rPr>
                <w:rFonts w:asciiTheme="minorHAnsi" w:eastAsiaTheme="minorEastAsia" w:hAnsiTheme="minorHAnsi" w:cstheme="minorBidi"/>
                <w:b/>
                <w:noProof/>
                <w:color w:val="auto"/>
                <w:sz w:val="22"/>
                <w:szCs w:val="22"/>
                <w:lang w:val="es-ES"/>
              </w:rPr>
              <w:tab/>
            </w:r>
            <w:r w:rsidRPr="00502D8F">
              <w:rPr>
                <w:rStyle w:val="Hipervnculo"/>
                <w:b/>
                <w:noProof/>
              </w:rPr>
              <w:t>Desempeño Financiero</w:t>
            </w:r>
            <w:r w:rsidRPr="00502D8F">
              <w:rPr>
                <w:b/>
                <w:noProof/>
                <w:webHidden/>
              </w:rPr>
              <w:tab/>
            </w:r>
            <w:r w:rsidRPr="00502D8F">
              <w:rPr>
                <w:b/>
                <w:noProof/>
                <w:webHidden/>
              </w:rPr>
              <w:fldChar w:fldCharType="begin"/>
            </w:r>
            <w:r w:rsidRPr="00502D8F">
              <w:rPr>
                <w:b/>
                <w:noProof/>
                <w:webHidden/>
              </w:rPr>
              <w:instrText xml:space="preserve"> PAGEREF _Toc29891713 \h </w:instrText>
            </w:r>
            <w:r w:rsidRPr="00502D8F">
              <w:rPr>
                <w:b/>
                <w:noProof/>
                <w:webHidden/>
              </w:rPr>
            </w:r>
            <w:r w:rsidRPr="00502D8F">
              <w:rPr>
                <w:b/>
                <w:noProof/>
                <w:webHidden/>
              </w:rPr>
              <w:fldChar w:fldCharType="separate"/>
            </w:r>
            <w:r w:rsidRPr="00502D8F">
              <w:rPr>
                <w:b/>
                <w:noProof/>
                <w:webHidden/>
              </w:rPr>
              <w:t>53</w:t>
            </w:r>
            <w:r w:rsidRPr="00502D8F">
              <w:rPr>
                <w:b/>
                <w:noProof/>
                <w:webHidden/>
              </w:rPr>
              <w:fldChar w:fldCharType="end"/>
            </w:r>
          </w:hyperlink>
        </w:p>
        <w:p w14:paraId="6AFA1E39"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4" w:history="1">
            <w:r w:rsidRPr="00502D8F">
              <w:rPr>
                <w:rStyle w:val="Hipervnculo"/>
                <w:b/>
                <w:noProof/>
              </w:rPr>
              <w:t>i.</w:t>
            </w:r>
            <w:r w:rsidRPr="00502D8F">
              <w:rPr>
                <w:rFonts w:asciiTheme="minorHAnsi" w:eastAsiaTheme="minorEastAsia" w:hAnsiTheme="minorHAnsi" w:cstheme="minorBidi"/>
                <w:b/>
                <w:noProof/>
                <w:color w:val="auto"/>
                <w:sz w:val="22"/>
                <w:szCs w:val="22"/>
                <w:lang w:val="es-ES"/>
              </w:rPr>
              <w:tab/>
            </w:r>
            <w:r w:rsidRPr="00502D8F">
              <w:rPr>
                <w:rStyle w:val="Hipervnculo"/>
                <w:b/>
                <w:noProof/>
              </w:rPr>
              <w:t>Ejecución presupuestaria</w:t>
            </w:r>
            <w:r w:rsidRPr="00502D8F">
              <w:rPr>
                <w:b/>
                <w:noProof/>
                <w:webHidden/>
              </w:rPr>
              <w:tab/>
            </w:r>
            <w:r w:rsidRPr="00502D8F">
              <w:rPr>
                <w:b/>
                <w:noProof/>
                <w:webHidden/>
              </w:rPr>
              <w:fldChar w:fldCharType="begin"/>
            </w:r>
            <w:r w:rsidRPr="00502D8F">
              <w:rPr>
                <w:b/>
                <w:noProof/>
                <w:webHidden/>
              </w:rPr>
              <w:instrText xml:space="preserve"> PAGEREF _Toc29891714 \h </w:instrText>
            </w:r>
            <w:r w:rsidRPr="00502D8F">
              <w:rPr>
                <w:b/>
                <w:noProof/>
                <w:webHidden/>
              </w:rPr>
            </w:r>
            <w:r w:rsidRPr="00502D8F">
              <w:rPr>
                <w:b/>
                <w:noProof/>
                <w:webHidden/>
              </w:rPr>
              <w:fldChar w:fldCharType="separate"/>
            </w:r>
            <w:r w:rsidRPr="00502D8F">
              <w:rPr>
                <w:b/>
                <w:noProof/>
                <w:webHidden/>
              </w:rPr>
              <w:t>53</w:t>
            </w:r>
            <w:r w:rsidRPr="00502D8F">
              <w:rPr>
                <w:b/>
                <w:noProof/>
                <w:webHidden/>
              </w:rPr>
              <w:fldChar w:fldCharType="end"/>
            </w:r>
          </w:hyperlink>
        </w:p>
        <w:p w14:paraId="18665989" w14:textId="77777777" w:rsidR="00502D8F" w:rsidRPr="00502D8F" w:rsidRDefault="00502D8F">
          <w:pPr>
            <w:pStyle w:val="TDC1"/>
            <w:rPr>
              <w:rFonts w:asciiTheme="minorHAnsi" w:eastAsiaTheme="minorEastAsia" w:hAnsiTheme="minorHAnsi" w:cstheme="minorBidi"/>
              <w:b/>
              <w:noProof/>
              <w:color w:val="auto"/>
              <w:sz w:val="22"/>
              <w:szCs w:val="22"/>
              <w:lang w:val="es-ES"/>
            </w:rPr>
          </w:pPr>
          <w:hyperlink w:anchor="_Toc29891715" w:history="1">
            <w:r w:rsidRPr="00502D8F">
              <w:rPr>
                <w:rStyle w:val="Hipervnculo"/>
                <w:b/>
                <w:noProof/>
              </w:rPr>
              <w:t>V.</w:t>
            </w:r>
            <w:r w:rsidRPr="00502D8F">
              <w:rPr>
                <w:rFonts w:asciiTheme="minorHAnsi" w:eastAsiaTheme="minorEastAsia" w:hAnsiTheme="minorHAnsi" w:cstheme="minorBidi"/>
                <w:b/>
                <w:noProof/>
                <w:color w:val="auto"/>
                <w:sz w:val="22"/>
                <w:szCs w:val="22"/>
                <w:lang w:val="es-ES"/>
              </w:rPr>
              <w:tab/>
            </w:r>
            <w:r w:rsidRPr="00502D8F">
              <w:rPr>
                <w:rStyle w:val="Hipervnculo"/>
                <w:b/>
                <w:noProof/>
              </w:rPr>
              <w:t>PROYECCIONES</w:t>
            </w:r>
            <w:r w:rsidRPr="00502D8F">
              <w:rPr>
                <w:b/>
                <w:noProof/>
                <w:webHidden/>
              </w:rPr>
              <w:tab/>
            </w:r>
            <w:r w:rsidRPr="00502D8F">
              <w:rPr>
                <w:b/>
                <w:noProof/>
                <w:webHidden/>
              </w:rPr>
              <w:fldChar w:fldCharType="begin"/>
            </w:r>
            <w:r w:rsidRPr="00502D8F">
              <w:rPr>
                <w:b/>
                <w:noProof/>
                <w:webHidden/>
              </w:rPr>
              <w:instrText xml:space="preserve"> PAGEREF _Toc29891715 \h </w:instrText>
            </w:r>
            <w:r w:rsidRPr="00502D8F">
              <w:rPr>
                <w:b/>
                <w:noProof/>
                <w:webHidden/>
              </w:rPr>
            </w:r>
            <w:r w:rsidRPr="00502D8F">
              <w:rPr>
                <w:b/>
                <w:noProof/>
                <w:webHidden/>
              </w:rPr>
              <w:fldChar w:fldCharType="separate"/>
            </w:r>
            <w:r w:rsidRPr="00502D8F">
              <w:rPr>
                <w:b/>
                <w:noProof/>
                <w:webHidden/>
              </w:rPr>
              <w:t>56</w:t>
            </w:r>
            <w:r w:rsidRPr="00502D8F">
              <w:rPr>
                <w:b/>
                <w:noProof/>
                <w:webHidden/>
              </w:rPr>
              <w:fldChar w:fldCharType="end"/>
            </w:r>
          </w:hyperlink>
        </w:p>
        <w:p w14:paraId="603AD511" w14:textId="77777777" w:rsidR="00247A37" w:rsidRPr="00502D8F" w:rsidRDefault="00247A37" w:rsidP="00007B35">
          <w:pPr>
            <w:spacing w:line="360" w:lineRule="auto"/>
            <w:rPr>
              <w:b/>
            </w:rPr>
          </w:pPr>
          <w:r w:rsidRPr="00502D8F">
            <w:rPr>
              <w:b/>
              <w:bCs/>
              <w:lang w:val="es-ES"/>
            </w:rPr>
            <w:fldChar w:fldCharType="end"/>
          </w:r>
        </w:p>
      </w:sdtContent>
    </w:sdt>
    <w:p w14:paraId="4C0CCB23" w14:textId="77777777" w:rsidR="00B74028" w:rsidRPr="000A162C" w:rsidRDefault="00B74028">
      <w:pPr>
        <w:rPr>
          <w:rFonts w:cs="Times New Roman"/>
          <w:b/>
          <w:sz w:val="28"/>
          <w:szCs w:val="28"/>
        </w:rPr>
      </w:pPr>
      <w:r w:rsidRPr="000A162C">
        <w:rPr>
          <w:rFonts w:cs="Times New Roman"/>
          <w:b/>
          <w:sz w:val="28"/>
          <w:szCs w:val="28"/>
        </w:rPr>
        <w:br w:type="page"/>
      </w:r>
    </w:p>
    <w:p w14:paraId="2401D0A7" w14:textId="77777777" w:rsidR="001C19EC" w:rsidRDefault="001C19EC" w:rsidP="001C19EC">
      <w:pPr>
        <w:pStyle w:val="Estilo7"/>
      </w:pPr>
      <w:bookmarkStart w:id="0" w:name="_Toc29577301"/>
      <w:bookmarkStart w:id="1" w:name="_Toc29891689"/>
      <w:r>
        <w:lastRenderedPageBreak/>
        <w:t>RESUMEN EJECUTIVO</w:t>
      </w:r>
      <w:bookmarkEnd w:id="0"/>
      <w:bookmarkEnd w:id="1"/>
    </w:p>
    <w:p w14:paraId="59C81081" w14:textId="77777777" w:rsidR="001C19EC" w:rsidRDefault="001C19EC" w:rsidP="001C19EC">
      <w:pPr>
        <w:pStyle w:val="Estilo7"/>
        <w:numPr>
          <w:ilvl w:val="0"/>
          <w:numId w:val="0"/>
        </w:numPr>
        <w:ind w:left="900"/>
      </w:pPr>
    </w:p>
    <w:p w14:paraId="74AE6351" w14:textId="77777777" w:rsidR="001C19EC" w:rsidRDefault="001C19EC" w:rsidP="001C19EC">
      <w:pPr>
        <w:spacing w:line="480" w:lineRule="auto"/>
        <w:ind w:firstLine="708"/>
        <w:jc w:val="both"/>
        <w:rPr>
          <w:rFonts w:cs="Times New Roman"/>
          <w:szCs w:val="24"/>
        </w:rPr>
      </w:pPr>
      <w:r>
        <w:rPr>
          <w:rFonts w:cs="Times New Roman"/>
          <w:szCs w:val="24"/>
        </w:rPr>
        <w:t xml:space="preserve">La Procuraduría General de la República (PGR) es el órgano del Sistema de Justicia responsable de la política del Estado contra la criminalidad, dirigir la investigación penal y ejercer la acción penal pública en representación de la sociedad. </w:t>
      </w:r>
    </w:p>
    <w:p w14:paraId="612513A8" w14:textId="77777777" w:rsidR="001C19EC" w:rsidRDefault="001C19EC" w:rsidP="001C19EC">
      <w:pPr>
        <w:spacing w:line="480" w:lineRule="auto"/>
        <w:ind w:firstLine="708"/>
        <w:jc w:val="both"/>
        <w:rPr>
          <w:rFonts w:cs="Times New Roman"/>
          <w:szCs w:val="24"/>
        </w:rPr>
      </w:pPr>
      <w:r>
        <w:rPr>
          <w:rFonts w:cs="Times New Roman"/>
          <w:szCs w:val="24"/>
        </w:rPr>
        <w:t>Desde el año 2016 se inició un proc</w:t>
      </w:r>
      <w:bookmarkStart w:id="2" w:name="_GoBack"/>
      <w:bookmarkEnd w:id="2"/>
      <w:r>
        <w:rPr>
          <w:rFonts w:cs="Times New Roman"/>
          <w:szCs w:val="24"/>
        </w:rPr>
        <w:t xml:space="preserve">eso de transformación institucional bajo la visión de convertirse en </w:t>
      </w:r>
      <w:r w:rsidRPr="007604DD">
        <w:rPr>
          <w:rFonts w:cs="Times New Roman"/>
          <w:szCs w:val="24"/>
        </w:rPr>
        <w:t xml:space="preserve">un referente regional de excelencia y disponer de un capital humano altamente capacitado y comprometido </w:t>
      </w:r>
      <w:r>
        <w:rPr>
          <w:rFonts w:cs="Times New Roman"/>
          <w:szCs w:val="24"/>
        </w:rPr>
        <w:t xml:space="preserve">con su misión institucional. </w:t>
      </w:r>
    </w:p>
    <w:p w14:paraId="66701056" w14:textId="77777777" w:rsidR="001C19EC" w:rsidRDefault="001C19EC" w:rsidP="001C19EC">
      <w:pPr>
        <w:spacing w:line="480" w:lineRule="auto"/>
        <w:ind w:firstLine="708"/>
        <w:jc w:val="both"/>
        <w:rPr>
          <w:rFonts w:cs="Times New Roman"/>
          <w:szCs w:val="24"/>
        </w:rPr>
      </w:pPr>
      <w:r>
        <w:rPr>
          <w:rFonts w:cs="Times New Roman"/>
          <w:szCs w:val="24"/>
        </w:rPr>
        <w:t>El Plan estratégico institucional 2016-2020, planteó una ruta de desarrollo basada en cuatro ejes fundamentales: “</w:t>
      </w:r>
      <w:r w:rsidRPr="00021910">
        <w:rPr>
          <w:rFonts w:cs="Times New Roman"/>
          <w:szCs w:val="24"/>
        </w:rPr>
        <w:t>Lucha contra la criminalidad</w:t>
      </w:r>
      <w:r>
        <w:rPr>
          <w:rFonts w:cs="Times New Roman"/>
          <w:szCs w:val="24"/>
        </w:rPr>
        <w:t>”, “</w:t>
      </w:r>
      <w:r w:rsidRPr="00021910">
        <w:rPr>
          <w:rFonts w:cs="Times New Roman"/>
          <w:szCs w:val="24"/>
        </w:rPr>
        <w:t>Sistema Penitenciario</w:t>
      </w:r>
      <w:r>
        <w:rPr>
          <w:rFonts w:cs="Times New Roman"/>
          <w:szCs w:val="24"/>
        </w:rPr>
        <w:t>”, “</w:t>
      </w:r>
      <w:r w:rsidRPr="00021910">
        <w:rPr>
          <w:rFonts w:cs="Times New Roman"/>
          <w:szCs w:val="24"/>
        </w:rPr>
        <w:t>S</w:t>
      </w:r>
      <w:r>
        <w:rPr>
          <w:rFonts w:cs="Times New Roman"/>
          <w:szCs w:val="24"/>
        </w:rPr>
        <w:t>ervicio al Ciudadano” y el “</w:t>
      </w:r>
      <w:r w:rsidRPr="00021910">
        <w:rPr>
          <w:rFonts w:cs="Times New Roman"/>
          <w:szCs w:val="24"/>
        </w:rPr>
        <w:t>Fortalecimiento Institucional</w:t>
      </w:r>
      <w:r>
        <w:rPr>
          <w:rFonts w:cs="Times New Roman"/>
          <w:szCs w:val="24"/>
        </w:rPr>
        <w:t xml:space="preserve">”, en cada uno de estos ejes se han venido verificando importantes logros, como resultado del trabajo de una gestión caracterizada por un liderazgo firme </w:t>
      </w:r>
      <w:r w:rsidRPr="00021910">
        <w:rPr>
          <w:rFonts w:cs="Times New Roman"/>
          <w:szCs w:val="24"/>
        </w:rPr>
        <w:t xml:space="preserve">y </w:t>
      </w:r>
      <w:r>
        <w:rPr>
          <w:rFonts w:cs="Times New Roman"/>
          <w:szCs w:val="24"/>
        </w:rPr>
        <w:t xml:space="preserve">el </w:t>
      </w:r>
      <w:r w:rsidRPr="00021910">
        <w:rPr>
          <w:rFonts w:cs="Times New Roman"/>
          <w:szCs w:val="24"/>
        </w:rPr>
        <w:t>compromiso de un equipo</w:t>
      </w:r>
      <w:r>
        <w:rPr>
          <w:rFonts w:cs="Times New Roman"/>
          <w:szCs w:val="24"/>
        </w:rPr>
        <w:t xml:space="preserve"> altamente competitivo.</w:t>
      </w:r>
    </w:p>
    <w:p w14:paraId="742F9A31" w14:textId="1EC739AE" w:rsidR="001C19EC" w:rsidRDefault="001C19EC" w:rsidP="001C19EC">
      <w:pPr>
        <w:spacing w:line="480" w:lineRule="auto"/>
        <w:ind w:firstLine="708"/>
        <w:jc w:val="both"/>
        <w:rPr>
          <w:rFonts w:cs="Times New Roman"/>
          <w:szCs w:val="24"/>
        </w:rPr>
      </w:pPr>
      <w:r>
        <w:rPr>
          <w:rFonts w:cs="Times New Roman"/>
          <w:szCs w:val="24"/>
        </w:rPr>
        <w:t xml:space="preserve">Como vía para </w:t>
      </w:r>
      <w:r w:rsidRPr="00B71980">
        <w:rPr>
          <w:rFonts w:cs="Times New Roman"/>
          <w:szCs w:val="24"/>
        </w:rPr>
        <w:t xml:space="preserve">la prevención y persecución del delito de la Violencia Intrafamiliar, </w:t>
      </w:r>
      <w:r>
        <w:rPr>
          <w:rFonts w:cs="Times New Roman"/>
          <w:szCs w:val="24"/>
        </w:rPr>
        <w:t xml:space="preserve">se lanzó </w:t>
      </w:r>
      <w:r w:rsidRPr="00B71980">
        <w:rPr>
          <w:rFonts w:cs="Times New Roman"/>
          <w:szCs w:val="24"/>
        </w:rPr>
        <w:t>en el año 2017</w:t>
      </w:r>
      <w:r>
        <w:rPr>
          <w:rFonts w:cs="Times New Roman"/>
          <w:szCs w:val="24"/>
        </w:rPr>
        <w:t xml:space="preserve"> </w:t>
      </w:r>
      <w:r w:rsidRPr="00B71980">
        <w:rPr>
          <w:rFonts w:cs="Times New Roman"/>
          <w:szCs w:val="24"/>
        </w:rPr>
        <w:t xml:space="preserve">el </w:t>
      </w:r>
      <w:r w:rsidRPr="00065893">
        <w:rPr>
          <w:rFonts w:cs="Times New Roman"/>
          <w:i/>
          <w:szCs w:val="24"/>
        </w:rPr>
        <w:t>Plan Nacional contra la Violencia de Género</w:t>
      </w:r>
      <w:r w:rsidRPr="00B71980">
        <w:rPr>
          <w:rFonts w:cs="Times New Roman"/>
          <w:szCs w:val="24"/>
        </w:rPr>
        <w:t>,</w:t>
      </w:r>
      <w:r>
        <w:rPr>
          <w:rFonts w:cs="Times New Roman"/>
          <w:szCs w:val="24"/>
        </w:rPr>
        <w:t xml:space="preserve"> primer plan integral diseñado para combatir los delitos de la violencia intrafamiliar y de género. Para asegurar una persecución efectiva del delito se han dirigido esfuerzos importantes hacia la ampliación de la cobertura de las Unidades de A</w:t>
      </w:r>
      <w:r w:rsidRPr="00514A9A">
        <w:rPr>
          <w:rFonts w:cs="Times New Roman"/>
          <w:szCs w:val="24"/>
        </w:rPr>
        <w:t>tención Integral a Víctimas de Vio</w:t>
      </w:r>
      <w:r>
        <w:rPr>
          <w:rFonts w:cs="Times New Roman"/>
          <w:szCs w:val="24"/>
        </w:rPr>
        <w:t>lencia de Género, Intrafamiliar</w:t>
      </w:r>
      <w:r w:rsidRPr="00514A9A">
        <w:rPr>
          <w:rFonts w:cs="Times New Roman"/>
          <w:szCs w:val="24"/>
        </w:rPr>
        <w:t xml:space="preserve"> y Delitos Sexuales (UVG)</w:t>
      </w:r>
      <w:r>
        <w:rPr>
          <w:rFonts w:cs="Times New Roman"/>
          <w:szCs w:val="24"/>
        </w:rPr>
        <w:t xml:space="preserve">, </w:t>
      </w:r>
      <w:r w:rsidRPr="00514A9A">
        <w:rPr>
          <w:rFonts w:cs="Times New Roman"/>
          <w:szCs w:val="24"/>
        </w:rPr>
        <w:t>logrando</w:t>
      </w:r>
      <w:r>
        <w:rPr>
          <w:rFonts w:cs="Times New Roman"/>
          <w:szCs w:val="24"/>
        </w:rPr>
        <w:t xml:space="preserve"> inaugurar a partir del plan cinco nuevas UVG, las </w:t>
      </w:r>
      <w:r w:rsidR="007730A4">
        <w:rPr>
          <w:rFonts w:cs="Times New Roman"/>
          <w:szCs w:val="24"/>
        </w:rPr>
        <w:t>cual</w:t>
      </w:r>
      <w:r>
        <w:rPr>
          <w:rFonts w:cs="Times New Roman"/>
          <w:szCs w:val="24"/>
        </w:rPr>
        <w:t>e</w:t>
      </w:r>
      <w:r w:rsidR="007730A4">
        <w:rPr>
          <w:rFonts w:cs="Times New Roman"/>
          <w:szCs w:val="24"/>
        </w:rPr>
        <w:t>s se</w:t>
      </w:r>
      <w:r>
        <w:rPr>
          <w:rFonts w:cs="Times New Roman"/>
          <w:szCs w:val="24"/>
        </w:rPr>
        <w:t xml:space="preserve"> encuentran ubicadas en las provincias de Sánchez Ramírez, La Altagracia, Barahona, Bahoruco, y El Seibo</w:t>
      </w:r>
      <w:r w:rsidR="007730A4">
        <w:rPr>
          <w:rFonts w:cs="Times New Roman"/>
          <w:szCs w:val="24"/>
        </w:rPr>
        <w:t>.</w:t>
      </w:r>
      <w:r>
        <w:rPr>
          <w:rFonts w:cs="Times New Roman"/>
          <w:szCs w:val="24"/>
        </w:rPr>
        <w:t xml:space="preserve"> </w:t>
      </w:r>
    </w:p>
    <w:p w14:paraId="613B39AB" w14:textId="6568E921" w:rsidR="001C19EC" w:rsidRDefault="001C19EC" w:rsidP="001C19EC">
      <w:pPr>
        <w:spacing w:line="480" w:lineRule="auto"/>
        <w:ind w:firstLine="708"/>
        <w:jc w:val="both"/>
        <w:rPr>
          <w:rFonts w:cs="Times New Roman"/>
          <w:szCs w:val="24"/>
        </w:rPr>
      </w:pPr>
      <w:r>
        <w:rPr>
          <w:rFonts w:cs="Times New Roman"/>
          <w:szCs w:val="24"/>
        </w:rPr>
        <w:t xml:space="preserve">De igual modo han sido equipadas y dotadas de personal interdisciplinario (fiscales, psicólogos forenses, </w:t>
      </w:r>
      <w:r w:rsidRPr="00260DC2">
        <w:rPr>
          <w:rFonts w:cs="Times New Roman"/>
          <w:szCs w:val="24"/>
        </w:rPr>
        <w:t xml:space="preserve">abogados, etc.) las 19 UVG </w:t>
      </w:r>
      <w:r w:rsidR="007730A4">
        <w:rPr>
          <w:rFonts w:cs="Times New Roman"/>
          <w:szCs w:val="24"/>
        </w:rPr>
        <w:t>existentes al momento del lanzamiento del Plan</w:t>
      </w:r>
      <w:r w:rsidRPr="00260DC2">
        <w:rPr>
          <w:rFonts w:cs="Times New Roman"/>
          <w:szCs w:val="24"/>
        </w:rPr>
        <w:t xml:space="preserve">, siendo </w:t>
      </w:r>
      <w:r>
        <w:rPr>
          <w:rFonts w:cs="Times New Roman"/>
          <w:szCs w:val="24"/>
        </w:rPr>
        <w:t xml:space="preserve">varias de ellas trasladadas y remozadas para adecuarse a los </w:t>
      </w:r>
      <w:r>
        <w:rPr>
          <w:rFonts w:cs="Times New Roman"/>
          <w:szCs w:val="24"/>
        </w:rPr>
        <w:lastRenderedPageBreak/>
        <w:t>estándares de atención modernos, incluyendo este año las UVG de Santiago, San Juan de la Maguana y La Vega</w:t>
      </w:r>
      <w:r w:rsidR="008D75D9">
        <w:rPr>
          <w:rFonts w:cs="Times New Roman"/>
          <w:szCs w:val="24"/>
        </w:rPr>
        <w:t xml:space="preserve">, y el año anterior las de Azua y Puerto Plata. </w:t>
      </w:r>
    </w:p>
    <w:p w14:paraId="3820364E" w14:textId="77777777" w:rsidR="001C19EC" w:rsidRDefault="001C19EC" w:rsidP="001C19EC">
      <w:pPr>
        <w:spacing w:line="480" w:lineRule="auto"/>
        <w:ind w:firstLine="708"/>
        <w:jc w:val="both"/>
        <w:rPr>
          <w:rFonts w:cs="Times New Roman"/>
          <w:szCs w:val="24"/>
        </w:rPr>
      </w:pPr>
      <w:r>
        <w:rPr>
          <w:rFonts w:cs="Times New Roman"/>
          <w:szCs w:val="24"/>
        </w:rPr>
        <w:t>Otro logro del plan fue la creación de dos n</w:t>
      </w:r>
      <w:r w:rsidRPr="000D143B">
        <w:rPr>
          <w:rFonts w:cs="Times New Roman"/>
          <w:szCs w:val="24"/>
        </w:rPr>
        <w:t>uevos Centros de Intervención Conductual para Hombres</w:t>
      </w:r>
      <w:r>
        <w:rPr>
          <w:rFonts w:cs="Times New Roman"/>
          <w:szCs w:val="24"/>
        </w:rPr>
        <w:t xml:space="preserve">, </w:t>
      </w:r>
      <w:r w:rsidRPr="00196131">
        <w:rPr>
          <w:rFonts w:cs="Times New Roman"/>
          <w:szCs w:val="24"/>
        </w:rPr>
        <w:t xml:space="preserve">los cuales se encuentran ubicados en las regiones norte (Santiago de los Caballeros) y sur (San Juan de la Maguana). </w:t>
      </w:r>
      <w:r>
        <w:rPr>
          <w:rFonts w:cs="Times New Roman"/>
          <w:szCs w:val="24"/>
        </w:rPr>
        <w:t>Asimismo, fue r</w:t>
      </w:r>
      <w:r w:rsidRPr="00196131">
        <w:rPr>
          <w:rFonts w:cs="Times New Roman"/>
          <w:szCs w:val="24"/>
        </w:rPr>
        <w:t>eadecua</w:t>
      </w:r>
      <w:r>
        <w:rPr>
          <w:rFonts w:cs="Times New Roman"/>
          <w:szCs w:val="24"/>
        </w:rPr>
        <w:t xml:space="preserve">do </w:t>
      </w:r>
      <w:r w:rsidRPr="00196131">
        <w:rPr>
          <w:rFonts w:cs="Times New Roman"/>
          <w:szCs w:val="24"/>
        </w:rPr>
        <w:t>el Centro de Intervención Conductual de Hombres del Distrito Nacional.</w:t>
      </w:r>
      <w:r>
        <w:rPr>
          <w:rFonts w:cs="Times New Roman"/>
          <w:szCs w:val="24"/>
        </w:rPr>
        <w:t xml:space="preserve"> Con la creación de estos centros se espera continuar fomentando una masculinidad más positiva en beneficio de la lucha contra la violencia de género en la República Dominicana.</w:t>
      </w:r>
    </w:p>
    <w:p w14:paraId="46D0185D" w14:textId="04790086" w:rsidR="001C19EC" w:rsidRDefault="007730A4" w:rsidP="001C19EC">
      <w:pPr>
        <w:spacing w:line="480" w:lineRule="auto"/>
        <w:ind w:firstLine="708"/>
        <w:jc w:val="both"/>
        <w:rPr>
          <w:rFonts w:cs="Times New Roman"/>
          <w:szCs w:val="24"/>
        </w:rPr>
      </w:pPr>
      <w:r>
        <w:rPr>
          <w:rFonts w:cs="Times New Roman"/>
          <w:szCs w:val="24"/>
        </w:rPr>
        <w:t>Como parte de Plan también s</w:t>
      </w:r>
      <w:r w:rsidR="001C19EC">
        <w:rPr>
          <w:rFonts w:cs="Times New Roman"/>
          <w:szCs w:val="24"/>
        </w:rPr>
        <w:t xml:space="preserve">e trabajó en la ampliación del </w:t>
      </w:r>
      <w:r w:rsidR="001C19EC" w:rsidRPr="004211AA">
        <w:rPr>
          <w:rFonts w:cs="Times New Roman"/>
          <w:szCs w:val="24"/>
        </w:rPr>
        <w:t>horario</w:t>
      </w:r>
      <w:r w:rsidR="001C19EC">
        <w:rPr>
          <w:rFonts w:cs="Times New Roman"/>
          <w:szCs w:val="24"/>
        </w:rPr>
        <w:t xml:space="preserve"> y la cobertura d</w:t>
      </w:r>
      <w:r w:rsidR="001C19EC" w:rsidRPr="004211AA">
        <w:rPr>
          <w:rFonts w:cs="Times New Roman"/>
          <w:szCs w:val="24"/>
        </w:rPr>
        <w:t xml:space="preserve">el servicio de </w:t>
      </w:r>
      <w:r w:rsidR="001C19EC">
        <w:rPr>
          <w:rFonts w:cs="Times New Roman"/>
          <w:szCs w:val="24"/>
        </w:rPr>
        <w:t>la línea gratuita de llamada</w:t>
      </w:r>
      <w:r w:rsidR="001C19EC" w:rsidRPr="004211AA">
        <w:rPr>
          <w:rFonts w:cs="Times New Roman"/>
          <w:szCs w:val="24"/>
        </w:rPr>
        <w:t xml:space="preserve"> de auxilio</w:t>
      </w:r>
      <w:r w:rsidR="001C19EC" w:rsidRPr="00633E27">
        <w:rPr>
          <w:rFonts w:cs="Times New Roman"/>
          <w:i/>
          <w:szCs w:val="24"/>
        </w:rPr>
        <w:t>, Línea Vida</w:t>
      </w:r>
      <w:r w:rsidR="001C19EC">
        <w:rPr>
          <w:rFonts w:cs="Times New Roman"/>
          <w:i/>
          <w:szCs w:val="24"/>
        </w:rPr>
        <w:t xml:space="preserve"> (1-809-200-1202)</w:t>
      </w:r>
      <w:r w:rsidR="001C19EC">
        <w:rPr>
          <w:rFonts w:cs="Times New Roman"/>
          <w:szCs w:val="24"/>
        </w:rPr>
        <w:t xml:space="preserve"> para brindar un servicio a nivel nacional, </w:t>
      </w:r>
      <w:r w:rsidR="001C19EC" w:rsidRPr="004211AA">
        <w:rPr>
          <w:rFonts w:cs="Times New Roman"/>
          <w:szCs w:val="24"/>
        </w:rPr>
        <w:t>24 horas</w:t>
      </w:r>
      <w:r w:rsidR="001C19EC">
        <w:rPr>
          <w:rFonts w:cs="Times New Roman"/>
          <w:szCs w:val="24"/>
        </w:rPr>
        <w:t xml:space="preserve"> al día</w:t>
      </w:r>
      <w:r w:rsidR="001C19EC" w:rsidRPr="004211AA">
        <w:rPr>
          <w:rFonts w:cs="Times New Roman"/>
          <w:szCs w:val="24"/>
        </w:rPr>
        <w:t>, 365 días</w:t>
      </w:r>
      <w:r w:rsidR="001C19EC">
        <w:rPr>
          <w:rFonts w:cs="Times New Roman"/>
          <w:szCs w:val="24"/>
        </w:rPr>
        <w:t xml:space="preserve"> al año, lo </w:t>
      </w:r>
      <w:r>
        <w:rPr>
          <w:rFonts w:cs="Times New Roman"/>
          <w:szCs w:val="24"/>
        </w:rPr>
        <w:t xml:space="preserve">cual </w:t>
      </w:r>
      <w:r w:rsidR="001C19EC">
        <w:rPr>
          <w:rFonts w:cs="Times New Roman"/>
          <w:szCs w:val="24"/>
        </w:rPr>
        <w:t>fue acompañado de varias campañas sociales dirigidas a fomentar la denuncia de las víctimas de casos de violencia intrafamiliar y violencia de género</w:t>
      </w:r>
      <w:r w:rsidR="001C19EC" w:rsidRPr="004211AA">
        <w:rPr>
          <w:rFonts w:cs="Times New Roman"/>
          <w:szCs w:val="24"/>
        </w:rPr>
        <w:t>.</w:t>
      </w:r>
    </w:p>
    <w:p w14:paraId="3843934F" w14:textId="2B563C16" w:rsidR="001C19EC" w:rsidRPr="004211AA" w:rsidRDefault="001C19EC" w:rsidP="001C19EC">
      <w:pPr>
        <w:spacing w:line="480" w:lineRule="auto"/>
        <w:ind w:firstLine="708"/>
        <w:jc w:val="both"/>
        <w:rPr>
          <w:rFonts w:cs="Times New Roman"/>
          <w:szCs w:val="24"/>
        </w:rPr>
      </w:pPr>
      <w:r w:rsidRPr="004211AA">
        <w:rPr>
          <w:rFonts w:cs="Times New Roman"/>
          <w:szCs w:val="24"/>
        </w:rPr>
        <w:t xml:space="preserve">Dentro </w:t>
      </w:r>
      <w:r>
        <w:rPr>
          <w:rFonts w:cs="Times New Roman"/>
          <w:szCs w:val="24"/>
        </w:rPr>
        <w:t xml:space="preserve">de las acciones preventivas se destaca </w:t>
      </w:r>
      <w:r w:rsidRPr="004211AA">
        <w:rPr>
          <w:rFonts w:cs="Times New Roman"/>
          <w:szCs w:val="24"/>
        </w:rPr>
        <w:t>la creación de</w:t>
      </w:r>
      <w:r>
        <w:rPr>
          <w:rFonts w:cs="Times New Roman"/>
          <w:szCs w:val="24"/>
        </w:rPr>
        <w:t xml:space="preserve"> las </w:t>
      </w:r>
      <w:r w:rsidRPr="00616CB2">
        <w:rPr>
          <w:rFonts w:cs="Times New Roman"/>
          <w:i/>
          <w:szCs w:val="24"/>
        </w:rPr>
        <w:t>Guías de Prevención para Estudiantes y Maestros del Nivel Primario y Secundari</w:t>
      </w:r>
      <w:r>
        <w:rPr>
          <w:rFonts w:cs="Times New Roman"/>
          <w:i/>
          <w:szCs w:val="24"/>
        </w:rPr>
        <w:t>a</w:t>
      </w:r>
      <w:r w:rsidRPr="00616CB2">
        <w:rPr>
          <w:rFonts w:cs="Times New Roman"/>
          <w:i/>
          <w:szCs w:val="24"/>
        </w:rPr>
        <w:t xml:space="preserve"> </w:t>
      </w:r>
      <w:r>
        <w:rPr>
          <w:rFonts w:cs="Times New Roman"/>
          <w:szCs w:val="24"/>
        </w:rPr>
        <w:t>realizadas en coordinación con el Ministerio de Educación (MINERD)</w:t>
      </w:r>
      <w:r w:rsidRPr="004211AA">
        <w:rPr>
          <w:rFonts w:cs="Times New Roman"/>
          <w:szCs w:val="24"/>
        </w:rPr>
        <w:t xml:space="preserve">, </w:t>
      </w:r>
      <w:r>
        <w:rPr>
          <w:rFonts w:cs="Times New Roman"/>
          <w:szCs w:val="24"/>
        </w:rPr>
        <w:t xml:space="preserve">así como </w:t>
      </w:r>
      <w:r w:rsidRPr="004211AA">
        <w:rPr>
          <w:rFonts w:cs="Times New Roman"/>
          <w:szCs w:val="24"/>
        </w:rPr>
        <w:t xml:space="preserve">la realización de </w:t>
      </w:r>
      <w:r>
        <w:rPr>
          <w:rFonts w:cs="Times New Roman"/>
          <w:szCs w:val="24"/>
        </w:rPr>
        <w:t xml:space="preserve">más de </w:t>
      </w:r>
      <w:r w:rsidRPr="004211AA">
        <w:rPr>
          <w:rFonts w:cs="Times New Roman"/>
          <w:szCs w:val="24"/>
        </w:rPr>
        <w:t xml:space="preserve">500 charlas de prevención en temas </w:t>
      </w:r>
      <w:r>
        <w:rPr>
          <w:rFonts w:cs="Times New Roman"/>
          <w:szCs w:val="24"/>
        </w:rPr>
        <w:t>de</w:t>
      </w:r>
      <w:r w:rsidRPr="004211AA">
        <w:rPr>
          <w:rFonts w:cs="Times New Roman"/>
          <w:szCs w:val="24"/>
        </w:rPr>
        <w:t xml:space="preserve"> masculinidad positiva y prevención de la violencia de género</w:t>
      </w:r>
      <w:r w:rsidR="006D0A4C">
        <w:rPr>
          <w:rFonts w:cs="Times New Roman"/>
          <w:szCs w:val="24"/>
        </w:rPr>
        <w:t>;</w:t>
      </w:r>
      <w:r w:rsidRPr="004211AA">
        <w:rPr>
          <w:rFonts w:cs="Times New Roman"/>
          <w:szCs w:val="24"/>
        </w:rPr>
        <w:t xml:space="preserve"> </w:t>
      </w:r>
      <w:r>
        <w:rPr>
          <w:rFonts w:cs="Times New Roman"/>
          <w:szCs w:val="24"/>
        </w:rPr>
        <w:t>por igual</w:t>
      </w:r>
      <w:r w:rsidR="006D0A4C">
        <w:rPr>
          <w:rFonts w:cs="Times New Roman"/>
          <w:szCs w:val="24"/>
        </w:rPr>
        <w:t>,</w:t>
      </w:r>
      <w:r>
        <w:rPr>
          <w:rFonts w:cs="Times New Roman"/>
          <w:szCs w:val="24"/>
        </w:rPr>
        <w:t xml:space="preserve"> se realizó una </w:t>
      </w:r>
      <w:r w:rsidRPr="004211AA">
        <w:rPr>
          <w:rFonts w:cs="Times New Roman"/>
          <w:szCs w:val="24"/>
        </w:rPr>
        <w:t xml:space="preserve">capacitación </w:t>
      </w:r>
      <w:r>
        <w:rPr>
          <w:rFonts w:cs="Times New Roman"/>
          <w:szCs w:val="24"/>
        </w:rPr>
        <w:t xml:space="preserve">especializada dirigida a </w:t>
      </w:r>
      <w:r w:rsidRPr="004211AA">
        <w:rPr>
          <w:rFonts w:cs="Times New Roman"/>
          <w:szCs w:val="24"/>
        </w:rPr>
        <w:t>750 miembros del Ministerio P</w:t>
      </w:r>
      <w:r>
        <w:rPr>
          <w:rFonts w:cs="Times New Roman"/>
          <w:szCs w:val="24"/>
        </w:rPr>
        <w:t>ú</w:t>
      </w:r>
      <w:r w:rsidRPr="004211AA">
        <w:rPr>
          <w:rFonts w:cs="Times New Roman"/>
          <w:szCs w:val="24"/>
        </w:rPr>
        <w:t>blico y 180 efectivos de la Policía Nacional</w:t>
      </w:r>
      <w:r w:rsidR="006D0A4C">
        <w:rPr>
          <w:rFonts w:cs="Times New Roman"/>
          <w:szCs w:val="24"/>
        </w:rPr>
        <w:t xml:space="preserve"> en materia de violencia de género. </w:t>
      </w:r>
    </w:p>
    <w:p w14:paraId="58D211B2" w14:textId="77777777" w:rsidR="001C19EC" w:rsidRDefault="001C19EC" w:rsidP="001C19EC">
      <w:pPr>
        <w:spacing w:line="480" w:lineRule="auto"/>
        <w:ind w:firstLine="708"/>
        <w:jc w:val="both"/>
        <w:rPr>
          <w:rFonts w:cs="Times New Roman"/>
          <w:szCs w:val="24"/>
        </w:rPr>
      </w:pPr>
      <w:r w:rsidRPr="00B9063E">
        <w:rPr>
          <w:rFonts w:cs="Times New Roman"/>
          <w:szCs w:val="24"/>
        </w:rPr>
        <w:t>En el marco del Plan de Acción del Grupo de Acción Financiera Internacional (GAFI),</w:t>
      </w:r>
      <w:r>
        <w:rPr>
          <w:rFonts w:cs="Times New Roman"/>
          <w:szCs w:val="24"/>
        </w:rPr>
        <w:t xml:space="preserve"> fue superado el proceso de evaluación-país y en la actualidad se continúan ejecutando acciones tendentes a mejorar las capacidades para la persecución de los delitos de lavado de activos, por lo que </w:t>
      </w:r>
      <w:r w:rsidRPr="00B9063E">
        <w:rPr>
          <w:rFonts w:cs="Times New Roman"/>
          <w:szCs w:val="24"/>
        </w:rPr>
        <w:t xml:space="preserve">en el año 2019 se formaron </w:t>
      </w:r>
      <w:r>
        <w:rPr>
          <w:rFonts w:cs="Times New Roman"/>
          <w:szCs w:val="24"/>
        </w:rPr>
        <w:t>215</w:t>
      </w:r>
      <w:r w:rsidRPr="00B9063E">
        <w:rPr>
          <w:rFonts w:cs="Times New Roman"/>
          <w:szCs w:val="24"/>
        </w:rPr>
        <w:t xml:space="preserve"> fiscales en materia de </w:t>
      </w:r>
      <w:r w:rsidRPr="00B9063E">
        <w:rPr>
          <w:rFonts w:cs="Times New Roman"/>
          <w:szCs w:val="24"/>
        </w:rPr>
        <w:lastRenderedPageBreak/>
        <w:t xml:space="preserve">lavado de activos, se elaboró el Manual del Plan de Investigación para República Dominicana y se gestionaron fondos ascendentes a RD$ 410,000.00 para la formación de 35 fiscales en materia de </w:t>
      </w:r>
      <w:r>
        <w:rPr>
          <w:rFonts w:cs="Times New Roman"/>
          <w:szCs w:val="24"/>
        </w:rPr>
        <w:t>lavado de activos y lucha contra el n</w:t>
      </w:r>
      <w:r w:rsidRPr="00B9063E">
        <w:rPr>
          <w:rFonts w:cs="Times New Roman"/>
          <w:szCs w:val="24"/>
        </w:rPr>
        <w:t>arcotráfico</w:t>
      </w:r>
      <w:r>
        <w:rPr>
          <w:rFonts w:cs="Times New Roman"/>
          <w:szCs w:val="24"/>
        </w:rPr>
        <w:t xml:space="preserve">, lo cual contó con el apoyo de </w:t>
      </w:r>
      <w:r w:rsidRPr="00B9063E">
        <w:rPr>
          <w:rFonts w:cs="Times New Roman"/>
          <w:szCs w:val="24"/>
        </w:rPr>
        <w:t xml:space="preserve">la Oficina de </w:t>
      </w:r>
      <w:r>
        <w:rPr>
          <w:rFonts w:cs="Times New Roman"/>
          <w:szCs w:val="24"/>
        </w:rPr>
        <w:t xml:space="preserve">las </w:t>
      </w:r>
      <w:r w:rsidRPr="00B9063E">
        <w:rPr>
          <w:rFonts w:cs="Times New Roman"/>
          <w:szCs w:val="24"/>
        </w:rPr>
        <w:t>Naciones Unidas contra la Droga y el Delito (UNODC).</w:t>
      </w:r>
    </w:p>
    <w:p w14:paraId="1143BEC8" w14:textId="56CEE27F" w:rsidR="006D0A4C" w:rsidRDefault="001C19EC" w:rsidP="001C19EC">
      <w:pPr>
        <w:spacing w:line="480" w:lineRule="auto"/>
        <w:ind w:firstLine="708"/>
        <w:jc w:val="both"/>
        <w:rPr>
          <w:rFonts w:cs="Times New Roman"/>
          <w:szCs w:val="24"/>
        </w:rPr>
      </w:pPr>
      <w:r>
        <w:rPr>
          <w:rFonts w:cs="Times New Roman"/>
          <w:szCs w:val="24"/>
        </w:rPr>
        <w:t>Fruto de la lucha contra el lavado de activos d</w:t>
      </w:r>
      <w:r w:rsidRPr="00FC4FD0">
        <w:rPr>
          <w:rFonts w:cs="Times New Roman"/>
          <w:szCs w:val="24"/>
        </w:rPr>
        <w:t xml:space="preserve">urante el año </w:t>
      </w:r>
      <w:r>
        <w:rPr>
          <w:rFonts w:cs="Times New Roman"/>
          <w:szCs w:val="24"/>
        </w:rPr>
        <w:t>2019 fueron decomisados</w:t>
      </w:r>
      <w:r w:rsidR="00637245">
        <w:rPr>
          <w:rFonts w:cs="Times New Roman"/>
          <w:szCs w:val="24"/>
        </w:rPr>
        <w:t xml:space="preserve"> y entregados</w:t>
      </w:r>
      <w:r>
        <w:rPr>
          <w:rFonts w:cs="Times New Roman"/>
          <w:szCs w:val="24"/>
        </w:rPr>
        <w:t xml:space="preserve"> </w:t>
      </w:r>
      <w:r w:rsidR="006D0A4C">
        <w:rPr>
          <w:rFonts w:cs="Times New Roman"/>
          <w:szCs w:val="24"/>
        </w:rPr>
        <w:t xml:space="preserve">más </w:t>
      </w:r>
      <w:r>
        <w:rPr>
          <w:rFonts w:cs="Times New Roman"/>
          <w:szCs w:val="24"/>
        </w:rPr>
        <w:t>de RD$ 16</w:t>
      </w:r>
      <w:r w:rsidR="006D0A4C">
        <w:rPr>
          <w:rFonts w:cs="Times New Roman"/>
          <w:szCs w:val="24"/>
        </w:rPr>
        <w:t>1</w:t>
      </w:r>
      <w:proofErr w:type="gramStart"/>
      <w:r>
        <w:rPr>
          <w:rFonts w:cs="Times New Roman"/>
          <w:szCs w:val="24"/>
        </w:rPr>
        <w:t>,000,000</w:t>
      </w:r>
      <w:proofErr w:type="gramEnd"/>
      <w:r>
        <w:rPr>
          <w:rFonts w:cs="Times New Roman"/>
          <w:szCs w:val="24"/>
        </w:rPr>
        <w:t xml:space="preserve"> millones de pesos, y se encuentran en proceso de solicitud de decomiso alrededor de RD$ 29,000,000 millones más. Asimismo se destacaron los avances obtenidos en términos de interoperabilidad con los sistemas de información de otros organismos de seguridad del Estado, la formación especializada a los operadores del área y la asistencia jurídica internacional brindada en 44 casos de gran envergadura para la lucha contra la criminalidad. </w:t>
      </w:r>
    </w:p>
    <w:p w14:paraId="13673D71" w14:textId="50FE6CE2" w:rsidR="006D0A4C" w:rsidRPr="007C144D" w:rsidRDefault="006D0A4C" w:rsidP="00A62E94">
      <w:pPr>
        <w:spacing w:line="480" w:lineRule="auto"/>
        <w:ind w:firstLine="708"/>
        <w:jc w:val="both"/>
      </w:pPr>
      <w:r>
        <w:t>Por igual, se destacan l</w:t>
      </w:r>
      <w:r w:rsidR="001C19EC">
        <w:t xml:space="preserve">as acciones conjuntas realizadas con la </w:t>
      </w:r>
      <w:r w:rsidR="001C19EC" w:rsidRPr="004E1474">
        <w:t xml:space="preserve">Dirección Nacional de Control de Drogas (DNCD), </w:t>
      </w:r>
      <w:r w:rsidR="001C19EC">
        <w:t>para evitar el tráfico ilícito de drogas, trayendo como resultado que entre enero y octubre 2019 fuera</w:t>
      </w:r>
      <w:r w:rsidR="001C19EC" w:rsidRPr="00B217F5">
        <w:t>n in</w:t>
      </w:r>
      <w:r w:rsidR="001C19EC">
        <w:t xml:space="preserve">cautados e incinerados más de 15,406 kilogramos de drogas, </w:t>
      </w:r>
      <w:r w:rsidRPr="007C144D">
        <w:t xml:space="preserve">para un total de casi 66,000 kilogramos desde el </w:t>
      </w:r>
      <w:r>
        <w:t xml:space="preserve">año 2016, lo cual ha venido a significar un duro golpe para el narcotráfico. </w:t>
      </w:r>
    </w:p>
    <w:p w14:paraId="52FDD552" w14:textId="0F0E3721" w:rsidR="001C19EC" w:rsidRDefault="006D0A4C" w:rsidP="001C19EC">
      <w:pPr>
        <w:spacing w:line="480" w:lineRule="auto"/>
        <w:ind w:firstLine="708"/>
        <w:jc w:val="both"/>
        <w:rPr>
          <w:rFonts w:cs="Times New Roman"/>
          <w:szCs w:val="24"/>
        </w:rPr>
      </w:pPr>
      <w:r>
        <w:rPr>
          <w:rFonts w:cs="Times New Roman"/>
          <w:szCs w:val="24"/>
        </w:rPr>
        <w:t>En lo que respecta a la lucha contra la corrupción, s</w:t>
      </w:r>
      <w:r w:rsidR="001C19EC">
        <w:rPr>
          <w:rFonts w:cs="Times New Roman"/>
          <w:szCs w:val="24"/>
        </w:rPr>
        <w:t>e ha realizado un proceso importante de fortalecimiento de la Procuraduría Especializada contra la Corrupción Administrativa (PEPCA), lo cual permitió que en 2017 se pudiera condenar a más 21 personas por delitos de corrupción administrativa, entre ellos diversos funcionarios públicos</w:t>
      </w:r>
      <w:r>
        <w:rPr>
          <w:rFonts w:cs="Times New Roman"/>
          <w:szCs w:val="24"/>
        </w:rPr>
        <w:t xml:space="preserve">. Además, </w:t>
      </w:r>
      <w:r w:rsidR="001C19EC">
        <w:rPr>
          <w:rFonts w:cs="Times New Roman"/>
          <w:szCs w:val="24"/>
        </w:rPr>
        <w:t xml:space="preserve">se puso además en ejecución por primera vez, luego de 10 años de promulgación la </w:t>
      </w:r>
      <w:r w:rsidR="001C19EC" w:rsidRPr="00FF0911">
        <w:rPr>
          <w:rFonts w:cs="Times New Roman"/>
          <w:i/>
          <w:szCs w:val="24"/>
        </w:rPr>
        <w:t>Ley de Sobornos en el Comercio y la Inversión</w:t>
      </w:r>
      <w:r w:rsidR="001C19EC">
        <w:rPr>
          <w:rFonts w:cs="Times New Roman"/>
          <w:szCs w:val="24"/>
        </w:rPr>
        <w:t>, logrando con esto indemnizaciones a favor del Estado Dominicano superiores a los 190 millones de dólares.</w:t>
      </w:r>
    </w:p>
    <w:p w14:paraId="6EED9962" w14:textId="77777777" w:rsidR="001C19EC" w:rsidRDefault="001C19EC" w:rsidP="001C19EC">
      <w:pPr>
        <w:spacing w:line="480" w:lineRule="auto"/>
        <w:ind w:firstLine="708"/>
        <w:jc w:val="both"/>
        <w:rPr>
          <w:rFonts w:cs="Times New Roman"/>
          <w:szCs w:val="24"/>
        </w:rPr>
      </w:pPr>
      <w:r>
        <w:rPr>
          <w:rFonts w:cs="Times New Roman"/>
          <w:szCs w:val="24"/>
        </w:rPr>
        <w:lastRenderedPageBreak/>
        <w:t>Continuando con el proceso de fortalecimiento, desde principios del año 2019 hasta el mes de noviembre la Procuraduría Especializada Contra los Crímenes y Delitos de Alta Tecnología ha investigado alrededor de 7,728 alertas de niños y niñas desaparecidos o explotados con el objetivo de perseguir a los responsables a través de los sistemas informáticos. Asimismo se ha logrado entregar a los fiscales la cantidad de 2,003 videos, 1,100 datos y 59 audios como medios de prueba de casos que involucran el abuso sexual infantil.</w:t>
      </w:r>
    </w:p>
    <w:p w14:paraId="2C222FFA" w14:textId="77777777" w:rsidR="001C19EC" w:rsidRDefault="001C19EC" w:rsidP="001C19EC">
      <w:pPr>
        <w:spacing w:line="480" w:lineRule="auto"/>
        <w:ind w:firstLine="708"/>
        <w:jc w:val="both"/>
        <w:rPr>
          <w:rFonts w:cs="Times New Roman"/>
          <w:szCs w:val="24"/>
        </w:rPr>
      </w:pPr>
      <w:r>
        <w:rPr>
          <w:rFonts w:cs="Times New Roman"/>
          <w:szCs w:val="24"/>
        </w:rPr>
        <w:t xml:space="preserve">A nivel operativo se han realizado acciones especiales dirigidas al desmantelamiento de actividades criminales específicas, como es el caso de las persecuciones emprendidas con la finalidad de combatir la </w:t>
      </w:r>
      <w:r w:rsidRPr="005D71BF">
        <w:rPr>
          <w:rFonts w:cs="Times New Roman"/>
          <w:szCs w:val="24"/>
        </w:rPr>
        <w:t xml:space="preserve">trata de personas y el tráfico ilícito de migrantes, </w:t>
      </w:r>
      <w:r>
        <w:rPr>
          <w:rFonts w:cs="Times New Roman"/>
          <w:szCs w:val="24"/>
        </w:rPr>
        <w:t>los juegos de azar ilegales, y la venta de repuestos de vehículos robados.</w:t>
      </w:r>
    </w:p>
    <w:p w14:paraId="36974889" w14:textId="1FFC20E5" w:rsidR="001C19EC" w:rsidRDefault="001C19EC" w:rsidP="001C19EC">
      <w:pPr>
        <w:spacing w:line="480" w:lineRule="auto"/>
        <w:ind w:firstLine="708"/>
        <w:jc w:val="both"/>
        <w:rPr>
          <w:rFonts w:cs="Times New Roman"/>
          <w:szCs w:val="24"/>
        </w:rPr>
      </w:pPr>
      <w:r w:rsidRPr="006D0A4C">
        <w:rPr>
          <w:rFonts w:cs="Times New Roman"/>
          <w:szCs w:val="24"/>
        </w:rPr>
        <w:t xml:space="preserve">En este orden fueron rescatadas de la actividad de trata de personas más de </w:t>
      </w:r>
      <w:r w:rsidR="006D0A4C" w:rsidRPr="00A62E94">
        <w:rPr>
          <w:rFonts w:cs="Times New Roman"/>
          <w:szCs w:val="24"/>
        </w:rPr>
        <w:t>200</w:t>
      </w:r>
      <w:r w:rsidRPr="006D0A4C">
        <w:rPr>
          <w:rFonts w:cs="Times New Roman"/>
          <w:szCs w:val="24"/>
        </w:rPr>
        <w:t xml:space="preserve"> mujeres víctimas del proxenetismo, y fueron incautadas y destruidas más de 2,000 máquinas tragamonedas, además de la recuperación de cerca de RD$ 50 millones de pesos asociados a esta actividad ilícita. Por otro lado</w:t>
      </w:r>
      <w:r w:rsidR="00C61696">
        <w:rPr>
          <w:rFonts w:cs="Times New Roman"/>
          <w:szCs w:val="24"/>
        </w:rPr>
        <w:t>,</w:t>
      </w:r>
      <w:r w:rsidRPr="006D0A4C">
        <w:rPr>
          <w:rFonts w:cs="Times New Roman"/>
          <w:szCs w:val="24"/>
        </w:rPr>
        <w:t xml:space="preserve"> fueron cerrados unos 19 negocios acusados del delito de </w:t>
      </w:r>
      <w:r w:rsidR="006D0A4C" w:rsidRPr="00A62E94">
        <w:rPr>
          <w:rFonts w:cs="Times New Roman"/>
          <w:szCs w:val="24"/>
        </w:rPr>
        <w:t>c</w:t>
      </w:r>
      <w:r w:rsidRPr="006D0A4C">
        <w:rPr>
          <w:rFonts w:cs="Times New Roman"/>
          <w:szCs w:val="24"/>
        </w:rPr>
        <w:t xml:space="preserve">ontaminación </w:t>
      </w:r>
      <w:r w:rsidR="006D0A4C" w:rsidRPr="00A62E94">
        <w:rPr>
          <w:rFonts w:cs="Times New Roman"/>
          <w:szCs w:val="24"/>
        </w:rPr>
        <w:t>s</w:t>
      </w:r>
      <w:r w:rsidRPr="006D0A4C">
        <w:rPr>
          <w:rFonts w:cs="Times New Roman"/>
          <w:szCs w:val="24"/>
        </w:rPr>
        <w:t>ónica</w:t>
      </w:r>
      <w:r w:rsidR="00C61696">
        <w:rPr>
          <w:rFonts w:cs="Times New Roman"/>
          <w:szCs w:val="24"/>
        </w:rPr>
        <w:t xml:space="preserve"> y destruidos 6,780 equipos de sonido</w:t>
      </w:r>
      <w:r w:rsidRPr="006D0A4C">
        <w:rPr>
          <w:rFonts w:cs="Times New Roman"/>
          <w:szCs w:val="24"/>
        </w:rPr>
        <w:t>, devolviendo con esto la paz y la tranquilidad a muchos hogares dominicanos.</w:t>
      </w:r>
    </w:p>
    <w:p w14:paraId="7640C66E" w14:textId="2686C424" w:rsidR="008D75D9" w:rsidRDefault="001C19EC" w:rsidP="001C19EC">
      <w:pPr>
        <w:spacing w:line="480" w:lineRule="auto"/>
        <w:ind w:firstLine="708"/>
        <w:jc w:val="both"/>
        <w:rPr>
          <w:rFonts w:cs="Times New Roman"/>
          <w:szCs w:val="24"/>
        </w:rPr>
      </w:pPr>
      <w:r>
        <w:rPr>
          <w:rFonts w:cs="Times New Roman"/>
          <w:szCs w:val="24"/>
        </w:rPr>
        <w:t xml:space="preserve">En lo relativo al fortalecimiento de nuestra capacidad de respuesta ante la demanda del Sistema de Justicia, entre 2016-2019 han sido incorporados 559 nuevos miembros del Ministerio Público, bajo la función de “fiscalizadores”, aumentando en un 50% la matrícula de miembros de carrera. </w:t>
      </w:r>
    </w:p>
    <w:p w14:paraId="2FCAD526" w14:textId="4D7B136E" w:rsidR="001C19EC" w:rsidRPr="00D346F0" w:rsidRDefault="001C19EC" w:rsidP="008D75D9">
      <w:pPr>
        <w:spacing w:line="480" w:lineRule="auto"/>
        <w:ind w:firstLine="708"/>
        <w:jc w:val="both"/>
        <w:rPr>
          <w:rFonts w:cs="Times New Roman"/>
          <w:szCs w:val="24"/>
        </w:rPr>
      </w:pPr>
      <w:r w:rsidRPr="008D75D9">
        <w:rPr>
          <w:rFonts w:cs="Times New Roman"/>
          <w:szCs w:val="24"/>
        </w:rPr>
        <w:t xml:space="preserve">En el año 2019 fueron formados cerca 7,718 empleados, superando con esto la matrícula de empleados formados en años anteriores, como es el caso de los 6,433 </w:t>
      </w:r>
      <w:r w:rsidRPr="008D75D9">
        <w:rPr>
          <w:rFonts w:cs="Times New Roman"/>
          <w:szCs w:val="24"/>
        </w:rPr>
        <w:lastRenderedPageBreak/>
        <w:t>empleados formados en el año 2018 y los 5,378 en el año 2017.</w:t>
      </w:r>
      <w:r w:rsidR="008D75D9" w:rsidRPr="008D75D9">
        <w:rPr>
          <w:rFonts w:cs="Times New Roman"/>
          <w:szCs w:val="24"/>
        </w:rPr>
        <w:t xml:space="preserve"> </w:t>
      </w:r>
      <w:r w:rsidR="008D75D9" w:rsidRPr="008D75D9">
        <w:rPr>
          <w:rFonts w:cs="Times New Roman"/>
          <w:szCs w:val="24"/>
          <w:lang w:val="es-ES"/>
        </w:rPr>
        <w:t xml:space="preserve">De esta forma, ha logrado duplicarse </w:t>
      </w:r>
      <w:r w:rsidR="008D75D9" w:rsidRPr="008D75D9">
        <w:rPr>
          <w:rFonts w:cs="Times New Roman"/>
          <w:bCs/>
          <w:szCs w:val="24"/>
          <w:lang w:val="es-ES"/>
        </w:rPr>
        <w:t>la</w:t>
      </w:r>
      <w:r w:rsidR="008D75D9" w:rsidRPr="008D75D9">
        <w:rPr>
          <w:rFonts w:cs="Times New Roman"/>
          <w:szCs w:val="24"/>
          <w:lang w:val="es-ES"/>
        </w:rPr>
        <w:t xml:space="preserve"> oferta académica existente al año 2016, la cual era de 150 capacitaciones y 2,400 capacitados, además de triplicar la cantidad de participantes en estas actividades formativas, contando ahora con casi 300 capacitaciones disponibles en la Escuela Nacional del Ministerio Público y más de 7,000 capacitados anualmente.</w:t>
      </w:r>
    </w:p>
    <w:p w14:paraId="5D351F18" w14:textId="77777777" w:rsidR="001C19EC" w:rsidRDefault="001C19EC" w:rsidP="001C19EC">
      <w:pPr>
        <w:spacing w:line="480" w:lineRule="auto"/>
        <w:ind w:firstLine="708"/>
        <w:jc w:val="both"/>
        <w:rPr>
          <w:rFonts w:cs="Times New Roman"/>
          <w:szCs w:val="24"/>
        </w:rPr>
      </w:pPr>
      <w:r>
        <w:rPr>
          <w:rFonts w:cs="Times New Roman"/>
          <w:szCs w:val="24"/>
        </w:rPr>
        <w:t xml:space="preserve">Para la mejora de la experiencia del servicio al ciudadano se continúa implementando herramientas que apoyen la gestión de la calidad de los servicios públicos ofrecidos. Por tercer año consecutivo se trabaja bajo los criterios de excelencia del </w:t>
      </w:r>
      <w:r w:rsidRPr="005D71BF">
        <w:rPr>
          <w:rFonts w:cs="Times New Roman"/>
          <w:i/>
          <w:szCs w:val="24"/>
        </w:rPr>
        <w:t>Marco Común de Evaluación</w:t>
      </w:r>
      <w:r>
        <w:rPr>
          <w:rFonts w:cs="Times New Roman"/>
          <w:szCs w:val="24"/>
        </w:rPr>
        <w:t xml:space="preserve"> (CAF por sus siglas en inglés), identificando puntos fuertes y de mejora y las acciones dirigidas a rebasar las barreras de desarrollo institucional.</w:t>
      </w:r>
    </w:p>
    <w:p w14:paraId="59F6B854" w14:textId="49D57FE7" w:rsidR="001C19EC" w:rsidRDefault="00C61696" w:rsidP="001C19EC">
      <w:pPr>
        <w:spacing w:line="480" w:lineRule="auto"/>
        <w:ind w:firstLine="708"/>
        <w:jc w:val="both"/>
        <w:rPr>
          <w:rFonts w:cs="Times New Roman"/>
          <w:szCs w:val="24"/>
        </w:rPr>
      </w:pPr>
      <w:r>
        <w:rPr>
          <w:rFonts w:cs="Times New Roman"/>
          <w:szCs w:val="24"/>
        </w:rPr>
        <w:t>En este sentido, s</w:t>
      </w:r>
      <w:r w:rsidR="001C19EC">
        <w:rPr>
          <w:rFonts w:cs="Times New Roman"/>
          <w:szCs w:val="24"/>
        </w:rPr>
        <w:t xml:space="preserve">e llevó a cabo la simplificación de los trámites de los servicios de </w:t>
      </w:r>
      <w:r w:rsidR="001C19EC" w:rsidRPr="005D71BF">
        <w:rPr>
          <w:rFonts w:cs="Times New Roman"/>
          <w:i/>
          <w:szCs w:val="24"/>
        </w:rPr>
        <w:t>Certificación de Buena Conducta</w:t>
      </w:r>
      <w:r w:rsidR="001C19EC">
        <w:rPr>
          <w:rFonts w:cs="Times New Roman"/>
          <w:szCs w:val="24"/>
        </w:rPr>
        <w:t xml:space="preserve">, </w:t>
      </w:r>
      <w:r w:rsidR="001C19EC" w:rsidRPr="005D71BF">
        <w:rPr>
          <w:rFonts w:cs="Times New Roman"/>
          <w:i/>
          <w:szCs w:val="24"/>
        </w:rPr>
        <w:t>Solicitud de Exequátur</w:t>
      </w:r>
      <w:r w:rsidR="001C19EC">
        <w:rPr>
          <w:rFonts w:cs="Times New Roman"/>
          <w:szCs w:val="24"/>
        </w:rPr>
        <w:t xml:space="preserve"> y P</w:t>
      </w:r>
      <w:r w:rsidR="001C19EC" w:rsidRPr="005D71BF">
        <w:rPr>
          <w:rFonts w:cs="Times New Roman"/>
          <w:i/>
          <w:szCs w:val="24"/>
        </w:rPr>
        <w:t>ago de Multas por Infracciones de Tránsito</w:t>
      </w:r>
      <w:r w:rsidR="001C19EC">
        <w:rPr>
          <w:rFonts w:cs="Times New Roman"/>
          <w:szCs w:val="24"/>
        </w:rPr>
        <w:t xml:space="preserve">, los cuales pueden ser realizados de manera digital, en versión móvil y web sin la necesidad de visitar las instalaciones físicas de la institución. De igual modo pueden ser consultadas por la vía digital las </w:t>
      </w:r>
      <w:r w:rsidR="001C19EC" w:rsidRPr="0010258D">
        <w:rPr>
          <w:rFonts w:cs="Times New Roman"/>
          <w:i/>
          <w:szCs w:val="24"/>
        </w:rPr>
        <w:t>Certificaciones de Firmas</w:t>
      </w:r>
      <w:r w:rsidR="001C19EC">
        <w:rPr>
          <w:rFonts w:cs="Times New Roman"/>
          <w:szCs w:val="24"/>
        </w:rPr>
        <w:t xml:space="preserve"> y pueden realizarse en línea las </w:t>
      </w:r>
      <w:r w:rsidR="001C19EC" w:rsidRPr="0010258D">
        <w:rPr>
          <w:rFonts w:cs="Times New Roman"/>
          <w:i/>
          <w:szCs w:val="24"/>
        </w:rPr>
        <w:t>Solicitud</w:t>
      </w:r>
      <w:r w:rsidR="001C19EC">
        <w:rPr>
          <w:rFonts w:cs="Times New Roman"/>
          <w:i/>
          <w:szCs w:val="24"/>
        </w:rPr>
        <w:t>es</w:t>
      </w:r>
      <w:r w:rsidR="001C19EC" w:rsidRPr="0010258D">
        <w:rPr>
          <w:rFonts w:cs="Times New Roman"/>
          <w:i/>
          <w:szCs w:val="24"/>
        </w:rPr>
        <w:t xml:space="preserve"> del Exequátur para Abogados</w:t>
      </w:r>
      <w:r w:rsidR="001C19EC">
        <w:rPr>
          <w:rFonts w:cs="Times New Roman"/>
          <w:szCs w:val="24"/>
        </w:rPr>
        <w:t xml:space="preserve">, a partir de la simplificación del servicio que logró reducir en un 50% el tiempo respuesta del proceso. </w:t>
      </w:r>
    </w:p>
    <w:p w14:paraId="690A5BD5" w14:textId="77777777" w:rsidR="001C19EC" w:rsidRDefault="001C19EC" w:rsidP="001C19EC">
      <w:pPr>
        <w:spacing w:line="480" w:lineRule="auto"/>
        <w:ind w:firstLine="708"/>
        <w:jc w:val="both"/>
        <w:rPr>
          <w:rFonts w:cs="Times New Roman"/>
          <w:szCs w:val="24"/>
        </w:rPr>
      </w:pPr>
      <w:r>
        <w:rPr>
          <w:rFonts w:cs="Times New Roman"/>
          <w:szCs w:val="24"/>
        </w:rPr>
        <w:t xml:space="preserve">En 2018, fue lanzada </w:t>
      </w:r>
      <w:r w:rsidRPr="00A9371C">
        <w:rPr>
          <w:rFonts w:cs="Times New Roman"/>
          <w:szCs w:val="24"/>
        </w:rPr>
        <w:t xml:space="preserve">la </w:t>
      </w:r>
      <w:r>
        <w:rPr>
          <w:rFonts w:cs="Times New Roman"/>
          <w:szCs w:val="24"/>
        </w:rPr>
        <w:t xml:space="preserve">primera </w:t>
      </w:r>
      <w:r w:rsidRPr="00A9371C">
        <w:rPr>
          <w:rFonts w:cs="Times New Roman"/>
          <w:szCs w:val="24"/>
        </w:rPr>
        <w:t xml:space="preserve">versión de la </w:t>
      </w:r>
      <w:r>
        <w:rPr>
          <w:rFonts w:cs="Times New Roman"/>
          <w:szCs w:val="24"/>
        </w:rPr>
        <w:t>“Carta Compromiso al Ciudadano”,</w:t>
      </w:r>
      <w:r w:rsidRPr="00A9371C">
        <w:rPr>
          <w:rFonts w:cs="Times New Roman"/>
          <w:szCs w:val="24"/>
        </w:rPr>
        <w:t xml:space="preserve"> </w:t>
      </w:r>
      <w:r>
        <w:rPr>
          <w:rFonts w:cs="Times New Roman"/>
          <w:szCs w:val="24"/>
        </w:rPr>
        <w:t>a través de la cual se establecieron los compromisos y es</w:t>
      </w:r>
      <w:r w:rsidRPr="00A9371C">
        <w:rPr>
          <w:rFonts w:cs="Times New Roman"/>
          <w:szCs w:val="24"/>
        </w:rPr>
        <w:t xml:space="preserve">tándares de calidad </w:t>
      </w:r>
      <w:r>
        <w:rPr>
          <w:rFonts w:cs="Times New Roman"/>
          <w:szCs w:val="24"/>
        </w:rPr>
        <w:t>asumidos por la gestión en el marco de la prestación de los servicios más demandados por la ciudadanía.</w:t>
      </w:r>
    </w:p>
    <w:p w14:paraId="4D71FB1B" w14:textId="77777777" w:rsidR="001C19EC" w:rsidRPr="00C909AE" w:rsidRDefault="001C19EC" w:rsidP="001C19EC">
      <w:pPr>
        <w:spacing w:line="480" w:lineRule="auto"/>
        <w:ind w:firstLine="708"/>
        <w:jc w:val="both"/>
        <w:rPr>
          <w:rFonts w:cs="Times New Roman"/>
          <w:szCs w:val="24"/>
        </w:rPr>
      </w:pPr>
      <w:r>
        <w:rPr>
          <w:rFonts w:cs="Times New Roman"/>
          <w:szCs w:val="24"/>
        </w:rPr>
        <w:t xml:space="preserve">Fruto del éxito logrado en el proceso de implementación de esta herramienta, en el año 2019 fueron presentadas a toda la Administración Pública las buenas prácticas alcanzadas en la prestación de los servicios comprometidos por parte de nuestra institución. </w:t>
      </w:r>
    </w:p>
    <w:p w14:paraId="28BB16E6" w14:textId="228C4E35" w:rsidR="001C19EC" w:rsidRPr="00A9371C" w:rsidRDefault="001C19EC" w:rsidP="008D75D9">
      <w:pPr>
        <w:spacing w:line="480" w:lineRule="auto"/>
        <w:ind w:firstLine="708"/>
        <w:jc w:val="both"/>
        <w:rPr>
          <w:rFonts w:cs="Times New Roman"/>
          <w:szCs w:val="24"/>
        </w:rPr>
      </w:pPr>
      <w:r w:rsidRPr="008D75D9">
        <w:rPr>
          <w:rFonts w:cs="Times New Roman"/>
          <w:szCs w:val="24"/>
        </w:rPr>
        <w:lastRenderedPageBreak/>
        <w:t xml:space="preserve">En términos de infraestructura en el año 2019 fueron readecuadas </w:t>
      </w:r>
      <w:r w:rsidR="008D75D9">
        <w:rPr>
          <w:rFonts w:cs="Times New Roman"/>
          <w:szCs w:val="24"/>
        </w:rPr>
        <w:t xml:space="preserve">las </w:t>
      </w:r>
      <w:r w:rsidR="008D75D9" w:rsidRPr="008D75D9">
        <w:rPr>
          <w:rFonts w:cs="Times New Roman"/>
          <w:szCs w:val="24"/>
        </w:rPr>
        <w:t>fiscalías comunitarias de Villa Consuelo, Cristo Rey, Villa Agrícolas, Los Guandules, María Auxili</w:t>
      </w:r>
      <w:r w:rsidR="008D75D9">
        <w:rPr>
          <w:rFonts w:cs="Times New Roman"/>
          <w:szCs w:val="24"/>
        </w:rPr>
        <w:t xml:space="preserve">adora, Gualey, Ensanche la Paz y </w:t>
      </w:r>
      <w:r w:rsidR="008D75D9" w:rsidRPr="008D75D9">
        <w:rPr>
          <w:rFonts w:cs="Times New Roman"/>
          <w:szCs w:val="24"/>
        </w:rPr>
        <w:t xml:space="preserve">Los Girasoles, </w:t>
      </w:r>
      <w:r w:rsidR="008D75D9">
        <w:rPr>
          <w:rFonts w:cs="Times New Roman"/>
          <w:szCs w:val="24"/>
        </w:rPr>
        <w:t xml:space="preserve">en el Distrito Nacional; las fiscalías comunitarias de </w:t>
      </w:r>
      <w:r w:rsidR="008D75D9" w:rsidRPr="008D75D9">
        <w:rPr>
          <w:rFonts w:cs="Times New Roman"/>
          <w:szCs w:val="24"/>
        </w:rPr>
        <w:t xml:space="preserve">Guerra, Los Mina, Sabana Perdida, Los Alcarrizos, San Luis, Ensanche Ozama y La Victoria, </w:t>
      </w:r>
      <w:r w:rsidR="008D75D9">
        <w:rPr>
          <w:rFonts w:cs="Times New Roman"/>
          <w:szCs w:val="24"/>
        </w:rPr>
        <w:t xml:space="preserve">en la provincia de Santo Domingo, </w:t>
      </w:r>
      <w:r w:rsidR="008D75D9" w:rsidRPr="008D75D9">
        <w:rPr>
          <w:rFonts w:cs="Times New Roman"/>
          <w:szCs w:val="24"/>
        </w:rPr>
        <w:t>así como también las fiscalías ordinarias de Villa Altagracia, Monseñor Nouel y Hermanas Mirabal</w:t>
      </w:r>
      <w:r w:rsidR="002203B0">
        <w:rPr>
          <w:rFonts w:cs="Times New Roman"/>
          <w:szCs w:val="24"/>
        </w:rPr>
        <w:t>. Además, se entregó una nueva fiscalía de tránsito en el Distrito Nacional y se inauguró un nuevo local para la regional del INACIF en el norte del país</w:t>
      </w:r>
      <w:r w:rsidR="008D75D9">
        <w:rPr>
          <w:rFonts w:cs="Times New Roman"/>
          <w:szCs w:val="24"/>
        </w:rPr>
        <w:t>. Con esta</w:t>
      </w:r>
      <w:r w:rsidR="002203B0">
        <w:rPr>
          <w:rFonts w:cs="Times New Roman"/>
          <w:szCs w:val="24"/>
        </w:rPr>
        <w:t>s</w:t>
      </w:r>
      <w:r w:rsidR="008D75D9">
        <w:rPr>
          <w:rFonts w:cs="Times New Roman"/>
          <w:szCs w:val="24"/>
        </w:rPr>
        <w:t xml:space="preserve"> acci</w:t>
      </w:r>
      <w:r w:rsidR="002203B0">
        <w:rPr>
          <w:rFonts w:cs="Times New Roman"/>
          <w:szCs w:val="24"/>
        </w:rPr>
        <w:t>ones</w:t>
      </w:r>
      <w:r w:rsidR="008D75D9">
        <w:rPr>
          <w:rFonts w:cs="Times New Roman"/>
          <w:szCs w:val="24"/>
        </w:rPr>
        <w:t xml:space="preserve"> se crean </w:t>
      </w:r>
      <w:r>
        <w:rPr>
          <w:rFonts w:cs="Times New Roman"/>
          <w:szCs w:val="24"/>
        </w:rPr>
        <w:t xml:space="preserve">mejores condiciones para la atención de los ciudadanos </w:t>
      </w:r>
      <w:r w:rsidR="002203B0">
        <w:rPr>
          <w:rFonts w:cs="Times New Roman"/>
          <w:szCs w:val="24"/>
        </w:rPr>
        <w:t>en las</w:t>
      </w:r>
      <w:r>
        <w:rPr>
          <w:rFonts w:cs="Times New Roman"/>
          <w:szCs w:val="24"/>
        </w:rPr>
        <w:t xml:space="preserve"> dependencias de la institución</w:t>
      </w:r>
      <w:r w:rsidR="002203B0">
        <w:rPr>
          <w:rFonts w:cs="Times New Roman"/>
          <w:szCs w:val="24"/>
        </w:rPr>
        <w:t xml:space="preserve">. </w:t>
      </w:r>
    </w:p>
    <w:p w14:paraId="2C6A3219" w14:textId="6F150C2C" w:rsidR="001C19EC" w:rsidRDefault="001C19EC" w:rsidP="001C19EC">
      <w:pPr>
        <w:spacing w:line="480" w:lineRule="auto"/>
        <w:ind w:firstLine="708"/>
        <w:jc w:val="both"/>
        <w:rPr>
          <w:rFonts w:cs="Times New Roman"/>
          <w:szCs w:val="24"/>
        </w:rPr>
      </w:pPr>
      <w:r>
        <w:rPr>
          <w:rFonts w:cs="Times New Roman"/>
          <w:szCs w:val="24"/>
        </w:rPr>
        <w:t xml:space="preserve">Otro logro de grandes dimensiones lo constituye para la institución el </w:t>
      </w:r>
      <w:r w:rsidRPr="00B554AE">
        <w:rPr>
          <w:rFonts w:cs="Times New Roman"/>
          <w:i/>
          <w:szCs w:val="24"/>
        </w:rPr>
        <w:t>Proyecto de Humanización del Sistema Penitenciario</w:t>
      </w:r>
      <w:r w:rsidRPr="00F829ED">
        <w:rPr>
          <w:rFonts w:cs="Times New Roman"/>
          <w:szCs w:val="24"/>
        </w:rPr>
        <w:t>,</w:t>
      </w:r>
      <w:r>
        <w:rPr>
          <w:rFonts w:cs="Times New Roman"/>
          <w:szCs w:val="24"/>
        </w:rPr>
        <w:t xml:space="preserve"> con el mismo se espera lograr la implementación efectiva de las “</w:t>
      </w:r>
      <w:r w:rsidRPr="00980517">
        <w:rPr>
          <w:rFonts w:cs="Times New Roman"/>
          <w:szCs w:val="24"/>
        </w:rPr>
        <w:t>Reglas Mínimas</w:t>
      </w:r>
      <w:r>
        <w:rPr>
          <w:rFonts w:cs="Times New Roman"/>
          <w:szCs w:val="24"/>
        </w:rPr>
        <w:t xml:space="preserve"> </w:t>
      </w:r>
      <w:r w:rsidRPr="00980517">
        <w:rPr>
          <w:rFonts w:cs="Times New Roman"/>
          <w:szCs w:val="24"/>
        </w:rPr>
        <w:t>de las Naciones</w:t>
      </w:r>
      <w:r>
        <w:rPr>
          <w:rFonts w:cs="Times New Roman"/>
          <w:szCs w:val="24"/>
        </w:rPr>
        <w:t xml:space="preserve"> </w:t>
      </w:r>
      <w:r w:rsidRPr="00980517">
        <w:rPr>
          <w:rFonts w:cs="Times New Roman"/>
          <w:szCs w:val="24"/>
        </w:rPr>
        <w:t>Unidas para el</w:t>
      </w:r>
      <w:r>
        <w:rPr>
          <w:rFonts w:cs="Times New Roman"/>
          <w:szCs w:val="24"/>
        </w:rPr>
        <w:t xml:space="preserve"> </w:t>
      </w:r>
      <w:r w:rsidRPr="00980517">
        <w:rPr>
          <w:rFonts w:cs="Times New Roman"/>
          <w:szCs w:val="24"/>
        </w:rPr>
        <w:t>Tratamiento de los</w:t>
      </w:r>
      <w:r>
        <w:rPr>
          <w:rFonts w:cs="Times New Roman"/>
          <w:szCs w:val="24"/>
        </w:rPr>
        <w:t xml:space="preserve"> Reclusos”, mejor conocidas como “Reglas Mandela”.</w:t>
      </w:r>
    </w:p>
    <w:p w14:paraId="0110B9EF" w14:textId="77777777" w:rsidR="001C19EC" w:rsidRDefault="001C19EC" w:rsidP="001C19EC">
      <w:pPr>
        <w:spacing w:line="480" w:lineRule="auto"/>
        <w:ind w:firstLine="708"/>
        <w:jc w:val="both"/>
        <w:rPr>
          <w:rFonts w:cs="Times New Roman"/>
          <w:szCs w:val="24"/>
        </w:rPr>
      </w:pPr>
      <w:r>
        <w:rPr>
          <w:rFonts w:cs="Times New Roman"/>
          <w:szCs w:val="24"/>
        </w:rPr>
        <w:t xml:space="preserve"> En lo que respecta al año 2019, se ha logrado un aumento en la capacidad instalada del sistema penitenciario, como resultado de la ampliación del Centro de Atención Integral de Adolescentes en Conflicto con la Ley Penal de Santiago</w:t>
      </w:r>
      <w:r w:rsidDel="006A1F7F">
        <w:rPr>
          <w:rFonts w:cs="Times New Roman"/>
          <w:szCs w:val="24"/>
        </w:rPr>
        <w:t xml:space="preserve"> </w:t>
      </w:r>
      <w:r>
        <w:rPr>
          <w:rFonts w:cs="Times New Roman"/>
          <w:szCs w:val="24"/>
        </w:rPr>
        <w:t xml:space="preserve">y la inauguración del Centro de Atención Integral de Adolescentes en Conflicto con la Ley Penal de La Romana y la conclusión de la obra civil del “Centro Penitenciario Preventivo de San Luis”. </w:t>
      </w:r>
    </w:p>
    <w:p w14:paraId="636638DE" w14:textId="3E003A7F" w:rsidR="00FB2AB3" w:rsidRDefault="00FB2AB3" w:rsidP="007C144D">
      <w:pPr>
        <w:spacing w:line="480" w:lineRule="auto"/>
        <w:ind w:firstLine="708"/>
        <w:jc w:val="both"/>
        <w:rPr>
          <w:rFonts w:cs="Times New Roman"/>
          <w:szCs w:val="24"/>
        </w:rPr>
      </w:pPr>
      <w:r>
        <w:rPr>
          <w:rFonts w:cs="Times New Roman"/>
          <w:szCs w:val="24"/>
        </w:rPr>
        <w:t>Asimismo,</w:t>
      </w:r>
      <w:r w:rsidR="00C61696">
        <w:rPr>
          <w:rFonts w:cs="Times New Roman"/>
          <w:szCs w:val="24"/>
        </w:rPr>
        <w:t xml:space="preserve"> desde el año 2016</w:t>
      </w:r>
      <w:r>
        <w:rPr>
          <w:rFonts w:cs="Times New Roman"/>
          <w:szCs w:val="24"/>
        </w:rPr>
        <w:t xml:space="preserve"> se han formado unos</w:t>
      </w:r>
      <w:r w:rsidRPr="001F0FE3">
        <w:rPr>
          <w:rFonts w:cs="Times New Roman"/>
          <w:szCs w:val="24"/>
        </w:rPr>
        <w:t xml:space="preserve"> 500 nuevos agentes de vigilancia y tratamiento penitenciario y otros 500 se encuentran en formación para incorporarse gradualmente al sistema y trabajar en la administración y custodia de los nuevos recintos previstos en el proyecto de humanización. </w:t>
      </w:r>
    </w:p>
    <w:p w14:paraId="79B9B8EC" w14:textId="77777777" w:rsidR="001C19EC" w:rsidRDefault="001C19EC" w:rsidP="001C19EC">
      <w:pPr>
        <w:spacing w:line="480" w:lineRule="auto"/>
        <w:ind w:firstLine="708"/>
        <w:jc w:val="both"/>
        <w:rPr>
          <w:rFonts w:ascii="MV Boli" w:hAnsi="MV Boli" w:cs="MV Boli"/>
          <w:szCs w:val="24"/>
        </w:rPr>
      </w:pPr>
      <w:r w:rsidRPr="00824A11">
        <w:rPr>
          <w:rFonts w:cs="Times New Roman"/>
          <w:szCs w:val="24"/>
        </w:rPr>
        <w:lastRenderedPageBreak/>
        <w:t xml:space="preserve">Como resultado de la labor realizada en términos de </w:t>
      </w:r>
      <w:r w:rsidRPr="00D41EA6">
        <w:rPr>
          <w:rFonts w:cs="Times New Roman"/>
          <w:szCs w:val="24"/>
        </w:rPr>
        <w:t>“</w:t>
      </w:r>
      <w:r w:rsidRPr="00824A11">
        <w:rPr>
          <w:rFonts w:cs="Times New Roman"/>
          <w:szCs w:val="24"/>
        </w:rPr>
        <w:t>Fortalecimiento Institucional</w:t>
      </w:r>
      <w:r>
        <w:rPr>
          <w:rFonts w:cs="Times New Roman"/>
          <w:szCs w:val="24"/>
        </w:rPr>
        <w:t>”</w:t>
      </w:r>
      <w:r w:rsidRPr="00824A11">
        <w:rPr>
          <w:rFonts w:cs="Times New Roman"/>
          <w:szCs w:val="24"/>
        </w:rPr>
        <w:t>, al cierre del año 2019</w:t>
      </w:r>
      <w:r>
        <w:rPr>
          <w:rFonts w:cs="Times New Roman"/>
          <w:szCs w:val="24"/>
        </w:rPr>
        <w:t xml:space="preserve"> la PGR logró posicionarse entre los primeros 10 lugares de la Administración P</w:t>
      </w:r>
      <w:r w:rsidRPr="00C22A8A">
        <w:rPr>
          <w:rFonts w:cs="Times New Roman"/>
          <w:szCs w:val="24"/>
        </w:rPr>
        <w:t>ública</w:t>
      </w:r>
      <w:r>
        <w:rPr>
          <w:rFonts w:cs="Times New Roman"/>
          <w:szCs w:val="24"/>
        </w:rPr>
        <w:t xml:space="preserve"> Dominicana.</w:t>
      </w:r>
    </w:p>
    <w:p w14:paraId="64F8314A" w14:textId="77777777" w:rsidR="001C19EC" w:rsidRDefault="001C19EC" w:rsidP="001C19EC">
      <w:pPr>
        <w:spacing w:line="480" w:lineRule="auto"/>
        <w:ind w:firstLine="708"/>
        <w:jc w:val="both"/>
        <w:rPr>
          <w:rFonts w:cs="Times New Roman"/>
          <w:szCs w:val="24"/>
        </w:rPr>
      </w:pPr>
      <w:r w:rsidRPr="00824A11">
        <w:rPr>
          <w:rFonts w:cs="Times New Roman"/>
          <w:szCs w:val="24"/>
        </w:rPr>
        <w:t xml:space="preserve"> </w:t>
      </w:r>
      <w:r>
        <w:rPr>
          <w:rFonts w:cs="Times New Roman"/>
          <w:szCs w:val="24"/>
        </w:rPr>
        <w:t>Los resultados alcanzados fueron: Compras Públicas 97</w:t>
      </w:r>
      <w:r w:rsidRPr="00824A11">
        <w:rPr>
          <w:rFonts w:cs="Times New Roman"/>
          <w:szCs w:val="24"/>
        </w:rPr>
        <w:t>%, Normas Básicas de Control Interno (NOBACI) 100%, Índice de Uso de TIC y Gobierno Electrónico (ITICGE) 97.99%, Sistema de Monitoreo de la Administración Pública (SISMAP) 97.04% y Transparencia Gubernamental 96%.</w:t>
      </w:r>
    </w:p>
    <w:p w14:paraId="2087DD7E" w14:textId="77777777" w:rsidR="001C19EC" w:rsidRDefault="001C19EC" w:rsidP="001C19EC">
      <w:pPr>
        <w:spacing w:line="480" w:lineRule="auto"/>
        <w:ind w:firstLine="708"/>
        <w:jc w:val="both"/>
        <w:rPr>
          <w:rFonts w:cs="Times New Roman"/>
          <w:szCs w:val="24"/>
        </w:rPr>
      </w:pPr>
      <w:r>
        <w:rPr>
          <w:rFonts w:cs="Times New Roman"/>
          <w:szCs w:val="24"/>
        </w:rPr>
        <w:t xml:space="preserve">Dentro de los logros más importantes alcanzados en materia de fortalecimiento institucional se encontraron la revisión y posterior oficialización por parte del MAP de </w:t>
      </w:r>
      <w:r w:rsidRPr="00C22A8A">
        <w:rPr>
          <w:rFonts w:cs="Times New Roman"/>
          <w:i/>
          <w:szCs w:val="24"/>
        </w:rPr>
        <w:t>La Estructura Organizativa (macro)</w:t>
      </w:r>
      <w:r>
        <w:rPr>
          <w:rFonts w:cs="Times New Roman"/>
          <w:szCs w:val="24"/>
        </w:rPr>
        <w:t xml:space="preserve">, el </w:t>
      </w:r>
      <w:r w:rsidRPr="00C22A8A">
        <w:rPr>
          <w:rFonts w:cs="Times New Roman"/>
          <w:i/>
          <w:szCs w:val="24"/>
        </w:rPr>
        <w:t>Manual de Organización y Funciones</w:t>
      </w:r>
      <w:r>
        <w:rPr>
          <w:rFonts w:cs="Times New Roman"/>
          <w:szCs w:val="24"/>
        </w:rPr>
        <w:t xml:space="preserve">, y el </w:t>
      </w:r>
      <w:r w:rsidRPr="00C22A8A">
        <w:rPr>
          <w:rFonts w:cs="Times New Roman"/>
          <w:i/>
          <w:szCs w:val="24"/>
        </w:rPr>
        <w:t xml:space="preserve">Manual de </w:t>
      </w:r>
      <w:r>
        <w:rPr>
          <w:rFonts w:cs="Times New Roman"/>
          <w:i/>
          <w:szCs w:val="24"/>
        </w:rPr>
        <w:t xml:space="preserve">Clasificación de </w:t>
      </w:r>
      <w:r w:rsidRPr="00C22A8A">
        <w:rPr>
          <w:rFonts w:cs="Times New Roman"/>
          <w:i/>
          <w:szCs w:val="24"/>
        </w:rPr>
        <w:t>Cargos</w:t>
      </w:r>
      <w:r>
        <w:rPr>
          <w:rFonts w:cs="Times New Roman"/>
          <w:i/>
          <w:szCs w:val="24"/>
        </w:rPr>
        <w:t xml:space="preserve">. </w:t>
      </w:r>
      <w:r>
        <w:rPr>
          <w:rFonts w:cs="Times New Roman"/>
          <w:szCs w:val="24"/>
        </w:rPr>
        <w:t>Así como también</w:t>
      </w:r>
      <w:r>
        <w:rPr>
          <w:rFonts w:cs="Times New Roman"/>
          <w:i/>
          <w:szCs w:val="24"/>
        </w:rPr>
        <w:t xml:space="preserve"> </w:t>
      </w:r>
      <w:r>
        <w:rPr>
          <w:rFonts w:cs="Times New Roman"/>
          <w:szCs w:val="24"/>
        </w:rPr>
        <w:t>la implementación de la evaluación de desempeño por resultados, con la realización de 3,424</w:t>
      </w:r>
      <w:r w:rsidRPr="00D41EA6">
        <w:rPr>
          <w:rFonts w:cs="Times New Roman"/>
          <w:szCs w:val="24"/>
        </w:rPr>
        <w:t xml:space="preserve"> acuerdos de desempeño por resultados </w:t>
      </w:r>
      <w:r>
        <w:rPr>
          <w:rFonts w:cs="Times New Roman"/>
          <w:szCs w:val="24"/>
        </w:rPr>
        <w:t>realizados con el personal de carrera administrativa</w:t>
      </w:r>
      <w:r w:rsidRPr="00D41EA6">
        <w:rPr>
          <w:rFonts w:cs="Times New Roman"/>
          <w:szCs w:val="24"/>
        </w:rPr>
        <w:t xml:space="preserve"> y 950 acuerdos de desempeño por resultados </w:t>
      </w:r>
      <w:r>
        <w:rPr>
          <w:rFonts w:cs="Times New Roman"/>
          <w:szCs w:val="24"/>
        </w:rPr>
        <w:t xml:space="preserve">con el personal de carrera especial del </w:t>
      </w:r>
      <w:r w:rsidRPr="00D41EA6">
        <w:rPr>
          <w:rFonts w:cs="Times New Roman"/>
          <w:szCs w:val="24"/>
        </w:rPr>
        <w:t>Ministerio Público.</w:t>
      </w:r>
    </w:p>
    <w:p w14:paraId="1748FD0C" w14:textId="77777777" w:rsidR="001C19EC" w:rsidRDefault="001C19EC" w:rsidP="001C19EC">
      <w:pPr>
        <w:spacing w:line="480" w:lineRule="auto"/>
        <w:ind w:firstLine="708"/>
        <w:jc w:val="both"/>
        <w:rPr>
          <w:rFonts w:cs="Times New Roman"/>
          <w:szCs w:val="24"/>
        </w:rPr>
      </w:pPr>
      <w:r>
        <w:rPr>
          <w:rFonts w:cs="Times New Roman"/>
          <w:szCs w:val="24"/>
        </w:rPr>
        <w:t>Con relación a la implementación de la tecnologías de la información y la comunicación se logró la c</w:t>
      </w:r>
      <w:r w:rsidRPr="004E1474">
        <w:rPr>
          <w:rFonts w:cs="Times New Roman"/>
          <w:szCs w:val="24"/>
        </w:rPr>
        <w:t>ertificación en las Normas NORTIC A2, A3, A4, A5 y E1</w:t>
      </w:r>
      <w:r>
        <w:rPr>
          <w:rFonts w:cs="Times New Roman"/>
          <w:szCs w:val="24"/>
        </w:rPr>
        <w:t>,</w:t>
      </w:r>
      <w:r w:rsidRPr="004E1474">
        <w:rPr>
          <w:rFonts w:cs="Times New Roman"/>
          <w:szCs w:val="24"/>
        </w:rPr>
        <w:t xml:space="preserve"> </w:t>
      </w:r>
      <w:r>
        <w:rPr>
          <w:rFonts w:cs="Times New Roman"/>
          <w:szCs w:val="24"/>
        </w:rPr>
        <w:t>promovidas por l</w:t>
      </w:r>
      <w:r w:rsidRPr="004E1474">
        <w:rPr>
          <w:rFonts w:cs="Times New Roman"/>
          <w:szCs w:val="24"/>
        </w:rPr>
        <w:t xml:space="preserve">a Oficina Presidencial de Tecnologías de la Información y Comunicación (OPTIC), colocando a la Procuraduría General de la República (PGR) entre las </w:t>
      </w:r>
      <w:r>
        <w:rPr>
          <w:rFonts w:cs="Times New Roman"/>
          <w:szCs w:val="24"/>
        </w:rPr>
        <w:t xml:space="preserve">cinco </w:t>
      </w:r>
      <w:r w:rsidRPr="004E1474">
        <w:rPr>
          <w:rFonts w:cs="Times New Roman"/>
          <w:szCs w:val="24"/>
        </w:rPr>
        <w:t xml:space="preserve">mejores instituciones del país en la implementación de Gobierno Electrónico y </w:t>
      </w:r>
      <w:r>
        <w:rPr>
          <w:rFonts w:cs="Times New Roman"/>
          <w:szCs w:val="24"/>
        </w:rPr>
        <w:t>el U</w:t>
      </w:r>
      <w:r w:rsidRPr="004E1474">
        <w:rPr>
          <w:rFonts w:cs="Times New Roman"/>
          <w:szCs w:val="24"/>
        </w:rPr>
        <w:t>so de las TIC.</w:t>
      </w:r>
    </w:p>
    <w:p w14:paraId="662079C4" w14:textId="77777777" w:rsidR="001C19EC" w:rsidRDefault="001C19EC" w:rsidP="001C19EC">
      <w:pPr>
        <w:spacing w:line="480" w:lineRule="auto"/>
        <w:ind w:firstLine="708"/>
        <w:jc w:val="both"/>
        <w:rPr>
          <w:rFonts w:cs="Times New Roman"/>
          <w:szCs w:val="24"/>
        </w:rPr>
      </w:pPr>
    </w:p>
    <w:p w14:paraId="06EC4E31" w14:textId="77777777" w:rsidR="001C19EC" w:rsidRPr="00B41FE9" w:rsidRDefault="001C19EC" w:rsidP="001C19EC">
      <w:pPr>
        <w:spacing w:line="480" w:lineRule="auto"/>
        <w:ind w:firstLine="708"/>
        <w:jc w:val="both"/>
        <w:rPr>
          <w:rFonts w:cs="Times New Roman"/>
          <w:szCs w:val="24"/>
        </w:rPr>
      </w:pPr>
    </w:p>
    <w:p w14:paraId="32805630" w14:textId="77777777" w:rsidR="001C19EC" w:rsidRDefault="001C19EC" w:rsidP="001C19EC">
      <w:pPr>
        <w:pStyle w:val="Estilo7"/>
      </w:pPr>
      <w:bookmarkStart w:id="3" w:name="_Toc29577302"/>
      <w:bookmarkStart w:id="4" w:name="_Toc29891690"/>
      <w:r w:rsidRPr="001C19EC">
        <w:lastRenderedPageBreak/>
        <w:t>INFORMACIÓN</w:t>
      </w:r>
      <w:r w:rsidRPr="002B21BE">
        <w:t xml:space="preserve"> INSTITUCIONAL</w:t>
      </w:r>
      <w:bookmarkEnd w:id="3"/>
      <w:bookmarkEnd w:id="4"/>
    </w:p>
    <w:p w14:paraId="4668DCBF" w14:textId="77777777" w:rsidR="001C19EC" w:rsidRDefault="001C19EC" w:rsidP="001C19EC">
      <w:pPr>
        <w:pStyle w:val="Estilo7"/>
        <w:numPr>
          <w:ilvl w:val="0"/>
          <w:numId w:val="0"/>
        </w:numPr>
        <w:ind w:left="900"/>
      </w:pPr>
    </w:p>
    <w:p w14:paraId="6E8CA301" w14:textId="77777777" w:rsidR="001C19EC" w:rsidRDefault="001C19EC" w:rsidP="00951609">
      <w:pPr>
        <w:pStyle w:val="Estilo7"/>
        <w:numPr>
          <w:ilvl w:val="1"/>
          <w:numId w:val="14"/>
        </w:numPr>
      </w:pPr>
      <w:bookmarkStart w:id="5" w:name="_Toc29577303"/>
      <w:bookmarkStart w:id="6" w:name="_Toc29891691"/>
      <w:r w:rsidRPr="0042770E">
        <w:t xml:space="preserve">Misión y </w:t>
      </w:r>
      <w:r>
        <w:t>Visión</w:t>
      </w:r>
      <w:bookmarkEnd w:id="5"/>
      <w:bookmarkEnd w:id="6"/>
    </w:p>
    <w:p w14:paraId="0077459C" w14:textId="24564E0F" w:rsidR="001C19EC" w:rsidRPr="00197968" w:rsidRDefault="001C19EC" w:rsidP="001C19EC">
      <w:pPr>
        <w:pStyle w:val="Estilo7"/>
        <w:numPr>
          <w:ilvl w:val="0"/>
          <w:numId w:val="0"/>
        </w:numPr>
        <w:ind w:left="1620"/>
      </w:pPr>
      <w:r>
        <w:t xml:space="preserve"> </w:t>
      </w:r>
    </w:p>
    <w:p w14:paraId="7AB620CC" w14:textId="77777777" w:rsidR="001C19EC" w:rsidRPr="00771C15" w:rsidRDefault="001C19EC" w:rsidP="001C19EC">
      <w:pPr>
        <w:spacing w:line="480" w:lineRule="auto"/>
        <w:ind w:firstLine="709"/>
        <w:jc w:val="both"/>
        <w:rPr>
          <w:rFonts w:cs="Times New Roman"/>
          <w:szCs w:val="24"/>
        </w:rPr>
      </w:pPr>
      <w:r w:rsidRPr="0007616B">
        <w:rPr>
          <w:rFonts w:cs="Times New Roman"/>
          <w:b/>
          <w:szCs w:val="24"/>
        </w:rPr>
        <w:t>Misión:</w:t>
      </w:r>
      <w:r>
        <w:rPr>
          <w:rFonts w:cs="Times New Roman"/>
          <w:szCs w:val="24"/>
        </w:rPr>
        <w:t xml:space="preserve"> </w:t>
      </w:r>
      <w:r w:rsidRPr="00771C15">
        <w:rPr>
          <w:rFonts w:cs="Times New Roman"/>
          <w:szCs w:val="24"/>
        </w:rPr>
        <w:t>Asegurar la persecución penal, en el ámbito de nuestras atribuciones, mediante la formulación e implementación de la política del Estado contra la criminalidad, así como proveer los servicios jurídicos administrativos atribuidos por las leyes.</w:t>
      </w:r>
    </w:p>
    <w:p w14:paraId="38153BFB" w14:textId="421F7ED0" w:rsidR="001C19EC" w:rsidRDefault="001C19EC" w:rsidP="001C19EC">
      <w:pPr>
        <w:spacing w:line="480" w:lineRule="auto"/>
        <w:ind w:firstLine="709"/>
        <w:jc w:val="both"/>
        <w:rPr>
          <w:rFonts w:cs="Times New Roman"/>
          <w:szCs w:val="24"/>
        </w:rPr>
      </w:pPr>
      <w:r w:rsidRPr="0007616B">
        <w:rPr>
          <w:rFonts w:cs="Times New Roman"/>
          <w:b/>
          <w:szCs w:val="24"/>
        </w:rPr>
        <w:t>Visión:</w:t>
      </w:r>
      <w:r>
        <w:rPr>
          <w:rFonts w:cs="Times New Roman"/>
          <w:szCs w:val="24"/>
        </w:rPr>
        <w:t xml:space="preserve"> </w:t>
      </w:r>
      <w:r w:rsidRPr="00771C15">
        <w:rPr>
          <w:rFonts w:cs="Times New Roman"/>
          <w:szCs w:val="24"/>
        </w:rPr>
        <w:t>Ser un referente regional de excelencia y disponer de un capital humano altamente capacitado y comprometido en la gestión de la investigación, persecución de los hechos punibles, resolución de conflictos, así como</w:t>
      </w:r>
      <w:r>
        <w:rPr>
          <w:rFonts w:cs="Times New Roman"/>
          <w:szCs w:val="24"/>
        </w:rPr>
        <w:t xml:space="preserve"> </w:t>
      </w:r>
      <w:r w:rsidRPr="00D03A94">
        <w:rPr>
          <w:rFonts w:cs="Times New Roman"/>
          <w:szCs w:val="24"/>
        </w:rPr>
        <w:t>en la corrección y reinserción social de los condena</w:t>
      </w:r>
      <w:r>
        <w:rPr>
          <w:rFonts w:cs="Times New Roman"/>
          <w:szCs w:val="24"/>
        </w:rPr>
        <w:t>dos y la vigencia efectiva del E</w:t>
      </w:r>
      <w:r w:rsidRPr="00D03A94">
        <w:rPr>
          <w:rFonts w:cs="Times New Roman"/>
          <w:szCs w:val="24"/>
        </w:rPr>
        <w:t>stado de derecho.</w:t>
      </w:r>
    </w:p>
    <w:p w14:paraId="21AAD398" w14:textId="77777777" w:rsidR="001C19EC" w:rsidRDefault="001C19EC" w:rsidP="00951609">
      <w:pPr>
        <w:pStyle w:val="Estilo7"/>
        <w:numPr>
          <w:ilvl w:val="1"/>
          <w:numId w:val="14"/>
        </w:numPr>
      </w:pPr>
      <w:bookmarkStart w:id="7" w:name="_Toc29577304"/>
      <w:bookmarkStart w:id="8" w:name="_Toc29891692"/>
      <w:r>
        <w:t>Principales Funcionarios</w:t>
      </w:r>
      <w:bookmarkEnd w:id="7"/>
      <w:bookmarkEnd w:id="8"/>
      <w:r>
        <w:t xml:space="preserve"> </w:t>
      </w:r>
      <w:r w:rsidRPr="00D72716">
        <w:t xml:space="preserve"> </w:t>
      </w:r>
    </w:p>
    <w:p w14:paraId="1DFD501F" w14:textId="77777777" w:rsidR="001C19EC" w:rsidRPr="00D72716" w:rsidRDefault="001C19EC" w:rsidP="001C19EC">
      <w:pPr>
        <w:pStyle w:val="Estilo7"/>
        <w:numPr>
          <w:ilvl w:val="0"/>
          <w:numId w:val="0"/>
        </w:numPr>
        <w:ind w:left="1620"/>
      </w:pPr>
    </w:p>
    <w:p w14:paraId="318425AB" w14:textId="77777777" w:rsidR="001C19EC" w:rsidRPr="00880A78" w:rsidRDefault="001C19EC" w:rsidP="001C19EC">
      <w:pPr>
        <w:spacing w:line="480" w:lineRule="auto"/>
        <w:ind w:firstLine="709"/>
        <w:jc w:val="both"/>
        <w:rPr>
          <w:rFonts w:cs="Times New Roman"/>
          <w:szCs w:val="24"/>
        </w:rPr>
      </w:pPr>
      <w:r w:rsidRPr="00880A78">
        <w:rPr>
          <w:rFonts w:cs="Times New Roman"/>
          <w:szCs w:val="24"/>
        </w:rPr>
        <w:t>El Ministerio Público está integrado por el Procurador General de la R</w:t>
      </w:r>
      <w:r>
        <w:rPr>
          <w:rFonts w:cs="Times New Roman"/>
          <w:szCs w:val="24"/>
        </w:rPr>
        <w:t>epública, quien lo dirige, los Procuradores A</w:t>
      </w:r>
      <w:r w:rsidRPr="00880A78">
        <w:rPr>
          <w:rFonts w:cs="Times New Roman"/>
          <w:szCs w:val="24"/>
        </w:rPr>
        <w:t xml:space="preserve">djuntos del Procurador General de la República, los </w:t>
      </w:r>
      <w:r>
        <w:rPr>
          <w:rFonts w:cs="Times New Roman"/>
          <w:szCs w:val="24"/>
        </w:rPr>
        <w:t>P</w:t>
      </w:r>
      <w:r w:rsidRPr="00880A78">
        <w:rPr>
          <w:rFonts w:cs="Times New Roman"/>
          <w:szCs w:val="24"/>
        </w:rPr>
        <w:t>rocuradores Generales de Corte</w:t>
      </w:r>
      <w:r>
        <w:rPr>
          <w:rFonts w:cs="Times New Roman"/>
          <w:szCs w:val="24"/>
        </w:rPr>
        <w:t>s</w:t>
      </w:r>
      <w:r w:rsidRPr="00880A78">
        <w:rPr>
          <w:rFonts w:cs="Times New Roman"/>
          <w:szCs w:val="24"/>
        </w:rPr>
        <w:t xml:space="preserve"> de Apelación, los </w:t>
      </w:r>
      <w:r>
        <w:rPr>
          <w:rFonts w:cs="Times New Roman"/>
          <w:szCs w:val="24"/>
        </w:rPr>
        <w:t>Procuradores Fiscales y los F</w:t>
      </w:r>
      <w:r w:rsidRPr="00880A78">
        <w:rPr>
          <w:rFonts w:cs="Times New Roman"/>
          <w:szCs w:val="24"/>
        </w:rPr>
        <w:t>iscalizadores. Su órgano de gobierno es el Consejo Superior del Ministerio Público. Sus órganos operativos son la Dirección General de Persecución del Ministerio Público, la Dirección General de Carrera del Ministerio Público, la Dirección General Administrativa del Ministerio Público y la Escuela Nacional del Ministerio Público.</w:t>
      </w:r>
    </w:p>
    <w:p w14:paraId="35A5D47C" w14:textId="77777777" w:rsidR="001C19EC" w:rsidRDefault="001C19EC" w:rsidP="001C19EC">
      <w:pPr>
        <w:spacing w:line="480" w:lineRule="auto"/>
        <w:ind w:firstLine="709"/>
        <w:jc w:val="both"/>
        <w:rPr>
          <w:rFonts w:cs="Times New Roman"/>
          <w:szCs w:val="24"/>
        </w:rPr>
      </w:pPr>
      <w:r>
        <w:rPr>
          <w:rFonts w:cs="Times New Roman"/>
          <w:szCs w:val="24"/>
        </w:rPr>
        <w:t>Asi</w:t>
      </w:r>
      <w:r w:rsidRPr="00880A78">
        <w:rPr>
          <w:rFonts w:cs="Times New Roman"/>
          <w:szCs w:val="24"/>
        </w:rPr>
        <w:t>mismo</w:t>
      </w:r>
      <w:r>
        <w:rPr>
          <w:rFonts w:cs="Times New Roman"/>
          <w:szCs w:val="24"/>
        </w:rPr>
        <w:t>,</w:t>
      </w:r>
      <w:r w:rsidRPr="00880A78">
        <w:rPr>
          <w:rFonts w:cs="Times New Roman"/>
          <w:szCs w:val="24"/>
        </w:rPr>
        <w:t xml:space="preserve"> cuenta con dependencias de gran importancia como son la Dirección General de Prisiones, el Modelo de Gestión Penitenciari</w:t>
      </w:r>
      <w:r>
        <w:rPr>
          <w:rFonts w:cs="Times New Roman"/>
          <w:szCs w:val="24"/>
        </w:rPr>
        <w:t>a</w:t>
      </w:r>
      <w:r w:rsidRPr="00880A78">
        <w:rPr>
          <w:rFonts w:cs="Times New Roman"/>
          <w:szCs w:val="24"/>
        </w:rPr>
        <w:t xml:space="preserve"> y el Instituto Nacional de Ciencias Forenses</w:t>
      </w:r>
      <w:r>
        <w:rPr>
          <w:rFonts w:cs="Times New Roman"/>
          <w:szCs w:val="24"/>
        </w:rPr>
        <w:t xml:space="preserve"> (INACIF)</w:t>
      </w:r>
      <w:r w:rsidRPr="00880A78">
        <w:rPr>
          <w:rFonts w:cs="Times New Roman"/>
          <w:szCs w:val="24"/>
        </w:rPr>
        <w:t xml:space="preserve">. </w:t>
      </w:r>
    </w:p>
    <w:p w14:paraId="35D557D6" w14:textId="77777777" w:rsidR="001C19EC" w:rsidRPr="00880A78" w:rsidRDefault="001C19EC" w:rsidP="001C19EC">
      <w:pPr>
        <w:spacing w:line="480" w:lineRule="auto"/>
        <w:jc w:val="both"/>
        <w:rPr>
          <w:rFonts w:cs="Times New Roman"/>
          <w:szCs w:val="24"/>
        </w:rPr>
      </w:pPr>
    </w:p>
    <w:p w14:paraId="19F7715B" w14:textId="77777777" w:rsidR="001C19EC" w:rsidRDefault="001C19EC" w:rsidP="001C19EC">
      <w:pPr>
        <w:spacing w:line="480" w:lineRule="auto"/>
        <w:jc w:val="both"/>
        <w:rPr>
          <w:rFonts w:cs="Times New Roman"/>
          <w:b/>
          <w:szCs w:val="24"/>
        </w:rPr>
      </w:pPr>
    </w:p>
    <w:p w14:paraId="54978ED3" w14:textId="77777777" w:rsidR="001C19EC" w:rsidRPr="00F4043D" w:rsidRDefault="001C19EC" w:rsidP="001C19EC">
      <w:pPr>
        <w:spacing w:line="480" w:lineRule="auto"/>
        <w:jc w:val="both"/>
        <w:rPr>
          <w:rFonts w:cs="Times New Roman"/>
          <w:b/>
          <w:szCs w:val="24"/>
        </w:rPr>
      </w:pPr>
      <w:r w:rsidRPr="00F4043D">
        <w:rPr>
          <w:rFonts w:cs="Times New Roman"/>
          <w:b/>
          <w:szCs w:val="24"/>
        </w:rPr>
        <w:lastRenderedPageBreak/>
        <w:t>Procurador General de la República y Adjuntos del Procurador</w:t>
      </w:r>
    </w:p>
    <w:p w14:paraId="554F0593" w14:textId="77777777" w:rsidR="001C19EC" w:rsidRDefault="001C19EC" w:rsidP="00951609">
      <w:pPr>
        <w:pStyle w:val="Prrafodelista"/>
        <w:numPr>
          <w:ilvl w:val="0"/>
          <w:numId w:val="3"/>
        </w:numPr>
        <w:spacing w:line="480" w:lineRule="auto"/>
        <w:rPr>
          <w:rFonts w:cs="Times New Roman"/>
          <w:szCs w:val="24"/>
        </w:rPr>
      </w:pPr>
      <w:r w:rsidRPr="00003C4C">
        <w:rPr>
          <w:rFonts w:cs="Times New Roman"/>
          <w:szCs w:val="24"/>
        </w:rPr>
        <w:t>Jean Rodr</w:t>
      </w:r>
      <w:r>
        <w:rPr>
          <w:rFonts w:cs="Times New Roman"/>
          <w:szCs w:val="24"/>
        </w:rPr>
        <w:t>í</w:t>
      </w:r>
      <w:r w:rsidRPr="00003C4C">
        <w:rPr>
          <w:rFonts w:cs="Times New Roman"/>
          <w:szCs w:val="24"/>
        </w:rPr>
        <w:t>guez (Procurador General de la República)</w:t>
      </w:r>
    </w:p>
    <w:p w14:paraId="5395B8D6" w14:textId="77777777" w:rsidR="001C19EC" w:rsidRPr="00E731FC" w:rsidRDefault="001C19EC" w:rsidP="00951609">
      <w:pPr>
        <w:pStyle w:val="Prrafodelista"/>
        <w:numPr>
          <w:ilvl w:val="0"/>
          <w:numId w:val="3"/>
        </w:numPr>
        <w:spacing w:line="480" w:lineRule="auto"/>
        <w:rPr>
          <w:rFonts w:cs="Times New Roman"/>
          <w:szCs w:val="24"/>
        </w:rPr>
      </w:pPr>
      <w:r w:rsidRPr="004517D2">
        <w:rPr>
          <w:rFonts w:cs="Times New Roman"/>
          <w:szCs w:val="24"/>
        </w:rPr>
        <w:t>Casilda Báez Acosta</w:t>
      </w:r>
      <w:r w:rsidRPr="004517D2" w:rsidDel="004517D2">
        <w:rPr>
          <w:rFonts w:cs="Times New Roman"/>
          <w:szCs w:val="24"/>
        </w:rPr>
        <w:t xml:space="preserve"> </w:t>
      </w:r>
      <w:r>
        <w:rPr>
          <w:rFonts w:cs="Times New Roman"/>
          <w:szCs w:val="24"/>
        </w:rPr>
        <w:t>(Procuradora Adjunta al Procurador General de la República/ Dictámenes y Litigio)</w:t>
      </w:r>
    </w:p>
    <w:p w14:paraId="31E0BAD1" w14:textId="77777777" w:rsidR="001C19EC" w:rsidRPr="00E731FC" w:rsidRDefault="001C19EC" w:rsidP="00951609">
      <w:pPr>
        <w:pStyle w:val="Prrafodelista"/>
        <w:numPr>
          <w:ilvl w:val="0"/>
          <w:numId w:val="3"/>
        </w:numPr>
        <w:spacing w:line="480" w:lineRule="auto"/>
        <w:rPr>
          <w:rFonts w:cs="Times New Roman"/>
          <w:szCs w:val="24"/>
        </w:rPr>
      </w:pPr>
      <w:r>
        <w:rPr>
          <w:rFonts w:cs="Times New Roman"/>
          <w:szCs w:val="24"/>
        </w:rPr>
        <w:t xml:space="preserve">Andrés </w:t>
      </w:r>
      <w:r w:rsidRPr="00E731FC">
        <w:rPr>
          <w:rFonts w:cs="Times New Roman"/>
          <w:szCs w:val="24"/>
        </w:rPr>
        <w:t>Chalas Vel</w:t>
      </w:r>
      <w:r>
        <w:rPr>
          <w:rFonts w:cs="Times New Roman"/>
          <w:szCs w:val="24"/>
        </w:rPr>
        <w:t>á</w:t>
      </w:r>
      <w:r w:rsidRPr="00E731FC">
        <w:rPr>
          <w:rFonts w:cs="Times New Roman"/>
          <w:szCs w:val="24"/>
        </w:rPr>
        <w:t>zquez</w:t>
      </w:r>
      <w:r>
        <w:rPr>
          <w:rFonts w:cs="Times New Roman"/>
          <w:szCs w:val="24"/>
        </w:rPr>
        <w:t xml:space="preserve"> (Procurador Adjunto al Procurador General de la República/ Despacho del Procurador)</w:t>
      </w:r>
    </w:p>
    <w:p w14:paraId="156BABEF" w14:textId="77777777" w:rsidR="001C19EC" w:rsidRPr="00E731FC" w:rsidRDefault="001C19EC" w:rsidP="00951609">
      <w:pPr>
        <w:pStyle w:val="Prrafodelista"/>
        <w:numPr>
          <w:ilvl w:val="0"/>
          <w:numId w:val="3"/>
        </w:numPr>
        <w:spacing w:line="480" w:lineRule="auto"/>
        <w:rPr>
          <w:rFonts w:cs="Times New Roman"/>
          <w:szCs w:val="24"/>
        </w:rPr>
      </w:pPr>
      <w:r w:rsidRPr="008B0BD7">
        <w:rPr>
          <w:rFonts w:cs="Times New Roman"/>
          <w:szCs w:val="24"/>
        </w:rPr>
        <w:t xml:space="preserve">Bolívar Sánchez </w:t>
      </w:r>
      <w:r w:rsidRPr="00E731FC">
        <w:rPr>
          <w:rFonts w:cs="Times New Roman"/>
          <w:szCs w:val="24"/>
        </w:rPr>
        <w:t>Veloz</w:t>
      </w:r>
      <w:r>
        <w:rPr>
          <w:rFonts w:cs="Times New Roman"/>
          <w:szCs w:val="24"/>
        </w:rPr>
        <w:t xml:space="preserve"> (Procurador Adjunto al Procurador General de la República/ Inspectoría General del Ministerio Público)</w:t>
      </w:r>
    </w:p>
    <w:p w14:paraId="5EAFB8A7" w14:textId="77777777" w:rsidR="001C19EC" w:rsidRPr="00617B09" w:rsidRDefault="001C19EC" w:rsidP="00951609">
      <w:pPr>
        <w:pStyle w:val="Prrafodelista"/>
        <w:numPr>
          <w:ilvl w:val="0"/>
          <w:numId w:val="3"/>
        </w:numPr>
        <w:spacing w:line="480" w:lineRule="auto"/>
        <w:rPr>
          <w:rFonts w:cs="Times New Roman"/>
          <w:szCs w:val="24"/>
        </w:rPr>
      </w:pPr>
      <w:r w:rsidRPr="00E731FC">
        <w:rPr>
          <w:rFonts w:cs="Times New Roman"/>
          <w:szCs w:val="24"/>
        </w:rPr>
        <w:t>Carlos Castillo D</w:t>
      </w:r>
      <w:r>
        <w:rPr>
          <w:rFonts w:cs="Times New Roman"/>
          <w:szCs w:val="24"/>
        </w:rPr>
        <w:t>í</w:t>
      </w:r>
      <w:r w:rsidRPr="00E731FC">
        <w:rPr>
          <w:rFonts w:cs="Times New Roman"/>
          <w:szCs w:val="24"/>
        </w:rPr>
        <w:t>az</w:t>
      </w:r>
      <w:r>
        <w:rPr>
          <w:rFonts w:cs="Times New Roman"/>
          <w:szCs w:val="24"/>
        </w:rPr>
        <w:t xml:space="preserve"> (Procurador Adjunto al Procurador General de la República/ Despacho del Procurador)</w:t>
      </w:r>
    </w:p>
    <w:p w14:paraId="164BCDCA"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Carmen D</w:t>
      </w:r>
      <w:r>
        <w:rPr>
          <w:rFonts w:cs="Times New Roman"/>
          <w:szCs w:val="24"/>
        </w:rPr>
        <w:t>í</w:t>
      </w:r>
      <w:r w:rsidRPr="00E731FC">
        <w:rPr>
          <w:rFonts w:cs="Times New Roman"/>
          <w:szCs w:val="24"/>
        </w:rPr>
        <w:t>az Am</w:t>
      </w:r>
      <w:r>
        <w:rPr>
          <w:rFonts w:cs="Times New Roman"/>
          <w:szCs w:val="24"/>
        </w:rPr>
        <w:t>é</w:t>
      </w:r>
      <w:r w:rsidRPr="00E731FC">
        <w:rPr>
          <w:rFonts w:cs="Times New Roman"/>
          <w:szCs w:val="24"/>
        </w:rPr>
        <w:t xml:space="preserve">zquita </w:t>
      </w:r>
      <w:r>
        <w:rPr>
          <w:rFonts w:cs="Times New Roman"/>
          <w:szCs w:val="24"/>
        </w:rPr>
        <w:t>(Procuradora Adjunta al Procurador General de la República/ Dictámenes y Litigio)</w:t>
      </w:r>
    </w:p>
    <w:p w14:paraId="7522802B"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C</w:t>
      </w:r>
      <w:r>
        <w:rPr>
          <w:rFonts w:cs="Times New Roman"/>
          <w:szCs w:val="24"/>
        </w:rPr>
        <w:t>é</w:t>
      </w:r>
      <w:r w:rsidRPr="00E731FC">
        <w:rPr>
          <w:rFonts w:cs="Times New Roman"/>
          <w:szCs w:val="24"/>
        </w:rPr>
        <w:t>sar Antonio Jazmín Rosario</w:t>
      </w:r>
      <w:r>
        <w:rPr>
          <w:rFonts w:cs="Times New Roman"/>
          <w:szCs w:val="24"/>
        </w:rPr>
        <w:t xml:space="preserve"> (Procurador Adjunto al Procurador General de la República/ Procuraduría General Administrativa)</w:t>
      </w:r>
    </w:p>
    <w:p w14:paraId="479BDDE4"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Ena In</w:t>
      </w:r>
      <w:r>
        <w:rPr>
          <w:rFonts w:cs="Times New Roman"/>
          <w:szCs w:val="24"/>
        </w:rPr>
        <w:t>é</w:t>
      </w:r>
      <w:r w:rsidRPr="00E731FC">
        <w:rPr>
          <w:rFonts w:cs="Times New Roman"/>
          <w:szCs w:val="24"/>
        </w:rPr>
        <w:t>s Ortega Lajara</w:t>
      </w:r>
      <w:r>
        <w:rPr>
          <w:rFonts w:cs="Times New Roman"/>
          <w:szCs w:val="24"/>
        </w:rPr>
        <w:t xml:space="preserve"> (Procuradora Adjunta al Procurador General de la República/ Secretaria General)</w:t>
      </w:r>
    </w:p>
    <w:p w14:paraId="419C5FCD"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Fernando Quezada (Procurador Adjunto al Procurador General de la República/ Dirección General de Persecución del Ministerio Público)</w:t>
      </w:r>
    </w:p>
    <w:p w14:paraId="27140B7F" w14:textId="77777777" w:rsidR="001C19EC" w:rsidRDefault="001C19EC" w:rsidP="00951609">
      <w:pPr>
        <w:pStyle w:val="Prrafodelista"/>
        <w:numPr>
          <w:ilvl w:val="0"/>
          <w:numId w:val="3"/>
        </w:numPr>
        <w:spacing w:line="480" w:lineRule="auto"/>
        <w:rPr>
          <w:rFonts w:cs="Times New Roman"/>
          <w:szCs w:val="24"/>
        </w:rPr>
      </w:pPr>
      <w:r w:rsidRPr="00E731FC">
        <w:rPr>
          <w:rFonts w:cs="Times New Roman"/>
          <w:szCs w:val="24"/>
        </w:rPr>
        <w:t>Francisco Polanco Ureña</w:t>
      </w:r>
      <w:r>
        <w:rPr>
          <w:rFonts w:cs="Times New Roman"/>
          <w:szCs w:val="24"/>
        </w:rPr>
        <w:t xml:space="preserve"> (Procurador Adjunto al Procurador General de la República/ Procuraduría General Adjunta para el Sistema Eléctrico)</w:t>
      </w:r>
    </w:p>
    <w:p w14:paraId="4709E0AD"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 xml:space="preserve">Gisela Altagracia Cueto </w:t>
      </w:r>
      <w:r>
        <w:rPr>
          <w:rFonts w:cs="Times New Roman"/>
          <w:szCs w:val="24"/>
        </w:rPr>
        <w:t>(Procuradora Adjunta al Procurador General de la República/ Asistencia Jurídica Internacional y Extradiciones)</w:t>
      </w:r>
    </w:p>
    <w:p w14:paraId="60FD2902"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Joan Manuel Alcántara Javier (Procurador Adjunto al Procurador General de la República/ Despacho del Procurador)</w:t>
      </w:r>
    </w:p>
    <w:p w14:paraId="6B1B1B99" w14:textId="77777777" w:rsidR="001C19EC" w:rsidRPr="00E731FC" w:rsidRDefault="001C19EC" w:rsidP="00951609">
      <w:pPr>
        <w:pStyle w:val="Prrafodelista"/>
        <w:numPr>
          <w:ilvl w:val="0"/>
          <w:numId w:val="3"/>
        </w:numPr>
        <w:spacing w:line="480" w:lineRule="auto"/>
        <w:rPr>
          <w:rFonts w:cs="Times New Roman"/>
          <w:szCs w:val="24"/>
        </w:rPr>
      </w:pPr>
      <w:r>
        <w:rPr>
          <w:rFonts w:cs="Times New Roman"/>
          <w:szCs w:val="24"/>
        </w:rPr>
        <w:lastRenderedPageBreak/>
        <w:t>Lucas Evangelista Pérez José (Procurador Adjunto al Procurador General de la República/ Despacho del Procurador)</w:t>
      </w:r>
    </w:p>
    <w:p w14:paraId="09FEAFAD" w14:textId="77777777" w:rsidR="001C19EC" w:rsidRPr="008F5D3E" w:rsidRDefault="001C19EC" w:rsidP="00951609">
      <w:pPr>
        <w:pStyle w:val="Prrafodelista"/>
        <w:numPr>
          <w:ilvl w:val="0"/>
          <w:numId w:val="3"/>
        </w:numPr>
        <w:spacing w:line="480" w:lineRule="auto"/>
        <w:rPr>
          <w:rFonts w:cs="Times New Roman"/>
          <w:szCs w:val="24"/>
        </w:rPr>
      </w:pPr>
      <w:r w:rsidRPr="008F5D3E">
        <w:rPr>
          <w:rFonts w:cs="Times New Roman"/>
          <w:szCs w:val="24"/>
        </w:rPr>
        <w:t xml:space="preserve">Juan Amado </w:t>
      </w:r>
      <w:proofErr w:type="spellStart"/>
      <w:r w:rsidRPr="008F5D3E">
        <w:rPr>
          <w:rFonts w:cs="Times New Roman"/>
          <w:szCs w:val="24"/>
        </w:rPr>
        <w:t>Cedano</w:t>
      </w:r>
      <w:proofErr w:type="spellEnd"/>
      <w:r w:rsidRPr="008F5D3E">
        <w:rPr>
          <w:rFonts w:cs="Times New Roman"/>
          <w:szCs w:val="24"/>
        </w:rPr>
        <w:t xml:space="preserve"> Santana (Procurador Adjunto al Procurador General de la República/ Consejo Disciplinario del MP)</w:t>
      </w:r>
    </w:p>
    <w:p w14:paraId="0AA63354" w14:textId="77777777" w:rsidR="001C19EC" w:rsidRDefault="001C19EC" w:rsidP="00951609">
      <w:pPr>
        <w:pStyle w:val="Prrafodelista"/>
        <w:numPr>
          <w:ilvl w:val="0"/>
          <w:numId w:val="3"/>
        </w:numPr>
        <w:spacing w:line="480" w:lineRule="auto"/>
        <w:rPr>
          <w:rFonts w:cs="Times New Roman"/>
          <w:szCs w:val="24"/>
        </w:rPr>
      </w:pPr>
      <w:r w:rsidRPr="00E731FC">
        <w:rPr>
          <w:rFonts w:cs="Times New Roman"/>
          <w:szCs w:val="24"/>
        </w:rPr>
        <w:t>Mar</w:t>
      </w:r>
      <w:r>
        <w:rPr>
          <w:rFonts w:cs="Times New Roman"/>
          <w:szCs w:val="24"/>
        </w:rPr>
        <w:t>í</w:t>
      </w:r>
      <w:r w:rsidRPr="00E731FC">
        <w:rPr>
          <w:rFonts w:cs="Times New Roman"/>
          <w:szCs w:val="24"/>
        </w:rPr>
        <w:t>a Altagracia Hern</w:t>
      </w:r>
      <w:r>
        <w:rPr>
          <w:rFonts w:cs="Times New Roman"/>
          <w:szCs w:val="24"/>
        </w:rPr>
        <w:t>á</w:t>
      </w:r>
      <w:r w:rsidRPr="00E731FC">
        <w:rPr>
          <w:rFonts w:cs="Times New Roman"/>
          <w:szCs w:val="24"/>
        </w:rPr>
        <w:t>ndez Garc</w:t>
      </w:r>
      <w:r>
        <w:rPr>
          <w:rFonts w:cs="Times New Roman"/>
          <w:szCs w:val="24"/>
        </w:rPr>
        <w:t>í</w:t>
      </w:r>
      <w:r w:rsidRPr="00E731FC">
        <w:rPr>
          <w:rFonts w:cs="Times New Roman"/>
          <w:szCs w:val="24"/>
        </w:rPr>
        <w:t>a</w:t>
      </w:r>
      <w:r>
        <w:rPr>
          <w:rFonts w:cs="Times New Roman"/>
          <w:szCs w:val="24"/>
        </w:rPr>
        <w:t xml:space="preserve"> (Procuradora Adjunta al Procurador General de la República/ Dictámenes y Litigio)</w:t>
      </w:r>
    </w:p>
    <w:p w14:paraId="250BC8D3" w14:textId="77777777" w:rsidR="001C19EC" w:rsidRPr="00E731FC" w:rsidRDefault="001C19EC" w:rsidP="00951609">
      <w:pPr>
        <w:pStyle w:val="Prrafodelista"/>
        <w:numPr>
          <w:ilvl w:val="0"/>
          <w:numId w:val="3"/>
        </w:numPr>
        <w:spacing w:line="480" w:lineRule="auto"/>
        <w:rPr>
          <w:rFonts w:cs="Times New Roman"/>
          <w:szCs w:val="24"/>
        </w:rPr>
      </w:pPr>
      <w:r>
        <w:rPr>
          <w:rFonts w:cs="Times New Roman"/>
          <w:szCs w:val="24"/>
        </w:rPr>
        <w:t>Ana María Burgos (Procuradora Adjunta al Procurador General de la República/ Dictámenes y Litigio)</w:t>
      </w:r>
    </w:p>
    <w:p w14:paraId="5024200B" w14:textId="77777777" w:rsidR="001C19EC" w:rsidRPr="00E731FC" w:rsidRDefault="001C19EC" w:rsidP="00951609">
      <w:pPr>
        <w:pStyle w:val="Prrafodelista"/>
        <w:numPr>
          <w:ilvl w:val="0"/>
          <w:numId w:val="3"/>
        </w:numPr>
        <w:spacing w:line="480" w:lineRule="auto"/>
        <w:rPr>
          <w:rFonts w:cs="Times New Roman"/>
          <w:szCs w:val="24"/>
        </w:rPr>
      </w:pPr>
      <w:proofErr w:type="spellStart"/>
      <w:r w:rsidRPr="00E731FC">
        <w:rPr>
          <w:rFonts w:cs="Times New Roman"/>
          <w:szCs w:val="24"/>
        </w:rPr>
        <w:t>Marien</w:t>
      </w:r>
      <w:proofErr w:type="spellEnd"/>
      <w:r w:rsidRPr="00E731FC">
        <w:rPr>
          <w:rFonts w:cs="Times New Roman"/>
          <w:szCs w:val="24"/>
        </w:rPr>
        <w:t xml:space="preserve"> Montero</w:t>
      </w:r>
      <w:r>
        <w:rPr>
          <w:rFonts w:cs="Times New Roman"/>
          <w:szCs w:val="24"/>
        </w:rPr>
        <w:t xml:space="preserve"> </w:t>
      </w:r>
      <w:proofErr w:type="spellStart"/>
      <w:r>
        <w:rPr>
          <w:rFonts w:cs="Times New Roman"/>
          <w:szCs w:val="24"/>
        </w:rPr>
        <w:t>Beard</w:t>
      </w:r>
      <w:proofErr w:type="spellEnd"/>
      <w:r>
        <w:rPr>
          <w:rFonts w:cs="Times New Roman"/>
          <w:szCs w:val="24"/>
        </w:rPr>
        <w:t xml:space="preserve"> (Procuradora Adjunta al Procurador General de la República/ Unidad de Desarrollo Legislativo y Regulatorio)</w:t>
      </w:r>
    </w:p>
    <w:p w14:paraId="14EE1439"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 xml:space="preserve">Marisol Altagracia </w:t>
      </w:r>
      <w:proofErr w:type="spellStart"/>
      <w:r w:rsidRPr="00E731FC">
        <w:rPr>
          <w:rFonts w:cs="Times New Roman"/>
          <w:szCs w:val="24"/>
        </w:rPr>
        <w:t>Tobal</w:t>
      </w:r>
      <w:proofErr w:type="spellEnd"/>
      <w:r w:rsidRPr="00E731FC">
        <w:rPr>
          <w:rFonts w:cs="Times New Roman"/>
          <w:szCs w:val="24"/>
        </w:rPr>
        <w:t xml:space="preserve"> Williams</w:t>
      </w:r>
      <w:r>
        <w:rPr>
          <w:rFonts w:cs="Times New Roman"/>
          <w:szCs w:val="24"/>
        </w:rPr>
        <w:t xml:space="preserve"> (Procuradora Adjunta al Procurador General de la República/ Dictámenes y Litigio)</w:t>
      </w:r>
    </w:p>
    <w:p w14:paraId="0C8A9A77"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Maura Altagracia Mart</w:t>
      </w:r>
      <w:r>
        <w:rPr>
          <w:rFonts w:cs="Times New Roman"/>
          <w:szCs w:val="24"/>
        </w:rPr>
        <w:t>í</w:t>
      </w:r>
      <w:r w:rsidRPr="00E731FC">
        <w:rPr>
          <w:rFonts w:cs="Times New Roman"/>
          <w:szCs w:val="24"/>
        </w:rPr>
        <w:t>nez Paulino</w:t>
      </w:r>
      <w:r>
        <w:rPr>
          <w:rFonts w:cs="Times New Roman"/>
          <w:szCs w:val="24"/>
        </w:rPr>
        <w:t xml:space="preserve"> (Procuradora Adjunta al Procurador General de la República/ Procuraduría Especializada contra el Tráfico, Porte y Tenencia Ilegal de Armas)</w:t>
      </w:r>
    </w:p>
    <w:p w14:paraId="3C546CD8"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Máximo</w:t>
      </w:r>
      <w:r>
        <w:rPr>
          <w:rFonts w:cs="Times New Roman"/>
          <w:szCs w:val="24"/>
        </w:rPr>
        <w:t xml:space="preserve"> Suá</w:t>
      </w:r>
      <w:r w:rsidRPr="00E731FC">
        <w:rPr>
          <w:rFonts w:cs="Times New Roman"/>
          <w:szCs w:val="24"/>
        </w:rPr>
        <w:t>rez Frías</w:t>
      </w:r>
      <w:r>
        <w:rPr>
          <w:rFonts w:cs="Times New Roman"/>
          <w:szCs w:val="24"/>
        </w:rPr>
        <w:t xml:space="preserve"> (Procurador Adjunto al Procurador General de la República/ Despacho del Procurador)</w:t>
      </w:r>
    </w:p>
    <w:p w14:paraId="0DE07B5B" w14:textId="77777777" w:rsidR="001C19EC" w:rsidRPr="00E731FC" w:rsidRDefault="001C19EC" w:rsidP="00951609">
      <w:pPr>
        <w:pStyle w:val="Prrafodelista"/>
        <w:numPr>
          <w:ilvl w:val="0"/>
          <w:numId w:val="3"/>
        </w:numPr>
        <w:spacing w:line="480" w:lineRule="auto"/>
        <w:rPr>
          <w:rFonts w:cs="Times New Roman"/>
          <w:szCs w:val="24"/>
        </w:rPr>
      </w:pPr>
      <w:r w:rsidRPr="00E731FC">
        <w:rPr>
          <w:rFonts w:cs="Times New Roman"/>
          <w:szCs w:val="24"/>
        </w:rPr>
        <w:t xml:space="preserve">Rodolfo Alberto </w:t>
      </w:r>
      <w:proofErr w:type="spellStart"/>
      <w:r w:rsidRPr="00E731FC">
        <w:rPr>
          <w:rFonts w:cs="Times New Roman"/>
          <w:szCs w:val="24"/>
        </w:rPr>
        <w:t>Espiñeira</w:t>
      </w:r>
      <w:proofErr w:type="spellEnd"/>
      <w:r w:rsidRPr="00E731FC">
        <w:rPr>
          <w:rFonts w:cs="Times New Roman"/>
          <w:szCs w:val="24"/>
        </w:rPr>
        <w:t xml:space="preserve"> Ceballos</w:t>
      </w:r>
      <w:r>
        <w:rPr>
          <w:rFonts w:cs="Times New Roman"/>
          <w:szCs w:val="24"/>
        </w:rPr>
        <w:t xml:space="preserve"> (Procurador Adjunto al Procurador General de la República/ </w:t>
      </w:r>
      <w:r w:rsidRPr="00286186">
        <w:rPr>
          <w:rFonts w:cs="Times New Roman"/>
          <w:szCs w:val="24"/>
        </w:rPr>
        <w:t>Director Nacional del MP)</w:t>
      </w:r>
    </w:p>
    <w:p w14:paraId="77E90036" w14:textId="77777777" w:rsidR="001C19EC" w:rsidRPr="00E731FC" w:rsidRDefault="001C19EC" w:rsidP="00951609">
      <w:pPr>
        <w:pStyle w:val="Prrafodelista"/>
        <w:numPr>
          <w:ilvl w:val="0"/>
          <w:numId w:val="3"/>
        </w:numPr>
        <w:spacing w:line="480" w:lineRule="auto"/>
        <w:rPr>
          <w:rFonts w:cs="Times New Roman"/>
          <w:szCs w:val="24"/>
        </w:rPr>
      </w:pPr>
      <w:proofErr w:type="spellStart"/>
      <w:r w:rsidRPr="00E731FC">
        <w:rPr>
          <w:rFonts w:cs="Times New Roman"/>
          <w:szCs w:val="24"/>
        </w:rPr>
        <w:t>Roxanna</w:t>
      </w:r>
      <w:proofErr w:type="spellEnd"/>
      <w:r w:rsidRPr="00E731FC">
        <w:rPr>
          <w:rFonts w:cs="Times New Roman"/>
          <w:szCs w:val="24"/>
        </w:rPr>
        <w:t xml:space="preserve"> Patricia Reyes Acosta</w:t>
      </w:r>
      <w:r>
        <w:rPr>
          <w:rFonts w:cs="Times New Roman"/>
          <w:szCs w:val="24"/>
        </w:rPr>
        <w:t xml:space="preserve"> (Procuradora Adjunta al Procurador General de la República/Despacho Procurador General)</w:t>
      </w:r>
    </w:p>
    <w:p w14:paraId="40BA13A0" w14:textId="77777777" w:rsidR="001C19EC" w:rsidRPr="000902AA" w:rsidRDefault="001C19EC" w:rsidP="00951609">
      <w:pPr>
        <w:pStyle w:val="Prrafodelista"/>
        <w:numPr>
          <w:ilvl w:val="0"/>
          <w:numId w:val="3"/>
        </w:numPr>
        <w:spacing w:line="480" w:lineRule="auto"/>
        <w:rPr>
          <w:rFonts w:cs="Times New Roman"/>
          <w:szCs w:val="24"/>
        </w:rPr>
      </w:pPr>
      <w:r w:rsidRPr="000902AA">
        <w:rPr>
          <w:rFonts w:cs="Times New Roman"/>
          <w:szCs w:val="24"/>
        </w:rPr>
        <w:t>Víctor Robustiano Peña (Procurador Adjunto al Procurador General de la República/ Dictámenes y Litigio)</w:t>
      </w:r>
    </w:p>
    <w:p w14:paraId="3D8FAC47" w14:textId="77777777" w:rsidR="001C19EC" w:rsidRPr="002B21BE" w:rsidRDefault="001C19EC" w:rsidP="00951609">
      <w:pPr>
        <w:pStyle w:val="Prrafodelista"/>
        <w:numPr>
          <w:ilvl w:val="0"/>
          <w:numId w:val="3"/>
        </w:numPr>
        <w:spacing w:line="480" w:lineRule="auto"/>
        <w:rPr>
          <w:rFonts w:cs="Times New Roman"/>
          <w:szCs w:val="24"/>
        </w:rPr>
      </w:pPr>
      <w:proofErr w:type="spellStart"/>
      <w:r w:rsidRPr="00E731FC">
        <w:rPr>
          <w:rFonts w:cs="Times New Roman"/>
          <w:szCs w:val="24"/>
        </w:rPr>
        <w:lastRenderedPageBreak/>
        <w:t>Virgilito</w:t>
      </w:r>
      <w:proofErr w:type="spellEnd"/>
      <w:r w:rsidRPr="00E731FC">
        <w:rPr>
          <w:rFonts w:cs="Times New Roman"/>
          <w:szCs w:val="24"/>
        </w:rPr>
        <w:t xml:space="preserve"> Peralta De La Cruz</w:t>
      </w:r>
      <w:r>
        <w:rPr>
          <w:rFonts w:cs="Times New Roman"/>
          <w:szCs w:val="24"/>
        </w:rPr>
        <w:t xml:space="preserve"> (Procurador Adjunto al Procurador General de la República/ </w:t>
      </w:r>
      <w:r w:rsidRPr="004517D2">
        <w:rPr>
          <w:rFonts w:cs="Times New Roman"/>
          <w:szCs w:val="24"/>
        </w:rPr>
        <w:t>Servicio Nacional de Representación Legal de los Derechos de las Víctimas</w:t>
      </w:r>
      <w:r>
        <w:rPr>
          <w:rFonts w:cs="Times New Roman"/>
          <w:szCs w:val="24"/>
        </w:rPr>
        <w:t>)</w:t>
      </w:r>
    </w:p>
    <w:p w14:paraId="4BD100C0" w14:textId="77777777" w:rsidR="001C19EC" w:rsidRDefault="001C19EC" w:rsidP="001C19EC">
      <w:pPr>
        <w:spacing w:line="480" w:lineRule="auto"/>
        <w:jc w:val="both"/>
        <w:rPr>
          <w:rFonts w:cs="Times New Roman"/>
          <w:b/>
          <w:szCs w:val="24"/>
        </w:rPr>
      </w:pPr>
      <w:r>
        <w:rPr>
          <w:rFonts w:cs="Times New Roman"/>
          <w:b/>
          <w:szCs w:val="24"/>
        </w:rPr>
        <w:t xml:space="preserve">Titulares de las Procuradurías Regionales (Cortes de Apelación) </w:t>
      </w:r>
    </w:p>
    <w:p w14:paraId="2C16A13D"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Ciriaco de la Rosa Jiménez (San Juan de la Maguana)</w:t>
      </w:r>
    </w:p>
    <w:p w14:paraId="7B3472AE" w14:textId="77777777" w:rsidR="001C19EC" w:rsidRPr="00560DB7" w:rsidRDefault="001C19EC" w:rsidP="00951609">
      <w:pPr>
        <w:pStyle w:val="Prrafodelista"/>
        <w:numPr>
          <w:ilvl w:val="0"/>
          <w:numId w:val="3"/>
        </w:numPr>
        <w:spacing w:line="480" w:lineRule="auto"/>
        <w:rPr>
          <w:rFonts w:cs="Times New Roman"/>
          <w:szCs w:val="24"/>
        </w:rPr>
      </w:pPr>
      <w:r>
        <w:rPr>
          <w:rFonts w:cs="Times New Roman"/>
          <w:szCs w:val="24"/>
        </w:rPr>
        <w:t xml:space="preserve">Francisco Berroa </w:t>
      </w:r>
      <w:proofErr w:type="spellStart"/>
      <w:r>
        <w:rPr>
          <w:rFonts w:cs="Times New Roman"/>
          <w:szCs w:val="24"/>
        </w:rPr>
        <w:t>Hiciano</w:t>
      </w:r>
      <w:proofErr w:type="spellEnd"/>
      <w:r>
        <w:rPr>
          <w:rFonts w:cs="Times New Roman"/>
          <w:szCs w:val="24"/>
        </w:rPr>
        <w:t xml:space="preserve"> (Santo Domingo)</w:t>
      </w:r>
    </w:p>
    <w:p w14:paraId="26206F07"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Jessica Ramírez Ullola (La Vega)</w:t>
      </w:r>
    </w:p>
    <w:p w14:paraId="45503616"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 xml:space="preserve">Jonathan Baró </w:t>
      </w:r>
      <w:r w:rsidRPr="00940CF9">
        <w:rPr>
          <w:rFonts w:cs="Times New Roman"/>
          <w:szCs w:val="24"/>
        </w:rPr>
        <w:t>Gutiérrez</w:t>
      </w:r>
      <w:r>
        <w:rPr>
          <w:rFonts w:cs="Times New Roman"/>
          <w:szCs w:val="24"/>
        </w:rPr>
        <w:t xml:space="preserve"> (San Cristóbal)</w:t>
      </w:r>
    </w:p>
    <w:p w14:paraId="3137BBF7"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José del Carmen Sepúlveda (Distrito Nacional)</w:t>
      </w:r>
    </w:p>
    <w:p w14:paraId="4232C1A1"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 xml:space="preserve">Carmen </w:t>
      </w:r>
      <w:proofErr w:type="spellStart"/>
      <w:r>
        <w:rPr>
          <w:rFonts w:cs="Times New Roman"/>
          <w:szCs w:val="24"/>
        </w:rPr>
        <w:t>Alardo</w:t>
      </w:r>
      <w:proofErr w:type="spellEnd"/>
      <w:r>
        <w:rPr>
          <w:rFonts w:cs="Times New Roman"/>
          <w:szCs w:val="24"/>
        </w:rPr>
        <w:t xml:space="preserve"> Peña (San Francisco de Macorís)</w:t>
      </w:r>
    </w:p>
    <w:p w14:paraId="303B2198" w14:textId="77777777" w:rsidR="001C19EC" w:rsidRDefault="001C19EC" w:rsidP="00951609">
      <w:pPr>
        <w:pStyle w:val="Prrafodelista"/>
        <w:numPr>
          <w:ilvl w:val="0"/>
          <w:numId w:val="3"/>
        </w:numPr>
        <w:spacing w:line="480" w:lineRule="auto"/>
        <w:rPr>
          <w:rFonts w:cs="Times New Roman"/>
          <w:szCs w:val="24"/>
        </w:rPr>
      </w:pPr>
      <w:r w:rsidRPr="00940CF9">
        <w:rPr>
          <w:rFonts w:cs="Times New Roman"/>
          <w:szCs w:val="24"/>
        </w:rPr>
        <w:t>Roberto Enrique Encarnación del Monte</w:t>
      </w:r>
      <w:r>
        <w:rPr>
          <w:rFonts w:cs="Times New Roman"/>
          <w:szCs w:val="24"/>
        </w:rPr>
        <w:t xml:space="preserve"> (San Pedro de Macorís)</w:t>
      </w:r>
    </w:p>
    <w:p w14:paraId="67849178"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 xml:space="preserve">Santo Fabián </w:t>
      </w:r>
      <w:proofErr w:type="spellStart"/>
      <w:r>
        <w:rPr>
          <w:rFonts w:cs="Times New Roman"/>
          <w:szCs w:val="24"/>
        </w:rPr>
        <w:t>Beltré</w:t>
      </w:r>
      <w:proofErr w:type="spellEnd"/>
      <w:r>
        <w:rPr>
          <w:rFonts w:cs="Times New Roman"/>
          <w:szCs w:val="24"/>
        </w:rPr>
        <w:t xml:space="preserve"> (Puerto Plata)</w:t>
      </w:r>
    </w:p>
    <w:p w14:paraId="63CD8CD9"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Víctor González (Santiago)</w:t>
      </w:r>
    </w:p>
    <w:p w14:paraId="5FA13C05" w14:textId="77777777" w:rsidR="001C19EC" w:rsidRDefault="001C19EC" w:rsidP="00951609">
      <w:pPr>
        <w:pStyle w:val="Prrafodelista"/>
        <w:numPr>
          <w:ilvl w:val="0"/>
          <w:numId w:val="3"/>
        </w:numPr>
        <w:spacing w:line="480" w:lineRule="auto"/>
        <w:rPr>
          <w:rFonts w:cs="Times New Roman"/>
          <w:szCs w:val="24"/>
        </w:rPr>
      </w:pPr>
      <w:r w:rsidRPr="00560DB7">
        <w:rPr>
          <w:rFonts w:cs="Times New Roman"/>
          <w:szCs w:val="24"/>
        </w:rPr>
        <w:t>Wendy Gonz</w:t>
      </w:r>
      <w:r>
        <w:rPr>
          <w:rFonts w:cs="Times New Roman"/>
          <w:szCs w:val="24"/>
        </w:rPr>
        <w:t>á</w:t>
      </w:r>
      <w:r w:rsidRPr="00560DB7">
        <w:rPr>
          <w:rFonts w:cs="Times New Roman"/>
          <w:szCs w:val="24"/>
        </w:rPr>
        <w:t>le</w:t>
      </w:r>
      <w:r>
        <w:rPr>
          <w:rFonts w:cs="Times New Roman"/>
          <w:szCs w:val="24"/>
        </w:rPr>
        <w:t xml:space="preserve">z </w:t>
      </w:r>
      <w:r w:rsidRPr="00560DB7">
        <w:rPr>
          <w:rFonts w:cs="Times New Roman"/>
          <w:szCs w:val="24"/>
        </w:rPr>
        <w:t xml:space="preserve">Carpio </w:t>
      </w:r>
      <w:r>
        <w:rPr>
          <w:rFonts w:cs="Times New Roman"/>
          <w:szCs w:val="24"/>
        </w:rPr>
        <w:t>(Barahona)</w:t>
      </w:r>
    </w:p>
    <w:p w14:paraId="478867D4" w14:textId="77777777" w:rsidR="001C19EC" w:rsidRDefault="001C19EC" w:rsidP="00951609">
      <w:pPr>
        <w:pStyle w:val="Prrafodelista"/>
        <w:numPr>
          <w:ilvl w:val="0"/>
          <w:numId w:val="3"/>
        </w:numPr>
        <w:spacing w:line="480" w:lineRule="auto"/>
        <w:rPr>
          <w:rFonts w:cs="Times New Roman"/>
          <w:szCs w:val="24"/>
        </w:rPr>
      </w:pPr>
      <w:proofErr w:type="spellStart"/>
      <w:r>
        <w:rPr>
          <w:rFonts w:cs="Times New Roman"/>
          <w:szCs w:val="24"/>
        </w:rPr>
        <w:t>Yoanna</w:t>
      </w:r>
      <w:proofErr w:type="spellEnd"/>
      <w:r>
        <w:rPr>
          <w:rFonts w:cs="Times New Roman"/>
          <w:szCs w:val="24"/>
        </w:rPr>
        <w:t xml:space="preserve"> </w:t>
      </w:r>
      <w:proofErr w:type="spellStart"/>
      <w:r>
        <w:rPr>
          <w:rFonts w:cs="Times New Roman"/>
          <w:szCs w:val="24"/>
        </w:rPr>
        <w:t>Bejarán</w:t>
      </w:r>
      <w:proofErr w:type="spellEnd"/>
      <w:r>
        <w:rPr>
          <w:rFonts w:cs="Times New Roman"/>
          <w:szCs w:val="24"/>
        </w:rPr>
        <w:t xml:space="preserve"> Álvarez (Montecristi) </w:t>
      </w:r>
    </w:p>
    <w:p w14:paraId="57040BF4" w14:textId="77777777" w:rsidR="001C19EC" w:rsidRDefault="001C19EC" w:rsidP="001C19EC">
      <w:pPr>
        <w:spacing w:line="480" w:lineRule="auto"/>
        <w:jc w:val="both"/>
        <w:rPr>
          <w:rFonts w:cs="Times New Roman"/>
          <w:b/>
          <w:szCs w:val="24"/>
        </w:rPr>
      </w:pPr>
      <w:r w:rsidRPr="00440FC7">
        <w:rPr>
          <w:rFonts w:cs="Times New Roman"/>
          <w:b/>
          <w:szCs w:val="24"/>
        </w:rPr>
        <w:t>Titulares de las Fiscalías</w:t>
      </w:r>
      <w:r>
        <w:rPr>
          <w:rFonts w:cs="Times New Roman"/>
          <w:b/>
          <w:szCs w:val="24"/>
        </w:rPr>
        <w:t xml:space="preserve"> Ordinarias </w:t>
      </w:r>
    </w:p>
    <w:p w14:paraId="514B649C"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Adolfo </w:t>
      </w:r>
      <w:proofErr w:type="spellStart"/>
      <w:r>
        <w:rPr>
          <w:rFonts w:cs="Times New Roman"/>
          <w:szCs w:val="24"/>
        </w:rPr>
        <w:t>Féliz</w:t>
      </w:r>
      <w:proofErr w:type="spellEnd"/>
      <w:r>
        <w:rPr>
          <w:rFonts w:cs="Times New Roman"/>
          <w:szCs w:val="24"/>
        </w:rPr>
        <w:t xml:space="preserve"> Pérez (San Juan de la Maguana)</w:t>
      </w:r>
    </w:p>
    <w:p w14:paraId="545F8DC3" w14:textId="77777777" w:rsidR="001C19EC" w:rsidRDefault="001C19EC" w:rsidP="00951609">
      <w:pPr>
        <w:pStyle w:val="Prrafodelista"/>
        <w:numPr>
          <w:ilvl w:val="0"/>
          <w:numId w:val="4"/>
        </w:numPr>
        <w:spacing w:line="480" w:lineRule="auto"/>
        <w:jc w:val="both"/>
        <w:rPr>
          <w:rFonts w:cs="Times New Roman"/>
          <w:szCs w:val="24"/>
        </w:rPr>
      </w:pPr>
      <w:r w:rsidRPr="00AA30BF">
        <w:rPr>
          <w:rFonts w:cs="Times New Roman"/>
          <w:szCs w:val="24"/>
        </w:rPr>
        <w:t>Antonia Idalia Jim</w:t>
      </w:r>
      <w:r>
        <w:rPr>
          <w:rFonts w:cs="Times New Roman"/>
          <w:szCs w:val="24"/>
        </w:rPr>
        <w:t>é</w:t>
      </w:r>
      <w:r w:rsidRPr="00AA30BF">
        <w:rPr>
          <w:rFonts w:cs="Times New Roman"/>
          <w:szCs w:val="24"/>
        </w:rPr>
        <w:t>nez Est</w:t>
      </w:r>
      <w:r>
        <w:rPr>
          <w:rFonts w:cs="Times New Roman"/>
          <w:szCs w:val="24"/>
        </w:rPr>
        <w:t>é</w:t>
      </w:r>
      <w:r w:rsidRPr="00AA30BF">
        <w:rPr>
          <w:rFonts w:cs="Times New Roman"/>
          <w:szCs w:val="24"/>
        </w:rPr>
        <w:t>vez</w:t>
      </w:r>
      <w:r>
        <w:rPr>
          <w:rFonts w:cs="Times New Roman"/>
          <w:szCs w:val="24"/>
        </w:rPr>
        <w:t xml:space="preserve"> (San Pedro de Macorís, interina)</w:t>
      </w:r>
    </w:p>
    <w:p w14:paraId="70CE4A8D"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Ángel Tejeda </w:t>
      </w:r>
      <w:proofErr w:type="spellStart"/>
      <w:r>
        <w:rPr>
          <w:rFonts w:cs="Times New Roman"/>
          <w:szCs w:val="24"/>
        </w:rPr>
        <w:t>Fabal</w:t>
      </w:r>
      <w:proofErr w:type="spellEnd"/>
      <w:r>
        <w:rPr>
          <w:rFonts w:cs="Times New Roman"/>
          <w:szCs w:val="24"/>
        </w:rPr>
        <w:t xml:space="preserve"> (Peravia)</w:t>
      </w:r>
    </w:p>
    <w:p w14:paraId="350F05D3"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Aura García Ramírez (La Vega)</w:t>
      </w:r>
    </w:p>
    <w:p w14:paraId="1C5F3A35"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Dante Castillo Medina (Azua)</w:t>
      </w:r>
    </w:p>
    <w:p w14:paraId="0C48D2D5"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Edward López (Santo Domingo Oeste)</w:t>
      </w:r>
    </w:p>
    <w:p w14:paraId="60CCE51B"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Edward Núñez-</w:t>
      </w:r>
      <w:proofErr w:type="spellStart"/>
      <w:r>
        <w:rPr>
          <w:rFonts w:cs="Times New Roman"/>
          <w:szCs w:val="24"/>
        </w:rPr>
        <w:t>Merette</w:t>
      </w:r>
      <w:proofErr w:type="spellEnd"/>
      <w:r>
        <w:rPr>
          <w:rFonts w:cs="Times New Roman"/>
          <w:szCs w:val="24"/>
        </w:rPr>
        <w:t xml:space="preserve"> (Salcedo)</w:t>
      </w:r>
    </w:p>
    <w:p w14:paraId="2F7E31B3"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Edwin Encarnación Medina (La Altagracia)</w:t>
      </w:r>
    </w:p>
    <w:p w14:paraId="1745614B"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lastRenderedPageBreak/>
        <w:t xml:space="preserve">Erika </w:t>
      </w:r>
      <w:proofErr w:type="spellStart"/>
      <w:r>
        <w:rPr>
          <w:rFonts w:cs="Times New Roman"/>
          <w:szCs w:val="24"/>
        </w:rPr>
        <w:t>Pujols</w:t>
      </w:r>
      <w:proofErr w:type="spellEnd"/>
      <w:r>
        <w:rPr>
          <w:rFonts w:cs="Times New Roman"/>
          <w:szCs w:val="24"/>
        </w:rPr>
        <w:t xml:space="preserve"> </w:t>
      </w:r>
      <w:proofErr w:type="spellStart"/>
      <w:r>
        <w:rPr>
          <w:rFonts w:cs="Times New Roman"/>
          <w:szCs w:val="24"/>
        </w:rPr>
        <w:t>Pujols</w:t>
      </w:r>
      <w:proofErr w:type="spellEnd"/>
      <w:r>
        <w:rPr>
          <w:rFonts w:cs="Times New Roman"/>
          <w:szCs w:val="24"/>
        </w:rPr>
        <w:t xml:space="preserve"> (Samaná)</w:t>
      </w:r>
    </w:p>
    <w:p w14:paraId="5BB235BD"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Esteban Cuevas Santana (</w:t>
      </w:r>
      <w:proofErr w:type="spellStart"/>
      <w:r>
        <w:rPr>
          <w:rFonts w:cs="Times New Roman"/>
          <w:szCs w:val="24"/>
        </w:rPr>
        <w:t>Neyba</w:t>
      </w:r>
      <w:proofErr w:type="spellEnd"/>
      <w:r>
        <w:rPr>
          <w:rFonts w:cs="Times New Roman"/>
          <w:szCs w:val="24"/>
        </w:rPr>
        <w:t>)</w:t>
      </w:r>
    </w:p>
    <w:p w14:paraId="5EC4760A"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Fadulia</w:t>
      </w:r>
      <w:proofErr w:type="spellEnd"/>
      <w:r>
        <w:rPr>
          <w:rFonts w:cs="Times New Roman"/>
          <w:szCs w:val="24"/>
        </w:rPr>
        <w:t xml:space="preserve"> Rosa Rubio (San Cristóbal)</w:t>
      </w:r>
    </w:p>
    <w:p w14:paraId="31F14A6E"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Fátima Sánchez Guzmán (Villa Altagracia)</w:t>
      </w:r>
    </w:p>
    <w:p w14:paraId="10C12DEA"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Francis Arístides Valdez (San José de </w:t>
      </w:r>
      <w:proofErr w:type="spellStart"/>
      <w:r>
        <w:rPr>
          <w:rFonts w:cs="Times New Roman"/>
          <w:szCs w:val="24"/>
        </w:rPr>
        <w:t>Ocoa</w:t>
      </w:r>
      <w:proofErr w:type="spellEnd"/>
      <w:r>
        <w:rPr>
          <w:rFonts w:cs="Times New Roman"/>
          <w:szCs w:val="24"/>
        </w:rPr>
        <w:t>)</w:t>
      </w:r>
    </w:p>
    <w:p w14:paraId="5E0B1637" w14:textId="77777777" w:rsidR="001C19EC" w:rsidRPr="00286186" w:rsidRDefault="001C19EC" w:rsidP="00951609">
      <w:pPr>
        <w:pStyle w:val="Prrafodelista"/>
        <w:numPr>
          <w:ilvl w:val="0"/>
          <w:numId w:val="4"/>
        </w:numPr>
        <w:spacing w:line="480" w:lineRule="auto"/>
        <w:jc w:val="both"/>
        <w:rPr>
          <w:rFonts w:cs="Times New Roman"/>
          <w:szCs w:val="24"/>
        </w:rPr>
      </w:pPr>
      <w:r w:rsidRPr="00286186">
        <w:rPr>
          <w:rFonts w:cs="Times New Roman"/>
          <w:szCs w:val="24"/>
        </w:rPr>
        <w:t xml:space="preserve">Grimaldi Oviedo </w:t>
      </w:r>
      <w:proofErr w:type="spellStart"/>
      <w:r w:rsidRPr="00286186">
        <w:rPr>
          <w:rFonts w:cs="Times New Roman"/>
          <w:szCs w:val="24"/>
        </w:rPr>
        <w:t>Merán</w:t>
      </w:r>
      <w:proofErr w:type="spellEnd"/>
      <w:r w:rsidRPr="00286186">
        <w:rPr>
          <w:rFonts w:cs="Times New Roman"/>
          <w:szCs w:val="24"/>
        </w:rPr>
        <w:t xml:space="preserve"> (Montecristi)</w:t>
      </w:r>
    </w:p>
    <w:p w14:paraId="6A601C43"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Guillermo </w:t>
      </w:r>
      <w:proofErr w:type="spellStart"/>
      <w:r>
        <w:rPr>
          <w:rFonts w:cs="Times New Roman"/>
          <w:szCs w:val="24"/>
        </w:rPr>
        <w:t>Leyba</w:t>
      </w:r>
      <w:proofErr w:type="spellEnd"/>
      <w:r>
        <w:rPr>
          <w:rFonts w:cs="Times New Roman"/>
          <w:szCs w:val="24"/>
        </w:rPr>
        <w:t xml:space="preserve"> Moreno (Monte Plata)</w:t>
      </w:r>
    </w:p>
    <w:p w14:paraId="04291FD8" w14:textId="77777777" w:rsidR="001C19EC" w:rsidRPr="00440FC7" w:rsidRDefault="001C19EC" w:rsidP="00951609">
      <w:pPr>
        <w:pStyle w:val="Prrafodelista"/>
        <w:numPr>
          <w:ilvl w:val="0"/>
          <w:numId w:val="4"/>
        </w:numPr>
        <w:spacing w:line="480" w:lineRule="auto"/>
        <w:jc w:val="both"/>
        <w:rPr>
          <w:rFonts w:cs="Times New Roman"/>
          <w:szCs w:val="24"/>
        </w:rPr>
      </w:pPr>
      <w:r>
        <w:rPr>
          <w:rFonts w:cs="Times New Roman"/>
          <w:szCs w:val="24"/>
        </w:rPr>
        <w:t>Joel Antonio López (Bonao)</w:t>
      </w:r>
    </w:p>
    <w:p w14:paraId="38B74B5B"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Jorge Herrera Rondón (El Seibo)</w:t>
      </w:r>
    </w:p>
    <w:p w14:paraId="6AD2AA23"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José Núñez Ledesma (Santiago)</w:t>
      </w:r>
    </w:p>
    <w:p w14:paraId="2ED5F6E1"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Juan Mateo </w:t>
      </w:r>
      <w:proofErr w:type="spellStart"/>
      <w:r>
        <w:rPr>
          <w:rFonts w:cs="Times New Roman"/>
          <w:szCs w:val="24"/>
        </w:rPr>
        <w:t>Ciprián</w:t>
      </w:r>
      <w:proofErr w:type="spellEnd"/>
      <w:r>
        <w:rPr>
          <w:rFonts w:cs="Times New Roman"/>
          <w:szCs w:val="24"/>
        </w:rPr>
        <w:t xml:space="preserve"> (María Trinidad Sánchez)</w:t>
      </w:r>
    </w:p>
    <w:p w14:paraId="616CDA72"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Juana María Hernández </w:t>
      </w:r>
      <w:proofErr w:type="spellStart"/>
      <w:r>
        <w:rPr>
          <w:rFonts w:cs="Times New Roman"/>
          <w:szCs w:val="24"/>
        </w:rPr>
        <w:t>Tavárez</w:t>
      </w:r>
      <w:proofErr w:type="spellEnd"/>
      <w:r>
        <w:rPr>
          <w:rFonts w:cs="Times New Roman"/>
          <w:szCs w:val="24"/>
        </w:rPr>
        <w:t xml:space="preserve"> (Sánchez Ramírez)</w:t>
      </w:r>
    </w:p>
    <w:p w14:paraId="280536E9"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Marggie</w:t>
      </w:r>
      <w:proofErr w:type="spellEnd"/>
      <w:r>
        <w:rPr>
          <w:rFonts w:cs="Times New Roman"/>
          <w:szCs w:val="24"/>
        </w:rPr>
        <w:t xml:space="preserve"> Viloria Caraballo (Las Matas de Farfán)</w:t>
      </w:r>
    </w:p>
    <w:p w14:paraId="6B1846E8"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Marleni</w:t>
      </w:r>
      <w:proofErr w:type="spellEnd"/>
      <w:r>
        <w:rPr>
          <w:rFonts w:cs="Times New Roman"/>
          <w:szCs w:val="24"/>
        </w:rPr>
        <w:t xml:space="preserve"> Guante Barona (Hato Mayor)</w:t>
      </w:r>
    </w:p>
    <w:p w14:paraId="1D653050"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Miguel Collado Marte (Constanza)</w:t>
      </w:r>
    </w:p>
    <w:p w14:paraId="4DFB349E"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Milcíades</w:t>
      </w:r>
      <w:proofErr w:type="spellEnd"/>
      <w:r>
        <w:rPr>
          <w:rFonts w:cs="Times New Roman"/>
          <w:szCs w:val="24"/>
        </w:rPr>
        <w:t xml:space="preserve"> Guzmán Leonardo (Santo Domingo Este)</w:t>
      </w:r>
    </w:p>
    <w:p w14:paraId="391E7D25"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Nafys</w:t>
      </w:r>
      <w:proofErr w:type="spellEnd"/>
      <w:r>
        <w:rPr>
          <w:rFonts w:cs="Times New Roman"/>
          <w:szCs w:val="24"/>
        </w:rPr>
        <w:t xml:space="preserve"> Rivas Matos (Pedernales)</w:t>
      </w:r>
    </w:p>
    <w:p w14:paraId="61B3D5EC"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Nelson Rodríguez González (Valverde)</w:t>
      </w:r>
    </w:p>
    <w:p w14:paraId="4B22A4A3"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 xml:space="preserve">Osvaldo Antonio Bonilla </w:t>
      </w:r>
      <w:proofErr w:type="spellStart"/>
      <w:r>
        <w:rPr>
          <w:rFonts w:cs="Times New Roman"/>
          <w:szCs w:val="24"/>
        </w:rPr>
        <w:t>Hiraldo</w:t>
      </w:r>
      <w:proofErr w:type="spellEnd"/>
      <w:r>
        <w:rPr>
          <w:rFonts w:cs="Times New Roman"/>
          <w:szCs w:val="24"/>
        </w:rPr>
        <w:t xml:space="preserve"> (Puerto Plata)</w:t>
      </w:r>
    </w:p>
    <w:p w14:paraId="0B12DC42" w14:textId="77777777" w:rsidR="001C19EC" w:rsidRDefault="001C19EC" w:rsidP="00951609">
      <w:pPr>
        <w:pStyle w:val="Prrafodelista"/>
        <w:numPr>
          <w:ilvl w:val="0"/>
          <w:numId w:val="4"/>
        </w:numPr>
        <w:spacing w:line="480" w:lineRule="auto"/>
        <w:jc w:val="both"/>
        <w:rPr>
          <w:rFonts w:cs="Times New Roman"/>
          <w:szCs w:val="24"/>
        </w:rPr>
      </w:pPr>
      <w:proofErr w:type="spellStart"/>
      <w:r w:rsidRPr="009449C3">
        <w:rPr>
          <w:rFonts w:cs="Times New Roman"/>
          <w:szCs w:val="24"/>
        </w:rPr>
        <w:t>Smaily</w:t>
      </w:r>
      <w:proofErr w:type="spellEnd"/>
      <w:r w:rsidRPr="009449C3">
        <w:rPr>
          <w:rFonts w:cs="Times New Roman"/>
          <w:szCs w:val="24"/>
        </w:rPr>
        <w:t xml:space="preserve"> </w:t>
      </w:r>
      <w:proofErr w:type="spellStart"/>
      <w:r w:rsidRPr="009449C3">
        <w:rPr>
          <w:rFonts w:cs="Times New Roman"/>
          <w:szCs w:val="24"/>
        </w:rPr>
        <w:t>Yamel</w:t>
      </w:r>
      <w:proofErr w:type="spellEnd"/>
      <w:r w:rsidRPr="009449C3">
        <w:rPr>
          <w:rFonts w:cs="Times New Roman"/>
          <w:szCs w:val="24"/>
        </w:rPr>
        <w:t xml:space="preserve"> Rodríguez</w:t>
      </w:r>
      <w:r>
        <w:rPr>
          <w:rFonts w:cs="Times New Roman"/>
          <w:szCs w:val="24"/>
        </w:rPr>
        <w:t xml:space="preserve"> (San Francisco de Macorís)</w:t>
      </w:r>
    </w:p>
    <w:p w14:paraId="6D9877B0"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Ramil</w:t>
      </w:r>
      <w:proofErr w:type="spellEnd"/>
      <w:r>
        <w:rPr>
          <w:rFonts w:cs="Times New Roman"/>
          <w:szCs w:val="24"/>
        </w:rPr>
        <w:t xml:space="preserve"> Cadete Pérez (Elías Piña)</w:t>
      </w:r>
    </w:p>
    <w:p w14:paraId="0D347F1F"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Reina Rodríguez Cedeño (La Romana)</w:t>
      </w:r>
    </w:p>
    <w:p w14:paraId="31FD7632"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Rosalba Ramos Castillo (Distrito Nacional)</w:t>
      </w:r>
    </w:p>
    <w:p w14:paraId="63AC1CE6"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Smaily</w:t>
      </w:r>
      <w:proofErr w:type="spellEnd"/>
      <w:r>
        <w:rPr>
          <w:rFonts w:cs="Times New Roman"/>
          <w:szCs w:val="24"/>
        </w:rPr>
        <w:t xml:space="preserve"> Rodríguez </w:t>
      </w:r>
      <w:proofErr w:type="spellStart"/>
      <w:r>
        <w:rPr>
          <w:rFonts w:cs="Times New Roman"/>
          <w:szCs w:val="24"/>
        </w:rPr>
        <w:t>Rodríguez</w:t>
      </w:r>
      <w:proofErr w:type="spellEnd"/>
      <w:r>
        <w:rPr>
          <w:rFonts w:cs="Times New Roman"/>
          <w:szCs w:val="24"/>
        </w:rPr>
        <w:t xml:space="preserve"> (Duarte)</w:t>
      </w:r>
    </w:p>
    <w:p w14:paraId="5CDDA15C"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Soni</w:t>
      </w:r>
      <w:proofErr w:type="spellEnd"/>
      <w:r>
        <w:rPr>
          <w:rFonts w:cs="Times New Roman"/>
          <w:szCs w:val="24"/>
        </w:rPr>
        <w:t xml:space="preserve"> Rosario José (Independencia)</w:t>
      </w:r>
    </w:p>
    <w:p w14:paraId="3D841F4A"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lastRenderedPageBreak/>
        <w:t>Sumaya</w:t>
      </w:r>
      <w:proofErr w:type="spellEnd"/>
      <w:r>
        <w:rPr>
          <w:rFonts w:cs="Times New Roman"/>
          <w:szCs w:val="24"/>
        </w:rPr>
        <w:t xml:space="preserve"> Rodríguez Matías (Santiago Rodríguez)</w:t>
      </w:r>
    </w:p>
    <w:p w14:paraId="10B11DB2"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Yeisin</w:t>
      </w:r>
      <w:proofErr w:type="spellEnd"/>
      <w:r>
        <w:rPr>
          <w:rFonts w:cs="Times New Roman"/>
          <w:szCs w:val="24"/>
        </w:rPr>
        <w:t xml:space="preserve"> Alcántara </w:t>
      </w:r>
      <w:proofErr w:type="spellStart"/>
      <w:r>
        <w:rPr>
          <w:rFonts w:cs="Times New Roman"/>
          <w:szCs w:val="24"/>
        </w:rPr>
        <w:t>Ciprián</w:t>
      </w:r>
      <w:proofErr w:type="spellEnd"/>
      <w:r>
        <w:rPr>
          <w:rFonts w:cs="Times New Roman"/>
          <w:szCs w:val="24"/>
        </w:rPr>
        <w:t xml:space="preserve"> (Dajabón)</w:t>
      </w:r>
    </w:p>
    <w:p w14:paraId="75CCF7E6" w14:textId="77777777" w:rsidR="001C19EC" w:rsidRDefault="001C19EC" w:rsidP="00951609">
      <w:pPr>
        <w:pStyle w:val="Prrafodelista"/>
        <w:numPr>
          <w:ilvl w:val="0"/>
          <w:numId w:val="4"/>
        </w:numPr>
        <w:spacing w:line="480" w:lineRule="auto"/>
        <w:jc w:val="both"/>
        <w:rPr>
          <w:rFonts w:cs="Times New Roman"/>
          <w:szCs w:val="24"/>
        </w:rPr>
      </w:pPr>
      <w:proofErr w:type="spellStart"/>
      <w:r>
        <w:rPr>
          <w:rFonts w:cs="Times New Roman"/>
          <w:szCs w:val="24"/>
        </w:rPr>
        <w:t>Yorelbin</w:t>
      </w:r>
      <w:proofErr w:type="spellEnd"/>
      <w:r>
        <w:rPr>
          <w:rFonts w:cs="Times New Roman"/>
          <w:szCs w:val="24"/>
        </w:rPr>
        <w:t xml:space="preserve"> Rivas Ferreras (Espaillat)</w:t>
      </w:r>
    </w:p>
    <w:p w14:paraId="534F2246" w14:textId="77777777" w:rsidR="001C19EC" w:rsidRDefault="001C19EC" w:rsidP="00951609">
      <w:pPr>
        <w:pStyle w:val="Prrafodelista"/>
        <w:numPr>
          <w:ilvl w:val="0"/>
          <w:numId w:val="4"/>
        </w:numPr>
        <w:spacing w:line="480" w:lineRule="auto"/>
        <w:jc w:val="both"/>
        <w:rPr>
          <w:rFonts w:cs="Times New Roman"/>
          <w:szCs w:val="24"/>
        </w:rPr>
      </w:pPr>
      <w:r>
        <w:rPr>
          <w:rFonts w:cs="Times New Roman"/>
          <w:szCs w:val="24"/>
        </w:rPr>
        <w:t>Wellington Matos Espinal (Barahona)</w:t>
      </w:r>
    </w:p>
    <w:p w14:paraId="1DE2AAAD" w14:textId="77777777" w:rsidR="001C19EC" w:rsidRDefault="001C19EC" w:rsidP="001C19EC">
      <w:pPr>
        <w:spacing w:line="480" w:lineRule="auto"/>
        <w:jc w:val="both"/>
        <w:rPr>
          <w:rFonts w:cs="Times New Roman"/>
          <w:b/>
          <w:szCs w:val="24"/>
        </w:rPr>
      </w:pPr>
      <w:r w:rsidRPr="004A514C">
        <w:rPr>
          <w:rFonts w:cs="Times New Roman"/>
          <w:b/>
          <w:szCs w:val="24"/>
        </w:rPr>
        <w:t>Titulares Órganos Operativos</w:t>
      </w:r>
    </w:p>
    <w:p w14:paraId="1BBA811F"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Fernando Quezada (Procurador Adjunto al Procurador General de la República/ Dirección General de Persecución del Ministerio Público)</w:t>
      </w:r>
    </w:p>
    <w:p w14:paraId="5CF846AB"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Víctor Lora (Dirección General de Carrera del Ministerio Público)</w:t>
      </w:r>
    </w:p>
    <w:p w14:paraId="3BBC081B" w14:textId="77777777" w:rsidR="001C19EC" w:rsidRDefault="001C19EC" w:rsidP="00951609">
      <w:pPr>
        <w:pStyle w:val="Prrafodelista"/>
        <w:numPr>
          <w:ilvl w:val="0"/>
          <w:numId w:val="3"/>
        </w:numPr>
        <w:spacing w:line="480" w:lineRule="auto"/>
        <w:rPr>
          <w:rFonts w:cs="Times New Roman"/>
          <w:szCs w:val="24"/>
        </w:rPr>
      </w:pPr>
      <w:proofErr w:type="spellStart"/>
      <w:r>
        <w:rPr>
          <w:rFonts w:cs="Times New Roman"/>
          <w:szCs w:val="24"/>
        </w:rPr>
        <w:t>Jonnathan</w:t>
      </w:r>
      <w:proofErr w:type="spellEnd"/>
      <w:r>
        <w:rPr>
          <w:rFonts w:cs="Times New Roman"/>
          <w:szCs w:val="24"/>
        </w:rPr>
        <w:t xml:space="preserve"> Rodríguez Imbert (Dirección General Administrativa del Ministerio Público)</w:t>
      </w:r>
    </w:p>
    <w:p w14:paraId="378FC28F"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 xml:space="preserve">Gladys Ester Sánchez </w:t>
      </w:r>
      <w:proofErr w:type="spellStart"/>
      <w:r>
        <w:rPr>
          <w:rFonts w:cs="Times New Roman"/>
          <w:szCs w:val="24"/>
        </w:rPr>
        <w:t>Richiez</w:t>
      </w:r>
      <w:proofErr w:type="spellEnd"/>
      <w:r>
        <w:rPr>
          <w:rFonts w:cs="Times New Roman"/>
          <w:szCs w:val="24"/>
        </w:rPr>
        <w:t xml:space="preserve"> (Escuela Nacional del Ministerio Público)</w:t>
      </w:r>
    </w:p>
    <w:p w14:paraId="2127BE1E" w14:textId="77777777" w:rsidR="001C19EC" w:rsidRPr="005E266B" w:rsidRDefault="001C19EC" w:rsidP="001C19EC">
      <w:pPr>
        <w:spacing w:line="480" w:lineRule="auto"/>
        <w:jc w:val="both"/>
        <w:rPr>
          <w:rFonts w:cs="Times New Roman"/>
          <w:b/>
          <w:szCs w:val="24"/>
        </w:rPr>
      </w:pPr>
      <w:r>
        <w:rPr>
          <w:rFonts w:cs="Times New Roman"/>
          <w:b/>
          <w:szCs w:val="24"/>
        </w:rPr>
        <w:t>Titulares de o</w:t>
      </w:r>
      <w:r w:rsidRPr="005E266B">
        <w:rPr>
          <w:rFonts w:cs="Times New Roman"/>
          <w:b/>
          <w:szCs w:val="24"/>
        </w:rPr>
        <w:t>tras dependencias</w:t>
      </w:r>
    </w:p>
    <w:p w14:paraId="0CB55A65" w14:textId="77777777" w:rsidR="001C19EC" w:rsidRDefault="001C19EC" w:rsidP="00951609">
      <w:pPr>
        <w:pStyle w:val="Prrafodelista"/>
        <w:numPr>
          <w:ilvl w:val="0"/>
          <w:numId w:val="3"/>
        </w:numPr>
        <w:spacing w:line="480" w:lineRule="auto"/>
        <w:rPr>
          <w:rFonts w:cs="Times New Roman"/>
          <w:szCs w:val="24"/>
        </w:rPr>
      </w:pPr>
      <w:r>
        <w:rPr>
          <w:rFonts w:cs="Times New Roman"/>
          <w:szCs w:val="24"/>
        </w:rPr>
        <w:t xml:space="preserve">Gral. </w:t>
      </w:r>
      <w:r w:rsidRPr="005C0E1E">
        <w:rPr>
          <w:rFonts w:cs="Times New Roman"/>
          <w:szCs w:val="24"/>
        </w:rPr>
        <w:t>Tomás Holguín La Paz</w:t>
      </w:r>
      <w:r>
        <w:rPr>
          <w:rFonts w:cs="Times New Roman"/>
          <w:szCs w:val="24"/>
        </w:rPr>
        <w:t xml:space="preserve"> (</w:t>
      </w:r>
      <w:r w:rsidRPr="00CE24C7">
        <w:rPr>
          <w:rFonts w:cs="Times New Roman"/>
          <w:szCs w:val="24"/>
        </w:rPr>
        <w:t>Dirección General de Prisiones</w:t>
      </w:r>
      <w:r>
        <w:rPr>
          <w:rFonts w:cs="Times New Roman"/>
          <w:szCs w:val="24"/>
        </w:rPr>
        <w:t>)</w:t>
      </w:r>
    </w:p>
    <w:p w14:paraId="245991D6" w14:textId="77777777" w:rsidR="001C19EC" w:rsidRDefault="001C19EC" w:rsidP="00951609">
      <w:pPr>
        <w:pStyle w:val="Prrafodelista"/>
        <w:numPr>
          <w:ilvl w:val="0"/>
          <w:numId w:val="3"/>
        </w:numPr>
        <w:spacing w:line="480" w:lineRule="auto"/>
        <w:rPr>
          <w:rFonts w:cs="Times New Roman"/>
          <w:szCs w:val="24"/>
        </w:rPr>
      </w:pPr>
      <w:proofErr w:type="spellStart"/>
      <w:r>
        <w:rPr>
          <w:rFonts w:cs="Times New Roman"/>
          <w:szCs w:val="24"/>
        </w:rPr>
        <w:t>Ysmael</w:t>
      </w:r>
      <w:proofErr w:type="spellEnd"/>
      <w:r>
        <w:rPr>
          <w:rFonts w:cs="Times New Roman"/>
          <w:szCs w:val="24"/>
        </w:rPr>
        <w:t xml:space="preserve"> Paniagua (</w:t>
      </w:r>
      <w:r w:rsidRPr="00CE24C7">
        <w:rPr>
          <w:rFonts w:cs="Times New Roman"/>
          <w:szCs w:val="24"/>
        </w:rPr>
        <w:t>Modelo de Gestión Penitenciario</w:t>
      </w:r>
      <w:r>
        <w:rPr>
          <w:rFonts w:cs="Times New Roman"/>
          <w:szCs w:val="24"/>
        </w:rPr>
        <w:t>)</w:t>
      </w:r>
    </w:p>
    <w:p w14:paraId="1B3C7A9D" w14:textId="77777777" w:rsidR="001C19EC" w:rsidRPr="0007616B" w:rsidRDefault="001C19EC" w:rsidP="00951609">
      <w:pPr>
        <w:pStyle w:val="Prrafodelista"/>
        <w:numPr>
          <w:ilvl w:val="0"/>
          <w:numId w:val="3"/>
        </w:numPr>
        <w:spacing w:line="480" w:lineRule="auto"/>
        <w:rPr>
          <w:rFonts w:cs="Times New Roman"/>
          <w:szCs w:val="24"/>
        </w:rPr>
      </w:pPr>
      <w:r w:rsidRPr="005E266B">
        <w:rPr>
          <w:rFonts w:cs="Times New Roman"/>
          <w:szCs w:val="24"/>
        </w:rPr>
        <w:t xml:space="preserve">Francisco Manuel </w:t>
      </w:r>
      <w:proofErr w:type="spellStart"/>
      <w:r w:rsidRPr="005E266B">
        <w:rPr>
          <w:rFonts w:cs="Times New Roman"/>
          <w:szCs w:val="24"/>
        </w:rPr>
        <w:t>Gerdo</w:t>
      </w:r>
      <w:proofErr w:type="spellEnd"/>
      <w:r w:rsidRPr="005E266B">
        <w:rPr>
          <w:rFonts w:cs="Times New Roman"/>
          <w:szCs w:val="24"/>
        </w:rPr>
        <w:t xml:space="preserve"> Rosales</w:t>
      </w:r>
      <w:r w:rsidRPr="00CE24C7">
        <w:rPr>
          <w:rFonts w:cs="Times New Roman"/>
          <w:szCs w:val="24"/>
        </w:rPr>
        <w:t xml:space="preserve"> </w:t>
      </w:r>
      <w:r>
        <w:rPr>
          <w:rFonts w:cs="Times New Roman"/>
          <w:szCs w:val="24"/>
        </w:rPr>
        <w:t>(</w:t>
      </w:r>
      <w:r w:rsidRPr="00CE24C7">
        <w:rPr>
          <w:rFonts w:cs="Times New Roman"/>
          <w:szCs w:val="24"/>
        </w:rPr>
        <w:t>Instituto Nacional de Ciencias Forenses</w:t>
      </w:r>
      <w:r>
        <w:rPr>
          <w:rFonts w:cs="Times New Roman"/>
          <w:szCs w:val="24"/>
        </w:rPr>
        <w:t>)</w:t>
      </w:r>
      <w:r w:rsidRPr="00CE24C7">
        <w:rPr>
          <w:rFonts w:cs="Times New Roman"/>
          <w:szCs w:val="24"/>
        </w:rPr>
        <w:t xml:space="preserve"> </w:t>
      </w:r>
    </w:p>
    <w:p w14:paraId="7A389187" w14:textId="77777777" w:rsidR="001C19EC" w:rsidRDefault="001C19EC" w:rsidP="001C19EC">
      <w:pPr>
        <w:rPr>
          <w:rFonts w:eastAsiaTheme="majorEastAsia" w:cstheme="majorBidi"/>
          <w:b/>
          <w:bCs/>
          <w:noProof/>
          <w:color w:val="262626" w:themeColor="text1" w:themeTint="D9"/>
          <w:spacing w:val="-4"/>
          <w:sz w:val="32"/>
          <w:szCs w:val="20"/>
          <w:lang w:val="es-ES" w:eastAsia="lv-LV"/>
        </w:rPr>
      </w:pPr>
      <w:r>
        <w:br w:type="page"/>
      </w:r>
    </w:p>
    <w:p w14:paraId="6733E698" w14:textId="77777777" w:rsidR="001C19EC" w:rsidRDefault="001C19EC" w:rsidP="00951609">
      <w:pPr>
        <w:pStyle w:val="Estilo7"/>
        <w:numPr>
          <w:ilvl w:val="1"/>
          <w:numId w:val="14"/>
        </w:numPr>
      </w:pPr>
      <w:bookmarkStart w:id="9" w:name="_Toc29577305"/>
      <w:bookmarkStart w:id="10" w:name="_Toc29891693"/>
      <w:r w:rsidRPr="006D1C20">
        <w:lastRenderedPageBreak/>
        <w:t>Base Legal:</w:t>
      </w:r>
      <w:bookmarkEnd w:id="9"/>
      <w:bookmarkEnd w:id="10"/>
    </w:p>
    <w:p w14:paraId="4BB8C638" w14:textId="77777777" w:rsidR="001C19EC" w:rsidRPr="006D1C20" w:rsidRDefault="001C19EC" w:rsidP="001C19EC">
      <w:pPr>
        <w:pStyle w:val="Estilo7"/>
        <w:numPr>
          <w:ilvl w:val="0"/>
          <w:numId w:val="0"/>
        </w:numPr>
        <w:ind w:left="1620"/>
      </w:pPr>
    </w:p>
    <w:p w14:paraId="4D224D7A" w14:textId="77777777" w:rsidR="001C19EC" w:rsidRDefault="001C19EC" w:rsidP="001C19EC">
      <w:pPr>
        <w:pStyle w:val="Prrafodelista"/>
        <w:numPr>
          <w:ilvl w:val="0"/>
          <w:numId w:val="1"/>
        </w:numPr>
        <w:spacing w:line="480" w:lineRule="auto"/>
        <w:ind w:left="426"/>
        <w:jc w:val="both"/>
        <w:rPr>
          <w:rFonts w:cs="Times New Roman"/>
          <w:szCs w:val="24"/>
        </w:rPr>
      </w:pPr>
      <w:r w:rsidRPr="00E730D4">
        <w:rPr>
          <w:rFonts w:cs="Times New Roman"/>
          <w:szCs w:val="24"/>
        </w:rPr>
        <w:t xml:space="preserve">Constitución Política de la República, </w:t>
      </w:r>
      <w:r w:rsidRPr="007C7B57">
        <w:rPr>
          <w:rFonts w:cs="Times New Roman"/>
          <w:szCs w:val="24"/>
        </w:rPr>
        <w:t>proclamada en fecha</w:t>
      </w:r>
      <w:r w:rsidRPr="00474517">
        <w:rPr>
          <w:rFonts w:cs="Times New Roman"/>
          <w:szCs w:val="24"/>
        </w:rPr>
        <w:t xml:space="preserve"> </w:t>
      </w:r>
      <w:r w:rsidRPr="0090578A">
        <w:rPr>
          <w:rFonts w:cs="Times New Roman"/>
          <w:szCs w:val="24"/>
        </w:rPr>
        <w:t xml:space="preserve">13 de junio de 2015, </w:t>
      </w:r>
      <w:r w:rsidRPr="001C2317">
        <w:rPr>
          <w:rFonts w:cs="Times New Roman"/>
          <w:szCs w:val="24"/>
        </w:rPr>
        <w:t>Gaceta Oficial No. 10805 del 10 de julio de 2015</w:t>
      </w:r>
      <w:r>
        <w:rPr>
          <w:rFonts w:cs="Times New Roman"/>
          <w:szCs w:val="24"/>
        </w:rPr>
        <w:t>.</w:t>
      </w:r>
    </w:p>
    <w:p w14:paraId="38032F9E" w14:textId="77777777" w:rsidR="001C19EC" w:rsidRDefault="001C19EC" w:rsidP="001C19EC">
      <w:pPr>
        <w:pStyle w:val="Prrafodelista"/>
        <w:numPr>
          <w:ilvl w:val="0"/>
          <w:numId w:val="1"/>
        </w:numPr>
        <w:spacing w:line="480" w:lineRule="auto"/>
        <w:ind w:left="426"/>
        <w:jc w:val="both"/>
        <w:rPr>
          <w:rFonts w:cs="Times New Roman"/>
          <w:szCs w:val="24"/>
        </w:rPr>
      </w:pPr>
      <w:r w:rsidRPr="00AD6C14">
        <w:rPr>
          <w:rFonts w:cs="Times New Roman"/>
          <w:szCs w:val="24"/>
        </w:rPr>
        <w:t>Ley No. 11-92, del 16 de mayo de 1992, Gaceta Oficial 9835, del Código Tributario de la República Dominicana</w:t>
      </w:r>
      <w:r>
        <w:rPr>
          <w:rFonts w:cs="Times New Roman"/>
          <w:szCs w:val="24"/>
        </w:rPr>
        <w:t>.</w:t>
      </w:r>
    </w:p>
    <w:p w14:paraId="6D468242" w14:textId="77777777" w:rsidR="001C19EC" w:rsidRDefault="001C19EC" w:rsidP="001C19EC">
      <w:pPr>
        <w:pStyle w:val="Prrafodelista"/>
        <w:numPr>
          <w:ilvl w:val="0"/>
          <w:numId w:val="1"/>
        </w:numPr>
        <w:spacing w:line="480" w:lineRule="auto"/>
        <w:ind w:left="426"/>
        <w:jc w:val="both"/>
        <w:rPr>
          <w:rFonts w:cs="Times New Roman"/>
          <w:szCs w:val="24"/>
        </w:rPr>
      </w:pPr>
      <w:r w:rsidRPr="00AD6C14">
        <w:rPr>
          <w:rFonts w:cs="Times New Roman"/>
          <w:szCs w:val="24"/>
        </w:rPr>
        <w:t>Ley No. 17-95, del 17 de diciembre de 1995: que modifica varios artículos de la Ley No. 50-88 sobre Drogas y Sustancias Controladas</w:t>
      </w:r>
      <w:r>
        <w:rPr>
          <w:rFonts w:cs="Times New Roman"/>
          <w:szCs w:val="24"/>
        </w:rPr>
        <w:t>.</w:t>
      </w:r>
    </w:p>
    <w:p w14:paraId="45001137"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2859, del 30 de abril de 1951, 6-0, Gaceta Oficial 7284</w:t>
      </w:r>
      <w:r>
        <w:rPr>
          <w:rFonts w:cs="Times New Roman"/>
          <w:szCs w:val="24"/>
        </w:rPr>
        <w:t>,</w:t>
      </w:r>
      <w:r w:rsidRPr="00BF21E4">
        <w:rPr>
          <w:rFonts w:cs="Times New Roman"/>
          <w:szCs w:val="24"/>
        </w:rPr>
        <w:t xml:space="preserve"> modificada por la Ley </w:t>
      </w:r>
      <w:r>
        <w:rPr>
          <w:rFonts w:cs="Times New Roman"/>
          <w:szCs w:val="24"/>
        </w:rPr>
        <w:t xml:space="preserve">No. </w:t>
      </w:r>
      <w:r w:rsidRPr="00BF21E4">
        <w:rPr>
          <w:rFonts w:cs="Times New Roman"/>
          <w:szCs w:val="24"/>
        </w:rPr>
        <w:t>62-00</w:t>
      </w:r>
      <w:r>
        <w:rPr>
          <w:rFonts w:cs="Times New Roman"/>
          <w:szCs w:val="24"/>
        </w:rPr>
        <w:t>,</w:t>
      </w:r>
      <w:r w:rsidRPr="00BF21E4">
        <w:rPr>
          <w:rFonts w:cs="Times New Roman"/>
          <w:szCs w:val="24"/>
        </w:rPr>
        <w:t xml:space="preserve"> del 3 de agosto del 2000</w:t>
      </w:r>
      <w:r>
        <w:rPr>
          <w:rFonts w:cs="Times New Roman"/>
          <w:szCs w:val="24"/>
        </w:rPr>
        <w:t>.</w:t>
      </w:r>
    </w:p>
    <w:p w14:paraId="2EA152E8"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64-00, del 18 de agosto del 2000, sobre Medio Ambiente y Recursos Naturales</w:t>
      </w:r>
      <w:r>
        <w:rPr>
          <w:rFonts w:cs="Times New Roman"/>
          <w:szCs w:val="24"/>
        </w:rPr>
        <w:t>.</w:t>
      </w:r>
    </w:p>
    <w:p w14:paraId="7DF665A5"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 xml:space="preserve">76-02, del 19 de julio de 2002, Código </w:t>
      </w:r>
      <w:r>
        <w:rPr>
          <w:rFonts w:cs="Times New Roman"/>
          <w:szCs w:val="24"/>
        </w:rPr>
        <w:t>Procesal</w:t>
      </w:r>
      <w:r w:rsidRPr="00BF21E4">
        <w:rPr>
          <w:rFonts w:cs="Times New Roman"/>
          <w:szCs w:val="24"/>
        </w:rPr>
        <w:t xml:space="preserve"> Penal</w:t>
      </w:r>
      <w:r>
        <w:rPr>
          <w:rFonts w:cs="Times New Roman"/>
          <w:szCs w:val="24"/>
        </w:rPr>
        <w:t>, y sus modificaciones.</w:t>
      </w:r>
    </w:p>
    <w:p w14:paraId="70A66333" w14:textId="77777777" w:rsidR="001C19EC" w:rsidRDefault="001C19EC" w:rsidP="001C19EC">
      <w:pPr>
        <w:pStyle w:val="Prrafodelista"/>
        <w:numPr>
          <w:ilvl w:val="0"/>
          <w:numId w:val="1"/>
        </w:numPr>
        <w:spacing w:line="480" w:lineRule="auto"/>
        <w:ind w:left="426"/>
        <w:jc w:val="both"/>
        <w:rPr>
          <w:rFonts w:cs="Times New Roman"/>
          <w:szCs w:val="24"/>
        </w:rPr>
      </w:pPr>
      <w:r>
        <w:rPr>
          <w:rFonts w:cs="Times New Roman"/>
          <w:szCs w:val="24"/>
        </w:rPr>
        <w:t>Ley No. 133-11 de fecha 7 de junio de 2011, Orgánica del Ministerio Público.</w:t>
      </w:r>
    </w:p>
    <w:p w14:paraId="3A3889E6" w14:textId="77777777" w:rsidR="001C19EC" w:rsidRDefault="001C19EC" w:rsidP="001C19EC">
      <w:pPr>
        <w:pStyle w:val="Prrafodelista"/>
        <w:numPr>
          <w:ilvl w:val="0"/>
          <w:numId w:val="1"/>
        </w:numPr>
        <w:spacing w:line="480" w:lineRule="auto"/>
        <w:ind w:left="426"/>
        <w:jc w:val="both"/>
        <w:rPr>
          <w:rFonts w:cs="Times New Roman"/>
          <w:szCs w:val="24"/>
        </w:rPr>
      </w:pPr>
      <w:r w:rsidRPr="0090578A">
        <w:rPr>
          <w:rFonts w:cs="Times New Roman"/>
          <w:szCs w:val="24"/>
        </w:rPr>
        <w:t xml:space="preserve">Ley </w:t>
      </w:r>
      <w:r>
        <w:rPr>
          <w:rFonts w:cs="Times New Roman"/>
          <w:szCs w:val="24"/>
        </w:rPr>
        <w:t xml:space="preserve">No. </w:t>
      </w:r>
      <w:r w:rsidRPr="0090578A">
        <w:rPr>
          <w:rFonts w:cs="Times New Roman"/>
          <w:szCs w:val="24"/>
        </w:rPr>
        <w:t>136-03, de fecha 7 de agosto de</w:t>
      </w:r>
      <w:r>
        <w:rPr>
          <w:rFonts w:cs="Times New Roman"/>
          <w:szCs w:val="24"/>
        </w:rPr>
        <w:t xml:space="preserve"> 2003, Código para el Sistema de</w:t>
      </w:r>
      <w:r w:rsidRPr="0090578A">
        <w:rPr>
          <w:rFonts w:cs="Times New Roman"/>
          <w:szCs w:val="24"/>
        </w:rPr>
        <w:t xml:space="preserve"> Protección y los Derechos Fundamentales de Niños, Niñas y Adolescentes</w:t>
      </w:r>
      <w:r>
        <w:rPr>
          <w:rFonts w:cs="Times New Roman"/>
          <w:szCs w:val="24"/>
        </w:rPr>
        <w:t>.</w:t>
      </w:r>
    </w:p>
    <w:p w14:paraId="260F0576"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200, del 25 de marzo de 1964, de Impedimentos de Salida</w:t>
      </w:r>
      <w:r>
        <w:rPr>
          <w:rFonts w:cs="Times New Roman"/>
          <w:szCs w:val="24"/>
        </w:rPr>
        <w:t>.</w:t>
      </w:r>
    </w:p>
    <w:p w14:paraId="29514F98" w14:textId="77777777" w:rsidR="001C19EC" w:rsidRDefault="001C19EC" w:rsidP="001C19EC">
      <w:pPr>
        <w:pStyle w:val="Prrafodelista"/>
        <w:numPr>
          <w:ilvl w:val="0"/>
          <w:numId w:val="1"/>
        </w:numPr>
        <w:spacing w:line="480" w:lineRule="auto"/>
        <w:ind w:left="426"/>
        <w:jc w:val="both"/>
        <w:rPr>
          <w:rFonts w:cs="Times New Roman"/>
          <w:szCs w:val="24"/>
        </w:rPr>
      </w:pPr>
      <w:r w:rsidRPr="00AD6C14">
        <w:rPr>
          <w:rFonts w:cs="Times New Roman"/>
          <w:szCs w:val="24"/>
        </w:rPr>
        <w:t>Ley No. 223 y Ley No. 224, del 26 de junio de 1984, Gaceta Oficial 9640, que establece el Régimen Penitenciario</w:t>
      </w:r>
      <w:r>
        <w:rPr>
          <w:rFonts w:cs="Times New Roman"/>
          <w:szCs w:val="24"/>
        </w:rPr>
        <w:t>.</w:t>
      </w:r>
    </w:p>
    <w:p w14:paraId="2F6737E3" w14:textId="77777777" w:rsidR="001C19EC" w:rsidRDefault="001C19EC" w:rsidP="001C19EC">
      <w:pPr>
        <w:pStyle w:val="Prrafodelista"/>
        <w:numPr>
          <w:ilvl w:val="0"/>
          <w:numId w:val="1"/>
        </w:numPr>
        <w:spacing w:line="480" w:lineRule="auto"/>
        <w:ind w:left="426"/>
        <w:jc w:val="both"/>
        <w:rPr>
          <w:rFonts w:cs="Times New Roman"/>
          <w:szCs w:val="24"/>
        </w:rPr>
      </w:pPr>
      <w:r w:rsidRPr="00AD6C14">
        <w:rPr>
          <w:rFonts w:cs="Times New Roman"/>
          <w:szCs w:val="24"/>
        </w:rPr>
        <w:t>Ley No. 341-98, que deroga la Ley No. 5439, sobre Libertad Provisional Bajo Fianza</w:t>
      </w:r>
      <w:r>
        <w:rPr>
          <w:rFonts w:cs="Times New Roman"/>
          <w:szCs w:val="24"/>
        </w:rPr>
        <w:t>.</w:t>
      </w:r>
    </w:p>
    <w:p w14:paraId="25D7C5C0"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342-98, que modifica varios artículos del Código de Procedimiento Criminal</w:t>
      </w:r>
      <w:r>
        <w:rPr>
          <w:rFonts w:cs="Times New Roman"/>
          <w:szCs w:val="24"/>
        </w:rPr>
        <w:t>.</w:t>
      </w:r>
    </w:p>
    <w:p w14:paraId="61CA18C3"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 xml:space="preserve">Ley </w:t>
      </w:r>
      <w:r>
        <w:rPr>
          <w:rFonts w:cs="Times New Roman"/>
          <w:szCs w:val="24"/>
        </w:rPr>
        <w:t xml:space="preserve">No. </w:t>
      </w:r>
      <w:r w:rsidRPr="00BF21E4">
        <w:rPr>
          <w:rFonts w:cs="Times New Roman"/>
          <w:szCs w:val="24"/>
        </w:rPr>
        <w:t>344-98, que establece sanciones a las organizaciones de viajes ilegales.</w:t>
      </w:r>
    </w:p>
    <w:p w14:paraId="2124CBA8" w14:textId="77777777" w:rsidR="001C19EC" w:rsidRPr="00E773FB" w:rsidRDefault="001C19EC" w:rsidP="001C19EC">
      <w:pPr>
        <w:pStyle w:val="Prrafodelista"/>
        <w:numPr>
          <w:ilvl w:val="0"/>
          <w:numId w:val="1"/>
        </w:numPr>
        <w:spacing w:line="480" w:lineRule="auto"/>
        <w:ind w:left="426"/>
        <w:jc w:val="both"/>
        <w:rPr>
          <w:rFonts w:cs="Times New Roman"/>
          <w:szCs w:val="24"/>
        </w:rPr>
      </w:pPr>
      <w:r w:rsidRPr="009449C3">
        <w:rPr>
          <w:rFonts w:cs="Times New Roman"/>
          <w:szCs w:val="24"/>
        </w:rPr>
        <w:t xml:space="preserve">Ley No. </w:t>
      </w:r>
      <w:r w:rsidRPr="00E773FB">
        <w:rPr>
          <w:rFonts w:cs="Times New Roman"/>
          <w:szCs w:val="24"/>
        </w:rPr>
        <w:t>1822, del 16 de octubre de 1948, Gaceta Oficial 6847, sobre sustitución de los miembros del Ministerio Público.</w:t>
      </w:r>
    </w:p>
    <w:p w14:paraId="1BA5A534" w14:textId="77777777" w:rsidR="001C19EC" w:rsidRPr="009449C3" w:rsidRDefault="001C19EC" w:rsidP="001C19EC">
      <w:pPr>
        <w:pStyle w:val="Prrafodelista"/>
        <w:numPr>
          <w:ilvl w:val="0"/>
          <w:numId w:val="1"/>
        </w:numPr>
        <w:spacing w:line="480" w:lineRule="auto"/>
        <w:ind w:left="426"/>
        <w:jc w:val="both"/>
        <w:rPr>
          <w:rFonts w:cs="Times New Roman"/>
          <w:szCs w:val="24"/>
        </w:rPr>
      </w:pPr>
      <w:r w:rsidRPr="009449C3">
        <w:rPr>
          <w:rFonts w:cs="Times New Roman"/>
          <w:szCs w:val="24"/>
        </w:rPr>
        <w:lastRenderedPageBreak/>
        <w:t xml:space="preserve">Ley No. </w:t>
      </w:r>
      <w:r w:rsidRPr="00E773FB">
        <w:rPr>
          <w:rFonts w:cs="Times New Roman"/>
          <w:szCs w:val="24"/>
        </w:rPr>
        <w:t xml:space="preserve">3726, del 29 de diciembre de 1953, sobre Procedimientos de Casación y sus modificaciones. </w:t>
      </w:r>
    </w:p>
    <w:p w14:paraId="3CBF8612" w14:textId="77777777" w:rsidR="001C19EC" w:rsidRPr="00BF21E4" w:rsidRDefault="001C19EC" w:rsidP="001C19EC">
      <w:pPr>
        <w:pStyle w:val="Prrafodelista"/>
        <w:numPr>
          <w:ilvl w:val="0"/>
          <w:numId w:val="1"/>
        </w:numPr>
        <w:spacing w:line="480" w:lineRule="auto"/>
        <w:ind w:left="426"/>
        <w:jc w:val="both"/>
      </w:pPr>
      <w:r w:rsidRPr="00BF21E4">
        <w:rPr>
          <w:rFonts w:cs="Times New Roman"/>
          <w:szCs w:val="24"/>
        </w:rPr>
        <w:t xml:space="preserve">Ley de Organización Judicial </w:t>
      </w:r>
      <w:r>
        <w:rPr>
          <w:rFonts w:cs="Times New Roman"/>
          <w:szCs w:val="24"/>
        </w:rPr>
        <w:t xml:space="preserve">No. </w:t>
      </w:r>
      <w:r w:rsidRPr="00BF21E4">
        <w:rPr>
          <w:rFonts w:cs="Times New Roman"/>
          <w:szCs w:val="24"/>
        </w:rPr>
        <w:t>821, del 21 de noviembre de 1927 (Artículos 31 y 61), Gaceta Oficial 3921</w:t>
      </w:r>
      <w:r>
        <w:rPr>
          <w:rFonts w:cs="Times New Roman"/>
          <w:szCs w:val="24"/>
        </w:rPr>
        <w:t>.</w:t>
      </w:r>
    </w:p>
    <w:p w14:paraId="1A8733A3" w14:textId="77777777" w:rsidR="001C19EC"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Decreto 322-97, del 24 de julio de 1997, que crea el Departamento de Prevención de la Corrupción Administrativa (DPCA)</w:t>
      </w:r>
      <w:r w:rsidRPr="00E773FB">
        <w:rPr>
          <w:rFonts w:cs="Times New Roman"/>
          <w:szCs w:val="24"/>
        </w:rPr>
        <w:t>.</w:t>
      </w:r>
    </w:p>
    <w:p w14:paraId="4FD4B88C" w14:textId="77777777" w:rsidR="001C19EC" w:rsidRDefault="001C19EC" w:rsidP="001C19EC">
      <w:pPr>
        <w:pStyle w:val="Prrafodelista"/>
        <w:numPr>
          <w:ilvl w:val="0"/>
          <w:numId w:val="1"/>
        </w:numPr>
        <w:spacing w:line="480" w:lineRule="auto"/>
        <w:ind w:left="426"/>
        <w:jc w:val="both"/>
        <w:rPr>
          <w:rFonts w:cs="Times New Roman"/>
          <w:szCs w:val="24"/>
        </w:rPr>
      </w:pPr>
      <w:r w:rsidRPr="00AD6C14">
        <w:rPr>
          <w:rFonts w:cs="Times New Roman"/>
          <w:szCs w:val="24"/>
        </w:rPr>
        <w:t>Decreto 4807, del 16 de mayo del 1959, sobre Control de Alquileres de Casas y Desahucios</w:t>
      </w:r>
    </w:p>
    <w:p w14:paraId="2EB8C5E0" w14:textId="77777777" w:rsidR="001C19EC" w:rsidRPr="00E773FB" w:rsidRDefault="001C19EC" w:rsidP="001C19EC">
      <w:pPr>
        <w:pStyle w:val="Prrafodelista"/>
        <w:numPr>
          <w:ilvl w:val="0"/>
          <w:numId w:val="1"/>
        </w:numPr>
        <w:spacing w:line="480" w:lineRule="auto"/>
        <w:ind w:left="426"/>
        <w:jc w:val="both"/>
        <w:rPr>
          <w:rFonts w:cs="Times New Roman"/>
          <w:szCs w:val="24"/>
        </w:rPr>
      </w:pPr>
      <w:r w:rsidRPr="00BF21E4">
        <w:rPr>
          <w:rFonts w:cs="Times New Roman"/>
          <w:szCs w:val="24"/>
        </w:rPr>
        <w:t>Decreto 6943, del 22 de julio del 1961, que modifica el Artículo 26 del Decreto 4807.</w:t>
      </w:r>
    </w:p>
    <w:p w14:paraId="018BF540" w14:textId="77777777" w:rsidR="001C19EC" w:rsidRDefault="001C19EC" w:rsidP="001C19EC">
      <w:pPr>
        <w:spacing w:line="480" w:lineRule="auto"/>
        <w:jc w:val="both"/>
        <w:rPr>
          <w:rFonts w:cs="Times New Roman"/>
          <w:szCs w:val="24"/>
        </w:rPr>
      </w:pPr>
    </w:p>
    <w:p w14:paraId="714C47AD" w14:textId="77777777" w:rsidR="001C19EC" w:rsidRDefault="001C19EC" w:rsidP="001C19EC">
      <w:pPr>
        <w:rPr>
          <w:rFonts w:eastAsiaTheme="majorEastAsia" w:cstheme="majorBidi"/>
          <w:b/>
          <w:bCs/>
          <w:noProof/>
          <w:color w:val="262626" w:themeColor="text1" w:themeTint="D9"/>
          <w:spacing w:val="-4"/>
          <w:sz w:val="32"/>
          <w:szCs w:val="20"/>
          <w:lang w:val="es-ES" w:eastAsia="lv-LV"/>
        </w:rPr>
      </w:pPr>
      <w:r>
        <w:br w:type="page"/>
      </w:r>
    </w:p>
    <w:p w14:paraId="1666B73B" w14:textId="77777777" w:rsidR="001C19EC" w:rsidRDefault="001C19EC" w:rsidP="006E3190">
      <w:pPr>
        <w:pStyle w:val="Estilo7"/>
      </w:pPr>
      <w:bookmarkStart w:id="11" w:name="_Toc29577306"/>
      <w:bookmarkStart w:id="12" w:name="_Toc29891694"/>
      <w:r>
        <w:lastRenderedPageBreak/>
        <w:t>RESULTADOS DE LA GESTIÓN</w:t>
      </w:r>
      <w:bookmarkEnd w:id="11"/>
      <w:bookmarkEnd w:id="12"/>
      <w:r>
        <w:t xml:space="preserve"> </w:t>
      </w:r>
    </w:p>
    <w:p w14:paraId="1392586C" w14:textId="77777777" w:rsidR="006E3190" w:rsidRDefault="006E3190" w:rsidP="006E3190">
      <w:pPr>
        <w:pStyle w:val="Estilo7"/>
        <w:numPr>
          <w:ilvl w:val="0"/>
          <w:numId w:val="0"/>
        </w:numPr>
        <w:ind w:left="900"/>
      </w:pPr>
    </w:p>
    <w:p w14:paraId="7D90095A" w14:textId="77777777" w:rsidR="001C19EC" w:rsidRDefault="001C19EC" w:rsidP="001C19EC">
      <w:pPr>
        <w:spacing w:line="480" w:lineRule="auto"/>
        <w:ind w:firstLine="708"/>
        <w:jc w:val="both"/>
        <w:rPr>
          <w:rFonts w:cs="Times New Roman"/>
          <w:szCs w:val="24"/>
        </w:rPr>
      </w:pPr>
      <w:r w:rsidRPr="00041135">
        <w:rPr>
          <w:rFonts w:cs="Times New Roman"/>
          <w:szCs w:val="24"/>
        </w:rPr>
        <w:t>La Procuraduría General de la República (PGR)</w:t>
      </w:r>
      <w:r>
        <w:rPr>
          <w:rFonts w:cs="Times New Roman"/>
          <w:szCs w:val="24"/>
        </w:rPr>
        <w:t xml:space="preserve"> desarrolló durante el año 2019 un conjunto de planes, programas y actividades, con el objetivo de garantizar la institucionalidad, la transparencia y el buen uso de los recursos públicos puestos a su disposición.</w:t>
      </w:r>
    </w:p>
    <w:p w14:paraId="19C3C75F" w14:textId="77777777" w:rsidR="001C19EC" w:rsidRDefault="001C19EC" w:rsidP="001C19EC">
      <w:pPr>
        <w:spacing w:line="480" w:lineRule="auto"/>
        <w:ind w:firstLine="708"/>
        <w:jc w:val="both"/>
        <w:rPr>
          <w:rFonts w:cs="Times New Roman"/>
          <w:szCs w:val="24"/>
        </w:rPr>
      </w:pPr>
      <w:r>
        <w:rPr>
          <w:rFonts w:cs="Times New Roman"/>
          <w:szCs w:val="24"/>
        </w:rPr>
        <w:t>El Plan Estratégico de la PGR 2016-2020, fue estructurado en base a cuatro Ejes Estratégicos: Lucha Contra la Criminalidad, Sistema Penitenciario, Servicio al Ciudadano y Fortalecimiento Institucional; cuatro objetivos estratégicos y once (11) estrategias derivadas. En cada uno de estos ejes la institución alcanzó importantes logros, según presentamos a continuación.</w:t>
      </w:r>
    </w:p>
    <w:p w14:paraId="06C43CCA" w14:textId="77777777" w:rsidR="001C19EC" w:rsidRDefault="001C19EC" w:rsidP="00951609">
      <w:pPr>
        <w:pStyle w:val="Estilo7"/>
        <w:numPr>
          <w:ilvl w:val="1"/>
          <w:numId w:val="14"/>
        </w:numPr>
      </w:pPr>
      <w:bookmarkStart w:id="13" w:name="_Toc29577307"/>
      <w:bookmarkStart w:id="14" w:name="_Toc29891695"/>
      <w:r w:rsidRPr="00531EFC">
        <w:t>Humanización del Sistema Penitenciario</w:t>
      </w:r>
      <w:bookmarkEnd w:id="13"/>
      <w:bookmarkEnd w:id="14"/>
      <w:r w:rsidRPr="00531EFC">
        <w:t xml:space="preserve"> </w:t>
      </w:r>
    </w:p>
    <w:p w14:paraId="7056E0ED" w14:textId="77777777" w:rsidR="006E3190" w:rsidRPr="00531EFC" w:rsidRDefault="006E3190" w:rsidP="006E3190">
      <w:pPr>
        <w:pStyle w:val="Estilo7"/>
        <w:numPr>
          <w:ilvl w:val="0"/>
          <w:numId w:val="0"/>
        </w:numPr>
        <w:ind w:left="1620"/>
      </w:pPr>
    </w:p>
    <w:p w14:paraId="315CCA7B" w14:textId="77777777" w:rsidR="001C19EC" w:rsidRDefault="001C19EC" w:rsidP="001C19EC">
      <w:pPr>
        <w:spacing w:line="480" w:lineRule="auto"/>
        <w:ind w:firstLine="708"/>
        <w:jc w:val="both"/>
        <w:rPr>
          <w:rFonts w:cs="Times New Roman"/>
          <w:szCs w:val="24"/>
        </w:rPr>
      </w:pPr>
      <w:r>
        <w:rPr>
          <w:rFonts w:cs="Times New Roman"/>
          <w:szCs w:val="24"/>
        </w:rPr>
        <w:t xml:space="preserve">La </w:t>
      </w:r>
      <w:r w:rsidRPr="00041135">
        <w:rPr>
          <w:rFonts w:cs="Times New Roman"/>
          <w:szCs w:val="24"/>
        </w:rPr>
        <w:t>PGR</w:t>
      </w:r>
      <w:r>
        <w:rPr>
          <w:rFonts w:cs="Times New Roman"/>
          <w:szCs w:val="24"/>
        </w:rPr>
        <w:t xml:space="preserve"> como entidad responsable del Sistema Penitenciario de la República Dominicana está en la obligación de crear una política pública penitenciaria dirigida a la rehabilitación, reeducación y reinserción social de las personas privadas de libertad, tal y como lo establece la Constitución, las leyes y la Estrategia Nacional de Desarrollo (END 2010-2030).  </w:t>
      </w:r>
    </w:p>
    <w:p w14:paraId="4FD093E5" w14:textId="77777777" w:rsidR="001C19EC" w:rsidRDefault="001C19EC" w:rsidP="001C19EC">
      <w:pPr>
        <w:spacing w:line="480" w:lineRule="auto"/>
        <w:ind w:firstLine="708"/>
        <w:jc w:val="both"/>
        <w:rPr>
          <w:rFonts w:cs="Times New Roman"/>
          <w:szCs w:val="24"/>
        </w:rPr>
      </w:pPr>
      <w:r>
        <w:rPr>
          <w:rFonts w:cs="Times New Roman"/>
          <w:szCs w:val="24"/>
        </w:rPr>
        <w:t>Con la implementación del proyecto de humanización del sistema penitenciario la PGR se propuso contribuir a través de la inversión pública a la efectividad del Sistema Penitenciario de la República Dominicana, por medio de la creación de un servicio respetuoso de la dignidad de la persona, restaurativo y que facilite la reeducación de las personas que se encuentran privadas de su libertad para su posterior rehabilitación y reinserción social.</w:t>
      </w:r>
    </w:p>
    <w:p w14:paraId="0FC68F69" w14:textId="77777777" w:rsidR="001C19EC" w:rsidRDefault="001C19EC" w:rsidP="001C19EC">
      <w:pPr>
        <w:spacing w:line="480" w:lineRule="auto"/>
        <w:ind w:firstLine="708"/>
        <w:jc w:val="both"/>
        <w:rPr>
          <w:rFonts w:cs="Times New Roman"/>
          <w:szCs w:val="24"/>
        </w:rPr>
      </w:pPr>
      <w:r>
        <w:rPr>
          <w:rFonts w:cs="Times New Roman"/>
          <w:szCs w:val="24"/>
        </w:rPr>
        <w:t>Este proyecto</w:t>
      </w:r>
      <w:r w:rsidRPr="0019474C">
        <w:rPr>
          <w:rFonts w:cs="Times New Roman"/>
          <w:szCs w:val="24"/>
        </w:rPr>
        <w:t xml:space="preserve"> </w:t>
      </w:r>
      <w:r>
        <w:rPr>
          <w:rFonts w:cs="Times New Roman"/>
          <w:szCs w:val="24"/>
        </w:rPr>
        <w:t xml:space="preserve">está compuesto por dos grandes ejes: el primer eje se enfoca en dar respuesta a la sobrepoblación y al hacinamiento que por décadas han afectado los recintos </w:t>
      </w:r>
      <w:r>
        <w:rPr>
          <w:rFonts w:cs="Times New Roman"/>
          <w:szCs w:val="24"/>
        </w:rPr>
        <w:lastRenderedPageBreak/>
        <w:t xml:space="preserve">penitenciarios del país, mientras que el segundo eje se enfoca en el tratamiento de los internos a fines de su rehabilitación y reinserción en la sociedad. </w:t>
      </w:r>
    </w:p>
    <w:p w14:paraId="4F78731B" w14:textId="77777777" w:rsidR="001C19EC" w:rsidRDefault="001C19EC" w:rsidP="001C19EC">
      <w:pPr>
        <w:spacing w:line="480" w:lineRule="auto"/>
        <w:ind w:firstLine="708"/>
        <w:jc w:val="both"/>
        <w:rPr>
          <w:rFonts w:cs="Times New Roman"/>
          <w:szCs w:val="24"/>
        </w:rPr>
      </w:pPr>
      <w:r>
        <w:rPr>
          <w:rFonts w:cs="Times New Roman"/>
          <w:szCs w:val="24"/>
        </w:rPr>
        <w:t>En particular, bajo el</w:t>
      </w:r>
      <w:r w:rsidRPr="0019474C">
        <w:rPr>
          <w:rFonts w:cs="Times New Roman"/>
          <w:szCs w:val="24"/>
        </w:rPr>
        <w:t xml:space="preserve"> primer eje </w:t>
      </w:r>
      <w:r>
        <w:rPr>
          <w:rFonts w:cs="Times New Roman"/>
          <w:szCs w:val="24"/>
        </w:rPr>
        <w:t>se están desarrollando diversas líneas de acción, entre las cuales se encuentran la ampliación de 8 de los centros de corrección y rehabilitación existentes;</w:t>
      </w:r>
      <w:r w:rsidRPr="0019474C">
        <w:rPr>
          <w:rFonts w:cs="Times New Roman"/>
          <w:szCs w:val="24"/>
        </w:rPr>
        <w:t xml:space="preserve"> </w:t>
      </w:r>
      <w:r>
        <w:rPr>
          <w:rFonts w:cs="Times New Roman"/>
          <w:szCs w:val="24"/>
        </w:rPr>
        <w:t xml:space="preserve">la construcción de dos nuevos centros, uno en San Juan de la Maguana y otro en Guerra que se convertirá en la Nueva Victoria; la construcción de una nueva cárcel preventiva en San Luis; y por último, </w:t>
      </w:r>
      <w:r w:rsidRPr="0019474C">
        <w:rPr>
          <w:rFonts w:cs="Times New Roman"/>
          <w:szCs w:val="24"/>
        </w:rPr>
        <w:t>la</w:t>
      </w:r>
      <w:r>
        <w:rPr>
          <w:rFonts w:cs="Times New Roman"/>
          <w:szCs w:val="24"/>
        </w:rPr>
        <w:t xml:space="preserve"> ampliación, construcción y redistribución de los centros de atención integral de adolescentes en conflictos con la ley penal. </w:t>
      </w:r>
    </w:p>
    <w:p w14:paraId="5AE4A2FB" w14:textId="1580F2D7" w:rsidR="001C19EC" w:rsidRDefault="004F1CE2" w:rsidP="001C19EC">
      <w:pPr>
        <w:spacing w:line="480" w:lineRule="auto"/>
        <w:ind w:firstLine="708"/>
        <w:jc w:val="both"/>
        <w:rPr>
          <w:rFonts w:cs="Times New Roman"/>
          <w:szCs w:val="24"/>
        </w:rPr>
      </w:pPr>
      <w:r>
        <w:rPr>
          <w:rFonts w:cs="Times New Roman"/>
          <w:szCs w:val="24"/>
        </w:rPr>
        <w:t xml:space="preserve">Durante </w:t>
      </w:r>
      <w:r w:rsidR="001C19EC">
        <w:rPr>
          <w:rFonts w:cs="Times New Roman"/>
          <w:szCs w:val="24"/>
        </w:rPr>
        <w:t>el año 2019 el proyecto de humanización logró grandes avances, entre los que se pueden mencionar los siguientes:</w:t>
      </w:r>
    </w:p>
    <w:p w14:paraId="104D5EAA" w14:textId="77777777" w:rsidR="001C19EC" w:rsidRDefault="001C19EC" w:rsidP="00951609">
      <w:pPr>
        <w:pStyle w:val="Prrafodelista"/>
        <w:numPr>
          <w:ilvl w:val="0"/>
          <w:numId w:val="10"/>
        </w:numPr>
        <w:spacing w:line="480" w:lineRule="auto"/>
        <w:jc w:val="both"/>
        <w:rPr>
          <w:rFonts w:cs="Times New Roman"/>
          <w:szCs w:val="24"/>
        </w:rPr>
      </w:pPr>
      <w:r>
        <w:rPr>
          <w:rFonts w:cs="Times New Roman"/>
          <w:szCs w:val="24"/>
        </w:rPr>
        <w:t xml:space="preserve">La ampliación del Centro de Atención Integral de Adolescentes en Conflicto con la Ley Penal de Santiago contemplada en el Plan de Humanización. </w:t>
      </w:r>
    </w:p>
    <w:p w14:paraId="03354D51" w14:textId="0EF0E984" w:rsidR="001C19EC" w:rsidRDefault="001C19EC" w:rsidP="00951609">
      <w:pPr>
        <w:pStyle w:val="Prrafodelista"/>
        <w:numPr>
          <w:ilvl w:val="0"/>
          <w:numId w:val="10"/>
        </w:numPr>
        <w:spacing w:line="480" w:lineRule="auto"/>
        <w:jc w:val="both"/>
        <w:rPr>
          <w:rFonts w:cs="Times New Roman"/>
          <w:szCs w:val="24"/>
        </w:rPr>
      </w:pPr>
      <w:r>
        <w:rPr>
          <w:rFonts w:cs="Times New Roman"/>
          <w:szCs w:val="24"/>
        </w:rPr>
        <w:t>La inauguración del Centro de Atención Integral de Adolescentes en Conflicto con la Ley Penal de La Romana, un recinto completamente nuevo</w:t>
      </w:r>
      <w:r w:rsidR="004F1CE2">
        <w:rPr>
          <w:rFonts w:cs="Times New Roman"/>
          <w:szCs w:val="24"/>
        </w:rPr>
        <w:t xml:space="preserve"> </w:t>
      </w:r>
      <w:r>
        <w:rPr>
          <w:rFonts w:cs="Times New Roman"/>
          <w:szCs w:val="24"/>
        </w:rPr>
        <w:t xml:space="preserve">destinado a cubrir la región Este del país. </w:t>
      </w:r>
    </w:p>
    <w:p w14:paraId="2EE3E0B0" w14:textId="77777777" w:rsidR="001C19EC" w:rsidRPr="006429CE" w:rsidRDefault="001C19EC" w:rsidP="00951609">
      <w:pPr>
        <w:pStyle w:val="Prrafodelista"/>
        <w:numPr>
          <w:ilvl w:val="0"/>
          <w:numId w:val="10"/>
        </w:numPr>
        <w:spacing w:line="480" w:lineRule="auto"/>
        <w:jc w:val="both"/>
        <w:rPr>
          <w:rFonts w:cs="Times New Roman"/>
          <w:szCs w:val="24"/>
        </w:rPr>
      </w:pPr>
      <w:r>
        <w:rPr>
          <w:rFonts w:cs="Times New Roman"/>
          <w:szCs w:val="24"/>
        </w:rPr>
        <w:t>La conclusión de la obra civil del Centro Penitenciario Preventivo de San Luis.</w:t>
      </w:r>
    </w:p>
    <w:p w14:paraId="772F859F" w14:textId="77777777" w:rsidR="001C19EC" w:rsidRDefault="001C19EC" w:rsidP="00951609">
      <w:pPr>
        <w:pStyle w:val="Prrafodelista"/>
        <w:numPr>
          <w:ilvl w:val="0"/>
          <w:numId w:val="10"/>
        </w:numPr>
        <w:spacing w:line="480" w:lineRule="auto"/>
        <w:jc w:val="both"/>
        <w:rPr>
          <w:rFonts w:cs="Times New Roman"/>
          <w:szCs w:val="24"/>
        </w:rPr>
      </w:pPr>
      <w:r>
        <w:rPr>
          <w:rFonts w:cs="Times New Roman"/>
          <w:szCs w:val="24"/>
        </w:rPr>
        <w:t>Primera Escala Salarial dentro del Nuevo Modelo de Gestión Penitenciario.</w:t>
      </w:r>
    </w:p>
    <w:p w14:paraId="408091DB" w14:textId="36F046C8" w:rsidR="006E3190" w:rsidRPr="00B41FE9" w:rsidRDefault="00F651A3" w:rsidP="00A62E94">
      <w:pPr>
        <w:pStyle w:val="Prrafodelista"/>
        <w:numPr>
          <w:ilvl w:val="0"/>
          <w:numId w:val="10"/>
        </w:numPr>
        <w:spacing w:line="480" w:lineRule="auto"/>
        <w:jc w:val="both"/>
      </w:pPr>
      <w:r>
        <w:rPr>
          <w:rFonts w:cs="Times New Roman"/>
          <w:szCs w:val="24"/>
        </w:rPr>
        <w:t>La f</w:t>
      </w:r>
      <w:r w:rsidR="004F1CE2">
        <w:rPr>
          <w:rFonts w:cs="Times New Roman"/>
          <w:szCs w:val="24"/>
        </w:rPr>
        <w:t>ormación de</w:t>
      </w:r>
      <w:r w:rsidR="00FB2AB3">
        <w:rPr>
          <w:rFonts w:cs="Times New Roman"/>
          <w:szCs w:val="24"/>
        </w:rPr>
        <w:t xml:space="preserve"> nuevos agentes de vigilancia y tratamiento penitenciario</w:t>
      </w:r>
      <w:r w:rsidR="004F1CE2">
        <w:rPr>
          <w:rFonts w:cs="Times New Roman"/>
          <w:szCs w:val="24"/>
        </w:rPr>
        <w:t>, alcanzando unos 500 agentes formados durante la gesti</w:t>
      </w:r>
      <w:r>
        <w:rPr>
          <w:rFonts w:cs="Times New Roman"/>
          <w:szCs w:val="24"/>
        </w:rPr>
        <w:t>ón 2016-2019, con una proyección de incorporación de casi</w:t>
      </w:r>
      <w:r w:rsidR="00FB2AB3">
        <w:rPr>
          <w:rFonts w:cs="Times New Roman"/>
          <w:szCs w:val="24"/>
        </w:rPr>
        <w:t xml:space="preserve"> 500 </w:t>
      </w:r>
      <w:r w:rsidR="00181F65">
        <w:rPr>
          <w:rFonts w:cs="Times New Roman"/>
          <w:szCs w:val="24"/>
        </w:rPr>
        <w:t xml:space="preserve">agentes más que </w:t>
      </w:r>
      <w:r w:rsidR="00FB2AB3">
        <w:rPr>
          <w:rFonts w:cs="Times New Roman"/>
          <w:szCs w:val="24"/>
        </w:rPr>
        <w:t xml:space="preserve">se encuentran en formación para incorporarse gradualmente al sistema y trabajar en la administración y custodia de los nuevos recintos previstos en el proyecto de humanización. </w:t>
      </w:r>
    </w:p>
    <w:p w14:paraId="50AA68D4" w14:textId="77777777" w:rsidR="001C19EC" w:rsidRDefault="001C19EC" w:rsidP="00951609">
      <w:pPr>
        <w:pStyle w:val="Estilo7"/>
        <w:numPr>
          <w:ilvl w:val="1"/>
          <w:numId w:val="14"/>
        </w:numPr>
      </w:pPr>
      <w:bookmarkStart w:id="15" w:name="_Toc29577308"/>
      <w:bookmarkStart w:id="16" w:name="_Toc29891696"/>
      <w:r w:rsidRPr="00531EFC">
        <w:lastRenderedPageBreak/>
        <w:t>Plan Nacional Contra la Violencia de Género</w:t>
      </w:r>
      <w:bookmarkEnd w:id="15"/>
      <w:bookmarkEnd w:id="16"/>
    </w:p>
    <w:p w14:paraId="1F6854CE" w14:textId="77777777" w:rsidR="006E3190" w:rsidRPr="00531EFC" w:rsidRDefault="006E3190" w:rsidP="006E3190">
      <w:pPr>
        <w:pStyle w:val="Estilo7"/>
        <w:numPr>
          <w:ilvl w:val="0"/>
          <w:numId w:val="0"/>
        </w:numPr>
        <w:ind w:left="1620"/>
      </w:pPr>
    </w:p>
    <w:p w14:paraId="34846A74" w14:textId="77777777" w:rsidR="001C19EC" w:rsidRDefault="001C19EC" w:rsidP="001C19EC">
      <w:pPr>
        <w:spacing w:line="480" w:lineRule="auto"/>
        <w:ind w:firstLine="708"/>
        <w:jc w:val="both"/>
        <w:rPr>
          <w:rFonts w:cs="Times New Roman"/>
          <w:szCs w:val="24"/>
        </w:rPr>
      </w:pPr>
      <w:r>
        <w:rPr>
          <w:rFonts w:cs="Times New Roman"/>
          <w:szCs w:val="24"/>
        </w:rPr>
        <w:t>El Plan Nacional Contra la Violencia de Género es un esfuerzo enfocado en la prevención y persecución efectiva de los crímenes y delitos relativos a la violencia intrafamiliar y de género, el mismo cuenta con medidas concretas y una visión integral para el abordaje de la problemática, lo cual se concretiza a través de tres objetivos primordiales:</w:t>
      </w:r>
    </w:p>
    <w:p w14:paraId="56F4AB06" w14:textId="77777777" w:rsidR="001C19EC" w:rsidRDefault="001C19EC" w:rsidP="00951609">
      <w:pPr>
        <w:pStyle w:val="Prrafodelista"/>
        <w:numPr>
          <w:ilvl w:val="0"/>
          <w:numId w:val="12"/>
        </w:numPr>
        <w:spacing w:line="480" w:lineRule="auto"/>
        <w:jc w:val="both"/>
        <w:rPr>
          <w:rFonts w:cs="Times New Roman"/>
          <w:szCs w:val="24"/>
        </w:rPr>
      </w:pPr>
      <w:r>
        <w:rPr>
          <w:rFonts w:cs="Times New Roman"/>
          <w:szCs w:val="24"/>
        </w:rPr>
        <w:t>Prevenir generando consciencia en la población sobre la violencia de género.</w:t>
      </w:r>
    </w:p>
    <w:p w14:paraId="0351D894" w14:textId="77777777" w:rsidR="001C19EC" w:rsidRDefault="001C19EC" w:rsidP="00951609">
      <w:pPr>
        <w:pStyle w:val="Prrafodelista"/>
        <w:numPr>
          <w:ilvl w:val="0"/>
          <w:numId w:val="12"/>
        </w:numPr>
        <w:spacing w:line="480" w:lineRule="auto"/>
        <w:jc w:val="both"/>
        <w:rPr>
          <w:rFonts w:cs="Times New Roman"/>
          <w:szCs w:val="24"/>
        </w:rPr>
      </w:pPr>
      <w:r>
        <w:rPr>
          <w:rFonts w:cs="Times New Roman"/>
          <w:szCs w:val="24"/>
        </w:rPr>
        <w:t>Perseguir este delito fomentando la denuncia.</w:t>
      </w:r>
    </w:p>
    <w:p w14:paraId="75EE5F9B" w14:textId="77777777" w:rsidR="001C19EC" w:rsidRDefault="001C19EC" w:rsidP="00951609">
      <w:pPr>
        <w:pStyle w:val="Prrafodelista"/>
        <w:numPr>
          <w:ilvl w:val="0"/>
          <w:numId w:val="12"/>
        </w:numPr>
        <w:spacing w:line="480" w:lineRule="auto"/>
        <w:jc w:val="both"/>
        <w:rPr>
          <w:rFonts w:cs="Times New Roman"/>
          <w:szCs w:val="24"/>
        </w:rPr>
      </w:pPr>
      <w:r>
        <w:rPr>
          <w:rFonts w:cs="Times New Roman"/>
          <w:szCs w:val="24"/>
        </w:rPr>
        <w:t>Prestar atención más eficaz a las víctimas.</w:t>
      </w:r>
    </w:p>
    <w:p w14:paraId="54D6C634" w14:textId="77777777" w:rsidR="001C19EC" w:rsidRPr="00E773FB" w:rsidRDefault="001C19EC" w:rsidP="001C19EC">
      <w:pPr>
        <w:spacing w:line="480" w:lineRule="auto"/>
        <w:ind w:firstLine="708"/>
        <w:jc w:val="both"/>
        <w:rPr>
          <w:rFonts w:cs="Times New Roman"/>
          <w:szCs w:val="24"/>
        </w:rPr>
      </w:pPr>
      <w:r>
        <w:rPr>
          <w:rFonts w:cs="Times New Roman"/>
          <w:szCs w:val="24"/>
        </w:rPr>
        <w:t>C</w:t>
      </w:r>
      <w:r w:rsidRPr="00E773FB">
        <w:rPr>
          <w:rFonts w:cs="Times New Roman"/>
          <w:szCs w:val="24"/>
        </w:rPr>
        <w:t>on la finalidad de dar seguimiento y velar por el cumplimiento del Plan, el Consejo Superior del Ministerio Público (CSMP) creó la Dirección contra la Violencia de Género (DCVG).</w:t>
      </w:r>
    </w:p>
    <w:p w14:paraId="4E7EA443" w14:textId="77777777" w:rsidR="001C19EC" w:rsidRDefault="001C19EC" w:rsidP="001C19EC">
      <w:pPr>
        <w:spacing w:line="480" w:lineRule="auto"/>
        <w:ind w:firstLine="708"/>
        <w:jc w:val="both"/>
        <w:rPr>
          <w:rFonts w:cs="Times New Roman"/>
          <w:szCs w:val="24"/>
        </w:rPr>
      </w:pPr>
      <w:r>
        <w:rPr>
          <w:rFonts w:cs="Times New Roman"/>
          <w:szCs w:val="24"/>
        </w:rPr>
        <w:t>En términos de</w:t>
      </w:r>
      <w:r w:rsidRPr="00791D69">
        <w:rPr>
          <w:rFonts w:cs="Times New Roman"/>
          <w:szCs w:val="24"/>
        </w:rPr>
        <w:t xml:space="preserve"> prevención </w:t>
      </w:r>
      <w:r>
        <w:rPr>
          <w:rFonts w:cs="Times New Roman"/>
          <w:szCs w:val="24"/>
        </w:rPr>
        <w:t xml:space="preserve">se destacaron las </w:t>
      </w:r>
      <w:r w:rsidRPr="00791D69">
        <w:rPr>
          <w:rFonts w:cs="Times New Roman"/>
          <w:szCs w:val="24"/>
        </w:rPr>
        <w:t xml:space="preserve">acciones educativas y culturales que se </w:t>
      </w:r>
      <w:r>
        <w:rPr>
          <w:rFonts w:cs="Times New Roman"/>
          <w:szCs w:val="24"/>
        </w:rPr>
        <w:t xml:space="preserve">han sido desarrolladas junto al </w:t>
      </w:r>
      <w:r w:rsidRPr="00791D69">
        <w:rPr>
          <w:rFonts w:cs="Times New Roman"/>
          <w:szCs w:val="24"/>
        </w:rPr>
        <w:t>Ministerio de Educación y el Ministerio de Cultura, con el propósito de promover la equidad de género</w:t>
      </w:r>
      <w:r>
        <w:rPr>
          <w:rFonts w:cs="Times New Roman"/>
          <w:szCs w:val="24"/>
        </w:rPr>
        <w:t>, algunas de las cuales ya se encuentran en marcha y otras se encuentran muy avanzadas, esperando por su implementación a partir del año 2020</w:t>
      </w:r>
      <w:r w:rsidRPr="00791D69">
        <w:rPr>
          <w:rFonts w:cs="Times New Roman"/>
          <w:szCs w:val="24"/>
        </w:rPr>
        <w:t>.</w:t>
      </w:r>
    </w:p>
    <w:p w14:paraId="6B708357" w14:textId="26F9CF96" w:rsidR="001C19EC" w:rsidRPr="005A3FC1" w:rsidRDefault="001C19EC" w:rsidP="001C19EC">
      <w:pPr>
        <w:spacing w:line="480" w:lineRule="auto"/>
        <w:ind w:firstLine="708"/>
        <w:jc w:val="both"/>
        <w:rPr>
          <w:rFonts w:cs="Times New Roman"/>
          <w:szCs w:val="24"/>
        </w:rPr>
      </w:pPr>
      <w:r>
        <w:rPr>
          <w:rFonts w:cs="Times New Roman"/>
          <w:szCs w:val="24"/>
        </w:rPr>
        <w:t xml:space="preserve">Asimismo, en el año 2019 el plan cosechó de manera concreta diversos logros, dentro de los cuales </w:t>
      </w:r>
      <w:r w:rsidR="00181F65">
        <w:rPr>
          <w:rFonts w:cs="Times New Roman"/>
          <w:szCs w:val="24"/>
        </w:rPr>
        <w:t>se destacan</w:t>
      </w:r>
      <w:r>
        <w:rPr>
          <w:rFonts w:cs="Times New Roman"/>
          <w:szCs w:val="24"/>
        </w:rPr>
        <w:t>:</w:t>
      </w:r>
    </w:p>
    <w:p w14:paraId="566B9B1D" w14:textId="17D4F0A6" w:rsidR="001C19EC" w:rsidRDefault="00181F65" w:rsidP="00951609">
      <w:pPr>
        <w:pStyle w:val="Prrafodelista"/>
        <w:numPr>
          <w:ilvl w:val="0"/>
          <w:numId w:val="11"/>
        </w:numPr>
        <w:spacing w:line="480" w:lineRule="auto"/>
        <w:jc w:val="both"/>
        <w:rPr>
          <w:rFonts w:cs="Times New Roman"/>
          <w:szCs w:val="24"/>
        </w:rPr>
      </w:pPr>
      <w:r>
        <w:rPr>
          <w:rFonts w:cs="Times New Roman"/>
          <w:szCs w:val="24"/>
        </w:rPr>
        <w:t>La c</w:t>
      </w:r>
      <w:r w:rsidR="001C19EC">
        <w:rPr>
          <w:rFonts w:cs="Times New Roman"/>
          <w:szCs w:val="24"/>
        </w:rPr>
        <w:t>reación de dos n</w:t>
      </w:r>
      <w:r w:rsidR="001C19EC" w:rsidRPr="000D143B">
        <w:rPr>
          <w:rFonts w:cs="Times New Roman"/>
          <w:szCs w:val="24"/>
        </w:rPr>
        <w:t>uevos Centros de Intervención Conductual para Hombres</w:t>
      </w:r>
      <w:r w:rsidR="001C19EC">
        <w:rPr>
          <w:rFonts w:cs="Times New Roman"/>
          <w:szCs w:val="24"/>
        </w:rPr>
        <w:t>, los cuales se encuentran ubicados en las regiones norte (Santiago de los Caballeros) y sur (San Juan de la Maguana)</w:t>
      </w:r>
      <w:r w:rsidR="00FB2AB3">
        <w:rPr>
          <w:rFonts w:cs="Times New Roman"/>
          <w:szCs w:val="24"/>
        </w:rPr>
        <w:t>, a</w:t>
      </w:r>
      <w:r w:rsidR="001C19EC">
        <w:rPr>
          <w:rFonts w:cs="Times New Roman"/>
          <w:szCs w:val="24"/>
        </w:rPr>
        <w:t>sí como la readecuación del Centro de Intervención Conductual de Hombres del Distrito Nacional</w:t>
      </w:r>
      <w:r>
        <w:rPr>
          <w:rFonts w:cs="Times New Roman"/>
          <w:szCs w:val="24"/>
        </w:rPr>
        <w:t>.</w:t>
      </w:r>
      <w:r w:rsidR="001C19EC">
        <w:rPr>
          <w:rFonts w:cs="Times New Roman"/>
          <w:szCs w:val="24"/>
        </w:rPr>
        <w:t xml:space="preserve"> </w:t>
      </w:r>
    </w:p>
    <w:p w14:paraId="792A80C6" w14:textId="77777777" w:rsidR="001C19EC" w:rsidRDefault="001C19EC" w:rsidP="00951609">
      <w:pPr>
        <w:pStyle w:val="Prrafodelista"/>
        <w:numPr>
          <w:ilvl w:val="0"/>
          <w:numId w:val="11"/>
        </w:numPr>
        <w:spacing w:line="480" w:lineRule="auto"/>
        <w:jc w:val="both"/>
        <w:rPr>
          <w:rFonts w:cs="Times New Roman"/>
          <w:szCs w:val="24"/>
        </w:rPr>
      </w:pPr>
      <w:r>
        <w:rPr>
          <w:rFonts w:cs="Times New Roman"/>
          <w:szCs w:val="24"/>
        </w:rPr>
        <w:lastRenderedPageBreak/>
        <w:t>Desde el inicio del Plan hasta el año 2019 se crearon las Unidades de Atención Integral a Víctimas de Violencia de Género, Intrafamiliar y Delitos Sexuales</w:t>
      </w:r>
      <w:r w:rsidRPr="00CB04B1">
        <w:rPr>
          <w:rFonts w:cs="Times New Roman"/>
          <w:szCs w:val="24"/>
        </w:rPr>
        <w:t xml:space="preserve"> </w:t>
      </w:r>
      <w:r>
        <w:rPr>
          <w:rFonts w:cs="Times New Roman"/>
          <w:szCs w:val="24"/>
        </w:rPr>
        <w:t>(</w:t>
      </w:r>
      <w:r w:rsidRPr="00CB04B1">
        <w:rPr>
          <w:rFonts w:cs="Times New Roman"/>
          <w:szCs w:val="24"/>
        </w:rPr>
        <w:t>UVG</w:t>
      </w:r>
      <w:r>
        <w:rPr>
          <w:rFonts w:cs="Times New Roman"/>
          <w:szCs w:val="24"/>
        </w:rPr>
        <w:t>) de Sánchez Ramírez, Verón, Barahona, Bahoruco y El Seibo.</w:t>
      </w:r>
    </w:p>
    <w:p w14:paraId="6E9B1294" w14:textId="77777777" w:rsidR="001C19EC" w:rsidRDefault="001C19EC" w:rsidP="00951609">
      <w:pPr>
        <w:pStyle w:val="Prrafodelista"/>
        <w:numPr>
          <w:ilvl w:val="0"/>
          <w:numId w:val="11"/>
        </w:numPr>
        <w:spacing w:line="480" w:lineRule="auto"/>
        <w:jc w:val="both"/>
        <w:rPr>
          <w:rFonts w:cs="Times New Roman"/>
          <w:szCs w:val="24"/>
        </w:rPr>
      </w:pPr>
      <w:r>
        <w:rPr>
          <w:rFonts w:cs="Times New Roman"/>
          <w:szCs w:val="24"/>
        </w:rPr>
        <w:t>F</w:t>
      </w:r>
      <w:r w:rsidRPr="00CB04B1">
        <w:rPr>
          <w:rFonts w:cs="Times New Roman"/>
          <w:szCs w:val="24"/>
        </w:rPr>
        <w:t xml:space="preserve">ueron readecuadas </w:t>
      </w:r>
      <w:r>
        <w:rPr>
          <w:rFonts w:cs="Times New Roman"/>
          <w:szCs w:val="24"/>
        </w:rPr>
        <w:t xml:space="preserve">las </w:t>
      </w:r>
      <w:r w:rsidRPr="00CB04B1">
        <w:rPr>
          <w:rFonts w:cs="Times New Roman"/>
          <w:szCs w:val="24"/>
        </w:rPr>
        <w:t>UVG</w:t>
      </w:r>
      <w:r>
        <w:rPr>
          <w:rFonts w:cs="Times New Roman"/>
          <w:szCs w:val="24"/>
        </w:rPr>
        <w:t xml:space="preserve"> de La Vega, Santiago de los Caballeros, San Juan de la Maguana, Puerto Plata y Azua</w:t>
      </w:r>
      <w:r w:rsidRPr="00CB04B1">
        <w:rPr>
          <w:rFonts w:cs="Times New Roman"/>
          <w:szCs w:val="24"/>
        </w:rPr>
        <w:t>, mediante el remozamiento y/o traslado de las instalaciones físicas existentes, dotación de mobiliarios y equipos y dotación de personal interdisciplinario, logrando proporcionar a la lucha contra la violencia más de 310 nuevos colaboradores, dentro de los cuales se encuentran psicólogos, médicos, trabajadores sociales y personal administrativo.</w:t>
      </w:r>
    </w:p>
    <w:p w14:paraId="4E24B246" w14:textId="19D33287" w:rsidR="001C19EC" w:rsidRDefault="001C19EC" w:rsidP="00951609">
      <w:pPr>
        <w:pStyle w:val="Prrafodelista"/>
        <w:numPr>
          <w:ilvl w:val="0"/>
          <w:numId w:val="11"/>
        </w:numPr>
        <w:spacing w:line="480" w:lineRule="auto"/>
        <w:jc w:val="both"/>
        <w:rPr>
          <w:rFonts w:cs="Times New Roman"/>
          <w:szCs w:val="24"/>
        </w:rPr>
      </w:pPr>
      <w:r w:rsidRPr="00531EFC">
        <w:rPr>
          <w:rFonts w:cs="Times New Roman"/>
          <w:szCs w:val="24"/>
        </w:rPr>
        <w:t xml:space="preserve">Dentro de las acciones de prevención que contempla el plan se destacan la creación de las “Guías de Prevención para estudiantes y maestros del nivel primario y secundario en coordinación con el MINERD”, así como la realización de múltiples actividades dirigidas a la prevención del delito, tales como la realización de seis (6) Diálogos con el Ministerio de Educación (MINERD), </w:t>
      </w:r>
      <w:r w:rsidR="00181F65">
        <w:rPr>
          <w:rFonts w:cs="Times New Roman"/>
          <w:szCs w:val="24"/>
        </w:rPr>
        <w:t xml:space="preserve">la </w:t>
      </w:r>
      <w:r w:rsidRPr="00531EFC">
        <w:rPr>
          <w:rFonts w:cs="Times New Roman"/>
          <w:szCs w:val="24"/>
        </w:rPr>
        <w:t>realización de más de 500 charlas de prevención en temas sobre masculinidad positiva y prevención de la violencia de género, además de la realización de intercambios de experiencias, buenas prácticas y capacitación especializada dirigida a 750 miembros del Ministerio Público y 180 efectivos de la Policía Nacional. De igual modo fueron realizadas diversas jornadas de auto-cuidado para prevenir el desgaste en los prestadores de servicios.</w:t>
      </w:r>
    </w:p>
    <w:p w14:paraId="70D800AB" w14:textId="77777777" w:rsidR="001C19EC" w:rsidRDefault="001C19EC" w:rsidP="00951609">
      <w:pPr>
        <w:pStyle w:val="Prrafodelista"/>
        <w:numPr>
          <w:ilvl w:val="0"/>
          <w:numId w:val="11"/>
        </w:numPr>
        <w:spacing w:line="480" w:lineRule="auto"/>
        <w:jc w:val="both"/>
        <w:rPr>
          <w:rFonts w:cs="Times New Roman"/>
          <w:szCs w:val="24"/>
        </w:rPr>
      </w:pPr>
      <w:r>
        <w:rPr>
          <w:rFonts w:cs="Times New Roman"/>
          <w:szCs w:val="24"/>
        </w:rPr>
        <w:t>Creación del Comité de Equidad de Género de la Procuraduría General de la República (PGR).</w:t>
      </w:r>
    </w:p>
    <w:p w14:paraId="299E86C6" w14:textId="77777777" w:rsidR="001C19EC" w:rsidRPr="0046441A" w:rsidRDefault="001C19EC" w:rsidP="00951609">
      <w:pPr>
        <w:pStyle w:val="Prrafodelista"/>
        <w:numPr>
          <w:ilvl w:val="0"/>
          <w:numId w:val="11"/>
        </w:numPr>
        <w:spacing w:line="480" w:lineRule="auto"/>
        <w:jc w:val="both"/>
      </w:pPr>
      <w:r>
        <w:rPr>
          <w:rFonts w:cs="Times New Roman"/>
          <w:szCs w:val="24"/>
        </w:rPr>
        <w:lastRenderedPageBreak/>
        <w:t>Firma de los acuerdos con el Círculo de Mujeres con Discapacidad (CIMUDIS), con el Ministerio de Turismo y la Asociación de Hoteles y Turismo (ASONAHORES), con el objetivo de ejecutar acciones para la prevención y atención de la violencia de género en eso sectores.</w:t>
      </w:r>
    </w:p>
    <w:p w14:paraId="51FA39A2" w14:textId="5F20C5BA" w:rsidR="000A162C" w:rsidRDefault="000A162C" w:rsidP="000A162C">
      <w:pPr>
        <w:pStyle w:val="Estilo7"/>
        <w:numPr>
          <w:ilvl w:val="1"/>
          <w:numId w:val="14"/>
        </w:numPr>
      </w:pPr>
      <w:bookmarkStart w:id="17" w:name="_Toc29891697"/>
      <w:r>
        <w:t>Lucha contra la criminalidad</w:t>
      </w:r>
      <w:bookmarkEnd w:id="17"/>
    </w:p>
    <w:p w14:paraId="013AE453" w14:textId="77777777" w:rsidR="000A162C" w:rsidRDefault="000A162C" w:rsidP="00A62E94">
      <w:pPr>
        <w:pStyle w:val="Estilo7"/>
        <w:numPr>
          <w:ilvl w:val="0"/>
          <w:numId w:val="0"/>
        </w:numPr>
      </w:pPr>
    </w:p>
    <w:p w14:paraId="34B18542" w14:textId="07405693" w:rsidR="00746A17" w:rsidRDefault="000A162C" w:rsidP="00A62E94">
      <w:pPr>
        <w:spacing w:line="480" w:lineRule="auto"/>
        <w:ind w:firstLine="708"/>
        <w:jc w:val="both"/>
        <w:rPr>
          <w:rFonts w:cs="Times New Roman"/>
          <w:szCs w:val="24"/>
        </w:rPr>
      </w:pPr>
      <w:r w:rsidRPr="00E9584B">
        <w:rPr>
          <w:rFonts w:cs="Times New Roman"/>
          <w:szCs w:val="24"/>
        </w:rPr>
        <w:t xml:space="preserve">Durante 2019 </w:t>
      </w:r>
      <w:r>
        <w:rPr>
          <w:rFonts w:cs="Times New Roman"/>
          <w:szCs w:val="24"/>
        </w:rPr>
        <w:t xml:space="preserve">fueron realizadas diversas acciones </w:t>
      </w:r>
      <w:r w:rsidRPr="00E9584B">
        <w:rPr>
          <w:rFonts w:cs="Times New Roman"/>
          <w:szCs w:val="24"/>
        </w:rPr>
        <w:t>dirigidas al desmantelamiento de actividades criminales</w:t>
      </w:r>
      <w:r>
        <w:rPr>
          <w:rFonts w:cs="Times New Roman"/>
          <w:szCs w:val="24"/>
        </w:rPr>
        <w:t xml:space="preserve"> relacionadas al narcotráfico, </w:t>
      </w:r>
      <w:r w:rsidRPr="00E9584B">
        <w:rPr>
          <w:rFonts w:cs="Times New Roman"/>
          <w:szCs w:val="24"/>
        </w:rPr>
        <w:t>la trata de personas y el tráfico ilícito de migrantes, los juegos de azar ilegales,</w:t>
      </w:r>
      <w:r>
        <w:rPr>
          <w:rFonts w:cs="Times New Roman"/>
          <w:szCs w:val="24"/>
        </w:rPr>
        <w:t xml:space="preserve"> los delitos de alta tecnología</w:t>
      </w:r>
      <w:r w:rsidR="007C144D">
        <w:rPr>
          <w:rFonts w:cs="Times New Roman"/>
          <w:szCs w:val="24"/>
        </w:rPr>
        <w:t>,</w:t>
      </w:r>
      <w:r>
        <w:rPr>
          <w:rFonts w:cs="Times New Roman"/>
          <w:szCs w:val="24"/>
        </w:rPr>
        <w:t xml:space="preserve"> entre otros</w:t>
      </w:r>
      <w:r w:rsidR="00181F65">
        <w:rPr>
          <w:rFonts w:cs="Times New Roman"/>
          <w:szCs w:val="24"/>
        </w:rPr>
        <w:t>, alcanza</w:t>
      </w:r>
      <w:r w:rsidR="00E8153B">
        <w:rPr>
          <w:rFonts w:cs="Times New Roman"/>
          <w:szCs w:val="24"/>
        </w:rPr>
        <w:t>n</w:t>
      </w:r>
      <w:r w:rsidR="00181F65">
        <w:rPr>
          <w:rFonts w:cs="Times New Roman"/>
          <w:szCs w:val="24"/>
        </w:rPr>
        <w:t xml:space="preserve">do los siguientes resultados a favor de la ciudadanía dominicana: </w:t>
      </w:r>
    </w:p>
    <w:p w14:paraId="7FCCA7AB" w14:textId="4C313E73" w:rsidR="00746A17" w:rsidRPr="007C144D" w:rsidRDefault="00746A17" w:rsidP="00A62E94">
      <w:pPr>
        <w:pStyle w:val="Prrafodelista"/>
        <w:numPr>
          <w:ilvl w:val="0"/>
          <w:numId w:val="36"/>
        </w:numPr>
        <w:spacing w:line="480" w:lineRule="auto"/>
        <w:jc w:val="both"/>
        <w:rPr>
          <w:rFonts w:cs="Times New Roman"/>
          <w:szCs w:val="24"/>
        </w:rPr>
      </w:pPr>
      <w:r w:rsidRPr="007C144D">
        <w:rPr>
          <w:rFonts w:cs="Times New Roman"/>
          <w:szCs w:val="24"/>
        </w:rPr>
        <w:t xml:space="preserve">Durante 2019 </w:t>
      </w:r>
      <w:r w:rsidR="007C144D" w:rsidRPr="007C144D">
        <w:rPr>
          <w:rFonts w:cs="Times New Roman"/>
          <w:szCs w:val="24"/>
        </w:rPr>
        <w:t>se logró</w:t>
      </w:r>
      <w:r w:rsidRPr="007C144D">
        <w:rPr>
          <w:rFonts w:cs="Times New Roman"/>
          <w:szCs w:val="24"/>
        </w:rPr>
        <w:t xml:space="preserve"> la recuperación definitiva de los t</w:t>
      </w:r>
      <w:r w:rsidR="007C144D" w:rsidRPr="007C144D">
        <w:rPr>
          <w:rFonts w:cs="Times New Roman"/>
          <w:szCs w:val="24"/>
        </w:rPr>
        <w:t>errenos de Bahía de las Águilas</w:t>
      </w:r>
      <w:r w:rsidRPr="007C144D">
        <w:rPr>
          <w:rFonts w:cs="Times New Roman"/>
          <w:szCs w:val="24"/>
        </w:rPr>
        <w:t xml:space="preserve"> en favor del pueblo dominicano, para contribuir así al desarrollo local y el turismo de la República Dominicana.</w:t>
      </w:r>
    </w:p>
    <w:p w14:paraId="646F5C5B" w14:textId="78F98673" w:rsidR="007C144D" w:rsidRPr="007C144D" w:rsidRDefault="000A162C" w:rsidP="00A62E94">
      <w:pPr>
        <w:pStyle w:val="Prrafodelista"/>
        <w:numPr>
          <w:ilvl w:val="0"/>
          <w:numId w:val="36"/>
        </w:numPr>
        <w:spacing w:line="480" w:lineRule="auto"/>
        <w:jc w:val="both"/>
        <w:rPr>
          <w:rFonts w:cs="Times New Roman"/>
          <w:szCs w:val="24"/>
        </w:rPr>
      </w:pPr>
      <w:r w:rsidRPr="007C144D">
        <w:rPr>
          <w:rFonts w:cs="Times New Roman"/>
          <w:szCs w:val="24"/>
        </w:rPr>
        <w:t xml:space="preserve">En </w:t>
      </w:r>
      <w:r w:rsidR="00181F65" w:rsidRPr="007C144D">
        <w:rPr>
          <w:rFonts w:cs="Times New Roman"/>
          <w:szCs w:val="24"/>
        </w:rPr>
        <w:t>lo que respecta</w:t>
      </w:r>
      <w:r w:rsidRPr="007C144D">
        <w:rPr>
          <w:rFonts w:cs="Times New Roman"/>
          <w:szCs w:val="24"/>
        </w:rPr>
        <w:t xml:space="preserve"> a la lucha contra el narcotráfico, junto a la Dirección Nacional de Control de Drogas (DNCD), se logró incautar e incinerar más de 15,4 kilogramos, </w:t>
      </w:r>
      <w:r w:rsidR="00181F65" w:rsidRPr="007C144D">
        <w:rPr>
          <w:rFonts w:cs="Times New Roman"/>
          <w:szCs w:val="24"/>
        </w:rPr>
        <w:t xml:space="preserve">para un total de </w:t>
      </w:r>
      <w:r w:rsidR="00746A17" w:rsidRPr="007C144D">
        <w:rPr>
          <w:rFonts w:cs="Times New Roman"/>
          <w:szCs w:val="24"/>
        </w:rPr>
        <w:t>casi 66,000</w:t>
      </w:r>
      <w:r w:rsidR="00181F65" w:rsidRPr="007C144D">
        <w:rPr>
          <w:rFonts w:cs="Times New Roman"/>
          <w:szCs w:val="24"/>
        </w:rPr>
        <w:t xml:space="preserve"> kilogramos desde el </w:t>
      </w:r>
      <w:r w:rsidR="00746A17" w:rsidRPr="007C144D">
        <w:rPr>
          <w:rFonts w:cs="Times New Roman"/>
          <w:szCs w:val="24"/>
        </w:rPr>
        <w:t xml:space="preserve">año 2016. </w:t>
      </w:r>
    </w:p>
    <w:p w14:paraId="356094D0" w14:textId="17A7F0CD" w:rsidR="00746A17" w:rsidRPr="007C144D" w:rsidRDefault="007C144D" w:rsidP="00A62E94">
      <w:pPr>
        <w:pStyle w:val="Prrafodelista"/>
        <w:numPr>
          <w:ilvl w:val="0"/>
          <w:numId w:val="36"/>
        </w:numPr>
        <w:spacing w:line="480" w:lineRule="auto"/>
        <w:jc w:val="both"/>
        <w:rPr>
          <w:rFonts w:cs="Times New Roman"/>
          <w:szCs w:val="24"/>
        </w:rPr>
      </w:pPr>
      <w:r w:rsidRPr="007C144D">
        <w:rPr>
          <w:rFonts w:cs="Times New Roman"/>
          <w:szCs w:val="24"/>
        </w:rPr>
        <w:t>D</w:t>
      </w:r>
      <w:r w:rsidR="00746A17" w:rsidRPr="007C144D">
        <w:rPr>
          <w:rFonts w:cs="Times New Roman"/>
          <w:szCs w:val="24"/>
        </w:rPr>
        <w:t>urante el año 2019  f</w:t>
      </w:r>
      <w:r w:rsidR="00181F65" w:rsidRPr="007C144D">
        <w:rPr>
          <w:rFonts w:cs="Times New Roman"/>
          <w:szCs w:val="24"/>
        </w:rPr>
        <w:t>ueron decomisados</w:t>
      </w:r>
      <w:r w:rsidR="00746A17" w:rsidRPr="007C144D">
        <w:rPr>
          <w:rFonts w:cs="Times New Roman"/>
          <w:szCs w:val="24"/>
        </w:rPr>
        <w:t xml:space="preserve"> y entregados</w:t>
      </w:r>
      <w:r w:rsidR="00181F65" w:rsidRPr="007C144D">
        <w:rPr>
          <w:rFonts w:cs="Times New Roman"/>
          <w:szCs w:val="24"/>
        </w:rPr>
        <w:t xml:space="preserve"> </w:t>
      </w:r>
      <w:r w:rsidR="00746A17" w:rsidRPr="007C144D">
        <w:rPr>
          <w:rFonts w:cs="Times New Roman"/>
          <w:szCs w:val="24"/>
        </w:rPr>
        <w:t xml:space="preserve">más de RD$ 161,000,000.00 producto de </w:t>
      </w:r>
      <w:r w:rsidR="00181F65" w:rsidRPr="007C144D">
        <w:rPr>
          <w:rFonts w:cs="Times New Roman"/>
          <w:szCs w:val="24"/>
        </w:rPr>
        <w:t>operaciones contra el narc</w:t>
      </w:r>
      <w:r w:rsidR="00746A17" w:rsidRPr="007C144D">
        <w:rPr>
          <w:rFonts w:cs="Times New Roman"/>
          <w:szCs w:val="24"/>
        </w:rPr>
        <w:t>otráfico y el lavado de activos</w:t>
      </w:r>
      <w:r w:rsidRPr="007C144D">
        <w:rPr>
          <w:rFonts w:cs="Times New Roman"/>
          <w:szCs w:val="24"/>
        </w:rPr>
        <w:t xml:space="preserve">, para más de 550 millones decomisados y entregados  en tan solo 3 años, lo que equivale a un 80% de todo lo que se había decomisado en los 10 años anteriores. </w:t>
      </w:r>
    </w:p>
    <w:p w14:paraId="768933EF" w14:textId="16BFAB78" w:rsidR="00746A17" w:rsidRPr="002D66BC" w:rsidRDefault="00746A17" w:rsidP="00A62E94">
      <w:pPr>
        <w:pStyle w:val="Prrafodelista"/>
        <w:numPr>
          <w:ilvl w:val="0"/>
          <w:numId w:val="36"/>
        </w:numPr>
        <w:spacing w:line="480" w:lineRule="auto"/>
        <w:jc w:val="both"/>
        <w:rPr>
          <w:rFonts w:cs="Times New Roman"/>
          <w:szCs w:val="24"/>
        </w:rPr>
      </w:pPr>
      <w:r>
        <w:rPr>
          <w:rFonts w:cs="Times New Roman"/>
          <w:szCs w:val="24"/>
        </w:rPr>
        <w:t xml:space="preserve">Para perseguir y combatir el crimen de la trata de personas y el proxenetismo en el país, </w:t>
      </w:r>
      <w:r w:rsidR="007C144D">
        <w:rPr>
          <w:rFonts w:cs="Times New Roman"/>
          <w:szCs w:val="24"/>
        </w:rPr>
        <w:t xml:space="preserve">en el año 2019 se realizaron </w:t>
      </w:r>
      <w:r w:rsidR="002D66BC">
        <w:rPr>
          <w:rFonts w:cs="Times New Roman"/>
          <w:szCs w:val="24"/>
        </w:rPr>
        <w:t>87 allanamientos u operativos, logrando rescatar 226 víctimas, para un total de más</w:t>
      </w:r>
      <w:r w:rsidR="007C144D">
        <w:rPr>
          <w:rFonts w:cs="Times New Roman"/>
          <w:szCs w:val="24"/>
        </w:rPr>
        <w:t xml:space="preserve"> </w:t>
      </w:r>
      <w:r w:rsidRPr="002D66BC">
        <w:rPr>
          <w:rFonts w:cs="Times New Roman"/>
          <w:szCs w:val="24"/>
        </w:rPr>
        <w:t>de 200 allanamiento</w:t>
      </w:r>
      <w:r w:rsidR="007C144D" w:rsidRPr="00A62E94">
        <w:rPr>
          <w:rFonts w:cs="Times New Roman"/>
          <w:szCs w:val="24"/>
        </w:rPr>
        <w:t>s</w:t>
      </w:r>
      <w:r w:rsidRPr="002D66BC">
        <w:rPr>
          <w:rFonts w:cs="Times New Roman"/>
          <w:szCs w:val="24"/>
        </w:rPr>
        <w:t xml:space="preserve"> y operativos</w:t>
      </w:r>
      <w:r w:rsidR="002D66BC" w:rsidRPr="002D66BC">
        <w:rPr>
          <w:rFonts w:cs="Times New Roman"/>
          <w:szCs w:val="24"/>
        </w:rPr>
        <w:t xml:space="preserve"> y </w:t>
      </w:r>
      <w:r w:rsidRPr="002D66BC">
        <w:rPr>
          <w:rFonts w:cs="Times New Roman"/>
          <w:szCs w:val="24"/>
        </w:rPr>
        <w:t xml:space="preserve">más de 700 víctimas </w:t>
      </w:r>
      <w:r w:rsidR="002D66BC" w:rsidRPr="002D66BC">
        <w:rPr>
          <w:rFonts w:cs="Times New Roman"/>
          <w:szCs w:val="24"/>
        </w:rPr>
        <w:t>desde el año 2016</w:t>
      </w:r>
      <w:r w:rsidRPr="002D66BC">
        <w:rPr>
          <w:rFonts w:cs="Times New Roman"/>
          <w:szCs w:val="24"/>
        </w:rPr>
        <w:t xml:space="preserve">. </w:t>
      </w:r>
    </w:p>
    <w:p w14:paraId="6BBD908A" w14:textId="0CBBF5BE" w:rsidR="000A162C" w:rsidRPr="00746A17" w:rsidRDefault="00746A17" w:rsidP="00A62E94">
      <w:pPr>
        <w:pStyle w:val="Prrafodelista"/>
        <w:numPr>
          <w:ilvl w:val="0"/>
          <w:numId w:val="36"/>
        </w:numPr>
        <w:spacing w:line="480" w:lineRule="auto"/>
        <w:jc w:val="both"/>
        <w:rPr>
          <w:rFonts w:cs="Times New Roman"/>
          <w:szCs w:val="24"/>
        </w:rPr>
      </w:pPr>
      <w:r w:rsidRPr="00A62E94">
        <w:rPr>
          <w:rFonts w:cs="Times New Roman"/>
          <w:szCs w:val="24"/>
        </w:rPr>
        <w:lastRenderedPageBreak/>
        <w:t xml:space="preserve">Se realizaron numerosos operativos a nivel nacional </w:t>
      </w:r>
      <w:r w:rsidR="002D66BC">
        <w:rPr>
          <w:rFonts w:cs="Times New Roman"/>
          <w:szCs w:val="24"/>
        </w:rPr>
        <w:t>p</w:t>
      </w:r>
      <w:r w:rsidRPr="00A62E94">
        <w:rPr>
          <w:rFonts w:cs="Times New Roman"/>
          <w:szCs w:val="24"/>
        </w:rPr>
        <w:t xml:space="preserve">ara incautar las máquinas tragamonedas ilegales que invaden las comunidades de nuestro país, logrando incautar y destruir más de 2,000 máquinas tragamonedas y recuperar cerca de RD$50 millones de pesos asociados a esta actividad ilícita. </w:t>
      </w:r>
    </w:p>
    <w:p w14:paraId="519A7E7C" w14:textId="662FCF61" w:rsidR="00746A17" w:rsidRPr="00746A17" w:rsidRDefault="000A162C" w:rsidP="00A62E94">
      <w:pPr>
        <w:pStyle w:val="Prrafodelista"/>
        <w:numPr>
          <w:ilvl w:val="0"/>
          <w:numId w:val="36"/>
        </w:numPr>
        <w:spacing w:line="480" w:lineRule="auto"/>
        <w:jc w:val="both"/>
        <w:rPr>
          <w:rFonts w:cs="Times New Roman"/>
          <w:szCs w:val="24"/>
        </w:rPr>
      </w:pPr>
      <w:r w:rsidRPr="00746A17">
        <w:rPr>
          <w:rFonts w:cs="Times New Roman"/>
          <w:szCs w:val="24"/>
        </w:rPr>
        <w:t xml:space="preserve">Entre octubre 2018 y diciembre 2019 se realizaron 1,031 operativos para perseguir el delito de la </w:t>
      </w:r>
      <w:r w:rsidR="002D66BC">
        <w:rPr>
          <w:rFonts w:cs="Times New Roman"/>
          <w:szCs w:val="24"/>
        </w:rPr>
        <w:t>c</w:t>
      </w:r>
      <w:r w:rsidRPr="00746A17">
        <w:rPr>
          <w:rFonts w:cs="Times New Roman"/>
          <w:szCs w:val="24"/>
        </w:rPr>
        <w:t>ontaminación sónica, fruto de lo cual se incautaron 17,037 equipos de sonido, de los cuales 6,780 fueron destruidos y 3,500 fueron donados. Asimismo fueron cerrados 61 establecimientos ruidosos, y se recaudaron RD$16</w:t>
      </w:r>
      <w:proofErr w:type="gramStart"/>
      <w:r w:rsidRPr="00746A17">
        <w:rPr>
          <w:rFonts w:cs="Times New Roman"/>
          <w:szCs w:val="24"/>
        </w:rPr>
        <w:t>,280,244.00</w:t>
      </w:r>
      <w:proofErr w:type="gramEnd"/>
      <w:r w:rsidRPr="00746A17">
        <w:rPr>
          <w:rFonts w:cs="Times New Roman"/>
          <w:szCs w:val="24"/>
        </w:rPr>
        <w:t xml:space="preserve"> pesos dominicanos</w:t>
      </w:r>
      <w:r w:rsidR="00746A17">
        <w:rPr>
          <w:rFonts w:cs="Times New Roman"/>
          <w:szCs w:val="24"/>
        </w:rPr>
        <w:t>.</w:t>
      </w:r>
    </w:p>
    <w:p w14:paraId="7A3B2AC3" w14:textId="5333B865" w:rsidR="000A162C" w:rsidRDefault="00746A17" w:rsidP="00A62E94">
      <w:pPr>
        <w:pStyle w:val="Prrafodelista"/>
        <w:numPr>
          <w:ilvl w:val="0"/>
          <w:numId w:val="36"/>
        </w:numPr>
        <w:spacing w:line="480" w:lineRule="auto"/>
        <w:jc w:val="both"/>
        <w:rPr>
          <w:rFonts w:cs="Times New Roman"/>
          <w:szCs w:val="24"/>
        </w:rPr>
      </w:pPr>
      <w:r>
        <w:rPr>
          <w:rFonts w:cs="Times New Roman"/>
          <w:szCs w:val="24"/>
        </w:rPr>
        <w:t>En materia de persecución de crímenes y delitos de alta tecnología</w:t>
      </w:r>
      <w:r w:rsidR="000A162C" w:rsidRPr="00746A17">
        <w:rPr>
          <w:rFonts w:cs="Times New Roman"/>
          <w:szCs w:val="24"/>
        </w:rPr>
        <w:t>, desde principios del año 2019 hasta el mes de noviembre la Procuraduría Especializada Contra los Crímenes y Delitos de Alta Tecnología ha investigado alrededor de 7,728 alertas de niños y niñas desaparecidos o explotados con el objetivo de perseguir a los responsables. Asimismo se ha logrado entregar a los fiscales la cantidad de 2,003 videos, 1,100 datos y 59 audios como medios de prueba de casos que involucran el abuso sexual infantil.</w:t>
      </w:r>
    </w:p>
    <w:p w14:paraId="753E1F37" w14:textId="77777777" w:rsidR="006D0A4C" w:rsidRDefault="006D0A4C" w:rsidP="006D0A4C">
      <w:pPr>
        <w:pStyle w:val="Prrafodelista"/>
        <w:numPr>
          <w:ilvl w:val="0"/>
          <w:numId w:val="36"/>
        </w:numPr>
        <w:spacing w:line="480" w:lineRule="auto"/>
        <w:jc w:val="both"/>
        <w:rPr>
          <w:rFonts w:cs="Times New Roman"/>
          <w:szCs w:val="24"/>
        </w:rPr>
      </w:pPr>
      <w:r w:rsidRPr="006D0A4C">
        <w:rPr>
          <w:rFonts w:cs="Times New Roman"/>
          <w:szCs w:val="24"/>
        </w:rPr>
        <w:t xml:space="preserve">Para el combate efectivo de los principales crímenes y delitos que afectan a la sociedad dominicana, fueron creadas la </w:t>
      </w:r>
      <w:r w:rsidRPr="006D0A4C">
        <w:rPr>
          <w:rFonts w:cs="Times New Roman"/>
          <w:i/>
          <w:szCs w:val="24"/>
        </w:rPr>
        <w:t>Unidad de Investigación Criminal</w:t>
      </w:r>
      <w:r w:rsidRPr="006D0A4C">
        <w:rPr>
          <w:rFonts w:cs="Times New Roman"/>
          <w:b/>
          <w:szCs w:val="24"/>
        </w:rPr>
        <w:t xml:space="preserve"> </w:t>
      </w:r>
      <w:r w:rsidRPr="006D0A4C">
        <w:rPr>
          <w:rFonts w:cs="Times New Roman"/>
          <w:szCs w:val="24"/>
        </w:rPr>
        <w:t>y</w:t>
      </w:r>
      <w:r w:rsidRPr="006D0A4C">
        <w:rPr>
          <w:rFonts w:cs="Times New Roman"/>
          <w:b/>
          <w:szCs w:val="24"/>
        </w:rPr>
        <w:t xml:space="preserve"> </w:t>
      </w:r>
      <w:r w:rsidRPr="006D0A4C">
        <w:rPr>
          <w:rFonts w:cs="Times New Roman"/>
          <w:i/>
          <w:szCs w:val="24"/>
        </w:rPr>
        <w:t>la Unidad de Investigación de Delitos Financieros del Ministerio Público</w:t>
      </w:r>
      <w:r w:rsidRPr="006D0A4C">
        <w:rPr>
          <w:rFonts w:cs="Times New Roman"/>
          <w:szCs w:val="24"/>
        </w:rPr>
        <w:t>, las cuales tienen por finalidad brindar apoyo especializado a las fiscalías y unidades investigativas en lo relativo a la persecución de los delitos de alta complejidad.</w:t>
      </w:r>
    </w:p>
    <w:p w14:paraId="3077DDCC" w14:textId="1D9BC477" w:rsidR="002203B0" w:rsidRPr="006D0A4C" w:rsidRDefault="002203B0" w:rsidP="006D0A4C">
      <w:pPr>
        <w:pStyle w:val="Prrafodelista"/>
        <w:numPr>
          <w:ilvl w:val="0"/>
          <w:numId w:val="36"/>
        </w:numPr>
        <w:spacing w:line="480" w:lineRule="auto"/>
        <w:jc w:val="both"/>
        <w:rPr>
          <w:rFonts w:cs="Times New Roman"/>
          <w:szCs w:val="24"/>
        </w:rPr>
      </w:pPr>
      <w:r>
        <w:rPr>
          <w:rFonts w:cs="Times New Roman"/>
          <w:szCs w:val="24"/>
        </w:rPr>
        <w:t>Se inauguró una nueva fiscalía de tránsito en el Distrito Nacional y un nuevo local para la regional del INACIF en el norte del país.</w:t>
      </w:r>
    </w:p>
    <w:p w14:paraId="32FFE631" w14:textId="744688D9" w:rsidR="006D0A4C" w:rsidRPr="006D0A4C" w:rsidRDefault="006D0A4C" w:rsidP="00A62E94">
      <w:pPr>
        <w:pStyle w:val="Prrafodelista"/>
        <w:numPr>
          <w:ilvl w:val="0"/>
          <w:numId w:val="36"/>
        </w:numPr>
        <w:spacing w:line="480" w:lineRule="auto"/>
        <w:jc w:val="both"/>
        <w:rPr>
          <w:rFonts w:cs="Times New Roman"/>
          <w:szCs w:val="24"/>
        </w:rPr>
      </w:pPr>
      <w:r w:rsidRPr="006D0A4C">
        <w:rPr>
          <w:rFonts w:cs="Times New Roman"/>
          <w:szCs w:val="24"/>
        </w:rPr>
        <w:t xml:space="preserve">En el marco del Plan de Acción del Grupo de Acción Financiera Internacional (GAFI), fue superado el proceso de evaluación-país y en la actualidad se </w:t>
      </w:r>
      <w:r w:rsidRPr="006D0A4C">
        <w:rPr>
          <w:rFonts w:cs="Times New Roman"/>
          <w:szCs w:val="24"/>
        </w:rPr>
        <w:lastRenderedPageBreak/>
        <w:t>continúan ejecutando acciones tendentes a mejorar las capacidades para la persecución de los delitos de lavado de activos, por lo que en el año 2019 se formaron 215 fiscales en materia de lavado de activos, se elaboró el Manual del Plan de Investigación para República Dominicana y se gestionaron fondos ascendentes a RD$ 410,000.00 para la formación de 35 fiscales en materia de lavado de activos y lucha contra el narcotráfico, lo cual contó con el apoyo de la Oficina de las Naciones Unidas contra la Droga y el Delito (UNODC).</w:t>
      </w:r>
    </w:p>
    <w:p w14:paraId="7BCB6A88" w14:textId="68D4AA68" w:rsidR="006230D7" w:rsidRDefault="00A17396" w:rsidP="00370DC0">
      <w:pPr>
        <w:pStyle w:val="Estilo7"/>
        <w:numPr>
          <w:ilvl w:val="1"/>
          <w:numId w:val="14"/>
        </w:numPr>
        <w:rPr>
          <w:rStyle w:val="Estilo7Car"/>
          <w:rFonts w:eastAsiaTheme="minorHAnsi"/>
          <w:b/>
        </w:rPr>
      </w:pPr>
      <w:bookmarkStart w:id="18" w:name="_Toc29820573"/>
      <w:bookmarkStart w:id="19" w:name="_Toc29891698"/>
      <w:bookmarkEnd w:id="18"/>
      <w:r w:rsidRPr="00A62E94">
        <w:rPr>
          <w:rStyle w:val="Estilo7Car"/>
          <w:rFonts w:eastAsiaTheme="minorHAnsi"/>
          <w:b/>
        </w:rPr>
        <w:t>Fortalecimiento institucional</w:t>
      </w:r>
      <w:bookmarkEnd w:id="19"/>
    </w:p>
    <w:p w14:paraId="419A5104" w14:textId="77777777" w:rsidR="00370DC0" w:rsidRPr="00370DC0" w:rsidRDefault="00370DC0" w:rsidP="00370DC0">
      <w:pPr>
        <w:pStyle w:val="Estilo7"/>
        <w:numPr>
          <w:ilvl w:val="0"/>
          <w:numId w:val="0"/>
        </w:numPr>
        <w:ind w:left="1620"/>
        <w:rPr>
          <w:rFonts w:eastAsiaTheme="minorHAnsi"/>
          <w:bCs w:val="0"/>
        </w:rPr>
      </w:pPr>
    </w:p>
    <w:p w14:paraId="0AAD23D4" w14:textId="77CC6E2D" w:rsidR="006230D7" w:rsidRDefault="006230D7" w:rsidP="006230D7">
      <w:pPr>
        <w:spacing w:line="480" w:lineRule="auto"/>
        <w:ind w:firstLine="360"/>
        <w:jc w:val="both"/>
        <w:rPr>
          <w:rFonts w:cs="Times New Roman"/>
          <w:szCs w:val="24"/>
          <w:lang w:val="es-ES"/>
        </w:rPr>
      </w:pPr>
      <w:r w:rsidRPr="00B53F70">
        <w:rPr>
          <w:rFonts w:cs="Times New Roman"/>
          <w:szCs w:val="24"/>
          <w:lang w:val="es-ES"/>
        </w:rPr>
        <w:t xml:space="preserve">Durante </w:t>
      </w:r>
      <w:r>
        <w:rPr>
          <w:rFonts w:cs="Times New Roman"/>
          <w:szCs w:val="24"/>
          <w:lang w:val="es-ES"/>
        </w:rPr>
        <w:t>el año 2019 la institución logró</w:t>
      </w:r>
      <w:r w:rsidRPr="00B53F70">
        <w:rPr>
          <w:rFonts w:cs="Times New Roman"/>
          <w:szCs w:val="24"/>
          <w:lang w:val="es-ES"/>
        </w:rPr>
        <w:t xml:space="preserve"> un importante fortalecimiento institucional, a través de las iniciativas y acciones desarrolla</w:t>
      </w:r>
      <w:r w:rsidR="00A94106">
        <w:rPr>
          <w:rFonts w:cs="Times New Roman"/>
          <w:szCs w:val="24"/>
          <w:lang w:val="es-ES"/>
        </w:rPr>
        <w:t>da</w:t>
      </w:r>
      <w:r w:rsidRPr="00B53F70">
        <w:rPr>
          <w:rFonts w:cs="Times New Roman"/>
          <w:szCs w:val="24"/>
          <w:lang w:val="es-ES"/>
        </w:rPr>
        <w:t>s para contribuir a la mejora de la eficiencia y la eficacia de la organización</w:t>
      </w:r>
      <w:r>
        <w:rPr>
          <w:rFonts w:cs="Times New Roman"/>
          <w:szCs w:val="24"/>
          <w:lang w:val="es-ES"/>
        </w:rPr>
        <w:t>:</w:t>
      </w:r>
    </w:p>
    <w:p w14:paraId="2AE6E49A" w14:textId="77894C14" w:rsidR="00C61696" w:rsidRPr="00C61696" w:rsidRDefault="003A7C41" w:rsidP="00A62E94">
      <w:pPr>
        <w:pStyle w:val="Prrafodelista"/>
        <w:numPr>
          <w:ilvl w:val="0"/>
          <w:numId w:val="34"/>
        </w:numPr>
        <w:spacing w:line="480" w:lineRule="auto"/>
        <w:jc w:val="both"/>
        <w:rPr>
          <w:rFonts w:cs="Times New Roman"/>
          <w:szCs w:val="24"/>
        </w:rPr>
      </w:pPr>
      <w:r w:rsidRPr="003A7C41">
        <w:rPr>
          <w:rFonts w:cs="Times New Roman"/>
          <w:szCs w:val="24"/>
        </w:rPr>
        <w:t xml:space="preserve">Como resultado del </w:t>
      </w:r>
      <w:r w:rsidRPr="003A7C41">
        <w:rPr>
          <w:rFonts w:cs="Times New Roman"/>
          <w:szCs w:val="24"/>
          <w:lang w:val="es-ES"/>
        </w:rPr>
        <w:t xml:space="preserve">Cuarto Concurso de Oposición para Aspirantes a Fiscalizador y Fiscalizadora 2017-2018, desarrollado para ocupar 267 plazas en diferentes jurisdicciones a nivel nacional, se </w:t>
      </w:r>
      <w:r>
        <w:rPr>
          <w:rFonts w:cs="Times New Roman"/>
          <w:szCs w:val="24"/>
          <w:lang w:val="es-ES"/>
        </w:rPr>
        <w:t>graduaron</w:t>
      </w:r>
      <w:r w:rsidRPr="003A7C41">
        <w:rPr>
          <w:rFonts w:cs="Times New Roman"/>
          <w:szCs w:val="24"/>
          <w:lang w:val="es-ES"/>
        </w:rPr>
        <w:t xml:space="preserve"> 172 fiscalizadores para su posterior incorporación a la Carrera del Ministerio Público, con miras al fortalecimiento del</w:t>
      </w:r>
      <w:r w:rsidR="00C61696">
        <w:rPr>
          <w:rFonts w:cs="Times New Roman"/>
          <w:szCs w:val="24"/>
          <w:lang w:val="es-ES"/>
        </w:rPr>
        <w:t xml:space="preserve"> Sistema de Justicia Dominicano. Una vez se complete la incorporación de todos los fiscalizadores formados en el marco de dicho concurso, la institución habrá logrado que </w:t>
      </w:r>
      <w:r w:rsidR="00C61696">
        <w:rPr>
          <w:rFonts w:cs="Times New Roman"/>
          <w:szCs w:val="24"/>
        </w:rPr>
        <w:t>desde 2016 se hayan incorporado</w:t>
      </w:r>
      <w:r w:rsidR="00C61696" w:rsidRPr="00C61696">
        <w:rPr>
          <w:rFonts w:cs="Times New Roman"/>
          <w:szCs w:val="24"/>
        </w:rPr>
        <w:t xml:space="preserve"> 559 nuevos </w:t>
      </w:r>
      <w:r w:rsidR="008D75D9">
        <w:rPr>
          <w:rFonts w:cs="Times New Roman"/>
          <w:szCs w:val="24"/>
        </w:rPr>
        <w:t>fiscales de carrera al Ministerio Público</w:t>
      </w:r>
      <w:r w:rsidR="00C61696" w:rsidRPr="00C61696">
        <w:rPr>
          <w:rFonts w:cs="Times New Roman"/>
          <w:szCs w:val="24"/>
        </w:rPr>
        <w:t xml:space="preserve">, aumentando en un 50% la matrícula de miembros de carrera. </w:t>
      </w:r>
    </w:p>
    <w:p w14:paraId="105097E6" w14:textId="5D60F8A4" w:rsidR="00C61696" w:rsidRPr="00C61696" w:rsidRDefault="00C61696" w:rsidP="00A62E94">
      <w:pPr>
        <w:pStyle w:val="Prrafodelista"/>
        <w:numPr>
          <w:ilvl w:val="0"/>
          <w:numId w:val="34"/>
        </w:numPr>
        <w:spacing w:line="480" w:lineRule="auto"/>
        <w:jc w:val="both"/>
        <w:rPr>
          <w:rFonts w:cs="Times New Roman"/>
          <w:szCs w:val="24"/>
        </w:rPr>
      </w:pPr>
      <w:r>
        <w:rPr>
          <w:rFonts w:cs="Times New Roman"/>
          <w:szCs w:val="24"/>
        </w:rPr>
        <w:t xml:space="preserve">En </w:t>
      </w:r>
      <w:r w:rsidRPr="00A94106">
        <w:rPr>
          <w:rFonts w:cs="Times New Roman"/>
          <w:szCs w:val="24"/>
        </w:rPr>
        <w:t>lo que respecta a la carrera especial del Ministerio Público, durante 2019 se implementó la evaluación del desempeño por primera vez en la institución, logrando impactar 950 miembros</w:t>
      </w:r>
      <w:r>
        <w:rPr>
          <w:rFonts w:cs="Times New Roman"/>
          <w:szCs w:val="24"/>
        </w:rPr>
        <w:t>.</w:t>
      </w:r>
    </w:p>
    <w:p w14:paraId="002972B5" w14:textId="2538BF42" w:rsidR="003A7C41" w:rsidRPr="00A62E94" w:rsidRDefault="00A94106" w:rsidP="00A62E94">
      <w:pPr>
        <w:pStyle w:val="Prrafodelista"/>
        <w:numPr>
          <w:ilvl w:val="0"/>
          <w:numId w:val="34"/>
        </w:numPr>
        <w:spacing w:line="480" w:lineRule="auto"/>
        <w:jc w:val="both"/>
        <w:rPr>
          <w:rFonts w:cs="Times New Roman"/>
          <w:szCs w:val="24"/>
        </w:rPr>
      </w:pPr>
      <w:r>
        <w:rPr>
          <w:rFonts w:cs="Times New Roman"/>
          <w:szCs w:val="24"/>
        </w:rPr>
        <w:t>Con el objetivo de contar con un Ministerio Público cada vez más</w:t>
      </w:r>
      <w:r w:rsidR="003A7C41">
        <w:rPr>
          <w:rFonts w:cs="Times New Roman"/>
          <w:szCs w:val="24"/>
        </w:rPr>
        <w:t xml:space="preserve"> capacitado, </w:t>
      </w:r>
      <w:r>
        <w:rPr>
          <w:rFonts w:cs="Times New Roman"/>
          <w:szCs w:val="24"/>
        </w:rPr>
        <w:t xml:space="preserve">especializado y actualizado, </w:t>
      </w:r>
      <w:r w:rsidR="003A7C41">
        <w:rPr>
          <w:rFonts w:cs="Times New Roman"/>
          <w:szCs w:val="24"/>
        </w:rPr>
        <w:t xml:space="preserve">durante el año 2019 </w:t>
      </w:r>
      <w:r w:rsidRPr="00A94106">
        <w:rPr>
          <w:rFonts w:cs="Times New Roman"/>
          <w:szCs w:val="24"/>
        </w:rPr>
        <w:t>e</w:t>
      </w:r>
      <w:r>
        <w:rPr>
          <w:rFonts w:cs="Times New Roman"/>
          <w:szCs w:val="24"/>
        </w:rPr>
        <w:t xml:space="preserve">l instituto de educación superior </w:t>
      </w:r>
      <w:r w:rsidR="006230D7" w:rsidRPr="00A94106">
        <w:rPr>
          <w:rFonts w:cs="Times New Roman"/>
          <w:szCs w:val="24"/>
          <w:lang w:val="es-ES"/>
        </w:rPr>
        <w:lastRenderedPageBreak/>
        <w:t xml:space="preserve">Escuela Nacional del Ministerio Público </w:t>
      </w:r>
      <w:r w:rsidR="003A7C41">
        <w:rPr>
          <w:rFonts w:cs="Times New Roman"/>
          <w:szCs w:val="24"/>
          <w:lang w:val="es-ES"/>
        </w:rPr>
        <w:t>ejecutó una variada</w:t>
      </w:r>
      <w:r w:rsidRPr="00A94106">
        <w:rPr>
          <w:rFonts w:cs="Times New Roman"/>
          <w:szCs w:val="24"/>
          <w:lang w:val="es-ES"/>
        </w:rPr>
        <w:t xml:space="preserve"> programación académica </w:t>
      </w:r>
      <w:r w:rsidR="003A7C41">
        <w:rPr>
          <w:rFonts w:cs="Times New Roman"/>
          <w:szCs w:val="24"/>
          <w:lang w:val="es-ES"/>
        </w:rPr>
        <w:t xml:space="preserve">sujeta a las necesidades de la institución, logrando ejecutar en </w:t>
      </w:r>
      <w:r w:rsidR="003A7C41" w:rsidRPr="00A94106">
        <w:rPr>
          <w:rFonts w:cs="Times New Roman"/>
          <w:szCs w:val="24"/>
          <w:lang w:val="es-ES"/>
        </w:rPr>
        <w:t>los meses comprendidos entre enero y octubre</w:t>
      </w:r>
      <w:r w:rsidR="003A7C41">
        <w:rPr>
          <w:rFonts w:cs="Times New Roman"/>
          <w:szCs w:val="24"/>
          <w:lang w:val="es-ES"/>
        </w:rPr>
        <w:t xml:space="preserve"> 292 acciones formativas e </w:t>
      </w:r>
      <w:r w:rsidRPr="00A94106">
        <w:rPr>
          <w:rFonts w:cs="Times New Roman"/>
          <w:szCs w:val="24"/>
          <w:lang w:val="es-ES"/>
        </w:rPr>
        <w:t xml:space="preserve">impactando un total de 7,718 colaboradores del Ministerio Público, superando </w:t>
      </w:r>
      <w:r w:rsidR="003A7C41">
        <w:rPr>
          <w:rFonts w:cs="Times New Roman"/>
          <w:szCs w:val="24"/>
          <w:lang w:val="es-ES"/>
        </w:rPr>
        <w:t xml:space="preserve">así </w:t>
      </w:r>
      <w:r w:rsidRPr="00A94106">
        <w:rPr>
          <w:rFonts w:cs="Times New Roman"/>
          <w:szCs w:val="24"/>
          <w:lang w:val="es-ES"/>
        </w:rPr>
        <w:t>la cifra de personas impactadas en 2018 de 6,267</w:t>
      </w:r>
      <w:r w:rsidR="003A7C41">
        <w:rPr>
          <w:rFonts w:cs="Times New Roman"/>
          <w:szCs w:val="24"/>
          <w:lang w:val="es-ES"/>
        </w:rPr>
        <w:t>.</w:t>
      </w:r>
      <w:r w:rsidR="008D75D9">
        <w:rPr>
          <w:rFonts w:cs="Times New Roman"/>
          <w:szCs w:val="24"/>
          <w:lang w:val="es-ES"/>
        </w:rPr>
        <w:t xml:space="preserve"> De esta forma, ha logrado duplicarse </w:t>
      </w:r>
      <w:r w:rsidR="008D75D9" w:rsidRPr="00A62E94">
        <w:rPr>
          <w:rFonts w:cs="Times New Roman"/>
          <w:bCs/>
          <w:szCs w:val="24"/>
          <w:lang w:val="es-ES"/>
        </w:rPr>
        <w:t>la</w:t>
      </w:r>
      <w:r w:rsidR="008D75D9" w:rsidRPr="00A62E94">
        <w:rPr>
          <w:rFonts w:cs="Times New Roman"/>
          <w:szCs w:val="24"/>
          <w:lang w:val="es-ES"/>
        </w:rPr>
        <w:t xml:space="preserve"> oferta académica existente</w:t>
      </w:r>
      <w:r w:rsidR="008D75D9">
        <w:rPr>
          <w:rFonts w:cs="Times New Roman"/>
          <w:szCs w:val="24"/>
          <w:lang w:val="es-ES"/>
        </w:rPr>
        <w:t xml:space="preserve"> al año 2016, </w:t>
      </w:r>
      <w:r w:rsidR="008D75D9" w:rsidRPr="00A62E94">
        <w:rPr>
          <w:rFonts w:cs="Times New Roman"/>
          <w:szCs w:val="24"/>
          <w:lang w:val="es-ES"/>
        </w:rPr>
        <w:t>la cual era de 150 capacitaciones y 2,400 capaci</w:t>
      </w:r>
      <w:r w:rsidR="008D75D9" w:rsidRPr="008D75D9">
        <w:rPr>
          <w:rFonts w:cs="Times New Roman"/>
          <w:szCs w:val="24"/>
          <w:lang w:val="es-ES"/>
        </w:rPr>
        <w:t>tados,</w:t>
      </w:r>
      <w:r w:rsidR="008D75D9">
        <w:rPr>
          <w:rFonts w:cs="Times New Roman"/>
          <w:szCs w:val="24"/>
          <w:lang w:val="es-ES"/>
        </w:rPr>
        <w:t xml:space="preserve"> además de triplicar </w:t>
      </w:r>
      <w:r w:rsidR="008D75D9" w:rsidRPr="00A62E94">
        <w:rPr>
          <w:rFonts w:cs="Times New Roman"/>
          <w:szCs w:val="24"/>
          <w:lang w:val="es-ES"/>
        </w:rPr>
        <w:t>la cantidad de participantes en estas actividades formativas, contando ahora con casi 300 capacitaciones disponibles en la Escuela Nacional del Ministerio Público y más de 7,000 capacitados anualmente.</w:t>
      </w:r>
    </w:p>
    <w:p w14:paraId="389898D8" w14:textId="26465C9B" w:rsidR="00A17396" w:rsidRPr="00370DC0" w:rsidRDefault="00A94106" w:rsidP="00370DC0">
      <w:pPr>
        <w:pStyle w:val="Prrafodelista"/>
        <w:numPr>
          <w:ilvl w:val="0"/>
          <w:numId w:val="34"/>
        </w:numPr>
        <w:spacing w:line="480" w:lineRule="auto"/>
        <w:jc w:val="both"/>
        <w:rPr>
          <w:rStyle w:val="Estilo7Car"/>
          <w:rFonts w:eastAsiaTheme="minorHAnsi" w:cs="Times New Roman"/>
          <w:b w:val="0"/>
          <w:bCs w:val="0"/>
          <w:noProof w:val="0"/>
          <w:color w:val="000000" w:themeColor="text1"/>
          <w:spacing w:val="0"/>
          <w:sz w:val="24"/>
          <w:szCs w:val="24"/>
          <w:lang w:eastAsia="en-US"/>
        </w:rPr>
      </w:pPr>
      <w:r w:rsidRPr="003A7C41">
        <w:rPr>
          <w:rFonts w:cs="Times New Roman"/>
          <w:szCs w:val="24"/>
        </w:rPr>
        <w:t xml:space="preserve">A través de la </w:t>
      </w:r>
      <w:r w:rsidR="006230D7" w:rsidRPr="003A7C41">
        <w:rPr>
          <w:rFonts w:cs="Times New Roman"/>
          <w:szCs w:val="24"/>
          <w:lang w:val="es-ES"/>
        </w:rPr>
        <w:t>Escuela Nacional Penitenciaria (de formación y capacitación técnica del personal penitenciario),</w:t>
      </w:r>
      <w:r w:rsidR="003A7C41" w:rsidRPr="003A7C41">
        <w:rPr>
          <w:rFonts w:cs="Times New Roman"/>
          <w:szCs w:val="24"/>
          <w:lang w:val="es-ES"/>
        </w:rPr>
        <w:t xml:space="preserve"> </w:t>
      </w:r>
      <w:r w:rsidR="006230D7" w:rsidRPr="003A7C41">
        <w:rPr>
          <w:rFonts w:cs="Times New Roman"/>
          <w:szCs w:val="24"/>
          <w:lang w:val="es-ES"/>
        </w:rPr>
        <w:t>se recibieron como agentes de vigilancia y tratamiento penitenciario, doscientos diecinueve (219) nuevos servidores, y fue aperturado el curso VTP para la 25ª. Promoción, con cuatrocientos noventa y ocho (498) Agentes en Formación.</w:t>
      </w:r>
    </w:p>
    <w:p w14:paraId="79793228" w14:textId="3CFE6B1D" w:rsidR="00A17396" w:rsidRDefault="00A17396" w:rsidP="00A62E94">
      <w:pPr>
        <w:pStyle w:val="Estilo7"/>
        <w:numPr>
          <w:ilvl w:val="1"/>
          <w:numId w:val="14"/>
        </w:numPr>
        <w:rPr>
          <w:rStyle w:val="Estilo7Car"/>
          <w:rFonts w:eastAsiaTheme="minorHAnsi"/>
          <w:b/>
        </w:rPr>
      </w:pPr>
      <w:bookmarkStart w:id="20" w:name="_Toc29891699"/>
      <w:r w:rsidRPr="00A62E94">
        <w:rPr>
          <w:rStyle w:val="Estilo7Car"/>
          <w:rFonts w:eastAsiaTheme="minorHAnsi"/>
          <w:b/>
        </w:rPr>
        <w:t>Servicio al Ciudadano</w:t>
      </w:r>
      <w:bookmarkEnd w:id="20"/>
    </w:p>
    <w:p w14:paraId="2EA0C564" w14:textId="77777777" w:rsidR="00A17396" w:rsidRPr="00A62E94" w:rsidRDefault="00A17396" w:rsidP="00A62E94">
      <w:pPr>
        <w:pStyle w:val="Estilo7"/>
        <w:numPr>
          <w:ilvl w:val="0"/>
          <w:numId w:val="0"/>
        </w:numPr>
        <w:ind w:left="1620"/>
        <w:rPr>
          <w:rStyle w:val="Estilo7Car"/>
          <w:rFonts w:eastAsiaTheme="minorHAnsi"/>
          <w:b/>
        </w:rPr>
      </w:pPr>
    </w:p>
    <w:p w14:paraId="1A1B1814" w14:textId="05BC8CC5" w:rsidR="001E7AB0" w:rsidRDefault="00A17396" w:rsidP="001E7AB0">
      <w:pPr>
        <w:spacing w:line="480" w:lineRule="auto"/>
        <w:ind w:firstLine="708"/>
        <w:jc w:val="both"/>
        <w:rPr>
          <w:rFonts w:cs="Times New Roman"/>
          <w:szCs w:val="24"/>
        </w:rPr>
      </w:pPr>
      <w:r>
        <w:rPr>
          <w:rFonts w:cs="Times New Roman"/>
          <w:szCs w:val="24"/>
          <w:lang w:val="es-ES"/>
        </w:rPr>
        <w:t xml:space="preserve">La </w:t>
      </w:r>
      <w:r>
        <w:rPr>
          <w:rFonts w:cs="Times New Roman"/>
          <w:szCs w:val="24"/>
        </w:rPr>
        <w:t>Procuraduría General de la República (PGR)</w:t>
      </w:r>
      <w:r w:rsidR="000F2D79">
        <w:rPr>
          <w:rFonts w:cs="Times New Roman"/>
          <w:szCs w:val="24"/>
        </w:rPr>
        <w:t>, a través de la Secretaría General del Ministerio Público,</w:t>
      </w:r>
      <w:r>
        <w:rPr>
          <w:rFonts w:cs="Times New Roman"/>
          <w:szCs w:val="24"/>
        </w:rPr>
        <w:t xml:space="preserve"> ha contribuido al acercamiento del gobierno al ciudadano, concretizando proyectos entre e</w:t>
      </w:r>
      <w:r w:rsidR="001E7AB0">
        <w:rPr>
          <w:rFonts w:cs="Times New Roman"/>
          <w:szCs w:val="24"/>
        </w:rPr>
        <w:t xml:space="preserve">l año 2018 y 2019, dirigidos a </w:t>
      </w:r>
      <w:r>
        <w:rPr>
          <w:rFonts w:cs="Times New Roman"/>
          <w:szCs w:val="24"/>
        </w:rPr>
        <w:t xml:space="preserve">brindar una atención al usuario más personalizada, </w:t>
      </w:r>
      <w:r w:rsidR="001E7AB0" w:rsidRPr="00BD4C59">
        <w:rPr>
          <w:rFonts w:cs="Times New Roman"/>
          <w:szCs w:val="24"/>
        </w:rPr>
        <w:t>moderna y ajustada a los avances tecnológicos, con enfoque especial en reducir los tiempos de espera y eliminar cada vez más las filas, ahorrando tiempo y dinero a la ciudadanía. En ese orden, los principales logros de la gestión fueron</w:t>
      </w:r>
      <w:r w:rsidR="001E7AB0">
        <w:rPr>
          <w:rFonts w:cs="Times New Roman"/>
          <w:szCs w:val="24"/>
        </w:rPr>
        <w:t xml:space="preserve"> los siguientes:</w:t>
      </w:r>
    </w:p>
    <w:p w14:paraId="4B2C3A4B" w14:textId="242AF595" w:rsidR="00A17396" w:rsidRPr="00E4148D" w:rsidRDefault="00A17396" w:rsidP="00370DC0">
      <w:pPr>
        <w:pStyle w:val="Prrafodelista"/>
        <w:numPr>
          <w:ilvl w:val="0"/>
          <w:numId w:val="15"/>
        </w:numPr>
        <w:spacing w:line="480" w:lineRule="auto"/>
        <w:jc w:val="both"/>
      </w:pPr>
      <w:r>
        <w:rPr>
          <w:rFonts w:cs="Times New Roman"/>
          <w:szCs w:val="24"/>
        </w:rPr>
        <w:t>F</w:t>
      </w:r>
      <w:r w:rsidRPr="00CB04B1">
        <w:rPr>
          <w:rFonts w:cs="Times New Roman"/>
          <w:szCs w:val="24"/>
        </w:rPr>
        <w:t xml:space="preserve">ue implementado el sistema de turnos “E-Flow” en el Centro de Atención al Ciudadano del Distrito Nacional, </w:t>
      </w:r>
      <w:r>
        <w:rPr>
          <w:rFonts w:cs="Times New Roman"/>
          <w:szCs w:val="24"/>
        </w:rPr>
        <w:t xml:space="preserve">a raíz de la </w:t>
      </w:r>
      <w:r w:rsidRPr="00CB04B1">
        <w:rPr>
          <w:rFonts w:cs="Times New Roman"/>
          <w:szCs w:val="24"/>
        </w:rPr>
        <w:t>gran afluencia de ciudadanos</w:t>
      </w:r>
      <w:r>
        <w:rPr>
          <w:rFonts w:cs="Times New Roman"/>
          <w:szCs w:val="24"/>
        </w:rPr>
        <w:t xml:space="preserve"> que </w:t>
      </w:r>
      <w:r>
        <w:rPr>
          <w:rFonts w:cs="Times New Roman"/>
          <w:szCs w:val="24"/>
        </w:rPr>
        <w:lastRenderedPageBreak/>
        <w:t>recibe cada día este punto de servicio, a través de mismo se buscaba poder contribuir a la optimización</w:t>
      </w:r>
      <w:r w:rsidRPr="00CB04B1">
        <w:rPr>
          <w:rFonts w:cs="Times New Roman"/>
          <w:szCs w:val="24"/>
        </w:rPr>
        <w:t xml:space="preserve"> </w:t>
      </w:r>
      <w:r>
        <w:rPr>
          <w:rFonts w:cs="Times New Roman"/>
          <w:szCs w:val="24"/>
        </w:rPr>
        <w:t>d</w:t>
      </w:r>
      <w:r w:rsidRPr="00CB04B1">
        <w:rPr>
          <w:rFonts w:cs="Times New Roman"/>
          <w:szCs w:val="24"/>
        </w:rPr>
        <w:t xml:space="preserve">el tiempo </w:t>
      </w:r>
      <w:r>
        <w:rPr>
          <w:rFonts w:cs="Times New Roman"/>
          <w:szCs w:val="24"/>
        </w:rPr>
        <w:t xml:space="preserve">consumido por </w:t>
      </w:r>
      <w:r w:rsidRPr="00CB04B1">
        <w:rPr>
          <w:rFonts w:cs="Times New Roman"/>
          <w:szCs w:val="24"/>
        </w:rPr>
        <w:t>el servicio</w:t>
      </w:r>
      <w:r>
        <w:rPr>
          <w:rFonts w:cs="Times New Roman"/>
          <w:szCs w:val="24"/>
        </w:rPr>
        <w:t>.</w:t>
      </w:r>
    </w:p>
    <w:p w14:paraId="7B63D2EA" w14:textId="1D642480" w:rsidR="00A17396" w:rsidRDefault="00A17396" w:rsidP="00370DC0">
      <w:pPr>
        <w:pStyle w:val="Prrafodelista"/>
        <w:numPr>
          <w:ilvl w:val="0"/>
          <w:numId w:val="15"/>
        </w:numPr>
        <w:spacing w:line="480" w:lineRule="auto"/>
        <w:jc w:val="both"/>
      </w:pPr>
      <w:r>
        <w:rPr>
          <w:rFonts w:cs="Times New Roman"/>
          <w:szCs w:val="24"/>
        </w:rPr>
        <w:t>Fue incorporada</w:t>
      </w:r>
      <w:r w:rsidRPr="00D63F31">
        <w:rPr>
          <w:rFonts w:cs="Times New Roman"/>
          <w:szCs w:val="24"/>
        </w:rPr>
        <w:t xml:space="preserve"> la nueva Estafeta de Atención al Ciud</w:t>
      </w:r>
      <w:r>
        <w:rPr>
          <w:rFonts w:cs="Times New Roman"/>
          <w:szCs w:val="24"/>
        </w:rPr>
        <w:t>adano en el Punto GOB de Sambil, lo mismo fue realizado</w:t>
      </w:r>
      <w:r w:rsidRPr="00D63F31">
        <w:rPr>
          <w:rFonts w:cs="Times New Roman"/>
          <w:szCs w:val="24"/>
        </w:rPr>
        <w:t xml:space="preserve"> en el mes de febrero de</w:t>
      </w:r>
      <w:r>
        <w:rPr>
          <w:rFonts w:cs="Times New Roman"/>
          <w:szCs w:val="24"/>
        </w:rPr>
        <w:t>l año</w:t>
      </w:r>
      <w:r w:rsidRPr="00D63F31">
        <w:rPr>
          <w:rFonts w:cs="Times New Roman"/>
          <w:szCs w:val="24"/>
        </w:rPr>
        <w:t xml:space="preserve"> 2019, a través de </w:t>
      </w:r>
      <w:r>
        <w:rPr>
          <w:rFonts w:cs="Times New Roman"/>
          <w:szCs w:val="24"/>
        </w:rPr>
        <w:t>este punto de gobierno se</w:t>
      </w:r>
      <w:r w:rsidRPr="00D63F31">
        <w:rPr>
          <w:rFonts w:cs="Times New Roman"/>
          <w:szCs w:val="24"/>
        </w:rPr>
        <w:t xml:space="preserve"> ofrecen los servicios legales</w:t>
      </w:r>
      <w:r>
        <w:rPr>
          <w:rFonts w:cs="Times New Roman"/>
          <w:szCs w:val="24"/>
        </w:rPr>
        <w:t xml:space="preserve"> de</w:t>
      </w:r>
      <w:r w:rsidRPr="00D63F31">
        <w:rPr>
          <w:rFonts w:cs="Times New Roman"/>
          <w:szCs w:val="24"/>
        </w:rPr>
        <w:t xml:space="preserve"> “Certificación de Buena Conducta” y la “Certificación de Firmas de Documentos Notariales y Oficiales”</w:t>
      </w:r>
      <w:r>
        <w:rPr>
          <w:rFonts w:cs="Times New Roman"/>
          <w:szCs w:val="24"/>
        </w:rPr>
        <w:t>.</w:t>
      </w:r>
    </w:p>
    <w:p w14:paraId="5E89833A" w14:textId="350C0A67" w:rsidR="00A17396" w:rsidRDefault="00A17396" w:rsidP="00370DC0">
      <w:pPr>
        <w:pStyle w:val="Prrafodelista"/>
        <w:numPr>
          <w:ilvl w:val="0"/>
          <w:numId w:val="15"/>
        </w:numPr>
        <w:spacing w:line="480" w:lineRule="auto"/>
        <w:jc w:val="both"/>
      </w:pPr>
      <w:r>
        <w:rPr>
          <w:rFonts w:cs="Times New Roman"/>
          <w:szCs w:val="24"/>
        </w:rPr>
        <w:t xml:space="preserve">Durante 2019 fue desarrollado el proceso de </w:t>
      </w:r>
      <w:r w:rsidRPr="00531EFC">
        <w:rPr>
          <w:rFonts w:cs="Times New Roman"/>
          <w:szCs w:val="24"/>
        </w:rPr>
        <w:t xml:space="preserve">simplificación del proceso de “Certificación de firmas”, mediante la implementación a nivel nacional de las impresoras de etiqueta, lo cual </w:t>
      </w:r>
      <w:r>
        <w:rPr>
          <w:rFonts w:cs="Times New Roman"/>
          <w:szCs w:val="24"/>
        </w:rPr>
        <w:t>permitió</w:t>
      </w:r>
      <w:r w:rsidRPr="00531EFC">
        <w:rPr>
          <w:rFonts w:cs="Times New Roman"/>
          <w:szCs w:val="24"/>
        </w:rPr>
        <w:t xml:space="preserve"> una reducción del tiempo de respuesta en </w:t>
      </w:r>
      <w:r>
        <w:rPr>
          <w:rFonts w:cs="Times New Roman"/>
          <w:szCs w:val="24"/>
        </w:rPr>
        <w:t>de</w:t>
      </w:r>
      <w:r w:rsidRPr="00531EFC">
        <w:rPr>
          <w:rFonts w:cs="Times New Roman"/>
          <w:szCs w:val="24"/>
        </w:rPr>
        <w:t xml:space="preserve"> un 50%</w:t>
      </w:r>
      <w:r>
        <w:rPr>
          <w:rFonts w:cs="Times New Roman"/>
          <w:szCs w:val="24"/>
        </w:rPr>
        <w:t>.</w:t>
      </w:r>
    </w:p>
    <w:p w14:paraId="62D1EE12" w14:textId="4895E25B" w:rsidR="001E7AB0" w:rsidRPr="00370DC0" w:rsidRDefault="00A17396" w:rsidP="00370DC0">
      <w:pPr>
        <w:pStyle w:val="Prrafodelista"/>
        <w:numPr>
          <w:ilvl w:val="0"/>
          <w:numId w:val="15"/>
        </w:numPr>
        <w:spacing w:line="480" w:lineRule="auto"/>
        <w:jc w:val="both"/>
        <w:rPr>
          <w:rFonts w:cs="Times New Roman"/>
          <w:szCs w:val="24"/>
        </w:rPr>
      </w:pPr>
      <w:r>
        <w:rPr>
          <w:rFonts w:cs="Times New Roman"/>
          <w:szCs w:val="24"/>
        </w:rPr>
        <w:t>De igual modo durante 2019, fue realizada la r</w:t>
      </w:r>
      <w:r w:rsidRPr="00E4148D">
        <w:rPr>
          <w:rFonts w:cs="Times New Roman"/>
          <w:szCs w:val="24"/>
        </w:rPr>
        <w:t xml:space="preserve">emodelación </w:t>
      </w:r>
      <w:r>
        <w:rPr>
          <w:rFonts w:cs="Times New Roman"/>
          <w:szCs w:val="24"/>
        </w:rPr>
        <w:t xml:space="preserve">y modernización </w:t>
      </w:r>
      <w:r w:rsidRPr="00E4148D">
        <w:rPr>
          <w:rFonts w:cs="Times New Roman"/>
          <w:szCs w:val="24"/>
        </w:rPr>
        <w:t>del Centro de A</w:t>
      </w:r>
      <w:r>
        <w:rPr>
          <w:rFonts w:cs="Times New Roman"/>
          <w:szCs w:val="24"/>
        </w:rPr>
        <w:t xml:space="preserve">tención al Ciudadano (CAC) del Distrito Nacional, permitiendo con esto ofrecer un servicio al ciudadano bajo condiciones óptimas de confort. </w:t>
      </w:r>
    </w:p>
    <w:p w14:paraId="2738368B" w14:textId="2E82F12B" w:rsidR="00C81299" w:rsidRPr="00370DC0" w:rsidRDefault="001E7AB0" w:rsidP="00370DC0">
      <w:pPr>
        <w:pStyle w:val="Prrafodelista"/>
        <w:numPr>
          <w:ilvl w:val="0"/>
          <w:numId w:val="15"/>
        </w:numPr>
        <w:spacing w:line="480" w:lineRule="auto"/>
        <w:jc w:val="both"/>
        <w:rPr>
          <w:rFonts w:cs="Times New Roman"/>
          <w:szCs w:val="24"/>
        </w:rPr>
      </w:pPr>
      <w:r>
        <w:rPr>
          <w:rFonts w:cs="Times New Roman"/>
          <w:szCs w:val="24"/>
        </w:rPr>
        <w:t xml:space="preserve">Como resultado, se registró un aumento en las solicitudes de servicios, pasando de 676,911 solicitudes de Certificados de buena conducta en el año 2018, a 787,946 en el año 2019, para un aumento de un 16.4%; y de 502,921 solicitudes de firma de documentos notariales y oficiales en el año 2018 a 536,247 en el año 2019, para un aumento de 6.6%. </w:t>
      </w:r>
    </w:p>
    <w:p w14:paraId="34E84A01" w14:textId="5C425E9A" w:rsidR="00C81299" w:rsidRPr="00370DC0" w:rsidRDefault="00C81299" w:rsidP="00370DC0">
      <w:pPr>
        <w:pStyle w:val="Prrafodelista"/>
        <w:numPr>
          <w:ilvl w:val="0"/>
          <w:numId w:val="15"/>
        </w:numPr>
        <w:spacing w:line="480" w:lineRule="auto"/>
        <w:jc w:val="both"/>
        <w:rPr>
          <w:rFonts w:cs="Times New Roman"/>
          <w:szCs w:val="24"/>
        </w:rPr>
      </w:pPr>
      <w:r w:rsidRPr="00C81299">
        <w:rPr>
          <w:rFonts w:cs="Times New Roman"/>
          <w:szCs w:val="24"/>
        </w:rPr>
        <w:t>En lo que respecta a la gestión d</w:t>
      </w:r>
      <w:r w:rsidRPr="00C81299">
        <w:rPr>
          <w:rFonts w:cs="Times New Roman"/>
          <w:szCs w:val="24"/>
          <w:lang w:val="es-ES"/>
        </w:rPr>
        <w:t>el registro de las asociaciones sin fines de lucro</w:t>
      </w:r>
      <w:r>
        <w:rPr>
          <w:rFonts w:cs="Times New Roman"/>
          <w:szCs w:val="24"/>
          <w:lang w:val="es-ES"/>
        </w:rPr>
        <w:t>,</w:t>
      </w:r>
      <w:r w:rsidRPr="00C81299">
        <w:rPr>
          <w:rFonts w:cs="Times New Roman"/>
          <w:szCs w:val="24"/>
          <w:lang w:val="es-ES"/>
        </w:rPr>
        <w:t xml:space="preserve"> durante el año 2019</w:t>
      </w:r>
      <w:r>
        <w:rPr>
          <w:rFonts w:cs="Times New Roman"/>
          <w:szCs w:val="24"/>
          <w:lang w:val="es-ES"/>
        </w:rPr>
        <w:t xml:space="preserve"> </w:t>
      </w:r>
      <w:r w:rsidRPr="00C81299">
        <w:rPr>
          <w:rFonts w:cs="Times New Roman"/>
          <w:szCs w:val="24"/>
          <w:lang w:val="es-ES"/>
        </w:rPr>
        <w:t>se crearon controles y requisitos registrales para fomentar el cumplimiento de la Ley 155-17</w:t>
      </w:r>
      <w:r>
        <w:rPr>
          <w:rFonts w:cs="Times New Roman"/>
          <w:szCs w:val="24"/>
          <w:lang w:val="es-ES"/>
        </w:rPr>
        <w:t xml:space="preserve"> contra el lavado de activos</w:t>
      </w:r>
      <w:r w:rsidRPr="00C81299">
        <w:rPr>
          <w:rFonts w:cs="Times New Roman"/>
          <w:szCs w:val="24"/>
          <w:lang w:val="es-ES"/>
        </w:rPr>
        <w:t xml:space="preserve"> en los sujetos obligados, en razón de las recomendaciones GAFI.</w:t>
      </w:r>
    </w:p>
    <w:p w14:paraId="72B7CF0D" w14:textId="088106E4" w:rsidR="00FC1974" w:rsidRPr="00370DC0" w:rsidRDefault="00C81299" w:rsidP="00370DC0">
      <w:pPr>
        <w:pStyle w:val="Prrafodelista"/>
        <w:numPr>
          <w:ilvl w:val="0"/>
          <w:numId w:val="15"/>
        </w:numPr>
        <w:spacing w:line="480" w:lineRule="auto"/>
        <w:jc w:val="both"/>
        <w:rPr>
          <w:rFonts w:cs="Times New Roman"/>
          <w:szCs w:val="24"/>
        </w:rPr>
      </w:pPr>
      <w:r>
        <w:rPr>
          <w:rFonts w:cs="Times New Roman"/>
          <w:szCs w:val="24"/>
        </w:rPr>
        <w:t xml:space="preserve">Gracias a la implementación exitosa del proceso de tramitación en línea de las solicitudes de exequatur de abogados, el número de solicitudes a través de la </w:t>
      </w:r>
      <w:r>
        <w:rPr>
          <w:rFonts w:cs="Times New Roman"/>
          <w:szCs w:val="24"/>
        </w:rPr>
        <w:lastRenderedPageBreak/>
        <w:t xml:space="preserve">plataforma digital aumentó de 3,658 solicitudes </w:t>
      </w:r>
      <w:r w:rsidR="00FC1974">
        <w:rPr>
          <w:rFonts w:cs="Times New Roman"/>
          <w:szCs w:val="24"/>
        </w:rPr>
        <w:t>e</w:t>
      </w:r>
      <w:r>
        <w:rPr>
          <w:rFonts w:cs="Times New Roman"/>
          <w:szCs w:val="24"/>
        </w:rPr>
        <w:t>n el año 2018 a 6,817 solicitudes en el a</w:t>
      </w:r>
      <w:r w:rsidR="007D7021">
        <w:rPr>
          <w:rFonts w:cs="Times New Roman"/>
          <w:szCs w:val="24"/>
        </w:rPr>
        <w:t xml:space="preserve">ño 2019, para un incremento de un </w:t>
      </w:r>
      <w:r w:rsidR="004C6F62">
        <w:rPr>
          <w:rFonts w:cs="Times New Roman"/>
          <w:szCs w:val="24"/>
        </w:rPr>
        <w:t xml:space="preserve">86.36%. </w:t>
      </w:r>
      <w:r>
        <w:rPr>
          <w:rFonts w:cs="Times New Roman"/>
          <w:szCs w:val="24"/>
        </w:rPr>
        <w:t xml:space="preserve"> </w:t>
      </w:r>
    </w:p>
    <w:p w14:paraId="1B617FEB" w14:textId="1700B81A" w:rsidR="00DB33F4" w:rsidRPr="00370DC0" w:rsidRDefault="00FC1974" w:rsidP="00370DC0">
      <w:pPr>
        <w:pStyle w:val="Prrafodelista"/>
        <w:numPr>
          <w:ilvl w:val="0"/>
          <w:numId w:val="15"/>
        </w:numPr>
        <w:spacing w:line="480" w:lineRule="auto"/>
        <w:jc w:val="both"/>
        <w:rPr>
          <w:rFonts w:cs="Times New Roman"/>
          <w:szCs w:val="24"/>
          <w:lang w:val="es-ES"/>
        </w:rPr>
      </w:pPr>
      <w:r w:rsidRPr="00FC1974">
        <w:rPr>
          <w:rFonts w:cs="Times New Roman"/>
          <w:szCs w:val="24"/>
          <w:lang w:val="es-ES"/>
        </w:rPr>
        <w:t>Las mejoras de los servicios brindados han contribuido al aumento en los ingresos percibidos, en comparación con los montos recaudados en los años 2017 y 2018.</w:t>
      </w:r>
      <w:r w:rsidR="000F2D79">
        <w:rPr>
          <w:rFonts w:cs="Times New Roman"/>
          <w:szCs w:val="24"/>
          <w:lang w:val="es-ES"/>
        </w:rPr>
        <w:t xml:space="preserve"> </w:t>
      </w:r>
      <w:r w:rsidRPr="00DB33F4">
        <w:rPr>
          <w:rFonts w:cs="Times New Roman"/>
          <w:szCs w:val="24"/>
          <w:lang w:val="es-ES"/>
        </w:rPr>
        <w:t>De manera detallada, de enero a septiembre de 2019, inclusive, la Procuraduría General de la República ha obtenido RD$663,989,532.89 de ingresos, para una proyección total de RD$850,194,537.13, lo que reflejaría un aumento de un 11.54% en comparación con los ingresos percibidos en el 2018.</w:t>
      </w:r>
    </w:p>
    <w:p w14:paraId="497EF0E0" w14:textId="3EF0D4B2" w:rsidR="000A162C" w:rsidRPr="00370DC0" w:rsidRDefault="00DB33F4" w:rsidP="00370DC0">
      <w:pPr>
        <w:pStyle w:val="Prrafodelista"/>
        <w:numPr>
          <w:ilvl w:val="0"/>
          <w:numId w:val="15"/>
        </w:numPr>
        <w:spacing w:line="480" w:lineRule="auto"/>
        <w:jc w:val="both"/>
        <w:rPr>
          <w:rFonts w:cs="Times New Roman"/>
          <w:szCs w:val="24"/>
          <w:lang w:val="es-ES"/>
        </w:rPr>
      </w:pPr>
      <w:r>
        <w:rPr>
          <w:rFonts w:cs="Times New Roman"/>
          <w:szCs w:val="24"/>
          <w:lang w:val="es-ES"/>
        </w:rPr>
        <w:t xml:space="preserve">En lo que respecta al cobro de multas, de enero a septiembre de 2019 </w:t>
      </w:r>
      <w:r w:rsidR="00A17396" w:rsidRPr="00DB33F4">
        <w:rPr>
          <w:rFonts w:cs="Times New Roman"/>
          <w:szCs w:val="24"/>
          <w:lang w:val="es-ES"/>
        </w:rPr>
        <w:t>se registró un total de RD$87</w:t>
      </w:r>
      <w:proofErr w:type="gramStart"/>
      <w:r w:rsidR="00A17396" w:rsidRPr="00DB33F4">
        <w:rPr>
          <w:rFonts w:cs="Times New Roman"/>
          <w:szCs w:val="24"/>
          <w:lang w:val="es-ES"/>
        </w:rPr>
        <w:t>,306,102.32</w:t>
      </w:r>
      <w:proofErr w:type="gramEnd"/>
      <w:r w:rsidR="00A17396" w:rsidRPr="00DB33F4">
        <w:rPr>
          <w:rFonts w:cs="Times New Roman"/>
          <w:szCs w:val="24"/>
          <w:lang w:val="es-ES"/>
        </w:rPr>
        <w:t xml:space="preserve"> por </w:t>
      </w:r>
      <w:r>
        <w:rPr>
          <w:rFonts w:cs="Times New Roman"/>
          <w:szCs w:val="24"/>
          <w:lang w:val="es-ES"/>
        </w:rPr>
        <w:t xml:space="preserve">este concepto, </w:t>
      </w:r>
      <w:r w:rsidR="00A17396" w:rsidRPr="00DB33F4">
        <w:rPr>
          <w:rFonts w:cs="Times New Roman"/>
          <w:szCs w:val="24"/>
          <w:lang w:val="es-ES"/>
        </w:rPr>
        <w:t>proyectándose un total anual de RD$103,806,773.94  para un aumento de 66.54% en comparación al año anterior.</w:t>
      </w:r>
      <w:r>
        <w:rPr>
          <w:rFonts w:cs="Times New Roman"/>
          <w:szCs w:val="24"/>
          <w:lang w:val="es-ES"/>
        </w:rPr>
        <w:t xml:space="preserve"> En materia de tránsito, e</w:t>
      </w:r>
      <w:r w:rsidR="00A17396" w:rsidRPr="00DB33F4">
        <w:rPr>
          <w:rFonts w:cs="Times New Roman"/>
          <w:szCs w:val="24"/>
          <w:lang w:val="es-ES"/>
        </w:rPr>
        <w:t>n el 2019 hubo un aumento de un 13.84% en recaudaciones por concepto de multas y sentencias de tránsito en comparación al año anterior. De enero a septiembre, inclusive, las recaudaciones ascendieron a RD$663</w:t>
      </w:r>
      <w:proofErr w:type="gramStart"/>
      <w:r w:rsidR="00A17396" w:rsidRPr="00DB33F4">
        <w:rPr>
          <w:rFonts w:cs="Times New Roman"/>
          <w:szCs w:val="24"/>
          <w:lang w:val="es-ES"/>
        </w:rPr>
        <w:t>,506,971.18</w:t>
      </w:r>
      <w:proofErr w:type="gramEnd"/>
      <w:r w:rsidR="00A17396" w:rsidRPr="00DB33F4">
        <w:rPr>
          <w:rFonts w:cs="Times New Roman"/>
          <w:szCs w:val="24"/>
          <w:lang w:val="es-ES"/>
        </w:rPr>
        <w:t>, con una proyección anual de RD$858,084,041.68.</w:t>
      </w:r>
    </w:p>
    <w:p w14:paraId="29816AF3" w14:textId="77777777" w:rsidR="001C19EC" w:rsidRDefault="001C19EC" w:rsidP="00951609">
      <w:pPr>
        <w:pStyle w:val="Estilo7"/>
        <w:numPr>
          <w:ilvl w:val="1"/>
          <w:numId w:val="14"/>
        </w:numPr>
      </w:pPr>
      <w:bookmarkStart w:id="21" w:name="_Toc29811379"/>
      <w:bookmarkStart w:id="22" w:name="_Toc29820576"/>
      <w:bookmarkStart w:id="23" w:name="_Toc29811380"/>
      <w:bookmarkStart w:id="24" w:name="_Toc29820577"/>
      <w:bookmarkStart w:id="25" w:name="_Toc29811381"/>
      <w:bookmarkStart w:id="26" w:name="_Toc29820578"/>
      <w:bookmarkStart w:id="27" w:name="_Toc29811384"/>
      <w:bookmarkStart w:id="28" w:name="_Toc29820581"/>
      <w:bookmarkStart w:id="29" w:name="_Toc29577310"/>
      <w:bookmarkStart w:id="30" w:name="_Toc29891700"/>
      <w:bookmarkEnd w:id="21"/>
      <w:bookmarkEnd w:id="22"/>
      <w:bookmarkEnd w:id="23"/>
      <w:bookmarkEnd w:id="24"/>
      <w:bookmarkEnd w:id="25"/>
      <w:bookmarkEnd w:id="26"/>
      <w:bookmarkEnd w:id="27"/>
      <w:bookmarkEnd w:id="28"/>
      <w:r w:rsidRPr="0046441A">
        <w:rPr>
          <w:rStyle w:val="Estilo7Car"/>
          <w:rFonts w:eastAsiaTheme="minorHAnsi"/>
          <w:b/>
        </w:rPr>
        <w:t>Perspectiva Estratégica</w:t>
      </w:r>
      <w:bookmarkEnd w:id="29"/>
      <w:bookmarkEnd w:id="30"/>
      <w:r w:rsidRPr="0046441A">
        <w:t xml:space="preserve"> </w:t>
      </w:r>
    </w:p>
    <w:p w14:paraId="7B339009" w14:textId="77777777" w:rsidR="006E3190" w:rsidRDefault="006E3190" w:rsidP="006E3190">
      <w:pPr>
        <w:pStyle w:val="Estilo7"/>
        <w:numPr>
          <w:ilvl w:val="0"/>
          <w:numId w:val="0"/>
        </w:numPr>
        <w:ind w:left="1620"/>
      </w:pPr>
    </w:p>
    <w:p w14:paraId="64F0B8C7" w14:textId="77777777" w:rsidR="001C19EC" w:rsidRDefault="001C19EC" w:rsidP="00951609">
      <w:pPr>
        <w:pStyle w:val="Estilo7"/>
        <w:numPr>
          <w:ilvl w:val="2"/>
          <w:numId w:val="14"/>
        </w:numPr>
      </w:pPr>
      <w:bookmarkStart w:id="31" w:name="_Toc29577311"/>
      <w:bookmarkStart w:id="32" w:name="_Toc29891701"/>
      <w:r>
        <w:t>Plan Nacional Plurianual del Sector Público</w:t>
      </w:r>
      <w:bookmarkEnd w:id="31"/>
      <w:bookmarkEnd w:id="32"/>
    </w:p>
    <w:p w14:paraId="5661C56A" w14:textId="77777777" w:rsidR="006E3190" w:rsidRDefault="006E3190" w:rsidP="006E3190">
      <w:pPr>
        <w:pStyle w:val="Estilo7"/>
        <w:numPr>
          <w:ilvl w:val="0"/>
          <w:numId w:val="0"/>
        </w:numPr>
        <w:ind w:left="2340"/>
      </w:pPr>
    </w:p>
    <w:p w14:paraId="01ED9598" w14:textId="77777777" w:rsidR="001C19EC" w:rsidRDefault="001C19EC" w:rsidP="001C19EC">
      <w:pPr>
        <w:spacing w:line="480" w:lineRule="auto"/>
        <w:ind w:firstLine="708"/>
        <w:jc w:val="both"/>
        <w:rPr>
          <w:rFonts w:cs="Times New Roman"/>
          <w:szCs w:val="24"/>
        </w:rPr>
      </w:pPr>
      <w:r>
        <w:rPr>
          <w:rFonts w:cs="Times New Roman"/>
          <w:szCs w:val="24"/>
        </w:rPr>
        <w:t>El Plan Nacional Plurianual del Sector Público es un instrumento de la planificación institucional establecido por el Sistema Nacional de Planificación e Inversión Pública, en el mismo se establecen las metas y prioridades de mediano plazo a ser desarrolladas en un período de gobierno.</w:t>
      </w:r>
    </w:p>
    <w:p w14:paraId="12909FE5" w14:textId="77777777" w:rsidR="001C19EC" w:rsidRDefault="001C19EC" w:rsidP="001C19EC">
      <w:pPr>
        <w:spacing w:line="480" w:lineRule="auto"/>
        <w:ind w:firstLine="708"/>
        <w:jc w:val="both"/>
        <w:rPr>
          <w:rFonts w:cs="Times New Roman"/>
          <w:szCs w:val="24"/>
        </w:rPr>
      </w:pPr>
      <w:r>
        <w:rPr>
          <w:rFonts w:cs="Times New Roman"/>
          <w:szCs w:val="24"/>
        </w:rPr>
        <w:t>La PGR ha establecido una producción prioritaria conformada por nueve (9) productos relevantes dentro del Plan Nacional Plurianual del Sector Público. A continuación se muestra el nivel de ejecución de dichos productos durante el año 2019:</w:t>
      </w:r>
    </w:p>
    <w:tbl>
      <w:tblPr>
        <w:tblW w:w="5000" w:type="pct"/>
        <w:tblLayout w:type="fixed"/>
        <w:tblCellMar>
          <w:left w:w="70" w:type="dxa"/>
          <w:right w:w="70" w:type="dxa"/>
        </w:tblCellMar>
        <w:tblLook w:val="04A0" w:firstRow="1" w:lastRow="0" w:firstColumn="1" w:lastColumn="0" w:noHBand="0" w:noVBand="1"/>
      </w:tblPr>
      <w:tblGrid>
        <w:gridCol w:w="4811"/>
        <w:gridCol w:w="2238"/>
        <w:gridCol w:w="1435"/>
      </w:tblGrid>
      <w:tr w:rsidR="001C19EC" w:rsidRPr="00B85C2F" w14:paraId="27E82231" w14:textId="77777777" w:rsidTr="00637245">
        <w:trPr>
          <w:trHeight w:val="315"/>
        </w:trPr>
        <w:tc>
          <w:tcPr>
            <w:tcW w:w="2835" w:type="pct"/>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5152C618" w14:textId="77777777" w:rsidR="001C19EC" w:rsidRPr="00B85C2F" w:rsidRDefault="001C19EC" w:rsidP="00637245">
            <w:pPr>
              <w:spacing w:after="0" w:line="240" w:lineRule="auto"/>
              <w:jc w:val="center"/>
              <w:rPr>
                <w:rFonts w:eastAsia="Times New Roman" w:cs="Times New Roman"/>
                <w:b/>
                <w:bCs/>
                <w:color w:val="FFFFFF"/>
                <w:lang w:eastAsia="es-DO"/>
              </w:rPr>
            </w:pPr>
            <w:r w:rsidRPr="00B85C2F">
              <w:rPr>
                <w:rFonts w:eastAsia="Times New Roman" w:cs="Times New Roman"/>
                <w:b/>
                <w:bCs/>
                <w:color w:val="FFFFFF"/>
                <w:lang w:eastAsia="es-DO"/>
              </w:rPr>
              <w:lastRenderedPageBreak/>
              <w:t>Producto</w:t>
            </w:r>
          </w:p>
        </w:tc>
        <w:tc>
          <w:tcPr>
            <w:tcW w:w="1319" w:type="pct"/>
            <w:tcBorders>
              <w:top w:val="single" w:sz="8" w:space="0" w:color="auto"/>
              <w:left w:val="nil"/>
              <w:bottom w:val="single" w:sz="8" w:space="0" w:color="auto"/>
              <w:right w:val="single" w:sz="8" w:space="0" w:color="auto"/>
            </w:tcBorders>
            <w:shd w:val="clear" w:color="000000" w:fill="4472C4"/>
            <w:noWrap/>
            <w:vAlign w:val="center"/>
            <w:hideMark/>
          </w:tcPr>
          <w:p w14:paraId="6F867682" w14:textId="77777777" w:rsidR="001C19EC" w:rsidRPr="00B85C2F" w:rsidRDefault="001C19EC" w:rsidP="00637245">
            <w:pPr>
              <w:spacing w:after="0" w:line="240" w:lineRule="auto"/>
              <w:jc w:val="center"/>
              <w:rPr>
                <w:rFonts w:eastAsia="Times New Roman" w:cs="Times New Roman"/>
                <w:b/>
                <w:bCs/>
                <w:color w:val="FFFFFF"/>
                <w:lang w:eastAsia="es-DO"/>
              </w:rPr>
            </w:pPr>
            <w:r w:rsidRPr="00B85C2F">
              <w:rPr>
                <w:rFonts w:eastAsia="Times New Roman" w:cs="Times New Roman"/>
                <w:b/>
                <w:bCs/>
                <w:color w:val="FFFFFF"/>
                <w:lang w:eastAsia="es-DO"/>
              </w:rPr>
              <w:t>Unidad de Medida</w:t>
            </w:r>
          </w:p>
        </w:tc>
        <w:tc>
          <w:tcPr>
            <w:tcW w:w="846" w:type="pct"/>
            <w:tcBorders>
              <w:top w:val="single" w:sz="8" w:space="0" w:color="auto"/>
              <w:left w:val="nil"/>
              <w:bottom w:val="single" w:sz="8" w:space="0" w:color="auto"/>
              <w:right w:val="single" w:sz="8" w:space="0" w:color="auto"/>
            </w:tcBorders>
            <w:shd w:val="clear" w:color="000000" w:fill="4472C4"/>
            <w:noWrap/>
            <w:vAlign w:val="center"/>
            <w:hideMark/>
          </w:tcPr>
          <w:p w14:paraId="147D59BB" w14:textId="77777777" w:rsidR="001C19EC" w:rsidRPr="00B85C2F" w:rsidRDefault="001C19EC" w:rsidP="00637245">
            <w:pPr>
              <w:spacing w:after="0" w:line="240" w:lineRule="auto"/>
              <w:jc w:val="center"/>
              <w:rPr>
                <w:rFonts w:eastAsia="Times New Roman" w:cs="Times New Roman"/>
                <w:b/>
                <w:bCs/>
                <w:color w:val="FFFFFF"/>
                <w:lang w:eastAsia="es-DO"/>
              </w:rPr>
            </w:pPr>
            <w:r w:rsidRPr="00B85C2F">
              <w:rPr>
                <w:rFonts w:eastAsia="Times New Roman" w:cs="Times New Roman"/>
                <w:b/>
                <w:bCs/>
                <w:color w:val="FFFFFF"/>
                <w:lang w:eastAsia="es-DO"/>
              </w:rPr>
              <w:t>Ejecución 2019</w:t>
            </w:r>
          </w:p>
        </w:tc>
      </w:tr>
      <w:tr w:rsidR="001C19EC" w:rsidRPr="00B85C2F" w14:paraId="42126AD6" w14:textId="77777777" w:rsidTr="00637245">
        <w:trPr>
          <w:trHeight w:val="315"/>
        </w:trPr>
        <w:tc>
          <w:tcPr>
            <w:tcW w:w="2835" w:type="pct"/>
            <w:tcBorders>
              <w:top w:val="nil"/>
              <w:left w:val="single" w:sz="8" w:space="0" w:color="auto"/>
              <w:bottom w:val="single" w:sz="8" w:space="0" w:color="auto"/>
              <w:right w:val="single" w:sz="8" w:space="0" w:color="auto"/>
            </w:tcBorders>
            <w:shd w:val="clear" w:color="000000" w:fill="D9D9D9"/>
            <w:noWrap/>
            <w:vAlign w:val="center"/>
            <w:hideMark/>
          </w:tcPr>
          <w:p w14:paraId="0F7481AD"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Aplicación de Medidas de Coerción</w:t>
            </w:r>
          </w:p>
        </w:tc>
        <w:tc>
          <w:tcPr>
            <w:tcW w:w="1319" w:type="pct"/>
            <w:tcBorders>
              <w:top w:val="nil"/>
              <w:left w:val="nil"/>
              <w:bottom w:val="single" w:sz="8" w:space="0" w:color="auto"/>
              <w:right w:val="single" w:sz="8" w:space="0" w:color="auto"/>
            </w:tcBorders>
            <w:shd w:val="clear" w:color="000000" w:fill="D9D9D9"/>
            <w:noWrap/>
            <w:vAlign w:val="center"/>
            <w:hideMark/>
          </w:tcPr>
          <w:p w14:paraId="039F9574"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Caso procesado</w:t>
            </w:r>
          </w:p>
        </w:tc>
        <w:tc>
          <w:tcPr>
            <w:tcW w:w="846" w:type="pct"/>
            <w:tcBorders>
              <w:top w:val="nil"/>
              <w:left w:val="nil"/>
              <w:bottom w:val="single" w:sz="8" w:space="0" w:color="auto"/>
              <w:right w:val="single" w:sz="8" w:space="0" w:color="auto"/>
            </w:tcBorders>
            <w:shd w:val="clear" w:color="000000" w:fill="D9D9D9"/>
            <w:noWrap/>
            <w:vAlign w:val="center"/>
          </w:tcPr>
          <w:p w14:paraId="1C35412F"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5,180</w:t>
            </w:r>
          </w:p>
        </w:tc>
      </w:tr>
      <w:tr w:rsidR="001C19EC" w:rsidRPr="00B85C2F" w14:paraId="2C726716" w14:textId="77777777" w:rsidTr="00637245">
        <w:trPr>
          <w:trHeight w:val="315"/>
        </w:trPr>
        <w:tc>
          <w:tcPr>
            <w:tcW w:w="2835" w:type="pct"/>
            <w:tcBorders>
              <w:top w:val="nil"/>
              <w:left w:val="single" w:sz="8" w:space="0" w:color="auto"/>
              <w:bottom w:val="single" w:sz="8" w:space="0" w:color="auto"/>
              <w:right w:val="single" w:sz="8" w:space="0" w:color="auto"/>
            </w:tcBorders>
            <w:shd w:val="clear" w:color="auto" w:fill="auto"/>
            <w:noWrap/>
            <w:vAlign w:val="center"/>
            <w:hideMark/>
          </w:tcPr>
          <w:p w14:paraId="57996783"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Actos conclusivos en Acusación</w:t>
            </w:r>
          </w:p>
        </w:tc>
        <w:tc>
          <w:tcPr>
            <w:tcW w:w="1319" w:type="pct"/>
            <w:tcBorders>
              <w:top w:val="nil"/>
              <w:left w:val="nil"/>
              <w:bottom w:val="single" w:sz="8" w:space="0" w:color="auto"/>
              <w:right w:val="single" w:sz="8" w:space="0" w:color="auto"/>
            </w:tcBorders>
            <w:shd w:val="clear" w:color="auto" w:fill="auto"/>
            <w:noWrap/>
            <w:vAlign w:val="center"/>
            <w:hideMark/>
          </w:tcPr>
          <w:p w14:paraId="3324E947"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Caso judicializado</w:t>
            </w:r>
          </w:p>
        </w:tc>
        <w:tc>
          <w:tcPr>
            <w:tcW w:w="846" w:type="pct"/>
            <w:tcBorders>
              <w:top w:val="nil"/>
              <w:left w:val="nil"/>
              <w:bottom w:val="single" w:sz="8" w:space="0" w:color="auto"/>
              <w:right w:val="single" w:sz="8" w:space="0" w:color="auto"/>
            </w:tcBorders>
            <w:shd w:val="clear" w:color="auto" w:fill="auto"/>
            <w:noWrap/>
            <w:vAlign w:val="center"/>
          </w:tcPr>
          <w:p w14:paraId="2A1616B8"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4,587</w:t>
            </w:r>
          </w:p>
        </w:tc>
      </w:tr>
      <w:tr w:rsidR="001C19EC" w:rsidRPr="00B85C2F" w14:paraId="49E16EDB" w14:textId="77777777" w:rsidTr="00637245">
        <w:trPr>
          <w:trHeight w:val="315"/>
        </w:trPr>
        <w:tc>
          <w:tcPr>
            <w:tcW w:w="2835" w:type="pct"/>
            <w:tcBorders>
              <w:top w:val="nil"/>
              <w:left w:val="single" w:sz="8" w:space="0" w:color="auto"/>
              <w:bottom w:val="single" w:sz="8" w:space="0" w:color="auto"/>
              <w:right w:val="single" w:sz="8" w:space="0" w:color="auto"/>
            </w:tcBorders>
            <w:shd w:val="clear" w:color="000000" w:fill="D9D9D9"/>
            <w:noWrap/>
            <w:vAlign w:val="center"/>
            <w:hideMark/>
          </w:tcPr>
          <w:p w14:paraId="3BE99374"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Actos conclusivos en Archivo</w:t>
            </w:r>
          </w:p>
        </w:tc>
        <w:tc>
          <w:tcPr>
            <w:tcW w:w="1319" w:type="pct"/>
            <w:tcBorders>
              <w:top w:val="nil"/>
              <w:left w:val="nil"/>
              <w:bottom w:val="single" w:sz="8" w:space="0" w:color="auto"/>
              <w:right w:val="single" w:sz="8" w:space="0" w:color="auto"/>
            </w:tcBorders>
            <w:shd w:val="clear" w:color="000000" w:fill="D9D9D9"/>
            <w:noWrap/>
            <w:vAlign w:val="center"/>
            <w:hideMark/>
          </w:tcPr>
          <w:p w14:paraId="0ACAA887"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Archivo de expediente</w:t>
            </w:r>
          </w:p>
        </w:tc>
        <w:tc>
          <w:tcPr>
            <w:tcW w:w="846" w:type="pct"/>
            <w:tcBorders>
              <w:top w:val="nil"/>
              <w:left w:val="nil"/>
              <w:bottom w:val="single" w:sz="8" w:space="0" w:color="auto"/>
              <w:right w:val="single" w:sz="8" w:space="0" w:color="auto"/>
            </w:tcBorders>
            <w:shd w:val="clear" w:color="000000" w:fill="D9D9D9"/>
            <w:noWrap/>
            <w:vAlign w:val="center"/>
          </w:tcPr>
          <w:p w14:paraId="1BAFFF4A"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8,779</w:t>
            </w:r>
          </w:p>
        </w:tc>
      </w:tr>
      <w:tr w:rsidR="001C19EC" w:rsidRPr="00B85C2F" w14:paraId="226F6E30" w14:textId="77777777" w:rsidTr="00637245">
        <w:trPr>
          <w:trHeight w:val="315"/>
        </w:trPr>
        <w:tc>
          <w:tcPr>
            <w:tcW w:w="2835" w:type="pct"/>
            <w:tcBorders>
              <w:top w:val="nil"/>
              <w:left w:val="single" w:sz="8" w:space="0" w:color="auto"/>
              <w:bottom w:val="single" w:sz="8" w:space="0" w:color="auto"/>
              <w:right w:val="single" w:sz="8" w:space="0" w:color="auto"/>
            </w:tcBorders>
            <w:shd w:val="clear" w:color="auto" w:fill="auto"/>
            <w:noWrap/>
            <w:vAlign w:val="center"/>
            <w:hideMark/>
          </w:tcPr>
          <w:p w14:paraId="6866B181"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Actos conclusivos en Conciliación</w:t>
            </w:r>
          </w:p>
        </w:tc>
        <w:tc>
          <w:tcPr>
            <w:tcW w:w="1319" w:type="pct"/>
            <w:tcBorders>
              <w:top w:val="nil"/>
              <w:left w:val="nil"/>
              <w:bottom w:val="single" w:sz="8" w:space="0" w:color="auto"/>
              <w:right w:val="single" w:sz="8" w:space="0" w:color="auto"/>
            </w:tcBorders>
            <w:shd w:val="clear" w:color="auto" w:fill="auto"/>
            <w:noWrap/>
            <w:vAlign w:val="center"/>
            <w:hideMark/>
          </w:tcPr>
          <w:p w14:paraId="46B49BEC"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Caso conciliado</w:t>
            </w:r>
          </w:p>
        </w:tc>
        <w:tc>
          <w:tcPr>
            <w:tcW w:w="846" w:type="pct"/>
            <w:tcBorders>
              <w:top w:val="nil"/>
              <w:left w:val="nil"/>
              <w:bottom w:val="single" w:sz="8" w:space="0" w:color="auto"/>
              <w:right w:val="single" w:sz="8" w:space="0" w:color="auto"/>
            </w:tcBorders>
            <w:shd w:val="clear" w:color="auto" w:fill="auto"/>
            <w:noWrap/>
            <w:vAlign w:val="center"/>
          </w:tcPr>
          <w:p w14:paraId="19CE8274"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1,492</w:t>
            </w:r>
          </w:p>
        </w:tc>
      </w:tr>
      <w:tr w:rsidR="001C19EC" w:rsidRPr="00B85C2F" w14:paraId="29541F3E" w14:textId="77777777" w:rsidTr="00637245">
        <w:trPr>
          <w:trHeight w:val="315"/>
        </w:trPr>
        <w:tc>
          <w:tcPr>
            <w:tcW w:w="2835" w:type="pct"/>
            <w:tcBorders>
              <w:top w:val="nil"/>
              <w:left w:val="single" w:sz="8" w:space="0" w:color="auto"/>
              <w:bottom w:val="single" w:sz="8" w:space="0" w:color="auto"/>
              <w:right w:val="single" w:sz="8" w:space="0" w:color="auto"/>
            </w:tcBorders>
            <w:shd w:val="clear" w:color="000000" w:fill="D9D9D9"/>
            <w:noWrap/>
            <w:vAlign w:val="center"/>
            <w:hideMark/>
          </w:tcPr>
          <w:p w14:paraId="27E2FD4F"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Actos conclusivos en Proceso Abreviado</w:t>
            </w:r>
          </w:p>
        </w:tc>
        <w:tc>
          <w:tcPr>
            <w:tcW w:w="1319" w:type="pct"/>
            <w:tcBorders>
              <w:top w:val="nil"/>
              <w:left w:val="nil"/>
              <w:bottom w:val="single" w:sz="8" w:space="0" w:color="auto"/>
              <w:right w:val="single" w:sz="8" w:space="0" w:color="auto"/>
            </w:tcBorders>
            <w:shd w:val="clear" w:color="000000" w:fill="D9D9D9"/>
            <w:noWrap/>
            <w:vAlign w:val="center"/>
            <w:hideMark/>
          </w:tcPr>
          <w:p w14:paraId="4A1C7952"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Caso procesado</w:t>
            </w:r>
          </w:p>
        </w:tc>
        <w:tc>
          <w:tcPr>
            <w:tcW w:w="846" w:type="pct"/>
            <w:tcBorders>
              <w:top w:val="nil"/>
              <w:left w:val="nil"/>
              <w:bottom w:val="single" w:sz="8" w:space="0" w:color="auto"/>
              <w:right w:val="single" w:sz="8" w:space="0" w:color="auto"/>
            </w:tcBorders>
            <w:shd w:val="clear" w:color="000000" w:fill="D9D9D9"/>
            <w:noWrap/>
            <w:vAlign w:val="center"/>
          </w:tcPr>
          <w:p w14:paraId="41670C6A"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58</w:t>
            </w:r>
          </w:p>
        </w:tc>
      </w:tr>
      <w:tr w:rsidR="001C19EC" w:rsidRPr="00B85C2F" w14:paraId="2535644F" w14:textId="77777777" w:rsidTr="00637245">
        <w:trPr>
          <w:trHeight w:val="315"/>
        </w:trPr>
        <w:tc>
          <w:tcPr>
            <w:tcW w:w="2835" w:type="pct"/>
            <w:tcBorders>
              <w:top w:val="nil"/>
              <w:left w:val="single" w:sz="8" w:space="0" w:color="auto"/>
              <w:bottom w:val="single" w:sz="8" w:space="0" w:color="auto"/>
              <w:right w:val="single" w:sz="8" w:space="0" w:color="auto"/>
            </w:tcBorders>
            <w:shd w:val="clear" w:color="auto" w:fill="auto"/>
            <w:noWrap/>
            <w:vAlign w:val="center"/>
            <w:hideMark/>
          </w:tcPr>
          <w:p w14:paraId="1B3F541C"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Capacitación de personal de Vigilancia y Tratamiento Penitenciario</w:t>
            </w:r>
          </w:p>
        </w:tc>
        <w:tc>
          <w:tcPr>
            <w:tcW w:w="1319" w:type="pct"/>
            <w:tcBorders>
              <w:top w:val="nil"/>
              <w:left w:val="nil"/>
              <w:bottom w:val="single" w:sz="8" w:space="0" w:color="auto"/>
              <w:right w:val="single" w:sz="8" w:space="0" w:color="auto"/>
            </w:tcBorders>
            <w:shd w:val="clear" w:color="auto" w:fill="auto"/>
            <w:noWrap/>
            <w:vAlign w:val="center"/>
            <w:hideMark/>
          </w:tcPr>
          <w:p w14:paraId="678A6DB1"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Empleado PGR capacitado</w:t>
            </w:r>
          </w:p>
        </w:tc>
        <w:tc>
          <w:tcPr>
            <w:tcW w:w="846" w:type="pct"/>
            <w:tcBorders>
              <w:top w:val="nil"/>
              <w:left w:val="nil"/>
              <w:bottom w:val="single" w:sz="8" w:space="0" w:color="auto"/>
              <w:right w:val="single" w:sz="8" w:space="0" w:color="auto"/>
            </w:tcBorders>
            <w:shd w:val="clear" w:color="auto" w:fill="auto"/>
            <w:noWrap/>
            <w:vAlign w:val="center"/>
          </w:tcPr>
          <w:p w14:paraId="449F0FFE"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219</w:t>
            </w:r>
          </w:p>
        </w:tc>
      </w:tr>
      <w:tr w:rsidR="001C19EC" w:rsidRPr="00B85C2F" w14:paraId="5FCCC1CC" w14:textId="77777777" w:rsidTr="00637245">
        <w:trPr>
          <w:trHeight w:val="315"/>
        </w:trPr>
        <w:tc>
          <w:tcPr>
            <w:tcW w:w="2835" w:type="pct"/>
            <w:tcBorders>
              <w:top w:val="nil"/>
              <w:left w:val="single" w:sz="8" w:space="0" w:color="auto"/>
              <w:bottom w:val="nil"/>
              <w:right w:val="single" w:sz="8" w:space="0" w:color="auto"/>
            </w:tcBorders>
            <w:shd w:val="clear" w:color="000000" w:fill="D9D9D9"/>
            <w:noWrap/>
            <w:vAlign w:val="center"/>
            <w:hideMark/>
          </w:tcPr>
          <w:p w14:paraId="0C55E6CC"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Capacitación de personal internacional penitenciario</w:t>
            </w:r>
          </w:p>
        </w:tc>
        <w:tc>
          <w:tcPr>
            <w:tcW w:w="1319" w:type="pct"/>
            <w:tcBorders>
              <w:top w:val="nil"/>
              <w:left w:val="nil"/>
              <w:bottom w:val="nil"/>
              <w:right w:val="single" w:sz="8" w:space="0" w:color="auto"/>
            </w:tcBorders>
            <w:shd w:val="clear" w:color="000000" w:fill="D9D9D9"/>
            <w:noWrap/>
            <w:vAlign w:val="center"/>
            <w:hideMark/>
          </w:tcPr>
          <w:p w14:paraId="5683C725"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Certificación Capacitación</w:t>
            </w:r>
          </w:p>
        </w:tc>
        <w:tc>
          <w:tcPr>
            <w:tcW w:w="846" w:type="pct"/>
            <w:tcBorders>
              <w:top w:val="nil"/>
              <w:left w:val="nil"/>
              <w:bottom w:val="nil"/>
              <w:right w:val="single" w:sz="8" w:space="0" w:color="auto"/>
            </w:tcBorders>
            <w:shd w:val="clear" w:color="000000" w:fill="D9D9D9"/>
            <w:noWrap/>
            <w:vAlign w:val="center"/>
          </w:tcPr>
          <w:p w14:paraId="187BC8A3"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15</w:t>
            </w:r>
          </w:p>
        </w:tc>
      </w:tr>
      <w:tr w:rsidR="001C19EC" w:rsidRPr="00B85C2F" w14:paraId="6015F841" w14:textId="77777777" w:rsidTr="00637245">
        <w:trPr>
          <w:trHeight w:val="315"/>
        </w:trPr>
        <w:tc>
          <w:tcPr>
            <w:tcW w:w="2835" w:type="pct"/>
            <w:tcBorders>
              <w:top w:val="single" w:sz="8" w:space="0" w:color="auto"/>
              <w:left w:val="single" w:sz="8" w:space="0" w:color="auto"/>
              <w:bottom w:val="nil"/>
              <w:right w:val="single" w:sz="8" w:space="0" w:color="auto"/>
            </w:tcBorders>
            <w:shd w:val="clear" w:color="auto" w:fill="auto"/>
            <w:noWrap/>
            <w:vAlign w:val="center"/>
            <w:hideMark/>
          </w:tcPr>
          <w:p w14:paraId="4D338BDF"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Atención a usuarios de los servicios</w:t>
            </w:r>
          </w:p>
        </w:tc>
        <w:tc>
          <w:tcPr>
            <w:tcW w:w="1319" w:type="pct"/>
            <w:tcBorders>
              <w:top w:val="single" w:sz="8" w:space="0" w:color="auto"/>
              <w:left w:val="nil"/>
              <w:bottom w:val="nil"/>
              <w:right w:val="single" w:sz="8" w:space="0" w:color="auto"/>
            </w:tcBorders>
            <w:shd w:val="clear" w:color="auto" w:fill="auto"/>
            <w:noWrap/>
            <w:vAlign w:val="center"/>
            <w:hideMark/>
          </w:tcPr>
          <w:p w14:paraId="4D89BEE8"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 </w:t>
            </w:r>
            <w:r>
              <w:rPr>
                <w:rFonts w:eastAsia="Times New Roman" w:cs="Times New Roman"/>
                <w:color w:val="000000"/>
                <w:lang w:eastAsia="es-DO"/>
              </w:rPr>
              <w:t>Usuarios Registrados</w:t>
            </w:r>
          </w:p>
        </w:tc>
        <w:tc>
          <w:tcPr>
            <w:tcW w:w="846" w:type="pct"/>
            <w:tcBorders>
              <w:top w:val="single" w:sz="8" w:space="0" w:color="auto"/>
              <w:left w:val="nil"/>
              <w:bottom w:val="nil"/>
              <w:right w:val="single" w:sz="8" w:space="0" w:color="auto"/>
            </w:tcBorders>
            <w:shd w:val="clear" w:color="auto" w:fill="auto"/>
            <w:noWrap/>
            <w:vAlign w:val="center"/>
          </w:tcPr>
          <w:p w14:paraId="386D9C67"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1,325,297</w:t>
            </w:r>
          </w:p>
        </w:tc>
      </w:tr>
      <w:tr w:rsidR="001C19EC" w:rsidRPr="00B85C2F" w14:paraId="6A50BE57" w14:textId="77777777" w:rsidTr="00637245">
        <w:trPr>
          <w:trHeight w:val="315"/>
        </w:trPr>
        <w:tc>
          <w:tcPr>
            <w:tcW w:w="283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5E1B17A"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Capacitación de servidores del Ministerio Público</w:t>
            </w:r>
          </w:p>
        </w:tc>
        <w:tc>
          <w:tcPr>
            <w:tcW w:w="1319" w:type="pct"/>
            <w:tcBorders>
              <w:top w:val="single" w:sz="8" w:space="0" w:color="auto"/>
              <w:left w:val="nil"/>
              <w:bottom w:val="single" w:sz="8" w:space="0" w:color="auto"/>
              <w:right w:val="single" w:sz="8" w:space="0" w:color="auto"/>
            </w:tcBorders>
            <w:shd w:val="clear" w:color="000000" w:fill="D9D9D9"/>
            <w:noWrap/>
            <w:vAlign w:val="center"/>
            <w:hideMark/>
          </w:tcPr>
          <w:p w14:paraId="7E626351" w14:textId="77777777" w:rsidR="001C19EC" w:rsidRPr="00B85C2F" w:rsidRDefault="001C19EC" w:rsidP="00637245">
            <w:pPr>
              <w:spacing w:after="0" w:line="240" w:lineRule="auto"/>
              <w:rPr>
                <w:rFonts w:eastAsia="Times New Roman" w:cs="Times New Roman"/>
                <w:color w:val="000000"/>
                <w:lang w:eastAsia="es-DO"/>
              </w:rPr>
            </w:pPr>
            <w:r w:rsidRPr="00B85C2F">
              <w:rPr>
                <w:rFonts w:eastAsia="Times New Roman" w:cs="Times New Roman"/>
                <w:color w:val="000000"/>
                <w:lang w:eastAsia="es-DO"/>
              </w:rPr>
              <w:t>Empleado PGR capacitado</w:t>
            </w:r>
          </w:p>
        </w:tc>
        <w:tc>
          <w:tcPr>
            <w:tcW w:w="846" w:type="pct"/>
            <w:tcBorders>
              <w:top w:val="single" w:sz="8" w:space="0" w:color="auto"/>
              <w:left w:val="nil"/>
              <w:bottom w:val="single" w:sz="8" w:space="0" w:color="auto"/>
              <w:right w:val="single" w:sz="8" w:space="0" w:color="auto"/>
            </w:tcBorders>
            <w:shd w:val="clear" w:color="000000" w:fill="D9D9D9"/>
            <w:noWrap/>
            <w:vAlign w:val="center"/>
          </w:tcPr>
          <w:p w14:paraId="1F891E01" w14:textId="77777777" w:rsidR="001C19EC" w:rsidRPr="00B85C2F" w:rsidRDefault="001C19EC" w:rsidP="00637245">
            <w:pPr>
              <w:spacing w:after="0" w:line="240" w:lineRule="auto"/>
              <w:jc w:val="center"/>
              <w:rPr>
                <w:rFonts w:eastAsia="Times New Roman" w:cs="Times New Roman"/>
                <w:color w:val="000000"/>
                <w:lang w:eastAsia="es-DO"/>
              </w:rPr>
            </w:pPr>
            <w:r>
              <w:rPr>
                <w:rFonts w:eastAsia="Times New Roman" w:cs="Times New Roman"/>
                <w:color w:val="000000"/>
                <w:lang w:eastAsia="es-DO"/>
              </w:rPr>
              <w:t>7,718</w:t>
            </w:r>
          </w:p>
        </w:tc>
      </w:tr>
    </w:tbl>
    <w:p w14:paraId="36A2EF5D" w14:textId="77777777" w:rsidR="001C19EC" w:rsidRDefault="001C19EC" w:rsidP="001C19EC">
      <w:pPr>
        <w:spacing w:line="480" w:lineRule="auto"/>
        <w:jc w:val="both"/>
        <w:rPr>
          <w:rFonts w:cs="Times New Roman"/>
          <w:szCs w:val="24"/>
        </w:rPr>
      </w:pPr>
    </w:p>
    <w:p w14:paraId="08CB924A" w14:textId="77777777" w:rsidR="005E6C67" w:rsidRDefault="005E6C67" w:rsidP="00370DC0">
      <w:pPr>
        <w:spacing w:line="480" w:lineRule="auto"/>
        <w:ind w:firstLine="360"/>
        <w:jc w:val="both"/>
        <w:rPr>
          <w:rFonts w:cs="Times New Roman"/>
          <w:szCs w:val="24"/>
        </w:rPr>
      </w:pPr>
      <w:r w:rsidRPr="00466799">
        <w:rPr>
          <w:rFonts w:cs="Times New Roman"/>
          <w:szCs w:val="24"/>
        </w:rPr>
        <w:t xml:space="preserve">Con el objetivo de orientar las estrategias de </w:t>
      </w:r>
      <w:r>
        <w:rPr>
          <w:rFonts w:cs="Times New Roman"/>
          <w:szCs w:val="24"/>
        </w:rPr>
        <w:t xml:space="preserve">la </w:t>
      </w:r>
      <w:r w:rsidRPr="00466799">
        <w:rPr>
          <w:rFonts w:cs="Times New Roman"/>
          <w:szCs w:val="24"/>
        </w:rPr>
        <w:t xml:space="preserve">política del Estado contra la criminalidad, durante el año 2019 </w:t>
      </w:r>
      <w:r>
        <w:rPr>
          <w:rFonts w:cs="Times New Roman"/>
          <w:szCs w:val="24"/>
        </w:rPr>
        <w:t>se continuó</w:t>
      </w:r>
      <w:r w:rsidRPr="00466799">
        <w:rPr>
          <w:rFonts w:cs="Times New Roman"/>
          <w:szCs w:val="24"/>
        </w:rPr>
        <w:t xml:space="preserve"> impulsando y fortaleciendo el registro de información </w:t>
      </w:r>
      <w:r>
        <w:rPr>
          <w:rFonts w:cs="Times New Roman"/>
          <w:szCs w:val="24"/>
        </w:rPr>
        <w:t>como medio de conocer el comportamiento del crimen y a partir de allí tomar acciones para la persecución efectiva de los mismos</w:t>
      </w:r>
      <w:r w:rsidRPr="00466799">
        <w:rPr>
          <w:rFonts w:cs="Times New Roman"/>
          <w:szCs w:val="24"/>
        </w:rPr>
        <w:t>.</w:t>
      </w:r>
    </w:p>
    <w:p w14:paraId="04B7CAD9" w14:textId="77777777" w:rsidR="005E6C67" w:rsidRDefault="005E6C67" w:rsidP="00370DC0">
      <w:pPr>
        <w:spacing w:line="480" w:lineRule="auto"/>
        <w:ind w:firstLine="360"/>
        <w:jc w:val="both"/>
        <w:rPr>
          <w:rFonts w:cs="Times New Roman"/>
          <w:szCs w:val="24"/>
        </w:rPr>
      </w:pPr>
      <w:r w:rsidRPr="00466799">
        <w:rPr>
          <w:rFonts w:cs="Times New Roman"/>
          <w:szCs w:val="24"/>
        </w:rPr>
        <w:t xml:space="preserve">En el período </w:t>
      </w:r>
      <w:r>
        <w:rPr>
          <w:rFonts w:cs="Times New Roman"/>
          <w:szCs w:val="24"/>
        </w:rPr>
        <w:t xml:space="preserve">comprendido entre </w:t>
      </w:r>
      <w:r w:rsidRPr="00466799">
        <w:rPr>
          <w:rFonts w:cs="Times New Roman"/>
          <w:szCs w:val="24"/>
        </w:rPr>
        <w:t>enero-octubre del año 2019, el Ministerio Público registró 147,301 denuncias, querellas y conocimientos directos, resultando 29,402 registros más que en el mismo período del año 2018, lo que equivale a un aumento del 24.9%. Es importante destacar que un registro puede contener más de una infracción de tipo penal, de forma tal que estas entradas se traducen en 279,333 infracciones, promediando 1.9 infracciones por registro.</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701"/>
        <w:gridCol w:w="1280"/>
        <w:gridCol w:w="1266"/>
      </w:tblGrid>
      <w:tr w:rsidR="005E6C67" w:rsidRPr="00EE632D" w14:paraId="24C63F38" w14:textId="77777777" w:rsidTr="007D7021">
        <w:trPr>
          <w:trHeight w:val="750"/>
          <w:jc w:val="center"/>
        </w:trPr>
        <w:tc>
          <w:tcPr>
            <w:tcW w:w="2547" w:type="dxa"/>
            <w:shd w:val="clear" w:color="auto" w:fill="1F4E79" w:themeFill="accent1" w:themeFillShade="80"/>
            <w:noWrap/>
            <w:vAlign w:val="center"/>
            <w:hideMark/>
          </w:tcPr>
          <w:p w14:paraId="19ED8F85" w14:textId="77777777" w:rsidR="005E6C67" w:rsidRPr="00FB4F67" w:rsidRDefault="005E6C67" w:rsidP="007D7021">
            <w:pPr>
              <w:spacing w:after="0" w:line="240" w:lineRule="auto"/>
              <w:jc w:val="center"/>
              <w:rPr>
                <w:rFonts w:eastAsia="Times New Roman" w:cs="Times New Roman"/>
                <w:b/>
                <w:bCs/>
                <w:color w:val="FFFFFF" w:themeColor="background1"/>
                <w:szCs w:val="24"/>
              </w:rPr>
            </w:pPr>
            <w:r w:rsidRPr="00FB4F67">
              <w:rPr>
                <w:rFonts w:eastAsia="Times New Roman" w:cs="Times New Roman"/>
                <w:b/>
                <w:bCs/>
                <w:color w:val="FFFFFF" w:themeColor="background1"/>
                <w:szCs w:val="24"/>
              </w:rPr>
              <w:t xml:space="preserve">Descripción </w:t>
            </w:r>
          </w:p>
        </w:tc>
        <w:tc>
          <w:tcPr>
            <w:tcW w:w="1701" w:type="dxa"/>
            <w:shd w:val="clear" w:color="auto" w:fill="1F4E79" w:themeFill="accent1" w:themeFillShade="80"/>
            <w:vAlign w:val="center"/>
            <w:hideMark/>
          </w:tcPr>
          <w:p w14:paraId="49A7ACFE" w14:textId="77777777" w:rsidR="005E6C67" w:rsidRPr="00FB4F67" w:rsidRDefault="005E6C67" w:rsidP="007D7021">
            <w:pPr>
              <w:spacing w:after="0" w:line="240" w:lineRule="auto"/>
              <w:jc w:val="center"/>
              <w:rPr>
                <w:rFonts w:eastAsia="Times New Roman" w:cs="Times New Roman"/>
                <w:b/>
                <w:bCs/>
                <w:color w:val="FFFFFF" w:themeColor="background1"/>
                <w:szCs w:val="24"/>
                <w:lang w:val="en-US"/>
              </w:rPr>
            </w:pPr>
            <w:r w:rsidRPr="00FB4F67">
              <w:rPr>
                <w:rFonts w:eastAsia="Times New Roman" w:cs="Times New Roman"/>
                <w:b/>
                <w:bCs/>
                <w:color w:val="FFFFFF" w:themeColor="background1"/>
                <w:szCs w:val="24"/>
              </w:rPr>
              <w:t>Enero-Octubre</w:t>
            </w:r>
            <w:r w:rsidRPr="00FB4F67">
              <w:rPr>
                <w:rFonts w:eastAsia="Times New Roman" w:cs="Times New Roman"/>
                <w:b/>
                <w:bCs/>
                <w:color w:val="FFFFFF" w:themeColor="background1"/>
                <w:szCs w:val="24"/>
                <w:lang w:val="en-US"/>
              </w:rPr>
              <w:t xml:space="preserve"> </w:t>
            </w:r>
          </w:p>
          <w:p w14:paraId="40A477A5" w14:textId="77777777" w:rsidR="005E6C67" w:rsidRPr="00FB4F67" w:rsidRDefault="005E6C67" w:rsidP="007D7021">
            <w:pPr>
              <w:spacing w:after="0" w:line="240" w:lineRule="auto"/>
              <w:jc w:val="center"/>
              <w:rPr>
                <w:rFonts w:eastAsia="Times New Roman" w:cs="Times New Roman"/>
                <w:b/>
                <w:bCs/>
                <w:color w:val="FFFFFF" w:themeColor="background1"/>
                <w:szCs w:val="24"/>
                <w:lang w:val="en-US"/>
              </w:rPr>
            </w:pPr>
            <w:r w:rsidRPr="00FB4F67">
              <w:rPr>
                <w:rFonts w:eastAsia="Times New Roman" w:cs="Times New Roman"/>
                <w:b/>
                <w:bCs/>
                <w:color w:val="FFFFFF" w:themeColor="background1"/>
                <w:szCs w:val="24"/>
                <w:lang w:val="en-US"/>
              </w:rPr>
              <w:t>2018</w:t>
            </w:r>
          </w:p>
        </w:tc>
        <w:tc>
          <w:tcPr>
            <w:tcW w:w="1701" w:type="dxa"/>
            <w:shd w:val="clear" w:color="auto" w:fill="1F4E79" w:themeFill="accent1" w:themeFillShade="80"/>
            <w:vAlign w:val="center"/>
          </w:tcPr>
          <w:p w14:paraId="008ED9F3" w14:textId="77777777" w:rsidR="005E6C67" w:rsidRPr="00FB4F67" w:rsidRDefault="005E6C67" w:rsidP="007D7021">
            <w:pPr>
              <w:spacing w:after="0" w:line="240" w:lineRule="auto"/>
              <w:jc w:val="center"/>
              <w:rPr>
                <w:rFonts w:eastAsia="Times New Roman" w:cs="Times New Roman"/>
                <w:b/>
                <w:bCs/>
                <w:color w:val="FFFFFF" w:themeColor="background1"/>
                <w:szCs w:val="24"/>
                <w:lang w:val="en-US"/>
              </w:rPr>
            </w:pPr>
            <w:proofErr w:type="spellStart"/>
            <w:r w:rsidRPr="00FB4F67">
              <w:rPr>
                <w:rFonts w:eastAsia="Times New Roman" w:cs="Times New Roman"/>
                <w:b/>
                <w:bCs/>
                <w:color w:val="FFFFFF" w:themeColor="background1"/>
                <w:szCs w:val="24"/>
                <w:lang w:val="en-US"/>
              </w:rPr>
              <w:t>Enero-Octubre</w:t>
            </w:r>
            <w:proofErr w:type="spellEnd"/>
            <w:r w:rsidRPr="00FB4F67">
              <w:rPr>
                <w:rFonts w:eastAsia="Times New Roman" w:cs="Times New Roman"/>
                <w:b/>
                <w:bCs/>
                <w:color w:val="FFFFFF" w:themeColor="background1"/>
                <w:szCs w:val="24"/>
                <w:lang w:val="en-US"/>
              </w:rPr>
              <w:t xml:space="preserve"> 2019</w:t>
            </w:r>
          </w:p>
        </w:tc>
        <w:tc>
          <w:tcPr>
            <w:tcW w:w="1280" w:type="dxa"/>
            <w:shd w:val="clear" w:color="auto" w:fill="1F4E79" w:themeFill="accent1" w:themeFillShade="80"/>
            <w:vAlign w:val="center"/>
          </w:tcPr>
          <w:p w14:paraId="034BED10" w14:textId="77777777" w:rsidR="005E6C67" w:rsidRPr="00FB4F67" w:rsidRDefault="005E6C67" w:rsidP="007D7021">
            <w:pPr>
              <w:spacing w:after="0" w:line="240" w:lineRule="auto"/>
              <w:jc w:val="center"/>
              <w:rPr>
                <w:rFonts w:eastAsia="Times New Roman" w:cs="Times New Roman"/>
                <w:b/>
                <w:bCs/>
                <w:color w:val="FFFFFF" w:themeColor="background1"/>
                <w:szCs w:val="24"/>
                <w:lang w:val="en-US"/>
              </w:rPr>
            </w:pPr>
            <w:proofErr w:type="spellStart"/>
            <w:r w:rsidRPr="00FB4F67">
              <w:rPr>
                <w:rFonts w:eastAsia="Times New Roman" w:cs="Times New Roman"/>
                <w:b/>
                <w:bCs/>
                <w:color w:val="FFFFFF" w:themeColor="background1"/>
                <w:szCs w:val="24"/>
                <w:lang w:val="en-US"/>
              </w:rPr>
              <w:t>Variación</w:t>
            </w:r>
            <w:proofErr w:type="spellEnd"/>
            <w:r w:rsidRPr="00FB4F67">
              <w:rPr>
                <w:rFonts w:eastAsia="Times New Roman" w:cs="Times New Roman"/>
                <w:b/>
                <w:bCs/>
                <w:color w:val="FFFFFF" w:themeColor="background1"/>
                <w:szCs w:val="24"/>
                <w:lang w:val="en-US"/>
              </w:rPr>
              <w:t xml:space="preserve"> </w:t>
            </w:r>
            <w:proofErr w:type="spellStart"/>
            <w:r w:rsidRPr="00FB4F67">
              <w:rPr>
                <w:rFonts w:eastAsia="Times New Roman" w:cs="Times New Roman"/>
                <w:b/>
                <w:bCs/>
                <w:color w:val="FFFFFF" w:themeColor="background1"/>
                <w:szCs w:val="24"/>
                <w:lang w:val="en-US"/>
              </w:rPr>
              <w:t>Absoluta</w:t>
            </w:r>
            <w:proofErr w:type="spellEnd"/>
          </w:p>
        </w:tc>
        <w:tc>
          <w:tcPr>
            <w:tcW w:w="1266" w:type="dxa"/>
            <w:shd w:val="clear" w:color="auto" w:fill="1F4E79" w:themeFill="accent1" w:themeFillShade="80"/>
            <w:vAlign w:val="center"/>
          </w:tcPr>
          <w:p w14:paraId="12D2319E" w14:textId="77777777" w:rsidR="005E6C67" w:rsidRPr="00FB4F67" w:rsidRDefault="005E6C67" w:rsidP="007D7021">
            <w:pPr>
              <w:spacing w:after="0" w:line="240" w:lineRule="auto"/>
              <w:jc w:val="center"/>
              <w:rPr>
                <w:rFonts w:eastAsia="Times New Roman" w:cs="Times New Roman"/>
                <w:b/>
                <w:bCs/>
                <w:color w:val="FFFFFF" w:themeColor="background1"/>
                <w:szCs w:val="24"/>
                <w:lang w:val="en-US"/>
              </w:rPr>
            </w:pPr>
            <w:proofErr w:type="spellStart"/>
            <w:r w:rsidRPr="00FB4F67">
              <w:rPr>
                <w:rFonts w:eastAsia="Times New Roman" w:cs="Times New Roman"/>
                <w:b/>
                <w:bCs/>
                <w:color w:val="FFFFFF" w:themeColor="background1"/>
                <w:szCs w:val="24"/>
                <w:lang w:val="en-US"/>
              </w:rPr>
              <w:t>Variación</w:t>
            </w:r>
            <w:proofErr w:type="spellEnd"/>
            <w:r w:rsidRPr="00FB4F67">
              <w:rPr>
                <w:rFonts w:eastAsia="Times New Roman" w:cs="Times New Roman"/>
                <w:b/>
                <w:bCs/>
                <w:color w:val="FFFFFF" w:themeColor="background1"/>
                <w:szCs w:val="24"/>
                <w:lang w:val="en-US"/>
              </w:rPr>
              <w:t xml:space="preserve"> </w:t>
            </w:r>
            <w:proofErr w:type="spellStart"/>
            <w:r w:rsidRPr="00FB4F67">
              <w:rPr>
                <w:rFonts w:eastAsia="Times New Roman" w:cs="Times New Roman"/>
                <w:b/>
                <w:bCs/>
                <w:color w:val="FFFFFF" w:themeColor="background1"/>
                <w:szCs w:val="24"/>
                <w:lang w:val="en-US"/>
              </w:rPr>
              <w:t>Relativa</w:t>
            </w:r>
            <w:proofErr w:type="spellEnd"/>
          </w:p>
        </w:tc>
      </w:tr>
      <w:tr w:rsidR="005E6C67" w:rsidRPr="000D0F19" w14:paraId="56CEE27F" w14:textId="77777777" w:rsidTr="007D7021">
        <w:trPr>
          <w:trHeight w:val="585"/>
          <w:jc w:val="center"/>
        </w:trPr>
        <w:tc>
          <w:tcPr>
            <w:tcW w:w="2547" w:type="dxa"/>
            <w:shd w:val="clear" w:color="auto" w:fill="auto"/>
            <w:vAlign w:val="center"/>
          </w:tcPr>
          <w:p w14:paraId="6474171A" w14:textId="77777777" w:rsidR="005E6C67" w:rsidRPr="00FB4F67" w:rsidRDefault="005E6C67" w:rsidP="007D7021">
            <w:pPr>
              <w:spacing w:after="0" w:line="240" w:lineRule="auto"/>
              <w:jc w:val="center"/>
              <w:rPr>
                <w:rFonts w:eastAsia="Times New Roman" w:cs="Times New Roman"/>
                <w:b/>
                <w:bCs/>
                <w:szCs w:val="24"/>
              </w:rPr>
            </w:pPr>
            <w:r w:rsidRPr="00FB4F67">
              <w:rPr>
                <w:rFonts w:eastAsia="Times New Roman" w:cs="Times New Roman"/>
                <w:b/>
                <w:bCs/>
                <w:szCs w:val="24"/>
              </w:rPr>
              <w:t>Registros: Denuncias, Querellas y Conocimientos Directos</w:t>
            </w:r>
          </w:p>
        </w:tc>
        <w:tc>
          <w:tcPr>
            <w:tcW w:w="1701" w:type="dxa"/>
            <w:shd w:val="clear" w:color="auto" w:fill="auto"/>
            <w:noWrap/>
            <w:vAlign w:val="center"/>
          </w:tcPr>
          <w:p w14:paraId="54A73B24"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117,899</w:t>
            </w:r>
          </w:p>
        </w:tc>
        <w:tc>
          <w:tcPr>
            <w:tcW w:w="1701" w:type="dxa"/>
            <w:vAlign w:val="center"/>
          </w:tcPr>
          <w:p w14:paraId="2E94AB72"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147,301</w:t>
            </w:r>
          </w:p>
        </w:tc>
        <w:tc>
          <w:tcPr>
            <w:tcW w:w="1280" w:type="dxa"/>
            <w:vAlign w:val="center"/>
          </w:tcPr>
          <w:p w14:paraId="18820650"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29,402</w:t>
            </w:r>
          </w:p>
        </w:tc>
        <w:tc>
          <w:tcPr>
            <w:tcW w:w="1266" w:type="dxa"/>
            <w:vAlign w:val="center"/>
          </w:tcPr>
          <w:p w14:paraId="4F38F2FE"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24.94%</w:t>
            </w:r>
          </w:p>
        </w:tc>
      </w:tr>
      <w:tr w:rsidR="005E6C67" w:rsidRPr="000D0F19" w14:paraId="50FE6CE2" w14:textId="77777777" w:rsidTr="007D7021">
        <w:trPr>
          <w:trHeight w:val="585"/>
          <w:jc w:val="center"/>
        </w:trPr>
        <w:tc>
          <w:tcPr>
            <w:tcW w:w="2547" w:type="dxa"/>
            <w:shd w:val="clear" w:color="auto" w:fill="auto"/>
            <w:vAlign w:val="center"/>
            <w:hideMark/>
          </w:tcPr>
          <w:p w14:paraId="59D41560" w14:textId="77777777" w:rsidR="005E6C67" w:rsidRPr="00FB4F67" w:rsidRDefault="005E6C67" w:rsidP="007D7021">
            <w:pPr>
              <w:spacing w:after="0" w:line="240" w:lineRule="auto"/>
              <w:jc w:val="center"/>
              <w:rPr>
                <w:rFonts w:eastAsia="Times New Roman" w:cs="Times New Roman"/>
                <w:b/>
                <w:bCs/>
                <w:szCs w:val="24"/>
              </w:rPr>
            </w:pPr>
            <w:r w:rsidRPr="00FB4F67">
              <w:rPr>
                <w:rFonts w:eastAsia="Times New Roman" w:cs="Times New Roman"/>
                <w:b/>
                <w:bCs/>
                <w:szCs w:val="24"/>
              </w:rPr>
              <w:t>Infracciones</w:t>
            </w:r>
          </w:p>
        </w:tc>
        <w:tc>
          <w:tcPr>
            <w:tcW w:w="1701" w:type="dxa"/>
            <w:shd w:val="clear" w:color="auto" w:fill="auto"/>
            <w:noWrap/>
            <w:vAlign w:val="center"/>
            <w:hideMark/>
          </w:tcPr>
          <w:p w14:paraId="3844EBA7"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221,119</w:t>
            </w:r>
          </w:p>
        </w:tc>
        <w:tc>
          <w:tcPr>
            <w:tcW w:w="1701" w:type="dxa"/>
            <w:vAlign w:val="center"/>
          </w:tcPr>
          <w:p w14:paraId="47112F19"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279,333</w:t>
            </w:r>
          </w:p>
        </w:tc>
        <w:tc>
          <w:tcPr>
            <w:tcW w:w="1280" w:type="dxa"/>
            <w:vAlign w:val="center"/>
          </w:tcPr>
          <w:p w14:paraId="7948AC38"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58,214</w:t>
            </w:r>
          </w:p>
        </w:tc>
        <w:tc>
          <w:tcPr>
            <w:tcW w:w="1266" w:type="dxa"/>
            <w:vAlign w:val="center"/>
          </w:tcPr>
          <w:p w14:paraId="7403CDE3" w14:textId="77777777" w:rsidR="005E6C67" w:rsidRPr="00FB4F67" w:rsidRDefault="005E6C67" w:rsidP="007D7021">
            <w:pPr>
              <w:spacing w:after="0" w:line="240" w:lineRule="auto"/>
              <w:jc w:val="center"/>
              <w:rPr>
                <w:rFonts w:eastAsia="Times New Roman" w:cs="Times New Roman"/>
                <w:bCs/>
                <w:szCs w:val="24"/>
                <w:lang w:val="en-US"/>
              </w:rPr>
            </w:pPr>
            <w:r w:rsidRPr="00FB4F67">
              <w:rPr>
                <w:rFonts w:eastAsia="Times New Roman" w:cs="Times New Roman"/>
                <w:bCs/>
                <w:szCs w:val="24"/>
                <w:lang w:val="en-US"/>
              </w:rPr>
              <w:t>26.33%</w:t>
            </w:r>
          </w:p>
        </w:tc>
      </w:tr>
    </w:tbl>
    <w:p w14:paraId="4BA3F7D6" w14:textId="77777777" w:rsidR="005E6C67" w:rsidRDefault="005E6C67" w:rsidP="005E6C67">
      <w:pPr>
        <w:spacing w:line="360" w:lineRule="auto"/>
        <w:jc w:val="both"/>
        <w:rPr>
          <w:rFonts w:cs="Times New Roman"/>
          <w:szCs w:val="24"/>
        </w:rPr>
      </w:pPr>
    </w:p>
    <w:p w14:paraId="6C67AF7F" w14:textId="77777777" w:rsidR="005E6C67" w:rsidRDefault="005E6C67" w:rsidP="005E6C67">
      <w:pPr>
        <w:spacing w:line="360" w:lineRule="auto"/>
        <w:jc w:val="center"/>
        <w:rPr>
          <w:rFonts w:cs="Times New Roman"/>
          <w:szCs w:val="24"/>
        </w:rPr>
      </w:pPr>
      <w:r w:rsidRPr="00220217">
        <w:rPr>
          <w:noProof/>
          <w:shd w:val="clear" w:color="auto" w:fill="1F4E79" w:themeFill="accent1" w:themeFillShade="80"/>
          <w:lang w:val="es-ES" w:eastAsia="es-ES"/>
        </w:rPr>
        <w:drawing>
          <wp:inline distT="0" distB="0" distL="0" distR="0" wp14:anchorId="05DA992E" wp14:editId="2E333C8D">
            <wp:extent cx="4048125" cy="256222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C48469" w14:textId="77777777" w:rsidR="005E6C67" w:rsidRPr="005E747E" w:rsidRDefault="005E6C67" w:rsidP="005E6C67">
      <w:pPr>
        <w:pStyle w:val="Prrafodelista"/>
        <w:numPr>
          <w:ilvl w:val="0"/>
          <w:numId w:val="19"/>
        </w:numPr>
        <w:spacing w:line="360" w:lineRule="auto"/>
        <w:rPr>
          <w:rFonts w:cs="Times New Roman"/>
          <w:b/>
          <w:szCs w:val="24"/>
        </w:rPr>
      </w:pPr>
      <w:r w:rsidRPr="005E747E">
        <w:rPr>
          <w:rFonts w:cs="Times New Roman"/>
          <w:b/>
          <w:szCs w:val="24"/>
        </w:rPr>
        <w:t xml:space="preserve">Casos Judicializados </w:t>
      </w:r>
    </w:p>
    <w:p w14:paraId="6E1891EC" w14:textId="77777777" w:rsidR="005E6C67" w:rsidRDefault="005E6C67" w:rsidP="005E6C67">
      <w:pPr>
        <w:spacing w:line="480" w:lineRule="auto"/>
        <w:ind w:firstLine="360"/>
        <w:jc w:val="both"/>
        <w:rPr>
          <w:rFonts w:cs="Times New Roman"/>
          <w:szCs w:val="24"/>
        </w:rPr>
      </w:pPr>
      <w:r w:rsidRPr="00704944">
        <w:rPr>
          <w:rFonts w:cs="Times New Roman"/>
          <w:szCs w:val="24"/>
        </w:rPr>
        <w:t xml:space="preserve">Entre enero y octubre de 2019 se judicializaron </w:t>
      </w:r>
      <w:r w:rsidRPr="00704944">
        <w:rPr>
          <w:rFonts w:cs="Times New Roman"/>
          <w:b/>
          <w:szCs w:val="24"/>
        </w:rPr>
        <w:t>19,205</w:t>
      </w:r>
      <w:r w:rsidRPr="00704944">
        <w:rPr>
          <w:rFonts w:cs="Times New Roman"/>
          <w:szCs w:val="24"/>
        </w:rPr>
        <w:t xml:space="preserve"> casos a partir de las denuncias, querellas y conocimientos directos registrados, lo que representa un aumento de</w:t>
      </w:r>
      <w:r w:rsidRPr="00704944">
        <w:rPr>
          <w:rFonts w:cs="Times New Roman"/>
          <w:b/>
          <w:szCs w:val="24"/>
        </w:rPr>
        <w:t xml:space="preserve"> 2,282</w:t>
      </w:r>
      <w:r w:rsidRPr="00704944">
        <w:rPr>
          <w:rFonts w:cs="Times New Roman"/>
          <w:szCs w:val="24"/>
        </w:rPr>
        <w:t xml:space="preserve"> casos con respecto al mismo período del año anterior, en el cual se judicializaron </w:t>
      </w:r>
      <w:r w:rsidRPr="00704944">
        <w:rPr>
          <w:rFonts w:cs="Times New Roman"/>
          <w:b/>
          <w:szCs w:val="24"/>
        </w:rPr>
        <w:t>16,923</w:t>
      </w:r>
      <w:r w:rsidRPr="00704944">
        <w:rPr>
          <w:rFonts w:cs="Times New Roman"/>
          <w:szCs w:val="24"/>
        </w:rPr>
        <w:t xml:space="preserve"> casos.</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926"/>
      </w:tblGrid>
      <w:tr w:rsidR="005E6C67" w:rsidRPr="00EE632D" w14:paraId="2F65A629" w14:textId="77777777" w:rsidTr="007D7021">
        <w:trPr>
          <w:trHeight w:val="434"/>
          <w:jc w:val="center"/>
        </w:trPr>
        <w:tc>
          <w:tcPr>
            <w:tcW w:w="3681" w:type="dxa"/>
            <w:shd w:val="clear" w:color="auto" w:fill="1F4E79" w:themeFill="accent1" w:themeFillShade="80"/>
            <w:noWrap/>
            <w:vAlign w:val="center"/>
            <w:hideMark/>
          </w:tcPr>
          <w:p w14:paraId="3FA30C83" w14:textId="77777777" w:rsidR="005E6C67" w:rsidRPr="00C6432B" w:rsidRDefault="005E6C67" w:rsidP="007D7021">
            <w:pPr>
              <w:spacing w:after="0" w:line="240" w:lineRule="auto"/>
              <w:jc w:val="center"/>
              <w:rPr>
                <w:rFonts w:eastAsia="Times New Roman" w:cs="Times New Roman"/>
                <w:b/>
                <w:bCs/>
                <w:color w:val="FFFFFF" w:themeColor="background1"/>
                <w:sz w:val="21"/>
                <w:szCs w:val="21"/>
              </w:rPr>
            </w:pPr>
            <w:r>
              <w:rPr>
                <w:rFonts w:eastAsia="Times New Roman" w:cs="Times New Roman"/>
                <w:b/>
                <w:bCs/>
                <w:color w:val="FFFFFF" w:themeColor="background1"/>
                <w:sz w:val="21"/>
                <w:szCs w:val="21"/>
              </w:rPr>
              <w:t>Descripción</w:t>
            </w:r>
          </w:p>
        </w:tc>
        <w:tc>
          <w:tcPr>
            <w:tcW w:w="1701" w:type="dxa"/>
            <w:shd w:val="clear" w:color="auto" w:fill="1F4E79" w:themeFill="accent1" w:themeFillShade="80"/>
            <w:vAlign w:val="center"/>
            <w:hideMark/>
          </w:tcPr>
          <w:p w14:paraId="6D23C824" w14:textId="77777777" w:rsidR="005E6C67" w:rsidRDefault="005E6C67" w:rsidP="007D7021">
            <w:pPr>
              <w:spacing w:after="0" w:line="240" w:lineRule="auto"/>
              <w:jc w:val="center"/>
              <w:rPr>
                <w:rFonts w:eastAsia="Times New Roman" w:cs="Times New Roman"/>
                <w:b/>
                <w:bCs/>
                <w:color w:val="FFFFFF" w:themeColor="background1"/>
                <w:lang w:val="en-US"/>
              </w:rPr>
            </w:pPr>
            <w:r w:rsidRPr="002C1838">
              <w:rPr>
                <w:rFonts w:eastAsia="Times New Roman" w:cs="Times New Roman"/>
                <w:b/>
                <w:bCs/>
                <w:color w:val="FFFFFF" w:themeColor="background1"/>
              </w:rPr>
              <w:t>Enero-</w:t>
            </w:r>
            <w:r>
              <w:rPr>
                <w:rFonts w:eastAsia="Times New Roman" w:cs="Times New Roman"/>
                <w:b/>
                <w:bCs/>
                <w:color w:val="FFFFFF" w:themeColor="background1"/>
              </w:rPr>
              <w:t>O</w:t>
            </w:r>
            <w:r w:rsidRPr="002C1838">
              <w:rPr>
                <w:rFonts w:eastAsia="Times New Roman" w:cs="Times New Roman"/>
                <w:b/>
                <w:bCs/>
                <w:color w:val="FFFFFF" w:themeColor="background1"/>
              </w:rPr>
              <w:t>ctubre</w:t>
            </w:r>
            <w:r w:rsidRPr="002C1838">
              <w:rPr>
                <w:rFonts w:eastAsia="Times New Roman" w:cs="Times New Roman"/>
                <w:b/>
                <w:bCs/>
                <w:color w:val="FFFFFF" w:themeColor="background1"/>
                <w:lang w:val="en-US"/>
              </w:rPr>
              <w:t xml:space="preserve"> </w:t>
            </w:r>
          </w:p>
          <w:p w14:paraId="10C20305" w14:textId="77777777" w:rsidR="005E6C67" w:rsidRPr="00C6432B" w:rsidRDefault="005E6C67" w:rsidP="007D7021">
            <w:pPr>
              <w:spacing w:after="0" w:line="240" w:lineRule="auto"/>
              <w:jc w:val="center"/>
              <w:rPr>
                <w:rFonts w:eastAsia="Times New Roman" w:cs="Times New Roman"/>
                <w:b/>
                <w:bCs/>
                <w:color w:val="FFFFFF" w:themeColor="background1"/>
                <w:sz w:val="21"/>
                <w:szCs w:val="21"/>
              </w:rPr>
            </w:pPr>
            <w:r w:rsidRPr="00C6432B">
              <w:rPr>
                <w:rFonts w:eastAsia="Times New Roman" w:cs="Times New Roman"/>
                <w:b/>
                <w:bCs/>
                <w:color w:val="FFFFFF" w:themeColor="background1"/>
                <w:sz w:val="21"/>
                <w:szCs w:val="21"/>
              </w:rPr>
              <w:t>2</w:t>
            </w:r>
            <w:r>
              <w:rPr>
                <w:rFonts w:eastAsia="Times New Roman" w:cs="Times New Roman"/>
                <w:b/>
                <w:bCs/>
                <w:color w:val="FFFFFF" w:themeColor="background1"/>
                <w:sz w:val="21"/>
                <w:szCs w:val="21"/>
              </w:rPr>
              <w:t>018</w:t>
            </w:r>
          </w:p>
        </w:tc>
        <w:tc>
          <w:tcPr>
            <w:tcW w:w="1926" w:type="dxa"/>
            <w:shd w:val="clear" w:color="auto" w:fill="1F4E79" w:themeFill="accent1" w:themeFillShade="80"/>
            <w:vAlign w:val="center"/>
          </w:tcPr>
          <w:p w14:paraId="7DFA86B1" w14:textId="77777777" w:rsidR="005E6C67" w:rsidRDefault="005E6C67" w:rsidP="007D7021">
            <w:pPr>
              <w:spacing w:after="0" w:line="240" w:lineRule="auto"/>
              <w:jc w:val="center"/>
              <w:rPr>
                <w:rFonts w:eastAsia="Times New Roman" w:cs="Times New Roman"/>
                <w:b/>
                <w:bCs/>
                <w:color w:val="FFFFFF" w:themeColor="background1"/>
                <w:sz w:val="21"/>
                <w:szCs w:val="21"/>
              </w:rPr>
            </w:pPr>
            <w:r>
              <w:rPr>
                <w:rFonts w:eastAsia="Times New Roman" w:cs="Times New Roman"/>
                <w:b/>
                <w:bCs/>
                <w:color w:val="FFFFFF" w:themeColor="background1"/>
                <w:sz w:val="21"/>
                <w:szCs w:val="21"/>
              </w:rPr>
              <w:t>Enero-Octubre</w:t>
            </w:r>
          </w:p>
          <w:p w14:paraId="0F0E3721" w14:textId="77777777" w:rsidR="005E6C67" w:rsidRPr="00C6432B" w:rsidRDefault="005E6C67" w:rsidP="007D7021">
            <w:pPr>
              <w:spacing w:after="0" w:line="240" w:lineRule="auto"/>
              <w:jc w:val="center"/>
              <w:rPr>
                <w:rFonts w:eastAsia="Times New Roman" w:cs="Times New Roman"/>
                <w:b/>
                <w:bCs/>
                <w:color w:val="FFFFFF" w:themeColor="background1"/>
                <w:sz w:val="21"/>
                <w:szCs w:val="21"/>
              </w:rPr>
            </w:pPr>
            <w:r>
              <w:rPr>
                <w:rFonts w:eastAsia="Times New Roman" w:cs="Times New Roman"/>
                <w:b/>
                <w:bCs/>
                <w:color w:val="FFFFFF" w:themeColor="background1"/>
                <w:sz w:val="21"/>
                <w:szCs w:val="21"/>
              </w:rPr>
              <w:t>2019</w:t>
            </w:r>
          </w:p>
        </w:tc>
      </w:tr>
      <w:tr w:rsidR="005E6C67" w:rsidRPr="0028027E" w14:paraId="1FFC20E5" w14:textId="77777777" w:rsidTr="007D7021">
        <w:trPr>
          <w:trHeight w:val="553"/>
          <w:jc w:val="center"/>
        </w:trPr>
        <w:tc>
          <w:tcPr>
            <w:tcW w:w="3681" w:type="dxa"/>
            <w:shd w:val="clear" w:color="auto" w:fill="auto"/>
            <w:noWrap/>
            <w:vAlign w:val="center"/>
            <w:hideMark/>
          </w:tcPr>
          <w:p w14:paraId="69A43D12" w14:textId="77777777" w:rsidR="005E6C67" w:rsidRPr="00B81A6C" w:rsidRDefault="005E6C67" w:rsidP="007D7021">
            <w:pPr>
              <w:spacing w:after="0" w:line="240" w:lineRule="auto"/>
              <w:jc w:val="center"/>
              <w:rPr>
                <w:rFonts w:eastAsia="Times New Roman" w:cs="Times New Roman"/>
                <w:b/>
                <w:bCs/>
              </w:rPr>
            </w:pPr>
            <w:r>
              <w:rPr>
                <w:rFonts w:eastAsia="Times New Roman" w:cs="Times New Roman"/>
                <w:b/>
                <w:bCs/>
              </w:rPr>
              <w:t>Registros: D</w:t>
            </w:r>
            <w:r w:rsidRPr="00B81A6C">
              <w:rPr>
                <w:rFonts w:eastAsia="Times New Roman" w:cs="Times New Roman"/>
                <w:b/>
                <w:bCs/>
              </w:rPr>
              <w:t xml:space="preserve">enuncias, </w:t>
            </w:r>
            <w:r>
              <w:rPr>
                <w:rFonts w:eastAsia="Times New Roman" w:cs="Times New Roman"/>
                <w:b/>
                <w:bCs/>
              </w:rPr>
              <w:t>Q</w:t>
            </w:r>
            <w:r w:rsidRPr="00B81A6C">
              <w:rPr>
                <w:rFonts w:eastAsia="Times New Roman" w:cs="Times New Roman"/>
                <w:b/>
                <w:bCs/>
              </w:rPr>
              <w:t xml:space="preserve">uerellas y </w:t>
            </w:r>
            <w:r>
              <w:rPr>
                <w:rFonts w:eastAsia="Times New Roman" w:cs="Times New Roman"/>
                <w:b/>
                <w:bCs/>
              </w:rPr>
              <w:t>C</w:t>
            </w:r>
            <w:r w:rsidRPr="00B81A6C">
              <w:rPr>
                <w:rFonts w:eastAsia="Times New Roman" w:cs="Times New Roman"/>
                <w:b/>
                <w:bCs/>
              </w:rPr>
              <w:t>onocimiento</w:t>
            </w:r>
            <w:r>
              <w:rPr>
                <w:rFonts w:eastAsia="Times New Roman" w:cs="Times New Roman"/>
                <w:b/>
                <w:bCs/>
              </w:rPr>
              <w:t>s D</w:t>
            </w:r>
            <w:r w:rsidRPr="00B81A6C">
              <w:rPr>
                <w:rFonts w:eastAsia="Times New Roman" w:cs="Times New Roman"/>
                <w:b/>
                <w:bCs/>
              </w:rPr>
              <w:t>irecto</w:t>
            </w:r>
            <w:r>
              <w:rPr>
                <w:rFonts w:eastAsia="Times New Roman" w:cs="Times New Roman"/>
                <w:b/>
                <w:bCs/>
              </w:rPr>
              <w:t>s</w:t>
            </w:r>
          </w:p>
        </w:tc>
        <w:tc>
          <w:tcPr>
            <w:tcW w:w="1701" w:type="dxa"/>
            <w:shd w:val="clear" w:color="auto" w:fill="auto"/>
            <w:noWrap/>
            <w:vAlign w:val="center"/>
            <w:hideMark/>
          </w:tcPr>
          <w:p w14:paraId="5CC7D4FF" w14:textId="77777777" w:rsidR="005E6C67" w:rsidRPr="00B81A6C" w:rsidRDefault="005E6C67" w:rsidP="007D7021">
            <w:pPr>
              <w:spacing w:after="0" w:line="240" w:lineRule="auto"/>
              <w:jc w:val="center"/>
              <w:rPr>
                <w:rFonts w:eastAsia="Times New Roman" w:cs="Times New Roman"/>
                <w:bCs/>
                <w:lang w:val="en-US"/>
              </w:rPr>
            </w:pPr>
            <w:r>
              <w:rPr>
                <w:rFonts w:eastAsia="Times New Roman" w:cs="Times New Roman"/>
                <w:bCs/>
                <w:lang w:val="en-US"/>
              </w:rPr>
              <w:t>117,899</w:t>
            </w:r>
          </w:p>
        </w:tc>
        <w:tc>
          <w:tcPr>
            <w:tcW w:w="1926" w:type="dxa"/>
            <w:vAlign w:val="center"/>
          </w:tcPr>
          <w:p w14:paraId="79432555" w14:textId="77777777" w:rsidR="005E6C67" w:rsidRPr="00B81A6C" w:rsidRDefault="005E6C67" w:rsidP="007D7021">
            <w:pPr>
              <w:spacing w:after="0" w:line="240" w:lineRule="auto"/>
              <w:jc w:val="center"/>
              <w:rPr>
                <w:rFonts w:eastAsia="Times New Roman" w:cs="Times New Roman"/>
                <w:bCs/>
                <w:lang w:val="en-US"/>
              </w:rPr>
            </w:pPr>
            <w:r>
              <w:rPr>
                <w:rFonts w:eastAsia="Times New Roman" w:cs="Times New Roman"/>
                <w:bCs/>
                <w:lang w:val="en-US"/>
              </w:rPr>
              <w:t>147,301</w:t>
            </w:r>
          </w:p>
        </w:tc>
      </w:tr>
      <w:tr w:rsidR="005E6C67" w:rsidRPr="0028027E" w14:paraId="6D98A019" w14:textId="77777777" w:rsidTr="007D7021">
        <w:trPr>
          <w:trHeight w:val="433"/>
          <w:jc w:val="center"/>
        </w:trPr>
        <w:tc>
          <w:tcPr>
            <w:tcW w:w="3681" w:type="dxa"/>
            <w:shd w:val="clear" w:color="auto" w:fill="auto"/>
            <w:vAlign w:val="center"/>
            <w:hideMark/>
          </w:tcPr>
          <w:p w14:paraId="2686C424" w14:textId="77777777" w:rsidR="005E6C67" w:rsidRPr="00C6432B" w:rsidRDefault="005E6C67" w:rsidP="007D7021">
            <w:pPr>
              <w:spacing w:after="0" w:line="240" w:lineRule="auto"/>
              <w:jc w:val="center"/>
              <w:rPr>
                <w:rFonts w:eastAsia="Times New Roman" w:cs="Times New Roman"/>
                <w:b/>
                <w:bCs/>
                <w:lang w:val="en-US"/>
              </w:rPr>
            </w:pPr>
            <w:proofErr w:type="spellStart"/>
            <w:r w:rsidRPr="00C6432B">
              <w:rPr>
                <w:rFonts w:eastAsia="Times New Roman" w:cs="Times New Roman"/>
                <w:b/>
                <w:bCs/>
                <w:lang w:val="en-US"/>
              </w:rPr>
              <w:t>Casos</w:t>
            </w:r>
            <w:proofErr w:type="spellEnd"/>
            <w:r w:rsidRPr="00C6432B">
              <w:rPr>
                <w:rFonts w:eastAsia="Times New Roman" w:cs="Times New Roman"/>
                <w:b/>
                <w:bCs/>
                <w:lang w:val="en-US"/>
              </w:rPr>
              <w:t xml:space="preserve"> </w:t>
            </w:r>
            <w:proofErr w:type="spellStart"/>
            <w:r>
              <w:rPr>
                <w:rFonts w:eastAsia="Times New Roman" w:cs="Times New Roman"/>
                <w:b/>
                <w:bCs/>
                <w:lang w:val="en-US"/>
              </w:rPr>
              <w:t>J</w:t>
            </w:r>
            <w:r w:rsidRPr="00C6432B">
              <w:rPr>
                <w:rFonts w:eastAsia="Times New Roman" w:cs="Times New Roman"/>
                <w:b/>
                <w:bCs/>
                <w:lang w:val="en-US"/>
              </w:rPr>
              <w:t>udicializados</w:t>
            </w:r>
            <w:proofErr w:type="spellEnd"/>
          </w:p>
        </w:tc>
        <w:tc>
          <w:tcPr>
            <w:tcW w:w="1701" w:type="dxa"/>
            <w:shd w:val="clear" w:color="auto" w:fill="auto"/>
            <w:noWrap/>
            <w:vAlign w:val="center"/>
            <w:hideMark/>
          </w:tcPr>
          <w:p w14:paraId="1B1F4F7B" w14:textId="77777777" w:rsidR="005E6C67" w:rsidRPr="006D229F" w:rsidRDefault="005E6C67" w:rsidP="007D7021">
            <w:pPr>
              <w:spacing w:after="0" w:line="240" w:lineRule="auto"/>
              <w:jc w:val="center"/>
              <w:rPr>
                <w:rFonts w:eastAsia="Times New Roman" w:cs="Times New Roman"/>
                <w:bCs/>
              </w:rPr>
            </w:pPr>
            <w:r w:rsidRPr="006D229F">
              <w:rPr>
                <w:rFonts w:eastAsia="Times New Roman" w:cs="Times New Roman"/>
                <w:bCs/>
              </w:rPr>
              <w:t>16,923</w:t>
            </w:r>
          </w:p>
        </w:tc>
        <w:tc>
          <w:tcPr>
            <w:tcW w:w="1926" w:type="dxa"/>
            <w:vAlign w:val="center"/>
          </w:tcPr>
          <w:p w14:paraId="1B38D037" w14:textId="77777777" w:rsidR="005E6C67" w:rsidRPr="006D229F" w:rsidRDefault="005E6C67" w:rsidP="007D7021">
            <w:pPr>
              <w:spacing w:after="0" w:line="240" w:lineRule="auto"/>
              <w:jc w:val="center"/>
              <w:rPr>
                <w:rFonts w:eastAsia="Times New Roman" w:cs="Times New Roman"/>
                <w:bCs/>
              </w:rPr>
            </w:pPr>
            <w:r w:rsidRPr="006D229F">
              <w:rPr>
                <w:rFonts w:eastAsia="Times New Roman" w:cs="Times New Roman"/>
                <w:bCs/>
              </w:rPr>
              <w:t>19,205</w:t>
            </w:r>
          </w:p>
        </w:tc>
      </w:tr>
      <w:tr w:rsidR="005E6C67" w:rsidRPr="0028027E" w14:paraId="5C4A9207" w14:textId="77777777" w:rsidTr="007D7021">
        <w:trPr>
          <w:trHeight w:val="397"/>
          <w:jc w:val="center"/>
        </w:trPr>
        <w:tc>
          <w:tcPr>
            <w:tcW w:w="3681" w:type="dxa"/>
            <w:shd w:val="clear" w:color="auto" w:fill="auto"/>
            <w:vAlign w:val="center"/>
            <w:hideMark/>
          </w:tcPr>
          <w:p w14:paraId="1342E249" w14:textId="77777777" w:rsidR="005E6C67" w:rsidRPr="00C6432B" w:rsidRDefault="005E6C67" w:rsidP="007D7021">
            <w:pPr>
              <w:spacing w:after="0" w:line="240" w:lineRule="auto"/>
              <w:jc w:val="center"/>
              <w:rPr>
                <w:rFonts w:eastAsia="Times New Roman" w:cs="Times New Roman"/>
                <w:b/>
                <w:bCs/>
                <w:lang w:val="en-US"/>
              </w:rPr>
            </w:pPr>
            <w:r w:rsidRPr="00B15A03">
              <w:rPr>
                <w:rFonts w:eastAsia="Times New Roman" w:cs="Times New Roman"/>
                <w:b/>
                <w:bCs/>
              </w:rPr>
              <w:t>Proporción</w:t>
            </w:r>
          </w:p>
        </w:tc>
        <w:tc>
          <w:tcPr>
            <w:tcW w:w="1701" w:type="dxa"/>
            <w:shd w:val="clear" w:color="auto" w:fill="auto"/>
            <w:noWrap/>
            <w:vAlign w:val="center"/>
            <w:hideMark/>
          </w:tcPr>
          <w:p w14:paraId="07EFC019" w14:textId="77777777" w:rsidR="005E6C67" w:rsidRPr="006D229F" w:rsidRDefault="005E6C67" w:rsidP="007D7021">
            <w:pPr>
              <w:spacing w:after="0" w:line="240" w:lineRule="auto"/>
              <w:jc w:val="center"/>
              <w:rPr>
                <w:rFonts w:eastAsia="Times New Roman" w:cs="Times New Roman"/>
                <w:bCs/>
              </w:rPr>
            </w:pPr>
            <w:r w:rsidRPr="006D229F">
              <w:rPr>
                <w:rFonts w:eastAsia="Times New Roman" w:cs="Times New Roman"/>
                <w:bCs/>
              </w:rPr>
              <w:t>14%</w:t>
            </w:r>
          </w:p>
        </w:tc>
        <w:tc>
          <w:tcPr>
            <w:tcW w:w="1926" w:type="dxa"/>
            <w:vAlign w:val="center"/>
          </w:tcPr>
          <w:p w14:paraId="13A92DB1" w14:textId="77777777" w:rsidR="005E6C67" w:rsidRPr="006D229F" w:rsidRDefault="005E6C67" w:rsidP="007D7021">
            <w:pPr>
              <w:spacing w:after="0" w:line="240" w:lineRule="auto"/>
              <w:jc w:val="center"/>
              <w:rPr>
                <w:rFonts w:eastAsia="Times New Roman" w:cs="Times New Roman"/>
                <w:bCs/>
              </w:rPr>
            </w:pPr>
            <w:r w:rsidRPr="006D229F">
              <w:rPr>
                <w:rFonts w:eastAsia="Times New Roman" w:cs="Times New Roman"/>
                <w:bCs/>
              </w:rPr>
              <w:t>13%</w:t>
            </w:r>
          </w:p>
        </w:tc>
      </w:tr>
    </w:tbl>
    <w:p w14:paraId="33D0EF42" w14:textId="77777777" w:rsidR="005E6C67" w:rsidRDefault="005E6C67" w:rsidP="005E6C67">
      <w:pPr>
        <w:spacing w:line="360" w:lineRule="auto"/>
        <w:jc w:val="center"/>
        <w:rPr>
          <w:rFonts w:cs="Times New Roman"/>
          <w:szCs w:val="24"/>
        </w:rPr>
      </w:pPr>
      <w:r>
        <w:rPr>
          <w:noProof/>
          <w:lang w:val="es-ES" w:eastAsia="es-ES"/>
        </w:rPr>
        <w:drawing>
          <wp:inline distT="0" distB="0" distL="0" distR="0" wp14:anchorId="7EA6B896" wp14:editId="5D045F78">
            <wp:extent cx="4057650" cy="240982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779336" w14:textId="77777777" w:rsidR="005E6C67" w:rsidRPr="005E747E" w:rsidRDefault="005E6C67" w:rsidP="005E6C67">
      <w:pPr>
        <w:pStyle w:val="Prrafodelista"/>
        <w:numPr>
          <w:ilvl w:val="0"/>
          <w:numId w:val="19"/>
        </w:numPr>
        <w:spacing w:line="360" w:lineRule="auto"/>
        <w:jc w:val="both"/>
        <w:rPr>
          <w:rFonts w:cs="Times New Roman"/>
          <w:b/>
          <w:szCs w:val="24"/>
        </w:rPr>
      </w:pPr>
      <w:r w:rsidRPr="005E747E">
        <w:rPr>
          <w:rFonts w:cs="Times New Roman"/>
          <w:b/>
          <w:szCs w:val="24"/>
        </w:rPr>
        <w:lastRenderedPageBreak/>
        <w:t xml:space="preserve">Distribución de las Denuncias por tipos de Delitos </w:t>
      </w:r>
    </w:p>
    <w:p w14:paraId="13576F76" w14:textId="77777777" w:rsidR="005E6C67" w:rsidRPr="005E747E" w:rsidRDefault="005E6C67" w:rsidP="005E6C67">
      <w:pPr>
        <w:spacing w:line="480" w:lineRule="auto"/>
        <w:ind w:firstLine="360"/>
        <w:jc w:val="both"/>
        <w:rPr>
          <w:rFonts w:cs="Times New Roman"/>
          <w:szCs w:val="24"/>
        </w:rPr>
      </w:pPr>
      <w:r w:rsidRPr="00704944">
        <w:rPr>
          <w:rFonts w:cs="Times New Roman"/>
          <w:szCs w:val="24"/>
        </w:rPr>
        <w:t xml:space="preserve">Como explicamos anteriormente, un registro puede contener más de una infracción de tipo penal, observándose que en el período enero-octubre del año 2019 se reflejó una proporción de </w:t>
      </w:r>
      <w:r w:rsidRPr="00704944">
        <w:rPr>
          <w:rFonts w:cs="Times New Roman"/>
          <w:b/>
          <w:szCs w:val="24"/>
        </w:rPr>
        <w:t xml:space="preserve">1.9:1 </w:t>
      </w:r>
      <w:r w:rsidRPr="00704944">
        <w:rPr>
          <w:rFonts w:cs="Times New Roman"/>
          <w:szCs w:val="24"/>
        </w:rPr>
        <w:t>infracciones/registros. Las principales cinco (5) infracciones fueron: 1) Violencia Intrafamiliar (22.59%); 2) Robo Calificado (13.18%); 3) Amenazas (10.14%); 4) Drogas y sus diferentes delitos (9.78%); 5) Violencia de Género (9.29%), que representan el 64.9% de todos los delitos procesados en el referido período.</w:t>
      </w:r>
    </w:p>
    <w:p w14:paraId="1C5BCAA0" w14:textId="77777777" w:rsidR="005E6C67" w:rsidRDefault="005E6C67" w:rsidP="005E6C67">
      <w:pPr>
        <w:spacing w:line="360" w:lineRule="auto"/>
        <w:jc w:val="center"/>
        <w:rPr>
          <w:rFonts w:cs="Times New Roman"/>
          <w:szCs w:val="24"/>
        </w:rPr>
      </w:pPr>
      <w:r w:rsidRPr="0039158E">
        <w:rPr>
          <w:noProof/>
          <w:shd w:val="clear" w:color="auto" w:fill="1F4E79" w:themeFill="accent1" w:themeFillShade="80"/>
          <w:lang w:val="es-ES" w:eastAsia="es-ES"/>
        </w:rPr>
        <w:drawing>
          <wp:inline distT="0" distB="0" distL="0" distR="0" wp14:anchorId="0BCF6254" wp14:editId="2DFBDAED">
            <wp:extent cx="4429125"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791DEA" w14:textId="77777777" w:rsidR="005E6C67" w:rsidRDefault="005E6C67" w:rsidP="005E6C67">
      <w:pPr>
        <w:spacing w:after="0" w:line="240" w:lineRule="auto"/>
        <w:ind w:firstLine="708"/>
        <w:jc w:val="center"/>
        <w:rPr>
          <w:rFonts w:cs="Times New Roman"/>
          <w:b/>
          <w:color w:val="404040" w:themeColor="text1" w:themeTint="BF"/>
        </w:rPr>
      </w:pPr>
    </w:p>
    <w:p w14:paraId="297D5FEB" w14:textId="77777777" w:rsidR="005E6C67" w:rsidRDefault="005E6C67" w:rsidP="005E6C67">
      <w:pPr>
        <w:spacing w:after="0" w:line="240" w:lineRule="auto"/>
        <w:ind w:firstLine="708"/>
        <w:jc w:val="center"/>
        <w:rPr>
          <w:rFonts w:cs="Times New Roman"/>
          <w:b/>
          <w:color w:val="404040" w:themeColor="text1" w:themeTint="BF"/>
        </w:rPr>
      </w:pPr>
    </w:p>
    <w:p w14:paraId="49D57FE7" w14:textId="77777777" w:rsidR="005E6C67" w:rsidRPr="00A02B3E" w:rsidRDefault="005E6C67" w:rsidP="005E6C67">
      <w:pPr>
        <w:spacing w:after="0" w:line="240" w:lineRule="auto"/>
        <w:ind w:firstLine="708"/>
        <w:jc w:val="center"/>
        <w:rPr>
          <w:rFonts w:cs="Times New Roman"/>
          <w:b/>
          <w:color w:val="404040" w:themeColor="text1" w:themeTint="BF"/>
        </w:rPr>
      </w:pPr>
      <w:r w:rsidRPr="00A02B3E">
        <w:rPr>
          <w:rFonts w:cs="Times New Roman"/>
          <w:b/>
          <w:color w:val="404040" w:themeColor="text1" w:themeTint="BF"/>
        </w:rPr>
        <w:t>Relación de Infracciones</w:t>
      </w:r>
    </w:p>
    <w:p w14:paraId="1E98B057" w14:textId="77777777" w:rsidR="005E6C67" w:rsidRDefault="005E6C67" w:rsidP="005E6C67">
      <w:pPr>
        <w:spacing w:line="360" w:lineRule="auto"/>
        <w:jc w:val="center"/>
        <w:rPr>
          <w:rFonts w:cs="Times New Roman"/>
          <w:b/>
          <w:color w:val="404040" w:themeColor="text1" w:themeTint="BF"/>
        </w:rPr>
      </w:pPr>
      <w:r>
        <w:rPr>
          <w:rFonts w:cs="Times New Roman"/>
          <w:b/>
          <w:color w:val="404040" w:themeColor="text1" w:themeTint="BF"/>
        </w:rPr>
        <w:t xml:space="preserve">      </w:t>
      </w:r>
      <w:r w:rsidRPr="00A02B3E">
        <w:rPr>
          <w:rFonts w:cs="Times New Roman"/>
          <w:b/>
          <w:color w:val="404040" w:themeColor="text1" w:themeTint="BF"/>
        </w:rPr>
        <w:t>Enero-</w:t>
      </w:r>
      <w:r>
        <w:rPr>
          <w:rFonts w:cs="Times New Roman"/>
          <w:b/>
          <w:color w:val="404040" w:themeColor="text1" w:themeTint="BF"/>
        </w:rPr>
        <w:t>O</w:t>
      </w:r>
      <w:r w:rsidRPr="00A02B3E">
        <w:rPr>
          <w:rFonts w:cs="Times New Roman"/>
          <w:b/>
          <w:color w:val="404040" w:themeColor="text1" w:themeTint="BF"/>
        </w:rPr>
        <w:t>ctubre 2019</w:t>
      </w: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47"/>
        <w:gridCol w:w="1417"/>
        <w:gridCol w:w="1418"/>
      </w:tblGrid>
      <w:tr w:rsidR="005E6C67" w:rsidRPr="00324548" w14:paraId="2730F7AA" w14:textId="77777777" w:rsidTr="007D7021">
        <w:trPr>
          <w:trHeight w:val="330"/>
          <w:jc w:val="center"/>
        </w:trPr>
        <w:tc>
          <w:tcPr>
            <w:tcW w:w="464" w:type="dxa"/>
            <w:shd w:val="clear" w:color="auto" w:fill="1F4E79" w:themeFill="accent1" w:themeFillShade="80"/>
            <w:noWrap/>
            <w:vAlign w:val="center"/>
            <w:hideMark/>
          </w:tcPr>
          <w:p w14:paraId="62B1B0E7" w14:textId="77777777" w:rsidR="005E6C67" w:rsidRPr="00324548" w:rsidRDefault="005E6C67" w:rsidP="007D7021">
            <w:pPr>
              <w:spacing w:after="0" w:line="240" w:lineRule="auto"/>
              <w:jc w:val="center"/>
              <w:rPr>
                <w:rFonts w:eastAsia="Times New Roman" w:cs="Times New Roman"/>
                <w:b/>
                <w:bCs/>
                <w:color w:val="FFFFFF" w:themeColor="background1"/>
              </w:rPr>
            </w:pPr>
            <w:r w:rsidRPr="00324548">
              <w:rPr>
                <w:rFonts w:eastAsia="Times New Roman" w:cs="Times New Roman"/>
                <w:b/>
                <w:bCs/>
                <w:color w:val="FFFFFF" w:themeColor="background1"/>
              </w:rPr>
              <w:t>No.</w:t>
            </w:r>
          </w:p>
        </w:tc>
        <w:tc>
          <w:tcPr>
            <w:tcW w:w="4247" w:type="dxa"/>
            <w:shd w:val="clear" w:color="auto" w:fill="1F4E79" w:themeFill="accent1" w:themeFillShade="80"/>
            <w:noWrap/>
            <w:vAlign w:val="center"/>
            <w:hideMark/>
          </w:tcPr>
          <w:p w14:paraId="55DC69B4" w14:textId="77777777" w:rsidR="005E6C67" w:rsidRPr="00324548" w:rsidRDefault="005E6C67" w:rsidP="007D7021">
            <w:pPr>
              <w:spacing w:after="0" w:line="240" w:lineRule="auto"/>
              <w:rPr>
                <w:rFonts w:eastAsia="Times New Roman" w:cs="Times New Roman"/>
                <w:b/>
                <w:bCs/>
                <w:color w:val="FFFFFF" w:themeColor="background1"/>
              </w:rPr>
            </w:pPr>
            <w:r w:rsidRPr="00324548">
              <w:rPr>
                <w:rFonts w:eastAsia="Times New Roman" w:cs="Times New Roman"/>
                <w:b/>
                <w:bCs/>
                <w:color w:val="FFFFFF" w:themeColor="background1"/>
              </w:rPr>
              <w:t>Descripción</w:t>
            </w:r>
          </w:p>
        </w:tc>
        <w:tc>
          <w:tcPr>
            <w:tcW w:w="1417" w:type="dxa"/>
            <w:shd w:val="clear" w:color="auto" w:fill="1F4E79" w:themeFill="accent1" w:themeFillShade="80"/>
            <w:noWrap/>
            <w:vAlign w:val="center"/>
            <w:hideMark/>
          </w:tcPr>
          <w:p w14:paraId="03D00BCA" w14:textId="77777777" w:rsidR="005E6C67" w:rsidRPr="00324548" w:rsidRDefault="005E6C67" w:rsidP="007D7021">
            <w:pPr>
              <w:spacing w:after="0" w:line="240" w:lineRule="auto"/>
              <w:jc w:val="center"/>
              <w:rPr>
                <w:rFonts w:eastAsia="Times New Roman" w:cs="Times New Roman"/>
                <w:b/>
                <w:bCs/>
                <w:color w:val="FFFFFF" w:themeColor="background1"/>
              </w:rPr>
            </w:pPr>
            <w:r w:rsidRPr="00324548">
              <w:rPr>
                <w:rFonts w:eastAsia="Times New Roman" w:cs="Times New Roman"/>
                <w:b/>
                <w:bCs/>
                <w:color w:val="FFFFFF" w:themeColor="background1"/>
              </w:rPr>
              <w:t>Cantidad</w:t>
            </w:r>
          </w:p>
        </w:tc>
        <w:tc>
          <w:tcPr>
            <w:tcW w:w="1418" w:type="dxa"/>
            <w:shd w:val="clear" w:color="auto" w:fill="1F4E79" w:themeFill="accent1" w:themeFillShade="80"/>
            <w:noWrap/>
            <w:vAlign w:val="center"/>
            <w:hideMark/>
          </w:tcPr>
          <w:p w14:paraId="5F60FF5A" w14:textId="77777777" w:rsidR="005E6C67" w:rsidRPr="00324548" w:rsidRDefault="005E6C67" w:rsidP="007D7021">
            <w:pPr>
              <w:spacing w:after="0" w:line="240" w:lineRule="auto"/>
              <w:jc w:val="center"/>
              <w:rPr>
                <w:rFonts w:eastAsia="Times New Roman" w:cs="Times New Roman"/>
                <w:b/>
                <w:bCs/>
                <w:color w:val="FFFFFF" w:themeColor="background1"/>
              </w:rPr>
            </w:pPr>
            <w:r w:rsidRPr="00324548">
              <w:rPr>
                <w:rFonts w:eastAsia="Times New Roman" w:cs="Times New Roman"/>
                <w:b/>
                <w:bCs/>
                <w:color w:val="FFFFFF" w:themeColor="background1"/>
              </w:rPr>
              <w:t>Porcentaje</w:t>
            </w:r>
          </w:p>
        </w:tc>
      </w:tr>
      <w:tr w:rsidR="005E6C67" w:rsidRPr="00324548" w14:paraId="6F150C2C" w14:textId="77777777" w:rsidTr="007D7021">
        <w:trPr>
          <w:trHeight w:val="319"/>
          <w:jc w:val="center"/>
        </w:trPr>
        <w:tc>
          <w:tcPr>
            <w:tcW w:w="464" w:type="dxa"/>
            <w:shd w:val="clear" w:color="auto" w:fill="auto"/>
            <w:noWrap/>
            <w:vAlign w:val="center"/>
            <w:hideMark/>
          </w:tcPr>
          <w:p w14:paraId="1C99F1AD"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w:t>
            </w:r>
          </w:p>
        </w:tc>
        <w:tc>
          <w:tcPr>
            <w:tcW w:w="4247" w:type="dxa"/>
            <w:shd w:val="clear" w:color="auto" w:fill="auto"/>
            <w:noWrap/>
            <w:vAlign w:val="center"/>
            <w:hideMark/>
          </w:tcPr>
          <w:p w14:paraId="58D9472C"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Violencia intrafamiliar</w:t>
            </w:r>
          </w:p>
        </w:tc>
        <w:tc>
          <w:tcPr>
            <w:tcW w:w="1417" w:type="dxa"/>
            <w:shd w:val="clear" w:color="auto" w:fill="auto"/>
            <w:noWrap/>
            <w:vAlign w:val="center"/>
            <w:hideMark/>
          </w:tcPr>
          <w:p w14:paraId="228C4E35"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63,101</w:t>
            </w:r>
          </w:p>
        </w:tc>
        <w:tc>
          <w:tcPr>
            <w:tcW w:w="1418" w:type="dxa"/>
            <w:shd w:val="clear" w:color="auto" w:fill="auto"/>
            <w:noWrap/>
            <w:vAlign w:val="center"/>
            <w:hideMark/>
          </w:tcPr>
          <w:p w14:paraId="7BA11E51"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22.59%</w:t>
            </w:r>
          </w:p>
        </w:tc>
      </w:tr>
      <w:tr w:rsidR="005E6C67" w:rsidRPr="00324548" w14:paraId="3AD82572" w14:textId="77777777" w:rsidTr="007D7021">
        <w:trPr>
          <w:trHeight w:val="319"/>
          <w:jc w:val="center"/>
        </w:trPr>
        <w:tc>
          <w:tcPr>
            <w:tcW w:w="464" w:type="dxa"/>
            <w:shd w:val="clear" w:color="auto" w:fill="auto"/>
            <w:noWrap/>
            <w:vAlign w:val="center"/>
            <w:hideMark/>
          </w:tcPr>
          <w:p w14:paraId="1580F2D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w:t>
            </w:r>
          </w:p>
        </w:tc>
        <w:tc>
          <w:tcPr>
            <w:tcW w:w="4247" w:type="dxa"/>
            <w:shd w:val="clear" w:color="auto" w:fill="auto"/>
            <w:noWrap/>
            <w:vAlign w:val="center"/>
            <w:hideMark/>
          </w:tcPr>
          <w:p w14:paraId="0EF0E984" w14:textId="77777777" w:rsidR="005E6C67" w:rsidRPr="00A02B3E" w:rsidRDefault="005E6C67" w:rsidP="007D7021">
            <w:pPr>
              <w:spacing w:after="0" w:line="240" w:lineRule="auto"/>
              <w:rPr>
                <w:rFonts w:eastAsia="Times New Roman" w:cs="Times New Roman"/>
                <w:color w:val="000000"/>
                <w:lang w:eastAsia="es-DO"/>
              </w:rPr>
            </w:pPr>
            <w:r w:rsidRPr="00A02B3E">
              <w:rPr>
                <w:rFonts w:eastAsia="Times New Roman" w:cs="Times New Roman"/>
                <w:color w:val="000000"/>
                <w:lang w:eastAsia="es-DO"/>
              </w:rPr>
              <w:t>Robo calificado</w:t>
            </w:r>
          </w:p>
        </w:tc>
        <w:tc>
          <w:tcPr>
            <w:tcW w:w="1417" w:type="dxa"/>
            <w:shd w:val="clear" w:color="auto" w:fill="auto"/>
            <w:noWrap/>
            <w:vAlign w:val="center"/>
            <w:hideMark/>
          </w:tcPr>
          <w:p w14:paraId="4B3B2466"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36,815</w:t>
            </w:r>
          </w:p>
        </w:tc>
        <w:tc>
          <w:tcPr>
            <w:tcW w:w="1418" w:type="dxa"/>
            <w:shd w:val="clear" w:color="auto" w:fill="auto"/>
            <w:noWrap/>
            <w:vAlign w:val="center"/>
            <w:hideMark/>
          </w:tcPr>
          <w:p w14:paraId="36F046C8"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13.18%</w:t>
            </w:r>
          </w:p>
        </w:tc>
      </w:tr>
      <w:tr w:rsidR="005E6C67" w:rsidRPr="00324548" w14:paraId="240A955B" w14:textId="77777777" w:rsidTr="007D7021">
        <w:trPr>
          <w:trHeight w:val="319"/>
          <w:jc w:val="center"/>
        </w:trPr>
        <w:tc>
          <w:tcPr>
            <w:tcW w:w="464" w:type="dxa"/>
            <w:shd w:val="clear" w:color="auto" w:fill="auto"/>
            <w:noWrap/>
            <w:vAlign w:val="center"/>
            <w:hideMark/>
          </w:tcPr>
          <w:p w14:paraId="11216880"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3</w:t>
            </w:r>
          </w:p>
        </w:tc>
        <w:tc>
          <w:tcPr>
            <w:tcW w:w="4247" w:type="dxa"/>
            <w:shd w:val="clear" w:color="auto" w:fill="auto"/>
            <w:noWrap/>
            <w:vAlign w:val="center"/>
            <w:hideMark/>
          </w:tcPr>
          <w:p w14:paraId="49B2A10F" w14:textId="77777777" w:rsidR="005E6C67" w:rsidRPr="00A02B3E" w:rsidRDefault="005E6C67" w:rsidP="007D7021">
            <w:pPr>
              <w:spacing w:after="0" w:line="240" w:lineRule="auto"/>
              <w:rPr>
                <w:rFonts w:eastAsia="Times New Roman" w:cs="Times New Roman"/>
                <w:color w:val="000000"/>
                <w:lang w:eastAsia="es-DO"/>
              </w:rPr>
            </w:pPr>
            <w:r w:rsidRPr="00A02B3E">
              <w:rPr>
                <w:rFonts w:eastAsia="Times New Roman" w:cs="Times New Roman"/>
                <w:color w:val="000000"/>
                <w:lang w:eastAsia="es-DO"/>
              </w:rPr>
              <w:t>Amenazas</w:t>
            </w:r>
          </w:p>
        </w:tc>
        <w:tc>
          <w:tcPr>
            <w:tcW w:w="1417" w:type="dxa"/>
            <w:shd w:val="clear" w:color="auto" w:fill="auto"/>
            <w:noWrap/>
            <w:vAlign w:val="center"/>
            <w:hideMark/>
          </w:tcPr>
          <w:p w14:paraId="64D99CE1"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28,324</w:t>
            </w:r>
          </w:p>
        </w:tc>
        <w:tc>
          <w:tcPr>
            <w:tcW w:w="1418" w:type="dxa"/>
            <w:shd w:val="clear" w:color="auto" w:fill="auto"/>
            <w:noWrap/>
            <w:vAlign w:val="center"/>
            <w:hideMark/>
          </w:tcPr>
          <w:p w14:paraId="0B645B2D"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10.14%</w:t>
            </w:r>
          </w:p>
        </w:tc>
      </w:tr>
      <w:tr w:rsidR="005E6C67" w:rsidRPr="00324548" w14:paraId="118DC8B6" w14:textId="77777777" w:rsidTr="007D7021">
        <w:trPr>
          <w:trHeight w:val="319"/>
          <w:jc w:val="center"/>
        </w:trPr>
        <w:tc>
          <w:tcPr>
            <w:tcW w:w="464" w:type="dxa"/>
            <w:shd w:val="clear" w:color="auto" w:fill="auto"/>
            <w:noWrap/>
            <w:vAlign w:val="center"/>
            <w:hideMark/>
          </w:tcPr>
          <w:p w14:paraId="45108CE4"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p>
        </w:tc>
        <w:tc>
          <w:tcPr>
            <w:tcW w:w="4247" w:type="dxa"/>
            <w:shd w:val="clear" w:color="auto" w:fill="auto"/>
            <w:noWrap/>
            <w:vAlign w:val="center"/>
            <w:hideMark/>
          </w:tcPr>
          <w:p w14:paraId="26F9CF96" w14:textId="77777777" w:rsidR="005E6C67" w:rsidRPr="00A02B3E" w:rsidRDefault="005E6C67" w:rsidP="007D7021">
            <w:pPr>
              <w:spacing w:after="0" w:line="240" w:lineRule="auto"/>
              <w:rPr>
                <w:rFonts w:eastAsia="Times New Roman" w:cs="Times New Roman"/>
                <w:color w:val="000000"/>
                <w:lang w:eastAsia="es-DO"/>
              </w:rPr>
            </w:pPr>
            <w:r w:rsidRPr="00A02B3E">
              <w:rPr>
                <w:rFonts w:eastAsia="Times New Roman" w:cs="Times New Roman"/>
                <w:color w:val="000000"/>
                <w:lang w:eastAsia="es-DO"/>
              </w:rPr>
              <w:t>Violencia de género</w:t>
            </w:r>
          </w:p>
        </w:tc>
        <w:tc>
          <w:tcPr>
            <w:tcW w:w="1417" w:type="dxa"/>
            <w:shd w:val="clear" w:color="auto" w:fill="auto"/>
            <w:noWrap/>
            <w:vAlign w:val="center"/>
            <w:hideMark/>
          </w:tcPr>
          <w:p w14:paraId="589D6F47"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25,947</w:t>
            </w:r>
          </w:p>
        </w:tc>
        <w:tc>
          <w:tcPr>
            <w:tcW w:w="1418" w:type="dxa"/>
            <w:shd w:val="clear" w:color="auto" w:fill="auto"/>
            <w:noWrap/>
            <w:vAlign w:val="center"/>
            <w:hideMark/>
          </w:tcPr>
          <w:p w14:paraId="2AC2E311"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9.29%</w:t>
            </w:r>
          </w:p>
        </w:tc>
      </w:tr>
      <w:tr w:rsidR="005E6C67" w:rsidRPr="00324548" w14:paraId="6477AE0F" w14:textId="77777777" w:rsidTr="007D7021">
        <w:trPr>
          <w:trHeight w:val="319"/>
          <w:jc w:val="center"/>
        </w:trPr>
        <w:tc>
          <w:tcPr>
            <w:tcW w:w="464" w:type="dxa"/>
            <w:shd w:val="clear" w:color="auto" w:fill="auto"/>
            <w:noWrap/>
            <w:vAlign w:val="center"/>
            <w:hideMark/>
          </w:tcPr>
          <w:p w14:paraId="0759B72D"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5</w:t>
            </w:r>
          </w:p>
        </w:tc>
        <w:tc>
          <w:tcPr>
            <w:tcW w:w="4247" w:type="dxa"/>
            <w:shd w:val="clear" w:color="auto" w:fill="auto"/>
            <w:noWrap/>
            <w:vAlign w:val="center"/>
            <w:hideMark/>
          </w:tcPr>
          <w:p w14:paraId="17D4F0A6" w14:textId="77777777" w:rsidR="005E6C67" w:rsidRPr="00A02B3E" w:rsidRDefault="005E6C67" w:rsidP="007D7021">
            <w:pPr>
              <w:spacing w:after="0" w:line="240" w:lineRule="auto"/>
              <w:jc w:val="both"/>
              <w:rPr>
                <w:rFonts w:eastAsia="Times New Roman" w:cs="Times New Roman"/>
                <w:color w:val="000000"/>
                <w:lang w:eastAsia="es-DO"/>
              </w:rPr>
            </w:pPr>
            <w:r w:rsidRPr="00A02B3E">
              <w:rPr>
                <w:rFonts w:eastAsia="Times New Roman" w:cs="Times New Roman"/>
                <w:color w:val="000000"/>
                <w:lang w:eastAsia="es-DO"/>
              </w:rPr>
              <w:t xml:space="preserve">Violación al Código del Menor </w:t>
            </w:r>
          </w:p>
        </w:tc>
        <w:tc>
          <w:tcPr>
            <w:tcW w:w="1417" w:type="dxa"/>
            <w:shd w:val="clear" w:color="auto" w:fill="auto"/>
            <w:noWrap/>
            <w:vAlign w:val="center"/>
            <w:hideMark/>
          </w:tcPr>
          <w:p w14:paraId="5F20C5BA"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21,558</w:t>
            </w:r>
          </w:p>
        </w:tc>
        <w:tc>
          <w:tcPr>
            <w:tcW w:w="1418" w:type="dxa"/>
            <w:shd w:val="clear" w:color="auto" w:fill="auto"/>
            <w:noWrap/>
            <w:vAlign w:val="center"/>
            <w:hideMark/>
          </w:tcPr>
          <w:p w14:paraId="074E5DF8"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7.72%</w:t>
            </w:r>
          </w:p>
        </w:tc>
      </w:tr>
      <w:tr w:rsidR="005E6C67" w:rsidRPr="00324548" w14:paraId="4FA284D0" w14:textId="77777777" w:rsidTr="007D7021">
        <w:trPr>
          <w:trHeight w:val="319"/>
          <w:jc w:val="center"/>
        </w:trPr>
        <w:tc>
          <w:tcPr>
            <w:tcW w:w="464" w:type="dxa"/>
            <w:shd w:val="clear" w:color="auto" w:fill="auto"/>
            <w:noWrap/>
            <w:vAlign w:val="center"/>
            <w:hideMark/>
          </w:tcPr>
          <w:p w14:paraId="5E5D73C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6</w:t>
            </w:r>
          </w:p>
        </w:tc>
        <w:tc>
          <w:tcPr>
            <w:tcW w:w="4247" w:type="dxa"/>
            <w:shd w:val="clear" w:color="auto" w:fill="auto"/>
            <w:noWrap/>
            <w:vAlign w:val="center"/>
            <w:hideMark/>
          </w:tcPr>
          <w:p w14:paraId="422F7C93" w14:textId="77777777" w:rsidR="005E6C67" w:rsidRPr="00A02B3E" w:rsidRDefault="005E6C67" w:rsidP="007D7021">
            <w:pPr>
              <w:spacing w:after="0" w:line="240" w:lineRule="auto"/>
              <w:rPr>
                <w:rFonts w:eastAsia="Times New Roman" w:cs="Times New Roman"/>
                <w:color w:val="000000"/>
                <w:lang w:eastAsia="es-DO"/>
              </w:rPr>
            </w:pPr>
            <w:r w:rsidRPr="00A02B3E">
              <w:rPr>
                <w:rFonts w:eastAsia="Times New Roman" w:cs="Times New Roman"/>
                <w:color w:val="000000"/>
                <w:lang w:eastAsia="es-DO"/>
              </w:rPr>
              <w:t>Golpes y heridas</w:t>
            </w:r>
          </w:p>
        </w:tc>
        <w:tc>
          <w:tcPr>
            <w:tcW w:w="1417" w:type="dxa"/>
            <w:shd w:val="clear" w:color="auto" w:fill="auto"/>
            <w:noWrap/>
            <w:vAlign w:val="center"/>
            <w:hideMark/>
          </w:tcPr>
          <w:p w14:paraId="32CAE0BB"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18,100</w:t>
            </w:r>
          </w:p>
        </w:tc>
        <w:tc>
          <w:tcPr>
            <w:tcW w:w="1418" w:type="dxa"/>
            <w:shd w:val="clear" w:color="auto" w:fill="auto"/>
            <w:noWrap/>
            <w:vAlign w:val="center"/>
            <w:hideMark/>
          </w:tcPr>
          <w:p w14:paraId="2C1C2ACB"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6.48%</w:t>
            </w:r>
          </w:p>
        </w:tc>
      </w:tr>
      <w:tr w:rsidR="005E6C67" w:rsidRPr="00324548" w14:paraId="399202D6" w14:textId="77777777" w:rsidTr="007D7021">
        <w:trPr>
          <w:trHeight w:val="319"/>
          <w:jc w:val="center"/>
        </w:trPr>
        <w:tc>
          <w:tcPr>
            <w:tcW w:w="464" w:type="dxa"/>
            <w:shd w:val="clear" w:color="auto" w:fill="auto"/>
            <w:noWrap/>
            <w:vAlign w:val="center"/>
            <w:hideMark/>
          </w:tcPr>
          <w:p w14:paraId="28CDFBF3"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7</w:t>
            </w:r>
          </w:p>
        </w:tc>
        <w:tc>
          <w:tcPr>
            <w:tcW w:w="4247" w:type="dxa"/>
            <w:shd w:val="clear" w:color="auto" w:fill="auto"/>
            <w:noWrap/>
            <w:vAlign w:val="center"/>
            <w:hideMark/>
          </w:tcPr>
          <w:p w14:paraId="014771B2" w14:textId="77777777" w:rsidR="005E6C67" w:rsidRPr="00A02B3E" w:rsidRDefault="005E6C67" w:rsidP="007D7021">
            <w:pPr>
              <w:spacing w:after="0" w:line="240" w:lineRule="auto"/>
              <w:rPr>
                <w:rFonts w:eastAsia="Times New Roman" w:cs="Times New Roman"/>
                <w:color w:val="000000"/>
                <w:lang w:eastAsia="es-DO"/>
              </w:rPr>
            </w:pPr>
            <w:r w:rsidRPr="00A02B3E">
              <w:rPr>
                <w:rFonts w:eastAsia="Times New Roman" w:cs="Times New Roman"/>
                <w:color w:val="000000"/>
                <w:lang w:eastAsia="es-DO"/>
              </w:rPr>
              <w:t>Droga, simple posesión</w:t>
            </w:r>
          </w:p>
        </w:tc>
        <w:tc>
          <w:tcPr>
            <w:tcW w:w="1417" w:type="dxa"/>
            <w:shd w:val="clear" w:color="auto" w:fill="auto"/>
            <w:noWrap/>
            <w:vAlign w:val="center"/>
            <w:hideMark/>
          </w:tcPr>
          <w:p w14:paraId="2CE17A07" w14:textId="77777777" w:rsidR="005E6C67" w:rsidRPr="00A02B3E" w:rsidRDefault="005E6C67" w:rsidP="007D7021">
            <w:pPr>
              <w:spacing w:after="0" w:line="240" w:lineRule="auto"/>
              <w:jc w:val="center"/>
              <w:rPr>
                <w:rFonts w:eastAsia="Times New Roman" w:cs="Times New Roman"/>
                <w:b/>
                <w:bCs/>
                <w:color w:val="000000"/>
                <w:lang w:eastAsia="es-DO"/>
              </w:rPr>
            </w:pPr>
            <w:r w:rsidRPr="00A02B3E">
              <w:rPr>
                <w:rFonts w:eastAsia="Times New Roman" w:cs="Times New Roman"/>
                <w:b/>
                <w:bCs/>
                <w:color w:val="000000"/>
                <w:lang w:eastAsia="es-DO"/>
              </w:rPr>
              <w:t>12,246</w:t>
            </w:r>
          </w:p>
        </w:tc>
        <w:tc>
          <w:tcPr>
            <w:tcW w:w="1418" w:type="dxa"/>
            <w:shd w:val="clear" w:color="auto" w:fill="auto"/>
            <w:noWrap/>
            <w:vAlign w:val="center"/>
            <w:hideMark/>
          </w:tcPr>
          <w:p w14:paraId="61133981" w14:textId="77777777" w:rsidR="005E6C67" w:rsidRPr="00A02B3E" w:rsidRDefault="005E6C67" w:rsidP="007D7021">
            <w:pPr>
              <w:spacing w:after="0" w:line="240" w:lineRule="auto"/>
              <w:jc w:val="center"/>
              <w:rPr>
                <w:rFonts w:eastAsia="Times New Roman" w:cs="Times New Roman"/>
                <w:color w:val="000000"/>
                <w:lang w:eastAsia="es-DO"/>
              </w:rPr>
            </w:pPr>
            <w:r w:rsidRPr="00A02B3E">
              <w:rPr>
                <w:rFonts w:eastAsia="Times New Roman" w:cs="Times New Roman"/>
                <w:color w:val="000000"/>
                <w:lang w:eastAsia="es-DO"/>
              </w:rPr>
              <w:t>4.38%</w:t>
            </w:r>
          </w:p>
        </w:tc>
      </w:tr>
      <w:tr w:rsidR="005E6C67" w:rsidRPr="00324548" w14:paraId="4A45F5F5" w14:textId="77777777" w:rsidTr="007D7021">
        <w:trPr>
          <w:trHeight w:val="319"/>
          <w:jc w:val="center"/>
        </w:trPr>
        <w:tc>
          <w:tcPr>
            <w:tcW w:w="464" w:type="dxa"/>
            <w:shd w:val="clear" w:color="auto" w:fill="auto"/>
            <w:noWrap/>
            <w:vAlign w:val="center"/>
            <w:hideMark/>
          </w:tcPr>
          <w:p w14:paraId="31839C5E"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8</w:t>
            </w:r>
          </w:p>
        </w:tc>
        <w:tc>
          <w:tcPr>
            <w:tcW w:w="4247" w:type="dxa"/>
            <w:shd w:val="clear" w:color="auto" w:fill="auto"/>
            <w:noWrap/>
            <w:vAlign w:val="center"/>
            <w:hideMark/>
          </w:tcPr>
          <w:p w14:paraId="211286B6"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Droga</w:t>
            </w:r>
            <w:r>
              <w:rPr>
                <w:rFonts w:eastAsia="Times New Roman" w:cs="Times New Roman"/>
                <w:color w:val="000000"/>
                <w:lang w:eastAsia="es-DO"/>
              </w:rPr>
              <w:t>,</w:t>
            </w:r>
            <w:r w:rsidRPr="00324548">
              <w:rPr>
                <w:rFonts w:eastAsia="Times New Roman" w:cs="Times New Roman"/>
                <w:color w:val="000000"/>
                <w:lang w:eastAsia="es-DO"/>
              </w:rPr>
              <w:t xml:space="preserve"> distribución </w:t>
            </w:r>
          </w:p>
        </w:tc>
        <w:tc>
          <w:tcPr>
            <w:tcW w:w="1417" w:type="dxa"/>
            <w:shd w:val="clear" w:color="auto" w:fill="auto"/>
            <w:noWrap/>
            <w:vAlign w:val="center"/>
            <w:hideMark/>
          </w:tcPr>
          <w:p w14:paraId="5EC6AF4F"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8,474</w:t>
            </w:r>
          </w:p>
        </w:tc>
        <w:tc>
          <w:tcPr>
            <w:tcW w:w="1418" w:type="dxa"/>
            <w:shd w:val="clear" w:color="auto" w:fill="auto"/>
            <w:noWrap/>
            <w:vAlign w:val="center"/>
            <w:hideMark/>
          </w:tcPr>
          <w:p w14:paraId="07405693"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3.03%</w:t>
            </w:r>
          </w:p>
        </w:tc>
      </w:tr>
      <w:tr w:rsidR="005E6C67" w:rsidRPr="00324548" w14:paraId="21CF3BBD" w14:textId="77777777" w:rsidTr="007D7021">
        <w:trPr>
          <w:trHeight w:val="319"/>
          <w:jc w:val="center"/>
        </w:trPr>
        <w:tc>
          <w:tcPr>
            <w:tcW w:w="464" w:type="dxa"/>
            <w:shd w:val="clear" w:color="auto" w:fill="auto"/>
            <w:noWrap/>
            <w:vAlign w:val="center"/>
            <w:hideMark/>
          </w:tcPr>
          <w:p w14:paraId="78F98673"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9</w:t>
            </w:r>
          </w:p>
        </w:tc>
        <w:tc>
          <w:tcPr>
            <w:tcW w:w="4247" w:type="dxa"/>
            <w:shd w:val="clear" w:color="auto" w:fill="auto"/>
            <w:noWrap/>
            <w:vAlign w:val="center"/>
            <w:hideMark/>
          </w:tcPr>
          <w:p w14:paraId="17A7F0CD"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Droga</w:t>
            </w:r>
            <w:r>
              <w:rPr>
                <w:rFonts w:eastAsia="Times New Roman" w:cs="Times New Roman"/>
                <w:color w:val="000000"/>
                <w:lang w:eastAsia="es-DO"/>
              </w:rPr>
              <w:t>, tráfico</w:t>
            </w:r>
          </w:p>
        </w:tc>
        <w:tc>
          <w:tcPr>
            <w:tcW w:w="1417" w:type="dxa"/>
            <w:shd w:val="clear" w:color="auto" w:fill="auto"/>
            <w:noWrap/>
            <w:vAlign w:val="center"/>
            <w:hideMark/>
          </w:tcPr>
          <w:p w14:paraId="20CDA83D"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6,128</w:t>
            </w:r>
          </w:p>
        </w:tc>
        <w:tc>
          <w:tcPr>
            <w:tcW w:w="1418" w:type="dxa"/>
            <w:shd w:val="clear" w:color="auto" w:fill="auto"/>
            <w:noWrap/>
            <w:vAlign w:val="center"/>
            <w:hideMark/>
          </w:tcPr>
          <w:p w14:paraId="0CBBF5BE"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2.19%</w:t>
            </w:r>
          </w:p>
        </w:tc>
      </w:tr>
      <w:tr w:rsidR="005E6C67" w:rsidRPr="00324548" w14:paraId="7878BCBA" w14:textId="77777777" w:rsidTr="007D7021">
        <w:trPr>
          <w:trHeight w:val="319"/>
          <w:jc w:val="center"/>
        </w:trPr>
        <w:tc>
          <w:tcPr>
            <w:tcW w:w="464" w:type="dxa"/>
            <w:shd w:val="clear" w:color="auto" w:fill="auto"/>
            <w:noWrap/>
            <w:vAlign w:val="center"/>
            <w:hideMark/>
          </w:tcPr>
          <w:p w14:paraId="2633809A"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10</w:t>
            </w:r>
          </w:p>
        </w:tc>
        <w:tc>
          <w:tcPr>
            <w:tcW w:w="4247" w:type="dxa"/>
            <w:shd w:val="clear" w:color="auto" w:fill="auto"/>
            <w:noWrap/>
            <w:vAlign w:val="center"/>
            <w:hideMark/>
          </w:tcPr>
          <w:p w14:paraId="20D95D9A"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Abuso de confianza</w:t>
            </w:r>
          </w:p>
        </w:tc>
        <w:tc>
          <w:tcPr>
            <w:tcW w:w="1417" w:type="dxa"/>
            <w:shd w:val="clear" w:color="auto" w:fill="auto"/>
            <w:noWrap/>
            <w:vAlign w:val="center"/>
            <w:hideMark/>
          </w:tcPr>
          <w:p w14:paraId="4DE8A5A0"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5,693</w:t>
            </w:r>
          </w:p>
        </w:tc>
        <w:tc>
          <w:tcPr>
            <w:tcW w:w="1418" w:type="dxa"/>
            <w:shd w:val="clear" w:color="auto" w:fill="auto"/>
            <w:noWrap/>
            <w:vAlign w:val="center"/>
            <w:hideMark/>
          </w:tcPr>
          <w:p w14:paraId="7126CC4E"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2.04%</w:t>
            </w:r>
          </w:p>
        </w:tc>
      </w:tr>
      <w:tr w:rsidR="005E6C67" w:rsidRPr="00324548" w14:paraId="0235D3B6" w14:textId="77777777" w:rsidTr="007D7021">
        <w:trPr>
          <w:trHeight w:val="319"/>
          <w:jc w:val="center"/>
        </w:trPr>
        <w:tc>
          <w:tcPr>
            <w:tcW w:w="464" w:type="dxa"/>
            <w:shd w:val="clear" w:color="auto" w:fill="auto"/>
            <w:noWrap/>
            <w:vAlign w:val="center"/>
            <w:hideMark/>
          </w:tcPr>
          <w:p w14:paraId="4AED1718"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lastRenderedPageBreak/>
              <w:t>11</w:t>
            </w:r>
          </w:p>
        </w:tc>
        <w:tc>
          <w:tcPr>
            <w:tcW w:w="4247" w:type="dxa"/>
            <w:shd w:val="clear" w:color="auto" w:fill="auto"/>
            <w:noWrap/>
            <w:vAlign w:val="center"/>
            <w:hideMark/>
          </w:tcPr>
          <w:p w14:paraId="049BC060"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Asociación de malhechores</w:t>
            </w:r>
          </w:p>
        </w:tc>
        <w:tc>
          <w:tcPr>
            <w:tcW w:w="1417" w:type="dxa"/>
            <w:shd w:val="clear" w:color="auto" w:fill="auto"/>
            <w:noWrap/>
            <w:vAlign w:val="center"/>
            <w:hideMark/>
          </w:tcPr>
          <w:p w14:paraId="662FCF61"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5,612</w:t>
            </w:r>
          </w:p>
        </w:tc>
        <w:tc>
          <w:tcPr>
            <w:tcW w:w="1418" w:type="dxa"/>
            <w:shd w:val="clear" w:color="auto" w:fill="auto"/>
            <w:noWrap/>
            <w:vAlign w:val="center"/>
            <w:hideMark/>
          </w:tcPr>
          <w:p w14:paraId="5333B865"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2.01%</w:t>
            </w:r>
          </w:p>
        </w:tc>
      </w:tr>
      <w:tr w:rsidR="005E6C67" w:rsidRPr="00324548" w14:paraId="0FC1B360" w14:textId="77777777" w:rsidTr="007D7021">
        <w:trPr>
          <w:trHeight w:val="319"/>
          <w:jc w:val="center"/>
        </w:trPr>
        <w:tc>
          <w:tcPr>
            <w:tcW w:w="464" w:type="dxa"/>
            <w:shd w:val="clear" w:color="auto" w:fill="auto"/>
            <w:noWrap/>
            <w:vAlign w:val="center"/>
            <w:hideMark/>
          </w:tcPr>
          <w:p w14:paraId="66079880"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12</w:t>
            </w:r>
          </w:p>
        </w:tc>
        <w:tc>
          <w:tcPr>
            <w:tcW w:w="4247" w:type="dxa"/>
            <w:shd w:val="clear" w:color="auto" w:fill="auto"/>
            <w:noWrap/>
            <w:vAlign w:val="center"/>
            <w:hideMark/>
          </w:tcPr>
          <w:p w14:paraId="4C7246DC"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Crímenes y delitos de alta tecnología</w:t>
            </w:r>
          </w:p>
        </w:tc>
        <w:tc>
          <w:tcPr>
            <w:tcW w:w="1417" w:type="dxa"/>
            <w:shd w:val="clear" w:color="auto" w:fill="auto"/>
            <w:noWrap/>
            <w:vAlign w:val="center"/>
            <w:hideMark/>
          </w:tcPr>
          <w:p w14:paraId="57154707"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5,462</w:t>
            </w:r>
          </w:p>
        </w:tc>
        <w:tc>
          <w:tcPr>
            <w:tcW w:w="1418" w:type="dxa"/>
            <w:shd w:val="clear" w:color="auto" w:fill="auto"/>
            <w:noWrap/>
            <w:vAlign w:val="center"/>
            <w:hideMark/>
          </w:tcPr>
          <w:p w14:paraId="6652C0F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1.96%</w:t>
            </w:r>
          </w:p>
        </w:tc>
      </w:tr>
      <w:tr w:rsidR="005E6C67" w:rsidRPr="00324548" w14:paraId="1ACC1AF2" w14:textId="77777777" w:rsidTr="007D7021">
        <w:trPr>
          <w:trHeight w:val="319"/>
          <w:jc w:val="center"/>
        </w:trPr>
        <w:tc>
          <w:tcPr>
            <w:tcW w:w="464" w:type="dxa"/>
            <w:shd w:val="clear" w:color="auto" w:fill="auto"/>
            <w:noWrap/>
            <w:vAlign w:val="center"/>
            <w:hideMark/>
          </w:tcPr>
          <w:p w14:paraId="150B3614"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13</w:t>
            </w:r>
          </w:p>
        </w:tc>
        <w:tc>
          <w:tcPr>
            <w:tcW w:w="4247" w:type="dxa"/>
            <w:shd w:val="clear" w:color="auto" w:fill="auto"/>
            <w:noWrap/>
            <w:vAlign w:val="center"/>
            <w:hideMark/>
          </w:tcPr>
          <w:p w14:paraId="6A266CB0"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Agresión sexual</w:t>
            </w:r>
          </w:p>
        </w:tc>
        <w:tc>
          <w:tcPr>
            <w:tcW w:w="1417" w:type="dxa"/>
            <w:shd w:val="clear" w:color="auto" w:fill="auto"/>
            <w:noWrap/>
            <w:vAlign w:val="center"/>
            <w:hideMark/>
          </w:tcPr>
          <w:p w14:paraId="5F248A75"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4,941</w:t>
            </w:r>
          </w:p>
        </w:tc>
        <w:tc>
          <w:tcPr>
            <w:tcW w:w="1418" w:type="dxa"/>
            <w:shd w:val="clear" w:color="auto" w:fill="auto"/>
            <w:noWrap/>
            <w:vAlign w:val="center"/>
            <w:hideMark/>
          </w:tcPr>
          <w:p w14:paraId="17E0814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1.77%</w:t>
            </w:r>
          </w:p>
        </w:tc>
      </w:tr>
      <w:tr w:rsidR="005E6C67" w:rsidRPr="00324548" w14:paraId="17ACAE82" w14:textId="77777777" w:rsidTr="007D7021">
        <w:trPr>
          <w:trHeight w:val="319"/>
          <w:jc w:val="center"/>
        </w:trPr>
        <w:tc>
          <w:tcPr>
            <w:tcW w:w="464" w:type="dxa"/>
            <w:shd w:val="clear" w:color="auto" w:fill="auto"/>
            <w:noWrap/>
            <w:vAlign w:val="center"/>
            <w:hideMark/>
          </w:tcPr>
          <w:p w14:paraId="23327874"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14</w:t>
            </w:r>
          </w:p>
        </w:tc>
        <w:tc>
          <w:tcPr>
            <w:tcW w:w="4247" w:type="dxa"/>
            <w:shd w:val="clear" w:color="auto" w:fill="auto"/>
            <w:noWrap/>
            <w:vAlign w:val="center"/>
            <w:hideMark/>
          </w:tcPr>
          <w:p w14:paraId="6243B901"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Estafa</w:t>
            </w:r>
          </w:p>
        </w:tc>
        <w:tc>
          <w:tcPr>
            <w:tcW w:w="1417" w:type="dxa"/>
            <w:shd w:val="clear" w:color="auto" w:fill="auto"/>
            <w:noWrap/>
            <w:vAlign w:val="center"/>
            <w:hideMark/>
          </w:tcPr>
          <w:p w14:paraId="5B1D4469"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4,666</w:t>
            </w:r>
          </w:p>
        </w:tc>
        <w:tc>
          <w:tcPr>
            <w:tcW w:w="1418" w:type="dxa"/>
            <w:shd w:val="clear" w:color="auto" w:fill="auto"/>
            <w:noWrap/>
            <w:vAlign w:val="center"/>
            <w:hideMark/>
          </w:tcPr>
          <w:p w14:paraId="0CD66350"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1.67%</w:t>
            </w:r>
          </w:p>
        </w:tc>
      </w:tr>
      <w:tr w:rsidR="005E6C67" w:rsidRPr="00324548" w14:paraId="4A2EB610" w14:textId="77777777" w:rsidTr="007D7021">
        <w:trPr>
          <w:trHeight w:val="319"/>
          <w:jc w:val="center"/>
        </w:trPr>
        <w:tc>
          <w:tcPr>
            <w:tcW w:w="464" w:type="dxa"/>
            <w:shd w:val="clear" w:color="auto" w:fill="auto"/>
            <w:noWrap/>
            <w:vAlign w:val="center"/>
            <w:hideMark/>
          </w:tcPr>
          <w:p w14:paraId="56AF7EC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15</w:t>
            </w:r>
          </w:p>
        </w:tc>
        <w:tc>
          <w:tcPr>
            <w:tcW w:w="4247" w:type="dxa"/>
            <w:shd w:val="clear" w:color="auto" w:fill="auto"/>
            <w:noWrap/>
            <w:vAlign w:val="center"/>
            <w:hideMark/>
          </w:tcPr>
          <w:p w14:paraId="259F720F"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Daños y perjuicio</w:t>
            </w:r>
            <w:r>
              <w:rPr>
                <w:rFonts w:eastAsia="Times New Roman" w:cs="Times New Roman"/>
                <w:color w:val="000000"/>
                <w:lang w:eastAsia="es-DO"/>
              </w:rPr>
              <w:t>s</w:t>
            </w:r>
            <w:r w:rsidRPr="00324548">
              <w:rPr>
                <w:rFonts w:eastAsia="Times New Roman" w:cs="Times New Roman"/>
                <w:color w:val="000000"/>
                <w:lang w:eastAsia="es-DO"/>
              </w:rPr>
              <w:t xml:space="preserve"> a la cosa ajena</w:t>
            </w:r>
          </w:p>
        </w:tc>
        <w:tc>
          <w:tcPr>
            <w:tcW w:w="1417" w:type="dxa"/>
            <w:shd w:val="clear" w:color="auto" w:fill="auto"/>
            <w:noWrap/>
            <w:vAlign w:val="center"/>
            <w:hideMark/>
          </w:tcPr>
          <w:p w14:paraId="70E77426"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4,135</w:t>
            </w:r>
          </w:p>
        </w:tc>
        <w:tc>
          <w:tcPr>
            <w:tcW w:w="1418" w:type="dxa"/>
            <w:shd w:val="clear" w:color="auto" w:fill="auto"/>
            <w:noWrap/>
            <w:vAlign w:val="center"/>
            <w:hideMark/>
          </w:tcPr>
          <w:p w14:paraId="7A5FD9AD"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1.48%</w:t>
            </w:r>
          </w:p>
        </w:tc>
      </w:tr>
      <w:tr w:rsidR="005E6C67" w:rsidRPr="00324548" w14:paraId="36410129" w14:textId="77777777" w:rsidTr="007D7021">
        <w:trPr>
          <w:trHeight w:val="319"/>
          <w:jc w:val="center"/>
        </w:trPr>
        <w:tc>
          <w:tcPr>
            <w:tcW w:w="464" w:type="dxa"/>
            <w:shd w:val="clear" w:color="auto" w:fill="auto"/>
            <w:noWrap/>
            <w:vAlign w:val="center"/>
            <w:hideMark/>
          </w:tcPr>
          <w:p w14:paraId="7D0B5328"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16</w:t>
            </w:r>
          </w:p>
        </w:tc>
        <w:tc>
          <w:tcPr>
            <w:tcW w:w="4247" w:type="dxa"/>
            <w:shd w:val="clear" w:color="auto" w:fill="auto"/>
            <w:noWrap/>
            <w:vAlign w:val="center"/>
            <w:hideMark/>
          </w:tcPr>
          <w:p w14:paraId="36823372"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Desfalco</w:t>
            </w:r>
          </w:p>
        </w:tc>
        <w:tc>
          <w:tcPr>
            <w:tcW w:w="1417" w:type="dxa"/>
            <w:shd w:val="clear" w:color="auto" w:fill="auto"/>
            <w:noWrap/>
            <w:vAlign w:val="center"/>
            <w:hideMark/>
          </w:tcPr>
          <w:p w14:paraId="3BFC7774"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4,126</w:t>
            </w:r>
          </w:p>
        </w:tc>
        <w:tc>
          <w:tcPr>
            <w:tcW w:w="1418" w:type="dxa"/>
            <w:shd w:val="clear" w:color="auto" w:fill="auto"/>
            <w:noWrap/>
            <w:vAlign w:val="center"/>
            <w:hideMark/>
          </w:tcPr>
          <w:p w14:paraId="5F7F6B3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1.48%</w:t>
            </w:r>
          </w:p>
        </w:tc>
      </w:tr>
      <w:tr w:rsidR="005E6C67" w:rsidRPr="00324548" w14:paraId="56E52866" w14:textId="77777777" w:rsidTr="007D7021">
        <w:trPr>
          <w:trHeight w:val="319"/>
          <w:jc w:val="center"/>
        </w:trPr>
        <w:tc>
          <w:tcPr>
            <w:tcW w:w="464" w:type="dxa"/>
            <w:shd w:val="clear" w:color="auto" w:fill="auto"/>
            <w:noWrap/>
            <w:vAlign w:val="center"/>
            <w:hideMark/>
          </w:tcPr>
          <w:p w14:paraId="76D6561C"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17</w:t>
            </w:r>
          </w:p>
        </w:tc>
        <w:tc>
          <w:tcPr>
            <w:tcW w:w="4247" w:type="dxa"/>
            <w:shd w:val="clear" w:color="auto" w:fill="auto"/>
            <w:noWrap/>
            <w:vAlign w:val="center"/>
            <w:hideMark/>
          </w:tcPr>
          <w:p w14:paraId="17B276AC" w14:textId="77777777" w:rsidR="005E6C67" w:rsidRPr="00324548" w:rsidRDefault="005E6C67" w:rsidP="007D7021">
            <w:pPr>
              <w:spacing w:after="0" w:line="240" w:lineRule="auto"/>
              <w:rPr>
                <w:rFonts w:eastAsia="Times New Roman" w:cs="Times New Roman"/>
                <w:color w:val="000000"/>
                <w:lang w:eastAsia="es-DO"/>
              </w:rPr>
            </w:pPr>
            <w:r w:rsidRPr="00211350">
              <w:rPr>
                <w:rFonts w:eastAsia="Times New Roman" w:cs="Times New Roman"/>
                <w:color w:val="000000"/>
                <w:lang w:eastAsia="es-DO"/>
              </w:rPr>
              <w:t>Violación al Código de Trabajo</w:t>
            </w:r>
          </w:p>
        </w:tc>
        <w:tc>
          <w:tcPr>
            <w:tcW w:w="1417" w:type="dxa"/>
            <w:shd w:val="clear" w:color="auto" w:fill="auto"/>
            <w:noWrap/>
            <w:vAlign w:val="center"/>
            <w:hideMark/>
          </w:tcPr>
          <w:p w14:paraId="347F59C2"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3,430</w:t>
            </w:r>
          </w:p>
        </w:tc>
        <w:tc>
          <w:tcPr>
            <w:tcW w:w="1418" w:type="dxa"/>
            <w:shd w:val="clear" w:color="auto" w:fill="auto"/>
            <w:noWrap/>
            <w:vAlign w:val="center"/>
            <w:hideMark/>
          </w:tcPr>
          <w:p w14:paraId="14A346F0"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1.23%</w:t>
            </w:r>
          </w:p>
        </w:tc>
      </w:tr>
      <w:tr w:rsidR="005E6C67" w:rsidRPr="00324548" w14:paraId="5EFF84BD" w14:textId="77777777" w:rsidTr="007D7021">
        <w:trPr>
          <w:trHeight w:val="319"/>
          <w:jc w:val="center"/>
        </w:trPr>
        <w:tc>
          <w:tcPr>
            <w:tcW w:w="464" w:type="dxa"/>
            <w:shd w:val="clear" w:color="auto" w:fill="auto"/>
            <w:noWrap/>
            <w:vAlign w:val="center"/>
            <w:hideMark/>
          </w:tcPr>
          <w:p w14:paraId="304BA84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18</w:t>
            </w:r>
          </w:p>
        </w:tc>
        <w:tc>
          <w:tcPr>
            <w:tcW w:w="4247" w:type="dxa"/>
            <w:shd w:val="clear" w:color="auto" w:fill="auto"/>
            <w:noWrap/>
            <w:vAlign w:val="center"/>
            <w:hideMark/>
          </w:tcPr>
          <w:p w14:paraId="61834963" w14:textId="77777777" w:rsidR="005E6C67" w:rsidRPr="00324548" w:rsidRDefault="005E6C67" w:rsidP="007D7021">
            <w:pPr>
              <w:spacing w:after="0" w:line="240" w:lineRule="auto"/>
              <w:jc w:val="both"/>
              <w:rPr>
                <w:rFonts w:eastAsia="Times New Roman" w:cs="Times New Roman"/>
                <w:color w:val="000000"/>
                <w:lang w:eastAsia="es-DO"/>
              </w:rPr>
            </w:pPr>
            <w:r>
              <w:rPr>
                <w:rFonts w:eastAsia="Times New Roman" w:cs="Times New Roman"/>
                <w:color w:val="000000"/>
                <w:lang w:eastAsia="es-DO"/>
              </w:rPr>
              <w:t xml:space="preserve">Violación a la </w:t>
            </w:r>
            <w:r w:rsidRPr="00324548">
              <w:rPr>
                <w:rFonts w:eastAsia="Times New Roman" w:cs="Times New Roman"/>
                <w:color w:val="000000"/>
                <w:lang w:eastAsia="es-DO"/>
              </w:rPr>
              <w:t xml:space="preserve">Ley </w:t>
            </w:r>
            <w:r>
              <w:rPr>
                <w:rFonts w:eastAsia="Times New Roman" w:cs="Times New Roman"/>
                <w:color w:val="000000"/>
                <w:lang w:eastAsia="es-DO"/>
              </w:rPr>
              <w:t xml:space="preserve">para el Control y Regulación de Armas </w:t>
            </w:r>
          </w:p>
        </w:tc>
        <w:tc>
          <w:tcPr>
            <w:tcW w:w="1417" w:type="dxa"/>
            <w:shd w:val="clear" w:color="auto" w:fill="auto"/>
            <w:noWrap/>
            <w:vAlign w:val="center"/>
            <w:hideMark/>
          </w:tcPr>
          <w:p w14:paraId="04A35181"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2,861</w:t>
            </w:r>
          </w:p>
        </w:tc>
        <w:tc>
          <w:tcPr>
            <w:tcW w:w="1418" w:type="dxa"/>
            <w:shd w:val="clear" w:color="auto" w:fill="auto"/>
            <w:noWrap/>
            <w:vAlign w:val="center"/>
            <w:hideMark/>
          </w:tcPr>
          <w:p w14:paraId="087A82FB"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1.02%</w:t>
            </w:r>
          </w:p>
        </w:tc>
      </w:tr>
      <w:tr w:rsidR="005E6C67" w:rsidRPr="00324548" w14:paraId="4A12C9DA" w14:textId="77777777" w:rsidTr="007D7021">
        <w:trPr>
          <w:trHeight w:val="319"/>
          <w:jc w:val="center"/>
        </w:trPr>
        <w:tc>
          <w:tcPr>
            <w:tcW w:w="464" w:type="dxa"/>
            <w:shd w:val="clear" w:color="auto" w:fill="auto"/>
            <w:noWrap/>
            <w:vAlign w:val="center"/>
            <w:hideMark/>
          </w:tcPr>
          <w:p w14:paraId="0B943149" w14:textId="77777777" w:rsidR="005E6C67" w:rsidRPr="00985F5C" w:rsidRDefault="005E6C67" w:rsidP="007D7021">
            <w:pPr>
              <w:spacing w:after="0" w:line="240" w:lineRule="auto"/>
              <w:jc w:val="center"/>
              <w:rPr>
                <w:rFonts w:eastAsia="Times New Roman" w:cs="Times New Roman"/>
                <w:color w:val="000000"/>
                <w:lang w:eastAsia="es-DO"/>
              </w:rPr>
            </w:pPr>
            <w:r w:rsidRPr="00985F5C">
              <w:rPr>
                <w:rFonts w:eastAsia="Times New Roman" w:cs="Times New Roman"/>
                <w:color w:val="000000"/>
                <w:lang w:eastAsia="es-DO"/>
              </w:rPr>
              <w:t>19</w:t>
            </w:r>
          </w:p>
        </w:tc>
        <w:tc>
          <w:tcPr>
            <w:tcW w:w="4247" w:type="dxa"/>
            <w:shd w:val="clear" w:color="auto" w:fill="auto"/>
            <w:noWrap/>
            <w:vAlign w:val="center"/>
            <w:hideMark/>
          </w:tcPr>
          <w:p w14:paraId="4F338334" w14:textId="77777777" w:rsidR="005E6C67" w:rsidRPr="00985F5C" w:rsidRDefault="005E6C67" w:rsidP="007D7021">
            <w:pPr>
              <w:spacing w:after="0" w:line="240" w:lineRule="auto"/>
              <w:rPr>
                <w:rFonts w:eastAsia="Times New Roman" w:cs="Times New Roman"/>
                <w:color w:val="000000"/>
                <w:lang w:eastAsia="es-DO"/>
              </w:rPr>
            </w:pPr>
            <w:r w:rsidRPr="00985F5C">
              <w:rPr>
                <w:rFonts w:eastAsia="Times New Roman" w:cs="Times New Roman"/>
                <w:color w:val="000000"/>
                <w:lang w:eastAsia="es-DO"/>
              </w:rPr>
              <w:t>Otros</w:t>
            </w:r>
          </w:p>
        </w:tc>
        <w:tc>
          <w:tcPr>
            <w:tcW w:w="1417" w:type="dxa"/>
            <w:shd w:val="clear" w:color="auto" w:fill="auto"/>
            <w:noWrap/>
            <w:vAlign w:val="center"/>
            <w:hideMark/>
          </w:tcPr>
          <w:p w14:paraId="063D38E3" w14:textId="77777777" w:rsidR="005E6C67" w:rsidRPr="00985F5C" w:rsidRDefault="005E6C67" w:rsidP="007D7021">
            <w:pPr>
              <w:spacing w:after="0" w:line="240" w:lineRule="auto"/>
              <w:jc w:val="center"/>
              <w:rPr>
                <w:rFonts w:eastAsia="Times New Roman" w:cs="Times New Roman"/>
                <w:b/>
                <w:bCs/>
                <w:color w:val="000000"/>
                <w:lang w:eastAsia="es-DO"/>
              </w:rPr>
            </w:pPr>
            <w:r w:rsidRPr="00985F5C">
              <w:rPr>
                <w:rFonts w:eastAsia="Times New Roman" w:cs="Times New Roman"/>
                <w:b/>
                <w:bCs/>
                <w:color w:val="000000"/>
                <w:lang w:eastAsia="es-DO"/>
              </w:rPr>
              <w:t>5,290</w:t>
            </w:r>
          </w:p>
        </w:tc>
        <w:tc>
          <w:tcPr>
            <w:tcW w:w="1418" w:type="dxa"/>
            <w:shd w:val="clear" w:color="auto" w:fill="auto"/>
            <w:noWrap/>
            <w:vAlign w:val="center"/>
            <w:hideMark/>
          </w:tcPr>
          <w:p w14:paraId="75BC0B84" w14:textId="77777777" w:rsidR="005E6C67" w:rsidRPr="00985F5C" w:rsidRDefault="005E6C67" w:rsidP="007D7021">
            <w:pPr>
              <w:spacing w:after="0" w:line="240" w:lineRule="auto"/>
              <w:jc w:val="center"/>
              <w:rPr>
                <w:rFonts w:eastAsia="Times New Roman" w:cs="Times New Roman"/>
                <w:color w:val="000000"/>
                <w:lang w:eastAsia="es-DO"/>
              </w:rPr>
            </w:pPr>
            <w:r w:rsidRPr="00985F5C">
              <w:rPr>
                <w:rFonts w:eastAsia="Times New Roman" w:cs="Times New Roman"/>
                <w:color w:val="000000"/>
                <w:lang w:eastAsia="es-DO"/>
              </w:rPr>
              <w:t>1.89%</w:t>
            </w:r>
          </w:p>
        </w:tc>
      </w:tr>
      <w:tr w:rsidR="005E6C67" w:rsidRPr="00324548" w14:paraId="7531F509" w14:textId="77777777" w:rsidTr="007D7021">
        <w:trPr>
          <w:trHeight w:val="319"/>
          <w:jc w:val="center"/>
        </w:trPr>
        <w:tc>
          <w:tcPr>
            <w:tcW w:w="464" w:type="dxa"/>
            <w:shd w:val="clear" w:color="auto" w:fill="auto"/>
            <w:noWrap/>
            <w:vAlign w:val="center"/>
            <w:hideMark/>
          </w:tcPr>
          <w:p w14:paraId="4DD6969F"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20</w:t>
            </w:r>
          </w:p>
        </w:tc>
        <w:tc>
          <w:tcPr>
            <w:tcW w:w="4247" w:type="dxa"/>
            <w:shd w:val="clear" w:color="auto" w:fill="auto"/>
            <w:noWrap/>
            <w:vAlign w:val="center"/>
            <w:hideMark/>
          </w:tcPr>
          <w:p w14:paraId="3C5D3737"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Homicidio</w:t>
            </w:r>
          </w:p>
        </w:tc>
        <w:tc>
          <w:tcPr>
            <w:tcW w:w="1417" w:type="dxa"/>
            <w:shd w:val="clear" w:color="auto" w:fill="auto"/>
            <w:noWrap/>
            <w:vAlign w:val="center"/>
            <w:hideMark/>
          </w:tcPr>
          <w:p w14:paraId="5F1C1092"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2,196</w:t>
            </w:r>
          </w:p>
        </w:tc>
        <w:tc>
          <w:tcPr>
            <w:tcW w:w="1418" w:type="dxa"/>
            <w:shd w:val="clear" w:color="auto" w:fill="auto"/>
            <w:noWrap/>
            <w:vAlign w:val="center"/>
            <w:hideMark/>
          </w:tcPr>
          <w:p w14:paraId="52B497D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0.79%</w:t>
            </w:r>
          </w:p>
        </w:tc>
      </w:tr>
      <w:tr w:rsidR="005E6C67" w:rsidRPr="00324548" w14:paraId="16CEE359" w14:textId="77777777" w:rsidTr="007D7021">
        <w:trPr>
          <w:trHeight w:val="319"/>
          <w:jc w:val="center"/>
        </w:trPr>
        <w:tc>
          <w:tcPr>
            <w:tcW w:w="464" w:type="dxa"/>
            <w:shd w:val="clear" w:color="auto" w:fill="auto"/>
            <w:noWrap/>
            <w:vAlign w:val="center"/>
            <w:hideMark/>
          </w:tcPr>
          <w:p w14:paraId="1892439F"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21</w:t>
            </w:r>
          </w:p>
        </w:tc>
        <w:tc>
          <w:tcPr>
            <w:tcW w:w="4247" w:type="dxa"/>
            <w:shd w:val="clear" w:color="auto" w:fill="auto"/>
            <w:noWrap/>
            <w:vAlign w:val="center"/>
            <w:hideMark/>
          </w:tcPr>
          <w:p w14:paraId="3E38ED39" w14:textId="77777777" w:rsidR="005E6C67" w:rsidRPr="00324548" w:rsidRDefault="005E6C67" w:rsidP="007D7021">
            <w:pPr>
              <w:spacing w:after="0" w:line="240" w:lineRule="auto"/>
              <w:jc w:val="both"/>
              <w:rPr>
                <w:rFonts w:eastAsia="Times New Roman" w:cs="Times New Roman"/>
                <w:color w:val="000000"/>
                <w:lang w:eastAsia="es-DO"/>
              </w:rPr>
            </w:pPr>
            <w:r>
              <w:rPr>
                <w:rFonts w:eastAsia="Times New Roman" w:cs="Times New Roman"/>
                <w:color w:val="000000"/>
                <w:lang w:eastAsia="es-DO"/>
              </w:rPr>
              <w:t xml:space="preserve">Violación a la Ley de </w:t>
            </w:r>
            <w:r w:rsidRPr="00F10A39">
              <w:rPr>
                <w:rFonts w:eastAsia="Times New Roman" w:cs="Times New Roman"/>
                <w:color w:val="000000"/>
                <w:lang w:eastAsia="es-DO"/>
              </w:rPr>
              <w:t>Movilidad, Transporte Terrestre, Tránsito y Seguridad Vial</w:t>
            </w:r>
          </w:p>
        </w:tc>
        <w:tc>
          <w:tcPr>
            <w:tcW w:w="1417" w:type="dxa"/>
            <w:shd w:val="clear" w:color="auto" w:fill="auto"/>
            <w:noWrap/>
            <w:vAlign w:val="center"/>
            <w:hideMark/>
          </w:tcPr>
          <w:p w14:paraId="28F181F8"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1,494</w:t>
            </w:r>
          </w:p>
        </w:tc>
        <w:tc>
          <w:tcPr>
            <w:tcW w:w="1418" w:type="dxa"/>
            <w:shd w:val="clear" w:color="auto" w:fill="auto"/>
            <w:noWrap/>
            <w:vAlign w:val="center"/>
            <w:hideMark/>
          </w:tcPr>
          <w:p w14:paraId="5413CDE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0.53%</w:t>
            </w:r>
          </w:p>
        </w:tc>
      </w:tr>
      <w:tr w:rsidR="005E6C67" w:rsidRPr="00324548" w14:paraId="3A1A885B" w14:textId="77777777" w:rsidTr="007D7021">
        <w:trPr>
          <w:trHeight w:val="319"/>
          <w:jc w:val="center"/>
        </w:trPr>
        <w:tc>
          <w:tcPr>
            <w:tcW w:w="464" w:type="dxa"/>
            <w:shd w:val="clear" w:color="auto" w:fill="auto"/>
            <w:noWrap/>
            <w:vAlign w:val="center"/>
            <w:hideMark/>
          </w:tcPr>
          <w:p w14:paraId="19F48B4D"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22</w:t>
            </w:r>
          </w:p>
        </w:tc>
        <w:tc>
          <w:tcPr>
            <w:tcW w:w="4247" w:type="dxa"/>
            <w:shd w:val="clear" w:color="auto" w:fill="auto"/>
            <w:noWrap/>
            <w:vAlign w:val="center"/>
            <w:hideMark/>
          </w:tcPr>
          <w:p w14:paraId="5590C4C4"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Falsificación</w:t>
            </w:r>
          </w:p>
        </w:tc>
        <w:tc>
          <w:tcPr>
            <w:tcW w:w="1417" w:type="dxa"/>
            <w:shd w:val="clear" w:color="auto" w:fill="auto"/>
            <w:noWrap/>
            <w:vAlign w:val="center"/>
            <w:hideMark/>
          </w:tcPr>
          <w:p w14:paraId="2DD96B18"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1,320</w:t>
            </w:r>
          </w:p>
        </w:tc>
        <w:tc>
          <w:tcPr>
            <w:tcW w:w="1418" w:type="dxa"/>
            <w:shd w:val="clear" w:color="auto" w:fill="auto"/>
            <w:noWrap/>
            <w:vAlign w:val="center"/>
            <w:hideMark/>
          </w:tcPr>
          <w:p w14:paraId="08EE5409"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0.47%</w:t>
            </w:r>
          </w:p>
        </w:tc>
      </w:tr>
      <w:tr w:rsidR="005E6C67" w:rsidRPr="00324548" w14:paraId="5E54F44E" w14:textId="77777777" w:rsidTr="007D7021">
        <w:trPr>
          <w:trHeight w:val="319"/>
          <w:jc w:val="center"/>
        </w:trPr>
        <w:tc>
          <w:tcPr>
            <w:tcW w:w="464" w:type="dxa"/>
            <w:shd w:val="clear" w:color="auto" w:fill="auto"/>
            <w:noWrap/>
            <w:vAlign w:val="center"/>
            <w:hideMark/>
          </w:tcPr>
          <w:p w14:paraId="26EDCF8B"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23</w:t>
            </w:r>
          </w:p>
        </w:tc>
        <w:tc>
          <w:tcPr>
            <w:tcW w:w="4247" w:type="dxa"/>
            <w:shd w:val="clear" w:color="auto" w:fill="auto"/>
            <w:noWrap/>
            <w:vAlign w:val="center"/>
            <w:hideMark/>
          </w:tcPr>
          <w:p w14:paraId="0C3FE216"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Violación sexual</w:t>
            </w:r>
          </w:p>
        </w:tc>
        <w:tc>
          <w:tcPr>
            <w:tcW w:w="1417" w:type="dxa"/>
            <w:shd w:val="clear" w:color="auto" w:fill="auto"/>
            <w:noWrap/>
            <w:vAlign w:val="center"/>
            <w:hideMark/>
          </w:tcPr>
          <w:p w14:paraId="09D130A0"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1,265</w:t>
            </w:r>
          </w:p>
        </w:tc>
        <w:tc>
          <w:tcPr>
            <w:tcW w:w="1418" w:type="dxa"/>
            <w:shd w:val="clear" w:color="auto" w:fill="auto"/>
            <w:noWrap/>
            <w:vAlign w:val="center"/>
            <w:hideMark/>
          </w:tcPr>
          <w:p w14:paraId="39431A4E"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0.45%</w:t>
            </w:r>
          </w:p>
        </w:tc>
      </w:tr>
      <w:tr w:rsidR="005E6C67" w:rsidRPr="00324548" w14:paraId="3CE1E55C" w14:textId="77777777" w:rsidTr="007D7021">
        <w:trPr>
          <w:trHeight w:val="319"/>
          <w:jc w:val="center"/>
        </w:trPr>
        <w:tc>
          <w:tcPr>
            <w:tcW w:w="464" w:type="dxa"/>
            <w:shd w:val="clear" w:color="auto" w:fill="auto"/>
            <w:noWrap/>
            <w:vAlign w:val="center"/>
            <w:hideMark/>
          </w:tcPr>
          <w:p w14:paraId="7C2D4998"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24</w:t>
            </w:r>
          </w:p>
        </w:tc>
        <w:tc>
          <w:tcPr>
            <w:tcW w:w="4247" w:type="dxa"/>
            <w:shd w:val="clear" w:color="auto" w:fill="auto"/>
            <w:noWrap/>
            <w:vAlign w:val="center"/>
            <w:hideMark/>
          </w:tcPr>
          <w:p w14:paraId="706D56AF"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Robo simple</w:t>
            </w:r>
          </w:p>
        </w:tc>
        <w:tc>
          <w:tcPr>
            <w:tcW w:w="1417" w:type="dxa"/>
            <w:shd w:val="clear" w:color="auto" w:fill="auto"/>
            <w:noWrap/>
            <w:vAlign w:val="center"/>
            <w:hideMark/>
          </w:tcPr>
          <w:p w14:paraId="2DA36B31"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1,182</w:t>
            </w:r>
          </w:p>
        </w:tc>
        <w:tc>
          <w:tcPr>
            <w:tcW w:w="1418" w:type="dxa"/>
            <w:shd w:val="clear" w:color="auto" w:fill="auto"/>
            <w:noWrap/>
            <w:vAlign w:val="center"/>
            <w:hideMark/>
          </w:tcPr>
          <w:p w14:paraId="7153F4C4"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0.42%</w:t>
            </w:r>
          </w:p>
        </w:tc>
      </w:tr>
      <w:tr w:rsidR="005E6C67" w:rsidRPr="00324548" w14:paraId="12DC5D8B" w14:textId="77777777" w:rsidTr="007D7021">
        <w:trPr>
          <w:trHeight w:val="319"/>
          <w:jc w:val="center"/>
        </w:trPr>
        <w:tc>
          <w:tcPr>
            <w:tcW w:w="464" w:type="dxa"/>
            <w:shd w:val="clear" w:color="auto" w:fill="auto"/>
            <w:noWrap/>
            <w:vAlign w:val="center"/>
            <w:hideMark/>
          </w:tcPr>
          <w:p w14:paraId="4128D27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25</w:t>
            </w:r>
          </w:p>
        </w:tc>
        <w:tc>
          <w:tcPr>
            <w:tcW w:w="4247" w:type="dxa"/>
            <w:shd w:val="clear" w:color="auto" w:fill="auto"/>
            <w:noWrap/>
            <w:vAlign w:val="center"/>
            <w:hideMark/>
          </w:tcPr>
          <w:p w14:paraId="561EE31D"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Tentativa de homicidio</w:t>
            </w:r>
          </w:p>
        </w:tc>
        <w:tc>
          <w:tcPr>
            <w:tcW w:w="1417" w:type="dxa"/>
            <w:shd w:val="clear" w:color="auto" w:fill="auto"/>
            <w:noWrap/>
            <w:vAlign w:val="center"/>
            <w:hideMark/>
          </w:tcPr>
          <w:p w14:paraId="79FBBF1A"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1,017</w:t>
            </w:r>
          </w:p>
        </w:tc>
        <w:tc>
          <w:tcPr>
            <w:tcW w:w="1418" w:type="dxa"/>
            <w:shd w:val="clear" w:color="auto" w:fill="auto"/>
            <w:noWrap/>
            <w:vAlign w:val="center"/>
            <w:hideMark/>
          </w:tcPr>
          <w:p w14:paraId="49DF340B"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0.36%</w:t>
            </w:r>
          </w:p>
        </w:tc>
      </w:tr>
      <w:tr w:rsidR="005E6C67" w:rsidRPr="00324548" w14:paraId="1C9B95FC" w14:textId="77777777" w:rsidTr="007D7021">
        <w:trPr>
          <w:trHeight w:val="319"/>
          <w:jc w:val="center"/>
        </w:trPr>
        <w:tc>
          <w:tcPr>
            <w:tcW w:w="464" w:type="dxa"/>
            <w:shd w:val="clear" w:color="auto" w:fill="auto"/>
            <w:noWrap/>
            <w:vAlign w:val="center"/>
            <w:hideMark/>
          </w:tcPr>
          <w:p w14:paraId="2AFD654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w:t>
            </w:r>
            <w:r>
              <w:rPr>
                <w:rFonts w:eastAsia="Times New Roman" w:cs="Times New Roman"/>
                <w:color w:val="000000"/>
                <w:lang w:eastAsia="es-DO"/>
              </w:rPr>
              <w:t>6</w:t>
            </w:r>
          </w:p>
        </w:tc>
        <w:tc>
          <w:tcPr>
            <w:tcW w:w="4247" w:type="dxa"/>
            <w:shd w:val="clear" w:color="auto" w:fill="auto"/>
            <w:noWrap/>
            <w:vAlign w:val="center"/>
            <w:hideMark/>
          </w:tcPr>
          <w:p w14:paraId="56232F15"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Difamación e injuria</w:t>
            </w:r>
          </w:p>
        </w:tc>
        <w:tc>
          <w:tcPr>
            <w:tcW w:w="1417" w:type="dxa"/>
            <w:shd w:val="clear" w:color="auto" w:fill="auto"/>
            <w:noWrap/>
            <w:vAlign w:val="center"/>
            <w:hideMark/>
          </w:tcPr>
          <w:p w14:paraId="1ED20DC0"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756</w:t>
            </w:r>
          </w:p>
        </w:tc>
        <w:tc>
          <w:tcPr>
            <w:tcW w:w="1418" w:type="dxa"/>
            <w:shd w:val="clear" w:color="auto" w:fill="auto"/>
            <w:noWrap/>
            <w:vAlign w:val="center"/>
            <w:hideMark/>
          </w:tcPr>
          <w:p w14:paraId="7B663F69"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0.27%</w:t>
            </w:r>
          </w:p>
        </w:tc>
      </w:tr>
      <w:tr w:rsidR="005E6C67" w:rsidRPr="00324548" w14:paraId="3D47B9B4" w14:textId="77777777" w:rsidTr="007D7021">
        <w:trPr>
          <w:trHeight w:val="319"/>
          <w:jc w:val="center"/>
        </w:trPr>
        <w:tc>
          <w:tcPr>
            <w:tcW w:w="464" w:type="dxa"/>
            <w:shd w:val="clear" w:color="auto" w:fill="auto"/>
            <w:noWrap/>
            <w:vAlign w:val="center"/>
            <w:hideMark/>
          </w:tcPr>
          <w:p w14:paraId="17D59B52"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2</w:t>
            </w:r>
            <w:r>
              <w:rPr>
                <w:rFonts w:eastAsia="Times New Roman" w:cs="Times New Roman"/>
                <w:color w:val="000000"/>
                <w:lang w:eastAsia="es-DO"/>
              </w:rPr>
              <w:t>7</w:t>
            </w:r>
          </w:p>
        </w:tc>
        <w:tc>
          <w:tcPr>
            <w:tcW w:w="4247" w:type="dxa"/>
            <w:shd w:val="clear" w:color="auto" w:fill="auto"/>
            <w:noWrap/>
            <w:vAlign w:val="center"/>
            <w:hideMark/>
          </w:tcPr>
          <w:p w14:paraId="78B46A28" w14:textId="77777777" w:rsidR="005E6C67" w:rsidRPr="00324548" w:rsidRDefault="005E6C67" w:rsidP="007D7021">
            <w:pPr>
              <w:spacing w:after="0" w:line="240" w:lineRule="auto"/>
              <w:jc w:val="both"/>
              <w:rPr>
                <w:rFonts w:eastAsia="Times New Roman" w:cs="Times New Roman"/>
                <w:color w:val="000000"/>
                <w:lang w:eastAsia="es-DO"/>
              </w:rPr>
            </w:pPr>
            <w:r w:rsidRPr="00B15A03">
              <w:rPr>
                <w:rFonts w:eastAsia="Times New Roman" w:cs="Times New Roman"/>
                <w:color w:val="000000"/>
                <w:lang w:eastAsia="es-DO"/>
              </w:rPr>
              <w:t>Violación a la Ley de Protección Animal y Tenencia Responsable</w:t>
            </w:r>
          </w:p>
        </w:tc>
        <w:tc>
          <w:tcPr>
            <w:tcW w:w="1417" w:type="dxa"/>
            <w:shd w:val="clear" w:color="auto" w:fill="auto"/>
            <w:noWrap/>
            <w:vAlign w:val="center"/>
            <w:hideMark/>
          </w:tcPr>
          <w:p w14:paraId="3C598AC6"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738</w:t>
            </w:r>
          </w:p>
        </w:tc>
        <w:tc>
          <w:tcPr>
            <w:tcW w:w="1418" w:type="dxa"/>
            <w:shd w:val="clear" w:color="auto" w:fill="auto"/>
            <w:noWrap/>
            <w:vAlign w:val="center"/>
            <w:hideMark/>
          </w:tcPr>
          <w:p w14:paraId="522DACB7"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0.26%</w:t>
            </w:r>
          </w:p>
        </w:tc>
      </w:tr>
      <w:tr w:rsidR="005E6C67" w:rsidRPr="00324548" w14:paraId="2B4DE48D" w14:textId="77777777" w:rsidTr="007D7021">
        <w:trPr>
          <w:trHeight w:val="319"/>
          <w:jc w:val="center"/>
        </w:trPr>
        <w:tc>
          <w:tcPr>
            <w:tcW w:w="464" w:type="dxa"/>
            <w:shd w:val="clear" w:color="auto" w:fill="auto"/>
            <w:noWrap/>
            <w:vAlign w:val="center"/>
            <w:hideMark/>
          </w:tcPr>
          <w:p w14:paraId="03AC0456"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28</w:t>
            </w:r>
          </w:p>
        </w:tc>
        <w:tc>
          <w:tcPr>
            <w:tcW w:w="4247" w:type="dxa"/>
            <w:shd w:val="clear" w:color="auto" w:fill="auto"/>
            <w:noWrap/>
            <w:vAlign w:val="center"/>
            <w:hideMark/>
          </w:tcPr>
          <w:p w14:paraId="792F17D4"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Crímenes y delitos contra la propiedad</w:t>
            </w:r>
          </w:p>
        </w:tc>
        <w:tc>
          <w:tcPr>
            <w:tcW w:w="1417" w:type="dxa"/>
            <w:shd w:val="clear" w:color="auto" w:fill="auto"/>
            <w:noWrap/>
            <w:vAlign w:val="center"/>
            <w:hideMark/>
          </w:tcPr>
          <w:p w14:paraId="1EB20FE3"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512</w:t>
            </w:r>
          </w:p>
        </w:tc>
        <w:tc>
          <w:tcPr>
            <w:tcW w:w="1418" w:type="dxa"/>
            <w:shd w:val="clear" w:color="auto" w:fill="auto"/>
            <w:noWrap/>
            <w:vAlign w:val="center"/>
            <w:hideMark/>
          </w:tcPr>
          <w:p w14:paraId="30183249"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0.18%</w:t>
            </w:r>
          </w:p>
        </w:tc>
      </w:tr>
      <w:tr w:rsidR="005E6C67" w:rsidRPr="00324548" w14:paraId="7A3998EA" w14:textId="77777777" w:rsidTr="007D7021">
        <w:trPr>
          <w:trHeight w:val="319"/>
          <w:jc w:val="center"/>
        </w:trPr>
        <w:tc>
          <w:tcPr>
            <w:tcW w:w="464" w:type="dxa"/>
            <w:shd w:val="clear" w:color="auto" w:fill="auto"/>
            <w:noWrap/>
            <w:vAlign w:val="center"/>
            <w:hideMark/>
          </w:tcPr>
          <w:p w14:paraId="6645BA61"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29</w:t>
            </w:r>
          </w:p>
        </w:tc>
        <w:tc>
          <w:tcPr>
            <w:tcW w:w="4247" w:type="dxa"/>
            <w:shd w:val="clear" w:color="auto" w:fill="auto"/>
            <w:noWrap/>
            <w:vAlign w:val="center"/>
            <w:hideMark/>
          </w:tcPr>
          <w:p w14:paraId="1C0C0E2E"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Droga</w:t>
            </w:r>
            <w:r>
              <w:rPr>
                <w:rFonts w:eastAsia="Times New Roman" w:cs="Times New Roman"/>
                <w:color w:val="000000"/>
                <w:lang w:eastAsia="es-DO"/>
              </w:rPr>
              <w:t>,</w:t>
            </w:r>
            <w:r w:rsidRPr="00324548">
              <w:rPr>
                <w:rFonts w:eastAsia="Times New Roman" w:cs="Times New Roman"/>
                <w:color w:val="000000"/>
                <w:lang w:eastAsia="es-DO"/>
              </w:rPr>
              <w:t xml:space="preserve"> sanciones y circunstancias agravantes</w:t>
            </w:r>
          </w:p>
        </w:tc>
        <w:tc>
          <w:tcPr>
            <w:tcW w:w="1417" w:type="dxa"/>
            <w:shd w:val="clear" w:color="auto" w:fill="auto"/>
            <w:noWrap/>
            <w:vAlign w:val="center"/>
            <w:hideMark/>
          </w:tcPr>
          <w:p w14:paraId="1588C69E"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474</w:t>
            </w:r>
          </w:p>
        </w:tc>
        <w:tc>
          <w:tcPr>
            <w:tcW w:w="1418" w:type="dxa"/>
            <w:shd w:val="clear" w:color="auto" w:fill="auto"/>
            <w:noWrap/>
            <w:vAlign w:val="center"/>
            <w:hideMark/>
          </w:tcPr>
          <w:p w14:paraId="3B384EF3"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0.17%</w:t>
            </w:r>
          </w:p>
        </w:tc>
      </w:tr>
      <w:tr w:rsidR="005E6C67" w:rsidRPr="00324548" w14:paraId="307633AF" w14:textId="77777777" w:rsidTr="007D7021">
        <w:trPr>
          <w:trHeight w:val="319"/>
          <w:jc w:val="center"/>
        </w:trPr>
        <w:tc>
          <w:tcPr>
            <w:tcW w:w="464" w:type="dxa"/>
            <w:shd w:val="clear" w:color="auto" w:fill="auto"/>
            <w:noWrap/>
            <w:vAlign w:val="center"/>
            <w:hideMark/>
          </w:tcPr>
          <w:p w14:paraId="0EAC44A5"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30</w:t>
            </w:r>
          </w:p>
        </w:tc>
        <w:tc>
          <w:tcPr>
            <w:tcW w:w="4247" w:type="dxa"/>
            <w:shd w:val="clear" w:color="auto" w:fill="auto"/>
            <w:noWrap/>
            <w:vAlign w:val="center"/>
            <w:hideMark/>
          </w:tcPr>
          <w:p w14:paraId="01D21655" w14:textId="77777777" w:rsidR="005E6C67" w:rsidRPr="00F10A39" w:rsidRDefault="005E6C67" w:rsidP="007D7021">
            <w:pPr>
              <w:spacing w:after="0" w:line="240" w:lineRule="auto"/>
              <w:jc w:val="both"/>
              <w:rPr>
                <w:rFonts w:eastAsia="Times New Roman" w:cs="Times New Roman"/>
                <w:color w:val="000000"/>
                <w:lang w:eastAsia="es-DO"/>
              </w:rPr>
            </w:pPr>
            <w:r w:rsidRPr="00F10A39">
              <w:rPr>
                <w:rFonts w:eastAsia="Times New Roman" w:cs="Times New Roman"/>
                <w:color w:val="000000"/>
                <w:lang w:eastAsia="es-DO"/>
              </w:rPr>
              <w:t>Violación a la Ley de Propiedad Industrial</w:t>
            </w:r>
          </w:p>
        </w:tc>
        <w:tc>
          <w:tcPr>
            <w:tcW w:w="1417" w:type="dxa"/>
            <w:shd w:val="clear" w:color="auto" w:fill="auto"/>
            <w:noWrap/>
            <w:vAlign w:val="center"/>
            <w:hideMark/>
          </w:tcPr>
          <w:p w14:paraId="73AF6AAE"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393</w:t>
            </w:r>
          </w:p>
        </w:tc>
        <w:tc>
          <w:tcPr>
            <w:tcW w:w="1418" w:type="dxa"/>
            <w:shd w:val="clear" w:color="auto" w:fill="auto"/>
            <w:noWrap/>
            <w:vAlign w:val="center"/>
            <w:hideMark/>
          </w:tcPr>
          <w:p w14:paraId="2B9C9112"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0.14%</w:t>
            </w:r>
          </w:p>
        </w:tc>
      </w:tr>
      <w:tr w:rsidR="005E6C67" w:rsidRPr="00324548" w14:paraId="2F8472EB" w14:textId="77777777" w:rsidTr="007D7021">
        <w:trPr>
          <w:trHeight w:val="319"/>
          <w:jc w:val="center"/>
        </w:trPr>
        <w:tc>
          <w:tcPr>
            <w:tcW w:w="464" w:type="dxa"/>
            <w:shd w:val="clear" w:color="auto" w:fill="auto"/>
            <w:noWrap/>
            <w:vAlign w:val="center"/>
            <w:hideMark/>
          </w:tcPr>
          <w:p w14:paraId="41A999BD"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31</w:t>
            </w:r>
          </w:p>
        </w:tc>
        <w:tc>
          <w:tcPr>
            <w:tcW w:w="4247" w:type="dxa"/>
            <w:shd w:val="clear" w:color="auto" w:fill="auto"/>
            <w:noWrap/>
            <w:vAlign w:val="center"/>
            <w:hideMark/>
          </w:tcPr>
          <w:p w14:paraId="227BC759" w14:textId="77777777" w:rsidR="005E6C67" w:rsidRPr="00324548" w:rsidRDefault="005E6C67" w:rsidP="007D7021">
            <w:pPr>
              <w:spacing w:after="0" w:line="240" w:lineRule="auto"/>
              <w:rPr>
                <w:rFonts w:eastAsia="Times New Roman" w:cs="Times New Roman"/>
                <w:color w:val="000000"/>
                <w:lang w:eastAsia="es-DO"/>
              </w:rPr>
            </w:pPr>
            <w:r w:rsidRPr="00F10A39">
              <w:rPr>
                <w:rFonts w:eastAsia="Times New Roman" w:cs="Times New Roman"/>
                <w:color w:val="000000"/>
                <w:lang w:eastAsia="es-DO"/>
              </w:rPr>
              <w:t>Lavado de activos</w:t>
            </w:r>
            <w:r w:rsidRPr="00324548">
              <w:rPr>
                <w:rFonts w:eastAsia="Times New Roman" w:cs="Times New Roman"/>
                <w:color w:val="000000"/>
                <w:lang w:eastAsia="es-DO"/>
              </w:rPr>
              <w:t xml:space="preserve"> </w:t>
            </w:r>
          </w:p>
        </w:tc>
        <w:tc>
          <w:tcPr>
            <w:tcW w:w="1417" w:type="dxa"/>
            <w:shd w:val="clear" w:color="auto" w:fill="auto"/>
            <w:noWrap/>
            <w:vAlign w:val="center"/>
            <w:hideMark/>
          </w:tcPr>
          <w:p w14:paraId="019B5317"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239</w:t>
            </w:r>
          </w:p>
        </w:tc>
        <w:tc>
          <w:tcPr>
            <w:tcW w:w="1418" w:type="dxa"/>
            <w:shd w:val="clear" w:color="auto" w:fill="auto"/>
            <w:noWrap/>
            <w:vAlign w:val="center"/>
            <w:hideMark/>
          </w:tcPr>
          <w:p w14:paraId="3ECF3DD9"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0.09%</w:t>
            </w:r>
          </w:p>
        </w:tc>
      </w:tr>
      <w:tr w:rsidR="005E6C67" w:rsidRPr="00324548" w14:paraId="3112319D" w14:textId="77777777" w:rsidTr="007D7021">
        <w:trPr>
          <w:trHeight w:val="319"/>
          <w:jc w:val="center"/>
        </w:trPr>
        <w:tc>
          <w:tcPr>
            <w:tcW w:w="464" w:type="dxa"/>
            <w:shd w:val="clear" w:color="auto" w:fill="auto"/>
            <w:noWrap/>
            <w:vAlign w:val="center"/>
            <w:hideMark/>
          </w:tcPr>
          <w:p w14:paraId="07397273"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32</w:t>
            </w:r>
          </w:p>
        </w:tc>
        <w:tc>
          <w:tcPr>
            <w:tcW w:w="4247" w:type="dxa"/>
            <w:shd w:val="clear" w:color="auto" w:fill="auto"/>
            <w:noWrap/>
            <w:vAlign w:val="center"/>
            <w:hideMark/>
          </w:tcPr>
          <w:p w14:paraId="41E8476C" w14:textId="77777777" w:rsidR="005E6C67" w:rsidRPr="00324548" w:rsidRDefault="005E6C67" w:rsidP="007D7021">
            <w:pPr>
              <w:spacing w:after="0" w:line="240" w:lineRule="auto"/>
              <w:rPr>
                <w:rFonts w:eastAsia="Times New Roman" w:cs="Times New Roman"/>
                <w:color w:val="000000"/>
                <w:lang w:eastAsia="es-DO"/>
              </w:rPr>
            </w:pPr>
            <w:r>
              <w:rPr>
                <w:rFonts w:eastAsia="Times New Roman" w:cs="Times New Roman"/>
                <w:color w:val="000000"/>
                <w:lang w:eastAsia="es-DO"/>
              </w:rPr>
              <w:t xml:space="preserve">Violación a la Ley sobre </w:t>
            </w:r>
            <w:r w:rsidRPr="00324548">
              <w:rPr>
                <w:rFonts w:eastAsia="Times New Roman" w:cs="Times New Roman"/>
                <w:color w:val="000000"/>
                <w:lang w:eastAsia="es-DO"/>
              </w:rPr>
              <w:t xml:space="preserve">Tráfico </w:t>
            </w:r>
            <w:r>
              <w:rPr>
                <w:rFonts w:eastAsia="Times New Roman" w:cs="Times New Roman"/>
                <w:color w:val="000000"/>
                <w:lang w:eastAsia="es-DO"/>
              </w:rPr>
              <w:t>I</w:t>
            </w:r>
            <w:r w:rsidRPr="00324548">
              <w:rPr>
                <w:rFonts w:eastAsia="Times New Roman" w:cs="Times New Roman"/>
                <w:color w:val="000000"/>
                <w:lang w:eastAsia="es-DO"/>
              </w:rPr>
              <w:t xml:space="preserve">lícito de </w:t>
            </w:r>
            <w:r>
              <w:rPr>
                <w:rFonts w:eastAsia="Times New Roman" w:cs="Times New Roman"/>
                <w:color w:val="000000"/>
                <w:lang w:eastAsia="es-DO"/>
              </w:rPr>
              <w:t>M</w:t>
            </w:r>
            <w:r w:rsidRPr="00324548">
              <w:rPr>
                <w:rFonts w:eastAsia="Times New Roman" w:cs="Times New Roman"/>
                <w:color w:val="000000"/>
                <w:lang w:eastAsia="es-DO"/>
              </w:rPr>
              <w:t xml:space="preserve">igrantes y </w:t>
            </w:r>
            <w:r>
              <w:rPr>
                <w:rFonts w:eastAsia="Times New Roman" w:cs="Times New Roman"/>
                <w:color w:val="000000"/>
                <w:lang w:eastAsia="es-DO"/>
              </w:rPr>
              <w:t>Trata de P</w:t>
            </w:r>
            <w:r w:rsidRPr="00324548">
              <w:rPr>
                <w:rFonts w:eastAsia="Times New Roman" w:cs="Times New Roman"/>
                <w:color w:val="000000"/>
                <w:lang w:eastAsia="es-DO"/>
              </w:rPr>
              <w:t>ersonas</w:t>
            </w:r>
          </w:p>
        </w:tc>
        <w:tc>
          <w:tcPr>
            <w:tcW w:w="1417" w:type="dxa"/>
            <w:shd w:val="clear" w:color="auto" w:fill="auto"/>
            <w:noWrap/>
            <w:vAlign w:val="center"/>
            <w:hideMark/>
          </w:tcPr>
          <w:p w14:paraId="0708C312"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227</w:t>
            </w:r>
          </w:p>
        </w:tc>
        <w:tc>
          <w:tcPr>
            <w:tcW w:w="1418" w:type="dxa"/>
            <w:shd w:val="clear" w:color="auto" w:fill="auto"/>
            <w:noWrap/>
            <w:vAlign w:val="center"/>
            <w:hideMark/>
          </w:tcPr>
          <w:p w14:paraId="76302BEE"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0.08%</w:t>
            </w:r>
          </w:p>
        </w:tc>
      </w:tr>
      <w:tr w:rsidR="005E6C67" w:rsidRPr="00324548" w14:paraId="39F6C929" w14:textId="77777777" w:rsidTr="007D7021">
        <w:trPr>
          <w:trHeight w:val="319"/>
          <w:jc w:val="center"/>
        </w:trPr>
        <w:tc>
          <w:tcPr>
            <w:tcW w:w="464" w:type="dxa"/>
            <w:shd w:val="clear" w:color="auto" w:fill="auto"/>
            <w:noWrap/>
            <w:vAlign w:val="center"/>
            <w:hideMark/>
          </w:tcPr>
          <w:p w14:paraId="22061A18"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33</w:t>
            </w:r>
          </w:p>
        </w:tc>
        <w:tc>
          <w:tcPr>
            <w:tcW w:w="4247" w:type="dxa"/>
            <w:shd w:val="clear" w:color="auto" w:fill="auto"/>
            <w:noWrap/>
            <w:vAlign w:val="center"/>
            <w:hideMark/>
          </w:tcPr>
          <w:p w14:paraId="5F23DE30" w14:textId="77777777" w:rsidR="005E6C67" w:rsidRPr="00AC7396" w:rsidRDefault="005E6C67" w:rsidP="007D7021">
            <w:pPr>
              <w:spacing w:after="0" w:line="240" w:lineRule="auto"/>
              <w:jc w:val="both"/>
              <w:rPr>
                <w:rFonts w:eastAsia="Times New Roman" w:cs="Times New Roman"/>
                <w:color w:val="000000"/>
                <w:lang w:eastAsia="es-DO"/>
              </w:rPr>
            </w:pPr>
            <w:r w:rsidRPr="00AC7396">
              <w:rPr>
                <w:rFonts w:eastAsia="Times New Roman" w:cs="Times New Roman"/>
                <w:color w:val="000000"/>
                <w:lang w:eastAsia="es-DO"/>
              </w:rPr>
              <w:t xml:space="preserve">Violación a la Ley </w:t>
            </w:r>
            <w:r>
              <w:rPr>
                <w:rFonts w:eastAsia="Times New Roman" w:cs="Times New Roman"/>
                <w:color w:val="000000"/>
                <w:lang w:eastAsia="es-DO"/>
              </w:rPr>
              <w:t xml:space="preserve">General sobre </w:t>
            </w:r>
            <w:r w:rsidRPr="00AC7396">
              <w:rPr>
                <w:rFonts w:eastAsia="Times New Roman" w:cs="Times New Roman"/>
                <w:color w:val="000000"/>
                <w:lang w:eastAsia="es-DO"/>
              </w:rPr>
              <w:t>Medio Ambiente y Recursos Naturales</w:t>
            </w:r>
          </w:p>
        </w:tc>
        <w:tc>
          <w:tcPr>
            <w:tcW w:w="1417" w:type="dxa"/>
            <w:shd w:val="clear" w:color="auto" w:fill="auto"/>
            <w:noWrap/>
            <w:vAlign w:val="center"/>
            <w:hideMark/>
          </w:tcPr>
          <w:p w14:paraId="7E0FBE9C"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109</w:t>
            </w:r>
          </w:p>
        </w:tc>
        <w:tc>
          <w:tcPr>
            <w:tcW w:w="1418" w:type="dxa"/>
            <w:shd w:val="clear" w:color="auto" w:fill="auto"/>
            <w:noWrap/>
            <w:vAlign w:val="center"/>
            <w:hideMark/>
          </w:tcPr>
          <w:p w14:paraId="3D106B72"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0.04%</w:t>
            </w:r>
          </w:p>
        </w:tc>
      </w:tr>
      <w:tr w:rsidR="005E6C67" w:rsidRPr="00324548" w14:paraId="3C54DD9E" w14:textId="77777777" w:rsidTr="007D7021">
        <w:trPr>
          <w:trHeight w:val="319"/>
          <w:jc w:val="center"/>
        </w:trPr>
        <w:tc>
          <w:tcPr>
            <w:tcW w:w="464" w:type="dxa"/>
            <w:shd w:val="clear" w:color="auto" w:fill="auto"/>
            <w:noWrap/>
            <w:vAlign w:val="center"/>
            <w:hideMark/>
          </w:tcPr>
          <w:p w14:paraId="4B8FEE14"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34</w:t>
            </w:r>
          </w:p>
        </w:tc>
        <w:tc>
          <w:tcPr>
            <w:tcW w:w="4247" w:type="dxa"/>
            <w:shd w:val="clear" w:color="auto" w:fill="auto"/>
            <w:noWrap/>
            <w:vAlign w:val="center"/>
            <w:hideMark/>
          </w:tcPr>
          <w:p w14:paraId="6BAD5A57"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Secuestro</w:t>
            </w:r>
          </w:p>
        </w:tc>
        <w:tc>
          <w:tcPr>
            <w:tcW w:w="1417" w:type="dxa"/>
            <w:shd w:val="clear" w:color="auto" w:fill="auto"/>
            <w:noWrap/>
            <w:vAlign w:val="center"/>
            <w:hideMark/>
          </w:tcPr>
          <w:p w14:paraId="746FBD14"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104</w:t>
            </w:r>
          </w:p>
        </w:tc>
        <w:tc>
          <w:tcPr>
            <w:tcW w:w="1418" w:type="dxa"/>
            <w:shd w:val="clear" w:color="auto" w:fill="auto"/>
            <w:noWrap/>
            <w:vAlign w:val="center"/>
            <w:hideMark/>
          </w:tcPr>
          <w:p w14:paraId="7DB5A3AB"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0.04%</w:t>
            </w:r>
          </w:p>
        </w:tc>
      </w:tr>
      <w:tr w:rsidR="005E6C67" w:rsidRPr="00324548" w14:paraId="3BA10C5B" w14:textId="77777777" w:rsidTr="007D7021">
        <w:trPr>
          <w:trHeight w:val="319"/>
          <w:jc w:val="center"/>
        </w:trPr>
        <w:tc>
          <w:tcPr>
            <w:tcW w:w="464" w:type="dxa"/>
            <w:shd w:val="clear" w:color="auto" w:fill="auto"/>
            <w:noWrap/>
            <w:vAlign w:val="center"/>
            <w:hideMark/>
          </w:tcPr>
          <w:p w14:paraId="1EC6D20A"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35</w:t>
            </w:r>
          </w:p>
        </w:tc>
        <w:tc>
          <w:tcPr>
            <w:tcW w:w="4247" w:type="dxa"/>
            <w:shd w:val="clear" w:color="auto" w:fill="auto"/>
            <w:noWrap/>
            <w:vAlign w:val="center"/>
            <w:hideMark/>
          </w:tcPr>
          <w:p w14:paraId="4C7482BA"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Soborno</w:t>
            </w:r>
          </w:p>
        </w:tc>
        <w:tc>
          <w:tcPr>
            <w:tcW w:w="1417" w:type="dxa"/>
            <w:shd w:val="clear" w:color="auto" w:fill="auto"/>
            <w:noWrap/>
            <w:vAlign w:val="center"/>
            <w:hideMark/>
          </w:tcPr>
          <w:p w14:paraId="2CC80325"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101</w:t>
            </w:r>
          </w:p>
        </w:tc>
        <w:tc>
          <w:tcPr>
            <w:tcW w:w="1418" w:type="dxa"/>
            <w:shd w:val="clear" w:color="auto" w:fill="auto"/>
            <w:noWrap/>
            <w:vAlign w:val="center"/>
            <w:hideMark/>
          </w:tcPr>
          <w:p w14:paraId="102D79A9"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0.04%</w:t>
            </w:r>
          </w:p>
        </w:tc>
      </w:tr>
      <w:tr w:rsidR="005E6C67" w:rsidRPr="00324548" w14:paraId="52D065DF" w14:textId="77777777" w:rsidTr="007D7021">
        <w:trPr>
          <w:trHeight w:val="319"/>
          <w:jc w:val="center"/>
        </w:trPr>
        <w:tc>
          <w:tcPr>
            <w:tcW w:w="464" w:type="dxa"/>
            <w:shd w:val="clear" w:color="auto" w:fill="auto"/>
            <w:noWrap/>
            <w:vAlign w:val="center"/>
            <w:hideMark/>
          </w:tcPr>
          <w:p w14:paraId="2C63CF3C"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36</w:t>
            </w:r>
          </w:p>
        </w:tc>
        <w:tc>
          <w:tcPr>
            <w:tcW w:w="4247" w:type="dxa"/>
            <w:shd w:val="clear" w:color="auto" w:fill="auto"/>
            <w:noWrap/>
            <w:vAlign w:val="center"/>
            <w:hideMark/>
          </w:tcPr>
          <w:p w14:paraId="0C11F1EA" w14:textId="77777777" w:rsidR="005E6C67" w:rsidRPr="00324548" w:rsidRDefault="005E6C67" w:rsidP="007D7021">
            <w:pPr>
              <w:spacing w:after="0" w:line="240" w:lineRule="auto"/>
              <w:rPr>
                <w:rFonts w:eastAsia="Times New Roman" w:cs="Times New Roman"/>
                <w:color w:val="000000"/>
                <w:lang w:eastAsia="es-DO"/>
              </w:rPr>
            </w:pPr>
            <w:r w:rsidRPr="00AC7396">
              <w:rPr>
                <w:rFonts w:eastAsia="Times New Roman" w:cs="Times New Roman"/>
                <w:color w:val="000000"/>
                <w:lang w:eastAsia="es-DO"/>
              </w:rPr>
              <w:t>Violación a la Ley General de Salud</w:t>
            </w:r>
          </w:p>
        </w:tc>
        <w:tc>
          <w:tcPr>
            <w:tcW w:w="1417" w:type="dxa"/>
            <w:shd w:val="clear" w:color="auto" w:fill="auto"/>
            <w:noWrap/>
            <w:vAlign w:val="center"/>
            <w:hideMark/>
          </w:tcPr>
          <w:p w14:paraId="277A4B91"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56</w:t>
            </w:r>
          </w:p>
        </w:tc>
        <w:tc>
          <w:tcPr>
            <w:tcW w:w="1418" w:type="dxa"/>
            <w:shd w:val="clear" w:color="auto" w:fill="auto"/>
            <w:noWrap/>
            <w:vAlign w:val="center"/>
            <w:hideMark/>
          </w:tcPr>
          <w:p w14:paraId="19B1BDF0"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0.02%</w:t>
            </w:r>
          </w:p>
        </w:tc>
      </w:tr>
      <w:tr w:rsidR="005E6C67" w:rsidRPr="00324548" w14:paraId="4647C3A7" w14:textId="77777777" w:rsidTr="007D7021">
        <w:trPr>
          <w:trHeight w:val="319"/>
          <w:jc w:val="center"/>
        </w:trPr>
        <w:tc>
          <w:tcPr>
            <w:tcW w:w="464" w:type="dxa"/>
            <w:shd w:val="clear" w:color="auto" w:fill="auto"/>
            <w:noWrap/>
            <w:vAlign w:val="center"/>
            <w:hideMark/>
          </w:tcPr>
          <w:p w14:paraId="1FE0F301"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37</w:t>
            </w:r>
          </w:p>
        </w:tc>
        <w:tc>
          <w:tcPr>
            <w:tcW w:w="4247" w:type="dxa"/>
            <w:shd w:val="clear" w:color="auto" w:fill="auto"/>
            <w:noWrap/>
            <w:vAlign w:val="center"/>
            <w:hideMark/>
          </w:tcPr>
          <w:p w14:paraId="13D742C9"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Juego de azar</w:t>
            </w:r>
          </w:p>
        </w:tc>
        <w:tc>
          <w:tcPr>
            <w:tcW w:w="1417" w:type="dxa"/>
            <w:shd w:val="clear" w:color="auto" w:fill="auto"/>
            <w:noWrap/>
            <w:vAlign w:val="center"/>
            <w:hideMark/>
          </w:tcPr>
          <w:p w14:paraId="4429CF31"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53</w:t>
            </w:r>
          </w:p>
        </w:tc>
        <w:tc>
          <w:tcPr>
            <w:tcW w:w="1418" w:type="dxa"/>
            <w:shd w:val="clear" w:color="auto" w:fill="auto"/>
            <w:noWrap/>
            <w:vAlign w:val="center"/>
            <w:hideMark/>
          </w:tcPr>
          <w:p w14:paraId="12FE7128"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0.02%</w:t>
            </w:r>
          </w:p>
        </w:tc>
      </w:tr>
      <w:tr w:rsidR="005E6C67" w:rsidRPr="00324548" w14:paraId="7C2D760D" w14:textId="77777777" w:rsidTr="007D7021">
        <w:trPr>
          <w:trHeight w:val="319"/>
          <w:jc w:val="center"/>
        </w:trPr>
        <w:tc>
          <w:tcPr>
            <w:tcW w:w="464" w:type="dxa"/>
            <w:shd w:val="clear" w:color="auto" w:fill="auto"/>
            <w:noWrap/>
            <w:vAlign w:val="center"/>
            <w:hideMark/>
          </w:tcPr>
          <w:p w14:paraId="4A29B961"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38</w:t>
            </w:r>
          </w:p>
        </w:tc>
        <w:tc>
          <w:tcPr>
            <w:tcW w:w="4247" w:type="dxa"/>
            <w:shd w:val="clear" w:color="auto" w:fill="auto"/>
            <w:noWrap/>
            <w:vAlign w:val="center"/>
            <w:hideMark/>
          </w:tcPr>
          <w:p w14:paraId="3DB9A4AA" w14:textId="77777777" w:rsidR="005E6C67" w:rsidRPr="00324548" w:rsidRDefault="005E6C67" w:rsidP="007D7021">
            <w:pPr>
              <w:spacing w:after="0" w:line="240" w:lineRule="auto"/>
              <w:rPr>
                <w:rFonts w:eastAsia="Times New Roman" w:cs="Times New Roman"/>
                <w:color w:val="000000"/>
                <w:lang w:eastAsia="es-DO"/>
              </w:rPr>
            </w:pPr>
            <w:r>
              <w:rPr>
                <w:rFonts w:eastAsia="Times New Roman" w:cs="Times New Roman"/>
                <w:color w:val="000000"/>
                <w:lang w:eastAsia="es-DO"/>
              </w:rPr>
              <w:t>Violación a los d</w:t>
            </w:r>
            <w:r w:rsidRPr="00324548">
              <w:rPr>
                <w:rFonts w:eastAsia="Times New Roman" w:cs="Times New Roman"/>
                <w:color w:val="000000"/>
                <w:lang w:eastAsia="es-DO"/>
              </w:rPr>
              <w:t>erechos humano</w:t>
            </w:r>
            <w:r>
              <w:rPr>
                <w:rFonts w:eastAsia="Times New Roman" w:cs="Times New Roman"/>
                <w:color w:val="000000"/>
                <w:lang w:eastAsia="es-DO"/>
              </w:rPr>
              <w:t>s</w:t>
            </w:r>
          </w:p>
        </w:tc>
        <w:tc>
          <w:tcPr>
            <w:tcW w:w="1417" w:type="dxa"/>
            <w:shd w:val="clear" w:color="auto" w:fill="auto"/>
            <w:noWrap/>
            <w:vAlign w:val="center"/>
            <w:hideMark/>
          </w:tcPr>
          <w:p w14:paraId="15EEF337"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44</w:t>
            </w:r>
          </w:p>
        </w:tc>
        <w:tc>
          <w:tcPr>
            <w:tcW w:w="1418" w:type="dxa"/>
            <w:shd w:val="clear" w:color="auto" w:fill="auto"/>
            <w:noWrap/>
            <w:vAlign w:val="center"/>
            <w:hideMark/>
          </w:tcPr>
          <w:p w14:paraId="0AF5363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0.02%</w:t>
            </w:r>
          </w:p>
        </w:tc>
      </w:tr>
      <w:tr w:rsidR="005E6C67" w:rsidRPr="00324548" w14:paraId="1191D122" w14:textId="77777777" w:rsidTr="007D7021">
        <w:trPr>
          <w:trHeight w:val="319"/>
          <w:jc w:val="center"/>
        </w:trPr>
        <w:tc>
          <w:tcPr>
            <w:tcW w:w="464" w:type="dxa"/>
            <w:shd w:val="clear" w:color="auto" w:fill="auto"/>
            <w:noWrap/>
            <w:vAlign w:val="center"/>
            <w:hideMark/>
          </w:tcPr>
          <w:p w14:paraId="7716D904" w14:textId="77777777" w:rsidR="005E6C67" w:rsidRPr="00324548" w:rsidRDefault="005E6C67" w:rsidP="007D7021">
            <w:pPr>
              <w:spacing w:after="0" w:line="240" w:lineRule="auto"/>
              <w:jc w:val="center"/>
              <w:rPr>
                <w:rFonts w:eastAsia="Times New Roman" w:cs="Times New Roman"/>
                <w:color w:val="000000"/>
                <w:lang w:eastAsia="es-DO"/>
              </w:rPr>
            </w:pPr>
            <w:r>
              <w:rPr>
                <w:rFonts w:eastAsia="Times New Roman" w:cs="Times New Roman"/>
                <w:color w:val="000000"/>
                <w:lang w:eastAsia="es-DO"/>
              </w:rPr>
              <w:t>39</w:t>
            </w:r>
          </w:p>
        </w:tc>
        <w:tc>
          <w:tcPr>
            <w:tcW w:w="4247" w:type="dxa"/>
            <w:shd w:val="clear" w:color="auto" w:fill="auto"/>
            <w:noWrap/>
            <w:vAlign w:val="center"/>
            <w:hideMark/>
          </w:tcPr>
          <w:p w14:paraId="429057E1" w14:textId="77777777" w:rsidR="005E6C67" w:rsidRPr="00324548" w:rsidRDefault="005E6C67" w:rsidP="007D7021">
            <w:pPr>
              <w:spacing w:after="0" w:line="240" w:lineRule="auto"/>
              <w:rPr>
                <w:rFonts w:eastAsia="Times New Roman" w:cs="Times New Roman"/>
                <w:color w:val="000000"/>
                <w:lang w:eastAsia="es-DO"/>
              </w:rPr>
            </w:pPr>
            <w:r>
              <w:rPr>
                <w:rFonts w:eastAsia="Times New Roman" w:cs="Times New Roman"/>
                <w:color w:val="000000"/>
                <w:lang w:eastAsia="es-DO"/>
              </w:rPr>
              <w:t>Violación a la Ley de C</w:t>
            </w:r>
            <w:r w:rsidRPr="00324548">
              <w:rPr>
                <w:rFonts w:eastAsia="Times New Roman" w:cs="Times New Roman"/>
                <w:color w:val="000000"/>
                <w:lang w:eastAsia="es-DO"/>
              </w:rPr>
              <w:t>heque</w:t>
            </w:r>
            <w:r>
              <w:rPr>
                <w:rFonts w:eastAsia="Times New Roman" w:cs="Times New Roman"/>
                <w:color w:val="000000"/>
                <w:lang w:eastAsia="es-DO"/>
              </w:rPr>
              <w:t>s</w:t>
            </w:r>
          </w:p>
        </w:tc>
        <w:tc>
          <w:tcPr>
            <w:tcW w:w="1417" w:type="dxa"/>
            <w:shd w:val="clear" w:color="auto" w:fill="auto"/>
            <w:noWrap/>
            <w:vAlign w:val="center"/>
            <w:hideMark/>
          </w:tcPr>
          <w:p w14:paraId="36881C18"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42</w:t>
            </w:r>
          </w:p>
        </w:tc>
        <w:tc>
          <w:tcPr>
            <w:tcW w:w="1418" w:type="dxa"/>
            <w:shd w:val="clear" w:color="auto" w:fill="auto"/>
            <w:noWrap/>
            <w:vAlign w:val="center"/>
            <w:hideMark/>
          </w:tcPr>
          <w:p w14:paraId="1EAA97E4"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0.02%</w:t>
            </w:r>
          </w:p>
        </w:tc>
      </w:tr>
      <w:tr w:rsidR="005E6C67" w:rsidRPr="00324548" w14:paraId="556AA635" w14:textId="77777777" w:rsidTr="007D7021">
        <w:trPr>
          <w:trHeight w:val="319"/>
          <w:jc w:val="center"/>
        </w:trPr>
        <w:tc>
          <w:tcPr>
            <w:tcW w:w="464" w:type="dxa"/>
            <w:shd w:val="clear" w:color="auto" w:fill="auto"/>
            <w:noWrap/>
            <w:vAlign w:val="center"/>
            <w:hideMark/>
          </w:tcPr>
          <w:p w14:paraId="2210CDE2"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r>
              <w:rPr>
                <w:rFonts w:eastAsia="Times New Roman" w:cs="Times New Roman"/>
                <w:color w:val="000000"/>
                <w:lang w:eastAsia="es-DO"/>
              </w:rPr>
              <w:t>0</w:t>
            </w:r>
          </w:p>
        </w:tc>
        <w:tc>
          <w:tcPr>
            <w:tcW w:w="4247" w:type="dxa"/>
            <w:shd w:val="clear" w:color="auto" w:fill="auto"/>
            <w:noWrap/>
            <w:vAlign w:val="center"/>
            <w:hideMark/>
          </w:tcPr>
          <w:p w14:paraId="79B72A58"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Terrorismo</w:t>
            </w:r>
          </w:p>
        </w:tc>
        <w:tc>
          <w:tcPr>
            <w:tcW w:w="1417" w:type="dxa"/>
            <w:shd w:val="clear" w:color="auto" w:fill="auto"/>
            <w:noWrap/>
            <w:vAlign w:val="center"/>
            <w:hideMark/>
          </w:tcPr>
          <w:p w14:paraId="02E06A9B"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33</w:t>
            </w:r>
          </w:p>
        </w:tc>
        <w:tc>
          <w:tcPr>
            <w:tcW w:w="1418" w:type="dxa"/>
            <w:shd w:val="clear" w:color="auto" w:fill="auto"/>
            <w:noWrap/>
            <w:vAlign w:val="center"/>
            <w:hideMark/>
          </w:tcPr>
          <w:p w14:paraId="766680DD"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0.01%</w:t>
            </w:r>
          </w:p>
        </w:tc>
      </w:tr>
      <w:tr w:rsidR="005E6C67" w:rsidRPr="00324548" w14:paraId="4E1283BE" w14:textId="77777777" w:rsidTr="007D7021">
        <w:trPr>
          <w:trHeight w:val="319"/>
          <w:jc w:val="center"/>
        </w:trPr>
        <w:tc>
          <w:tcPr>
            <w:tcW w:w="464" w:type="dxa"/>
            <w:shd w:val="clear" w:color="auto" w:fill="auto"/>
            <w:noWrap/>
            <w:vAlign w:val="center"/>
            <w:hideMark/>
          </w:tcPr>
          <w:p w14:paraId="77771CD6"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r>
              <w:rPr>
                <w:rFonts w:eastAsia="Times New Roman" w:cs="Times New Roman"/>
                <w:color w:val="000000"/>
                <w:lang w:eastAsia="es-DO"/>
              </w:rPr>
              <w:t>1</w:t>
            </w:r>
          </w:p>
        </w:tc>
        <w:tc>
          <w:tcPr>
            <w:tcW w:w="4247" w:type="dxa"/>
            <w:shd w:val="clear" w:color="auto" w:fill="auto"/>
            <w:noWrap/>
            <w:vAlign w:val="center"/>
            <w:hideMark/>
          </w:tcPr>
          <w:p w14:paraId="2F9A38ED"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Proxenet</w:t>
            </w:r>
            <w:r>
              <w:rPr>
                <w:rFonts w:eastAsia="Times New Roman" w:cs="Times New Roman"/>
                <w:color w:val="000000"/>
                <w:lang w:eastAsia="es-DO"/>
              </w:rPr>
              <w:t>ismo</w:t>
            </w:r>
          </w:p>
        </w:tc>
        <w:tc>
          <w:tcPr>
            <w:tcW w:w="1417" w:type="dxa"/>
            <w:shd w:val="clear" w:color="auto" w:fill="auto"/>
            <w:noWrap/>
            <w:vAlign w:val="center"/>
            <w:hideMark/>
          </w:tcPr>
          <w:p w14:paraId="4A86A740"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28</w:t>
            </w:r>
          </w:p>
        </w:tc>
        <w:tc>
          <w:tcPr>
            <w:tcW w:w="1418" w:type="dxa"/>
            <w:shd w:val="clear" w:color="auto" w:fill="auto"/>
            <w:noWrap/>
            <w:vAlign w:val="center"/>
            <w:hideMark/>
          </w:tcPr>
          <w:p w14:paraId="2ACB2335"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0.01%</w:t>
            </w:r>
          </w:p>
        </w:tc>
      </w:tr>
      <w:tr w:rsidR="005E6C67" w:rsidRPr="00324548" w14:paraId="7921C53D" w14:textId="77777777" w:rsidTr="007D7021">
        <w:trPr>
          <w:trHeight w:val="319"/>
          <w:jc w:val="center"/>
        </w:trPr>
        <w:tc>
          <w:tcPr>
            <w:tcW w:w="464" w:type="dxa"/>
            <w:shd w:val="clear" w:color="auto" w:fill="auto"/>
            <w:noWrap/>
            <w:vAlign w:val="center"/>
            <w:hideMark/>
          </w:tcPr>
          <w:p w14:paraId="3754E18C"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r>
              <w:rPr>
                <w:rFonts w:eastAsia="Times New Roman" w:cs="Times New Roman"/>
                <w:color w:val="000000"/>
                <w:lang w:eastAsia="es-DO"/>
              </w:rPr>
              <w:t>2</w:t>
            </w:r>
          </w:p>
        </w:tc>
        <w:tc>
          <w:tcPr>
            <w:tcW w:w="4247" w:type="dxa"/>
            <w:shd w:val="clear" w:color="auto" w:fill="auto"/>
            <w:noWrap/>
            <w:vAlign w:val="center"/>
            <w:hideMark/>
          </w:tcPr>
          <w:p w14:paraId="4E5D8350"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Prevaricación</w:t>
            </w:r>
          </w:p>
        </w:tc>
        <w:tc>
          <w:tcPr>
            <w:tcW w:w="1417" w:type="dxa"/>
            <w:shd w:val="clear" w:color="auto" w:fill="auto"/>
            <w:noWrap/>
            <w:vAlign w:val="center"/>
            <w:hideMark/>
          </w:tcPr>
          <w:p w14:paraId="74836A87"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22</w:t>
            </w:r>
          </w:p>
        </w:tc>
        <w:tc>
          <w:tcPr>
            <w:tcW w:w="1418" w:type="dxa"/>
            <w:shd w:val="clear" w:color="auto" w:fill="auto"/>
            <w:noWrap/>
            <w:vAlign w:val="center"/>
            <w:hideMark/>
          </w:tcPr>
          <w:p w14:paraId="709AAE68"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0.01%</w:t>
            </w:r>
          </w:p>
        </w:tc>
      </w:tr>
      <w:tr w:rsidR="005E6C67" w:rsidRPr="00324548" w14:paraId="0AB47F4C" w14:textId="77777777" w:rsidTr="007D7021">
        <w:trPr>
          <w:trHeight w:val="319"/>
          <w:jc w:val="center"/>
        </w:trPr>
        <w:tc>
          <w:tcPr>
            <w:tcW w:w="464" w:type="dxa"/>
            <w:shd w:val="clear" w:color="auto" w:fill="auto"/>
            <w:noWrap/>
            <w:vAlign w:val="center"/>
            <w:hideMark/>
          </w:tcPr>
          <w:p w14:paraId="1F989FEF"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r>
              <w:rPr>
                <w:rFonts w:eastAsia="Times New Roman" w:cs="Times New Roman"/>
                <w:color w:val="000000"/>
                <w:lang w:eastAsia="es-DO"/>
              </w:rPr>
              <w:t>3</w:t>
            </w:r>
          </w:p>
        </w:tc>
        <w:tc>
          <w:tcPr>
            <w:tcW w:w="4247" w:type="dxa"/>
            <w:shd w:val="clear" w:color="auto" w:fill="auto"/>
            <w:noWrap/>
            <w:vAlign w:val="center"/>
            <w:hideMark/>
          </w:tcPr>
          <w:p w14:paraId="3D3C6785"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Droga</w:t>
            </w:r>
            <w:r>
              <w:rPr>
                <w:rFonts w:eastAsia="Times New Roman" w:cs="Times New Roman"/>
                <w:color w:val="000000"/>
                <w:lang w:eastAsia="es-DO"/>
              </w:rPr>
              <w:t>,</w:t>
            </w:r>
            <w:r w:rsidRPr="00324548">
              <w:rPr>
                <w:rFonts w:eastAsia="Times New Roman" w:cs="Times New Roman"/>
                <w:color w:val="000000"/>
                <w:lang w:eastAsia="es-DO"/>
              </w:rPr>
              <w:t xml:space="preserve"> delitos y sanciones</w:t>
            </w:r>
          </w:p>
        </w:tc>
        <w:tc>
          <w:tcPr>
            <w:tcW w:w="1417" w:type="dxa"/>
            <w:shd w:val="clear" w:color="auto" w:fill="auto"/>
            <w:noWrap/>
            <w:vAlign w:val="center"/>
            <w:hideMark/>
          </w:tcPr>
          <w:p w14:paraId="515C2F09"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10</w:t>
            </w:r>
          </w:p>
        </w:tc>
        <w:tc>
          <w:tcPr>
            <w:tcW w:w="1418" w:type="dxa"/>
            <w:shd w:val="clear" w:color="auto" w:fill="auto"/>
            <w:noWrap/>
            <w:vAlign w:val="center"/>
            <w:hideMark/>
          </w:tcPr>
          <w:p w14:paraId="58853E51"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0.00%</w:t>
            </w:r>
          </w:p>
        </w:tc>
      </w:tr>
      <w:tr w:rsidR="005E6C67" w:rsidRPr="00324548" w14:paraId="55EE70C9" w14:textId="77777777" w:rsidTr="007D7021">
        <w:trPr>
          <w:trHeight w:val="319"/>
          <w:jc w:val="center"/>
        </w:trPr>
        <w:tc>
          <w:tcPr>
            <w:tcW w:w="464" w:type="dxa"/>
            <w:shd w:val="clear" w:color="auto" w:fill="auto"/>
            <w:noWrap/>
            <w:vAlign w:val="center"/>
            <w:hideMark/>
          </w:tcPr>
          <w:p w14:paraId="4984403B"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4</w:t>
            </w:r>
            <w:r>
              <w:rPr>
                <w:rFonts w:eastAsia="Times New Roman" w:cs="Times New Roman"/>
                <w:color w:val="000000"/>
                <w:lang w:eastAsia="es-DO"/>
              </w:rPr>
              <w:t>4</w:t>
            </w:r>
          </w:p>
        </w:tc>
        <w:tc>
          <w:tcPr>
            <w:tcW w:w="4247" w:type="dxa"/>
            <w:shd w:val="clear" w:color="auto" w:fill="auto"/>
            <w:noWrap/>
            <w:vAlign w:val="center"/>
            <w:hideMark/>
          </w:tcPr>
          <w:p w14:paraId="71A0E50E" w14:textId="77777777" w:rsidR="005E6C67" w:rsidRPr="00324548" w:rsidRDefault="005E6C67" w:rsidP="007D7021">
            <w:pPr>
              <w:spacing w:after="0" w:line="240" w:lineRule="auto"/>
              <w:rPr>
                <w:rFonts w:eastAsia="Times New Roman" w:cs="Times New Roman"/>
                <w:color w:val="000000"/>
                <w:lang w:eastAsia="es-DO"/>
              </w:rPr>
            </w:pPr>
            <w:r w:rsidRPr="00324548">
              <w:rPr>
                <w:rFonts w:eastAsia="Times New Roman" w:cs="Times New Roman"/>
                <w:color w:val="000000"/>
                <w:lang w:eastAsia="es-DO"/>
              </w:rPr>
              <w:t>Aborto y tentativa</w:t>
            </w:r>
          </w:p>
        </w:tc>
        <w:tc>
          <w:tcPr>
            <w:tcW w:w="1417" w:type="dxa"/>
            <w:shd w:val="clear" w:color="auto" w:fill="auto"/>
            <w:noWrap/>
            <w:vAlign w:val="center"/>
            <w:hideMark/>
          </w:tcPr>
          <w:p w14:paraId="4480512F" w14:textId="77777777" w:rsidR="005E6C67" w:rsidRPr="00324548" w:rsidRDefault="005E6C67" w:rsidP="007D7021">
            <w:pPr>
              <w:spacing w:after="0" w:line="240" w:lineRule="auto"/>
              <w:jc w:val="center"/>
              <w:rPr>
                <w:rFonts w:eastAsia="Times New Roman" w:cs="Times New Roman"/>
                <w:b/>
                <w:bCs/>
                <w:color w:val="000000"/>
                <w:lang w:eastAsia="es-DO"/>
              </w:rPr>
            </w:pPr>
            <w:r w:rsidRPr="00324548">
              <w:rPr>
                <w:rFonts w:eastAsia="Times New Roman" w:cs="Times New Roman"/>
                <w:b/>
                <w:bCs/>
                <w:color w:val="000000"/>
                <w:lang w:eastAsia="es-DO"/>
              </w:rPr>
              <w:t>9</w:t>
            </w:r>
          </w:p>
        </w:tc>
        <w:tc>
          <w:tcPr>
            <w:tcW w:w="1418" w:type="dxa"/>
            <w:shd w:val="clear" w:color="auto" w:fill="auto"/>
            <w:noWrap/>
            <w:vAlign w:val="center"/>
            <w:hideMark/>
          </w:tcPr>
          <w:p w14:paraId="09B73EBC" w14:textId="77777777" w:rsidR="005E6C67" w:rsidRPr="00324548" w:rsidRDefault="005E6C67" w:rsidP="007D7021">
            <w:pPr>
              <w:spacing w:after="0" w:line="240" w:lineRule="auto"/>
              <w:jc w:val="center"/>
              <w:rPr>
                <w:rFonts w:eastAsia="Times New Roman" w:cs="Times New Roman"/>
                <w:color w:val="000000"/>
                <w:lang w:eastAsia="es-DO"/>
              </w:rPr>
            </w:pPr>
            <w:r w:rsidRPr="00324548">
              <w:rPr>
                <w:rFonts w:eastAsia="Times New Roman" w:cs="Times New Roman"/>
                <w:color w:val="000000"/>
                <w:lang w:eastAsia="es-DO"/>
              </w:rPr>
              <w:t>0.00%</w:t>
            </w:r>
          </w:p>
        </w:tc>
      </w:tr>
      <w:tr w:rsidR="005E6C67" w:rsidRPr="00324548" w14:paraId="2D03BAAA" w14:textId="77777777" w:rsidTr="007D7021">
        <w:trPr>
          <w:trHeight w:val="330"/>
          <w:jc w:val="center"/>
        </w:trPr>
        <w:tc>
          <w:tcPr>
            <w:tcW w:w="4711" w:type="dxa"/>
            <w:gridSpan w:val="2"/>
            <w:shd w:val="clear" w:color="auto" w:fill="1F4E79" w:themeFill="accent1" w:themeFillShade="80"/>
            <w:noWrap/>
            <w:vAlign w:val="center"/>
            <w:hideMark/>
          </w:tcPr>
          <w:p w14:paraId="3769BB97" w14:textId="77777777" w:rsidR="005E6C67" w:rsidRPr="00324548" w:rsidRDefault="005E6C67" w:rsidP="007D7021">
            <w:pPr>
              <w:spacing w:after="0" w:line="240" w:lineRule="auto"/>
              <w:jc w:val="right"/>
              <w:rPr>
                <w:rFonts w:eastAsia="Times New Roman" w:cs="Times New Roman"/>
                <w:b/>
                <w:bCs/>
                <w:color w:val="FFFFFF"/>
                <w:lang w:eastAsia="es-DO"/>
              </w:rPr>
            </w:pPr>
            <w:r w:rsidRPr="00324548">
              <w:rPr>
                <w:rFonts w:eastAsia="Times New Roman" w:cs="Times New Roman"/>
                <w:b/>
                <w:bCs/>
                <w:color w:val="FFFFFF"/>
                <w:lang w:eastAsia="es-DO"/>
              </w:rPr>
              <w:t>Total</w:t>
            </w:r>
          </w:p>
        </w:tc>
        <w:tc>
          <w:tcPr>
            <w:tcW w:w="1417" w:type="dxa"/>
            <w:shd w:val="clear" w:color="auto" w:fill="1F4E79" w:themeFill="accent1" w:themeFillShade="80"/>
            <w:noWrap/>
            <w:vAlign w:val="center"/>
            <w:hideMark/>
          </w:tcPr>
          <w:p w14:paraId="6E4E7142" w14:textId="77777777" w:rsidR="005E6C67" w:rsidRPr="00324548" w:rsidRDefault="005E6C67" w:rsidP="007D7021">
            <w:pPr>
              <w:spacing w:after="0" w:line="240" w:lineRule="auto"/>
              <w:jc w:val="center"/>
              <w:rPr>
                <w:rFonts w:eastAsia="Times New Roman" w:cs="Times New Roman"/>
                <w:b/>
                <w:bCs/>
                <w:color w:val="FFFFFF"/>
                <w:lang w:eastAsia="es-DO"/>
              </w:rPr>
            </w:pPr>
            <w:r w:rsidRPr="00324548">
              <w:rPr>
                <w:rFonts w:eastAsia="Times New Roman" w:cs="Times New Roman"/>
                <w:b/>
                <w:bCs/>
                <w:color w:val="FFFFFF"/>
                <w:lang w:eastAsia="es-DO"/>
              </w:rPr>
              <w:t>279,333</w:t>
            </w:r>
          </w:p>
        </w:tc>
        <w:tc>
          <w:tcPr>
            <w:tcW w:w="1418" w:type="dxa"/>
            <w:shd w:val="clear" w:color="auto" w:fill="1F4E79" w:themeFill="accent1" w:themeFillShade="80"/>
            <w:noWrap/>
            <w:vAlign w:val="center"/>
            <w:hideMark/>
          </w:tcPr>
          <w:p w14:paraId="525BF646" w14:textId="77777777" w:rsidR="005E6C67" w:rsidRPr="00324548" w:rsidRDefault="005E6C67" w:rsidP="007D7021">
            <w:pPr>
              <w:spacing w:after="0" w:line="240" w:lineRule="auto"/>
              <w:jc w:val="center"/>
              <w:rPr>
                <w:rFonts w:eastAsia="Times New Roman" w:cs="Times New Roman"/>
                <w:b/>
                <w:bCs/>
                <w:color w:val="FFFFFF"/>
                <w:lang w:eastAsia="es-DO"/>
              </w:rPr>
            </w:pPr>
            <w:r w:rsidRPr="00324548">
              <w:rPr>
                <w:rFonts w:eastAsia="Times New Roman" w:cs="Times New Roman"/>
                <w:b/>
                <w:bCs/>
                <w:color w:val="FFFFFF"/>
                <w:lang w:eastAsia="es-DO"/>
              </w:rPr>
              <w:t>100%</w:t>
            </w:r>
          </w:p>
        </w:tc>
      </w:tr>
    </w:tbl>
    <w:p w14:paraId="2093843D" w14:textId="77777777" w:rsidR="005E6C67" w:rsidRDefault="005E6C67" w:rsidP="001C19EC">
      <w:pPr>
        <w:spacing w:line="480" w:lineRule="auto"/>
        <w:jc w:val="both"/>
        <w:rPr>
          <w:rFonts w:cs="Times New Roman"/>
          <w:szCs w:val="24"/>
        </w:rPr>
      </w:pPr>
    </w:p>
    <w:p w14:paraId="23C5A1DF" w14:textId="77777777" w:rsidR="001C19EC" w:rsidRDefault="001C19EC" w:rsidP="00951609">
      <w:pPr>
        <w:pStyle w:val="Estilo7"/>
        <w:numPr>
          <w:ilvl w:val="2"/>
          <w:numId w:val="14"/>
        </w:numPr>
      </w:pPr>
      <w:bookmarkStart w:id="33" w:name="_Toc29577312"/>
      <w:bookmarkStart w:id="34" w:name="_Toc29891702"/>
      <w:r w:rsidRPr="00285C5A">
        <w:lastRenderedPageBreak/>
        <w:t>Metas Presidenciales</w:t>
      </w:r>
      <w:bookmarkEnd w:id="33"/>
      <w:bookmarkEnd w:id="34"/>
      <w:r w:rsidRPr="00285C5A">
        <w:t xml:space="preserve"> </w:t>
      </w:r>
    </w:p>
    <w:p w14:paraId="4A128490" w14:textId="77777777" w:rsidR="008705D9" w:rsidRPr="00285C5A" w:rsidRDefault="008705D9" w:rsidP="008705D9">
      <w:pPr>
        <w:pStyle w:val="Estilo7"/>
        <w:numPr>
          <w:ilvl w:val="0"/>
          <w:numId w:val="0"/>
        </w:numPr>
        <w:ind w:left="2340"/>
      </w:pPr>
    </w:p>
    <w:p w14:paraId="6FDFAEBE" w14:textId="77777777" w:rsidR="001C19EC" w:rsidRPr="001C1FEA" w:rsidRDefault="001C19EC" w:rsidP="001C19EC">
      <w:pPr>
        <w:spacing w:line="480" w:lineRule="auto"/>
        <w:ind w:firstLine="708"/>
        <w:jc w:val="both"/>
        <w:rPr>
          <w:rFonts w:cs="Times New Roman"/>
          <w:szCs w:val="24"/>
        </w:rPr>
      </w:pPr>
      <w:r>
        <w:rPr>
          <w:rFonts w:cs="Times New Roman"/>
          <w:szCs w:val="24"/>
        </w:rPr>
        <w:t>La Procuraduría General de la República (PGR)</w:t>
      </w:r>
      <w:r w:rsidRPr="001C1FEA">
        <w:rPr>
          <w:rFonts w:cs="Times New Roman"/>
          <w:szCs w:val="24"/>
        </w:rPr>
        <w:t xml:space="preserve"> tiene a su cargo y responsabilidad 11 meta</w:t>
      </w:r>
      <w:r>
        <w:rPr>
          <w:rFonts w:cs="Times New Roman"/>
          <w:szCs w:val="24"/>
        </w:rPr>
        <w:t>s presidenciales</w:t>
      </w:r>
      <w:r w:rsidRPr="001C1FEA">
        <w:rPr>
          <w:rFonts w:cs="Times New Roman"/>
          <w:szCs w:val="24"/>
        </w:rPr>
        <w:t xml:space="preserve">. Dichas metas son de vital importancia para el desarrollo </w:t>
      </w:r>
      <w:r>
        <w:rPr>
          <w:rFonts w:cs="Times New Roman"/>
          <w:szCs w:val="24"/>
        </w:rPr>
        <w:t xml:space="preserve">del sistema de justicia </w:t>
      </w:r>
      <w:r w:rsidRPr="001C1FEA">
        <w:rPr>
          <w:rFonts w:cs="Times New Roman"/>
          <w:szCs w:val="24"/>
        </w:rPr>
        <w:t>y</w:t>
      </w:r>
      <w:r>
        <w:rPr>
          <w:rFonts w:cs="Times New Roman"/>
          <w:szCs w:val="24"/>
        </w:rPr>
        <w:t xml:space="preserve"> la</w:t>
      </w:r>
      <w:r w:rsidRPr="001C1FEA">
        <w:rPr>
          <w:rFonts w:cs="Times New Roman"/>
          <w:szCs w:val="24"/>
        </w:rPr>
        <w:t xml:space="preserve"> seguridad </w:t>
      </w:r>
      <w:r>
        <w:rPr>
          <w:rFonts w:cs="Times New Roman"/>
          <w:szCs w:val="24"/>
        </w:rPr>
        <w:t xml:space="preserve">interna </w:t>
      </w:r>
      <w:r w:rsidRPr="001C1FEA">
        <w:rPr>
          <w:rFonts w:cs="Times New Roman"/>
          <w:szCs w:val="24"/>
        </w:rPr>
        <w:t>de la República Dominicana.</w:t>
      </w:r>
    </w:p>
    <w:p w14:paraId="733F9AD8" w14:textId="77777777" w:rsidR="001C19EC" w:rsidRDefault="001C19EC" w:rsidP="001C19EC">
      <w:pPr>
        <w:spacing w:line="480" w:lineRule="auto"/>
        <w:ind w:firstLine="708"/>
        <w:jc w:val="both"/>
        <w:rPr>
          <w:rFonts w:cs="Times New Roman"/>
          <w:szCs w:val="24"/>
        </w:rPr>
      </w:pPr>
      <w:r w:rsidRPr="001C1FEA">
        <w:rPr>
          <w:rFonts w:cs="Times New Roman"/>
          <w:szCs w:val="24"/>
        </w:rPr>
        <w:t xml:space="preserve">A continuación </w:t>
      </w:r>
      <w:r>
        <w:rPr>
          <w:rFonts w:cs="Times New Roman"/>
          <w:szCs w:val="24"/>
        </w:rPr>
        <w:t>presentamos</w:t>
      </w:r>
      <w:r w:rsidRPr="001C1FEA">
        <w:rPr>
          <w:rFonts w:cs="Times New Roman"/>
          <w:szCs w:val="24"/>
        </w:rPr>
        <w:t xml:space="preserve"> las informaciones base,</w:t>
      </w:r>
      <w:r>
        <w:rPr>
          <w:rFonts w:cs="Times New Roman"/>
          <w:szCs w:val="24"/>
        </w:rPr>
        <w:t xml:space="preserve"> el estatus y nivel de avance en</w:t>
      </w:r>
      <w:r w:rsidRPr="001C1FEA">
        <w:rPr>
          <w:rFonts w:cs="Times New Roman"/>
          <w:szCs w:val="24"/>
        </w:rPr>
        <w:t xml:space="preserve"> cada </w:t>
      </w:r>
      <w:r>
        <w:rPr>
          <w:rFonts w:cs="Times New Roman"/>
          <w:szCs w:val="24"/>
        </w:rPr>
        <w:t>una de las Metas Presidenciales a cargo de la PGR:</w:t>
      </w:r>
    </w:p>
    <w:p w14:paraId="6A2438FE" w14:textId="30ECC88C" w:rsidR="001C19EC" w:rsidRPr="008705D9" w:rsidRDefault="001C19EC" w:rsidP="00951609">
      <w:pPr>
        <w:pStyle w:val="Prrafodelista"/>
        <w:numPr>
          <w:ilvl w:val="0"/>
          <w:numId w:val="25"/>
        </w:numPr>
        <w:spacing w:line="480" w:lineRule="auto"/>
        <w:jc w:val="both"/>
        <w:rPr>
          <w:rFonts w:cs="Times New Roman"/>
          <w:b/>
          <w:szCs w:val="24"/>
        </w:rPr>
      </w:pPr>
      <w:r w:rsidRPr="008705D9">
        <w:rPr>
          <w:rFonts w:cs="Times New Roman"/>
          <w:b/>
          <w:szCs w:val="24"/>
        </w:rPr>
        <w:t>Fortalecer la Lucha contra la Corrupción</w:t>
      </w:r>
    </w:p>
    <w:p w14:paraId="0AAB511A" w14:textId="77777777" w:rsidR="001C19EC" w:rsidRDefault="001C19EC" w:rsidP="001C19EC">
      <w:pPr>
        <w:spacing w:line="480" w:lineRule="auto"/>
        <w:ind w:firstLine="708"/>
        <w:jc w:val="both"/>
        <w:rPr>
          <w:rFonts w:cs="Times New Roman"/>
          <w:szCs w:val="24"/>
        </w:rPr>
      </w:pPr>
      <w:r>
        <w:rPr>
          <w:rFonts w:cs="Times New Roman"/>
          <w:szCs w:val="24"/>
        </w:rPr>
        <w:t>Como entidad responsable de la persecución de los hechos delictivos, la PGR en el año 2019 ha reiterado su firme compromiso de seguir avanzando en la lucha contra la corrupción, habiendo cosechado los siguientes logros:</w:t>
      </w:r>
    </w:p>
    <w:p w14:paraId="69530A57" w14:textId="77777777" w:rsidR="001C19EC" w:rsidRDefault="001C19EC" w:rsidP="00951609">
      <w:pPr>
        <w:pStyle w:val="Prrafodelista"/>
        <w:numPr>
          <w:ilvl w:val="0"/>
          <w:numId w:val="16"/>
        </w:numPr>
        <w:spacing w:line="480" w:lineRule="auto"/>
        <w:jc w:val="both"/>
        <w:rPr>
          <w:rFonts w:cs="Times New Roman"/>
          <w:szCs w:val="24"/>
        </w:rPr>
      </w:pPr>
      <w:r>
        <w:rPr>
          <w:rFonts w:cs="Times New Roman"/>
          <w:szCs w:val="24"/>
        </w:rPr>
        <w:t>A fines de fortalecer la persecución de este delito</w:t>
      </w:r>
      <w:r w:rsidRPr="00353D44">
        <w:rPr>
          <w:rFonts w:cs="Times New Roman"/>
          <w:szCs w:val="24"/>
        </w:rPr>
        <w:t xml:space="preserve"> </w:t>
      </w:r>
      <w:r>
        <w:rPr>
          <w:rFonts w:cs="Times New Roman"/>
          <w:szCs w:val="24"/>
        </w:rPr>
        <w:t>fue</w:t>
      </w:r>
      <w:r w:rsidRPr="00353D44">
        <w:rPr>
          <w:rFonts w:cs="Times New Roman"/>
          <w:szCs w:val="24"/>
        </w:rPr>
        <w:t xml:space="preserve"> </w:t>
      </w:r>
      <w:r>
        <w:rPr>
          <w:rFonts w:cs="Times New Roman"/>
          <w:szCs w:val="24"/>
        </w:rPr>
        <w:t xml:space="preserve">concluida la </w:t>
      </w:r>
      <w:r w:rsidRPr="00353D44">
        <w:rPr>
          <w:rFonts w:cs="Times New Roman"/>
          <w:szCs w:val="24"/>
        </w:rPr>
        <w:t xml:space="preserve">elaboración del Reglamento Interno de Políticas y Procedimientos de Investigación de la Procuraduría Especializada de Persecución de la Corrupción Administrativa </w:t>
      </w:r>
      <w:r w:rsidRPr="002952C0">
        <w:rPr>
          <w:rFonts w:cs="Times New Roman"/>
          <w:szCs w:val="24"/>
        </w:rPr>
        <w:t>(PEPCA).</w:t>
      </w:r>
    </w:p>
    <w:p w14:paraId="31C098C7" w14:textId="77777777" w:rsidR="001C19EC" w:rsidRDefault="001C19EC" w:rsidP="00951609">
      <w:pPr>
        <w:pStyle w:val="Prrafodelista"/>
        <w:numPr>
          <w:ilvl w:val="0"/>
          <w:numId w:val="16"/>
        </w:numPr>
        <w:spacing w:line="480" w:lineRule="auto"/>
        <w:jc w:val="both"/>
        <w:rPr>
          <w:rFonts w:cs="Times New Roman"/>
          <w:szCs w:val="24"/>
        </w:rPr>
      </w:pPr>
      <w:r>
        <w:rPr>
          <w:rFonts w:cs="Times New Roman"/>
          <w:szCs w:val="24"/>
        </w:rPr>
        <w:t>Con la finalidad de normalizar los procesos de investigación del delito de la corrupción administrativa durante 2019 fue</w:t>
      </w:r>
      <w:r w:rsidRPr="00A32DA7">
        <w:rPr>
          <w:rFonts w:cs="Times New Roman"/>
          <w:szCs w:val="24"/>
        </w:rPr>
        <w:t xml:space="preserve"> elaborado y promovido el Manual de Investigación de Delitos de Corrupción</w:t>
      </w:r>
      <w:r>
        <w:rPr>
          <w:rFonts w:cs="Times New Roman"/>
          <w:szCs w:val="24"/>
        </w:rPr>
        <w:t>.</w:t>
      </w:r>
    </w:p>
    <w:p w14:paraId="44B1D6B8" w14:textId="77777777" w:rsidR="001C19EC" w:rsidRDefault="001C19EC" w:rsidP="00951609">
      <w:pPr>
        <w:pStyle w:val="Prrafodelista"/>
        <w:numPr>
          <w:ilvl w:val="0"/>
          <w:numId w:val="16"/>
        </w:numPr>
        <w:spacing w:line="480" w:lineRule="auto"/>
        <w:jc w:val="both"/>
        <w:rPr>
          <w:rFonts w:cs="Times New Roman"/>
          <w:szCs w:val="24"/>
        </w:rPr>
      </w:pPr>
      <w:r>
        <w:rPr>
          <w:rFonts w:cs="Times New Roman"/>
          <w:szCs w:val="24"/>
        </w:rPr>
        <w:t xml:space="preserve">Con miras a fortalecer la cooperación internacional y conocer las mejores prácticas desarrolladas en la región y en otros continentes en la lucha contra el flagelo de corrupción, durante 2019 la institución tuvo una participación </w:t>
      </w:r>
      <w:r w:rsidRPr="00353D44">
        <w:rPr>
          <w:rFonts w:cs="Times New Roman"/>
          <w:szCs w:val="24"/>
        </w:rPr>
        <w:t xml:space="preserve">en el encuentro realizado por la </w:t>
      </w:r>
      <w:r>
        <w:rPr>
          <w:rFonts w:cs="Times New Roman"/>
          <w:szCs w:val="24"/>
        </w:rPr>
        <w:t>“</w:t>
      </w:r>
      <w:r w:rsidRPr="00353D44">
        <w:rPr>
          <w:rFonts w:cs="Times New Roman"/>
          <w:szCs w:val="24"/>
        </w:rPr>
        <w:t>Red Iberoamericana d</w:t>
      </w:r>
      <w:r>
        <w:rPr>
          <w:rFonts w:cs="Times New Roman"/>
          <w:szCs w:val="24"/>
        </w:rPr>
        <w:t>e Fiscales contra la Corrupción”</w:t>
      </w:r>
      <w:r w:rsidRPr="00353D44">
        <w:rPr>
          <w:rFonts w:cs="Times New Roman"/>
          <w:szCs w:val="24"/>
        </w:rPr>
        <w:t>.</w:t>
      </w:r>
      <w:r>
        <w:rPr>
          <w:rFonts w:cs="Times New Roman"/>
          <w:szCs w:val="24"/>
        </w:rPr>
        <w:t xml:space="preserve"> Asimismo en el mismo año hubo una participación en la “</w:t>
      </w:r>
      <w:r w:rsidRPr="00353D44">
        <w:rPr>
          <w:rFonts w:cs="Times New Roman"/>
          <w:szCs w:val="24"/>
        </w:rPr>
        <w:t>Convención de las Naciones Unidas contra la Corrupción</w:t>
      </w:r>
      <w:r>
        <w:rPr>
          <w:rFonts w:cs="Times New Roman"/>
          <w:szCs w:val="24"/>
        </w:rPr>
        <w:t>”</w:t>
      </w:r>
      <w:r w:rsidRPr="00353D44">
        <w:rPr>
          <w:rFonts w:cs="Times New Roman"/>
          <w:szCs w:val="24"/>
        </w:rPr>
        <w:t>,</w:t>
      </w:r>
      <w:r>
        <w:rPr>
          <w:rFonts w:cs="Times New Roman"/>
          <w:szCs w:val="24"/>
        </w:rPr>
        <w:t xml:space="preserve"> celebrada en Emiratos Árabes Unidos,</w:t>
      </w:r>
      <w:r w:rsidRPr="00353D44">
        <w:rPr>
          <w:rFonts w:cs="Times New Roman"/>
          <w:szCs w:val="24"/>
        </w:rPr>
        <w:t xml:space="preserve"> </w:t>
      </w:r>
      <w:r>
        <w:rPr>
          <w:rFonts w:cs="Times New Roman"/>
          <w:szCs w:val="24"/>
        </w:rPr>
        <w:t xml:space="preserve">en donde como </w:t>
      </w:r>
      <w:r>
        <w:rPr>
          <w:rFonts w:cs="Times New Roman"/>
          <w:szCs w:val="24"/>
        </w:rPr>
        <w:lastRenderedPageBreak/>
        <w:t>institución fue reiterado el compromiso para la persecución de</w:t>
      </w:r>
      <w:r w:rsidRPr="00353D44">
        <w:rPr>
          <w:rFonts w:cs="Times New Roman"/>
          <w:szCs w:val="24"/>
        </w:rPr>
        <w:t xml:space="preserve"> este delito utilizando las herramientas disponibles en la Convenc</w:t>
      </w:r>
      <w:r>
        <w:rPr>
          <w:rFonts w:cs="Times New Roman"/>
          <w:szCs w:val="24"/>
        </w:rPr>
        <w:t>ión y en las normas internas del país.</w:t>
      </w:r>
    </w:p>
    <w:p w14:paraId="52ED5C33" w14:textId="35C96C7D" w:rsidR="004C6F62" w:rsidRDefault="001C19EC" w:rsidP="004C6F62">
      <w:pPr>
        <w:pStyle w:val="Prrafodelista"/>
        <w:numPr>
          <w:ilvl w:val="0"/>
          <w:numId w:val="16"/>
        </w:numPr>
        <w:spacing w:line="480" w:lineRule="auto"/>
        <w:jc w:val="both"/>
        <w:rPr>
          <w:rFonts w:cs="Times New Roman"/>
          <w:szCs w:val="24"/>
        </w:rPr>
      </w:pPr>
      <w:r>
        <w:rPr>
          <w:rFonts w:cs="Times New Roman"/>
          <w:szCs w:val="24"/>
        </w:rPr>
        <w:t xml:space="preserve">Adicionalmente, </w:t>
      </w:r>
      <w:r w:rsidRPr="00AC56D4">
        <w:rPr>
          <w:rFonts w:cs="Times New Roman"/>
          <w:szCs w:val="24"/>
        </w:rPr>
        <w:t xml:space="preserve">en ocasión de </w:t>
      </w:r>
      <w:r>
        <w:rPr>
          <w:rFonts w:cs="Times New Roman"/>
          <w:szCs w:val="24"/>
        </w:rPr>
        <w:t>intercambiar buenas prácticas desarrolladas como resultado de</w:t>
      </w:r>
      <w:r w:rsidRPr="00AC56D4">
        <w:rPr>
          <w:rFonts w:cs="Times New Roman"/>
          <w:szCs w:val="24"/>
        </w:rPr>
        <w:t xml:space="preserve"> la lucha contra la corrupción, se firmó un Convenio Interinstitucional entre el Ministerio de Administración Pública (MAP), el Ministerio de la Presidencia de la República (MINPRE), la Procuraduría General de la República (PGR), la Contraloría General de la República (CGR), la Dirección General de Presupuesto (DIGEPRES), y la Dirección General de Contraloría Pública (DGCP).</w:t>
      </w:r>
    </w:p>
    <w:p w14:paraId="157910E0" w14:textId="01982755" w:rsidR="007730A4" w:rsidRPr="007730A4" w:rsidRDefault="007730A4" w:rsidP="00A62E94">
      <w:pPr>
        <w:spacing w:line="480" w:lineRule="auto"/>
        <w:jc w:val="both"/>
        <w:rPr>
          <w:rFonts w:cs="Times New Roman"/>
          <w:szCs w:val="24"/>
        </w:rPr>
      </w:pPr>
      <w:r>
        <w:rPr>
          <w:rFonts w:cs="Times New Roman"/>
          <w:szCs w:val="24"/>
        </w:rPr>
        <w:t>Además de las acciones anteriores, en años anteriores s</w:t>
      </w:r>
      <w:r w:rsidRPr="007730A4">
        <w:rPr>
          <w:rFonts w:cs="Times New Roman"/>
          <w:szCs w:val="24"/>
        </w:rPr>
        <w:t xml:space="preserve">e </w:t>
      </w:r>
      <w:r>
        <w:rPr>
          <w:rFonts w:cs="Times New Roman"/>
          <w:szCs w:val="24"/>
        </w:rPr>
        <w:t xml:space="preserve">realizó </w:t>
      </w:r>
      <w:r w:rsidRPr="007730A4">
        <w:rPr>
          <w:rFonts w:cs="Times New Roman"/>
          <w:szCs w:val="24"/>
        </w:rPr>
        <w:t xml:space="preserve">un proceso importante de fortalecimiento de la Procuraduría Especializada contra la Corrupción Administrativa (PEPCA), lo cual permitió que en 2017 se pudiera condenar a más 21 personas por delitos de corrupción administrativa, entre ellos diversos funcionarios públicos, </w:t>
      </w:r>
      <w:r>
        <w:rPr>
          <w:rFonts w:cs="Times New Roman"/>
          <w:szCs w:val="24"/>
        </w:rPr>
        <w:t xml:space="preserve">y además </w:t>
      </w:r>
      <w:r w:rsidRPr="007730A4">
        <w:rPr>
          <w:rFonts w:cs="Times New Roman"/>
          <w:szCs w:val="24"/>
        </w:rPr>
        <w:t>se puso en ejecución por primera vez,  luego de 10 años de promulgación</w:t>
      </w:r>
      <w:r>
        <w:rPr>
          <w:rFonts w:cs="Times New Roman"/>
          <w:szCs w:val="24"/>
        </w:rPr>
        <w:t>,</w:t>
      </w:r>
      <w:r w:rsidRPr="007730A4">
        <w:rPr>
          <w:rFonts w:cs="Times New Roman"/>
          <w:szCs w:val="24"/>
        </w:rPr>
        <w:t xml:space="preserve"> la </w:t>
      </w:r>
      <w:r w:rsidRPr="007730A4">
        <w:rPr>
          <w:rFonts w:cs="Times New Roman"/>
          <w:i/>
          <w:szCs w:val="24"/>
        </w:rPr>
        <w:t>Ley de Sobornos en el Comercio y la Inversión</w:t>
      </w:r>
      <w:r w:rsidRPr="007730A4">
        <w:rPr>
          <w:rFonts w:cs="Times New Roman"/>
          <w:szCs w:val="24"/>
        </w:rPr>
        <w:t>, logrando con esto indemnizaciones a favor del Estado Dominicano superiores a los 190 millones de dólares.</w:t>
      </w:r>
      <w:r>
        <w:rPr>
          <w:rFonts w:cs="Times New Roman"/>
          <w:szCs w:val="24"/>
        </w:rPr>
        <w:t xml:space="preserve"> </w:t>
      </w:r>
    </w:p>
    <w:p w14:paraId="798B2C1E" w14:textId="1049B331" w:rsidR="001C19EC" w:rsidRPr="008705D9" w:rsidRDefault="001C19EC" w:rsidP="00951609">
      <w:pPr>
        <w:pStyle w:val="Prrafodelista"/>
        <w:numPr>
          <w:ilvl w:val="0"/>
          <w:numId w:val="25"/>
        </w:numPr>
        <w:spacing w:line="480" w:lineRule="auto"/>
        <w:jc w:val="both"/>
        <w:rPr>
          <w:rFonts w:cs="Times New Roman"/>
          <w:b/>
          <w:szCs w:val="24"/>
        </w:rPr>
      </w:pPr>
      <w:r w:rsidRPr="008705D9">
        <w:rPr>
          <w:rFonts w:cs="Times New Roman"/>
          <w:b/>
          <w:szCs w:val="24"/>
        </w:rPr>
        <w:t>Fortalecer la lucha contra la Violencia de Género e Intrafamiliar</w:t>
      </w:r>
    </w:p>
    <w:p w14:paraId="6B286525" w14:textId="77777777" w:rsidR="001C19EC" w:rsidRDefault="001C19EC" w:rsidP="001C19EC">
      <w:pPr>
        <w:spacing w:line="480" w:lineRule="auto"/>
        <w:ind w:firstLine="708"/>
        <w:jc w:val="both"/>
        <w:rPr>
          <w:rFonts w:cs="Times New Roman"/>
          <w:szCs w:val="24"/>
        </w:rPr>
      </w:pPr>
      <w:r w:rsidRPr="00A32DA7">
        <w:rPr>
          <w:rFonts w:cs="Times New Roman"/>
          <w:szCs w:val="24"/>
        </w:rPr>
        <w:t>Durante el año 2019,</w:t>
      </w:r>
      <w:r>
        <w:rPr>
          <w:rFonts w:cs="Times New Roman"/>
          <w:szCs w:val="24"/>
        </w:rPr>
        <w:t xml:space="preserve"> se siguió avanzando exitosamente en la ejecución del Plan Nacional contra la Violencia de Genero, el cual está dirigido a la prevención y persecución de la violencia intrafamiliar y la violencia de género. Dentro de los logros alcanzados en esta meta se destacan los siguientes:</w:t>
      </w:r>
    </w:p>
    <w:p w14:paraId="07BD2C2A" w14:textId="77777777" w:rsidR="001C19EC" w:rsidRDefault="001C19EC" w:rsidP="00951609">
      <w:pPr>
        <w:pStyle w:val="Prrafodelista"/>
        <w:numPr>
          <w:ilvl w:val="0"/>
          <w:numId w:val="17"/>
        </w:numPr>
        <w:spacing w:line="480" w:lineRule="auto"/>
        <w:jc w:val="both"/>
        <w:rPr>
          <w:rFonts w:cs="Times New Roman"/>
          <w:szCs w:val="24"/>
        </w:rPr>
      </w:pPr>
      <w:r>
        <w:rPr>
          <w:rFonts w:cs="Times New Roman"/>
          <w:szCs w:val="24"/>
        </w:rPr>
        <w:t xml:space="preserve">Ampliación de la cobertura de la Línea Vida a través de  adecuación </w:t>
      </w:r>
      <w:r w:rsidRPr="00DF3A8D">
        <w:rPr>
          <w:rFonts w:cs="Times New Roman"/>
          <w:szCs w:val="24"/>
        </w:rPr>
        <w:t xml:space="preserve"> </w:t>
      </w:r>
      <w:r>
        <w:rPr>
          <w:rFonts w:cs="Times New Roman"/>
          <w:szCs w:val="24"/>
        </w:rPr>
        <w:t>de</w:t>
      </w:r>
      <w:r w:rsidRPr="00DF3A8D">
        <w:rPr>
          <w:rFonts w:cs="Times New Roman"/>
          <w:szCs w:val="24"/>
        </w:rPr>
        <w:t xml:space="preserve"> las condiciones tecnológicas y operativas de 7 Unidades de Atención </w:t>
      </w:r>
      <w:r w:rsidRPr="00DF3A8D">
        <w:rPr>
          <w:rFonts w:cs="Times New Roman"/>
          <w:szCs w:val="24"/>
        </w:rPr>
        <w:lastRenderedPageBreak/>
        <w:t>Integral a Víctimas de Violencia de Género, Intrafamiliar y Delitos Sexuales para que operen en línea con el Centro de Contacto.</w:t>
      </w:r>
    </w:p>
    <w:p w14:paraId="7F53F423" w14:textId="77777777" w:rsidR="001C19EC" w:rsidRDefault="001C19EC" w:rsidP="00951609">
      <w:pPr>
        <w:pStyle w:val="Prrafodelista"/>
        <w:numPr>
          <w:ilvl w:val="0"/>
          <w:numId w:val="17"/>
        </w:numPr>
        <w:spacing w:line="480" w:lineRule="auto"/>
        <w:jc w:val="both"/>
        <w:rPr>
          <w:rFonts w:cs="Times New Roman"/>
          <w:szCs w:val="24"/>
        </w:rPr>
      </w:pPr>
      <w:r>
        <w:rPr>
          <w:rFonts w:cs="Times New Roman"/>
          <w:szCs w:val="24"/>
        </w:rPr>
        <w:t xml:space="preserve">Puesta </w:t>
      </w:r>
      <w:r w:rsidRPr="00DF3A8D">
        <w:rPr>
          <w:rFonts w:cs="Times New Roman"/>
          <w:szCs w:val="24"/>
        </w:rPr>
        <w:t xml:space="preserve">en funcionamiento </w:t>
      </w:r>
      <w:r>
        <w:rPr>
          <w:rFonts w:cs="Times New Roman"/>
          <w:szCs w:val="24"/>
        </w:rPr>
        <w:t>de 2</w:t>
      </w:r>
      <w:r w:rsidRPr="00DF3A8D">
        <w:rPr>
          <w:rFonts w:cs="Times New Roman"/>
          <w:szCs w:val="24"/>
        </w:rPr>
        <w:t xml:space="preserve"> Centros de Intervención Conductual para Hombres Agresores, ubicados en San Juan de la Maguana y en Santiago de los Caballeros</w:t>
      </w:r>
      <w:r>
        <w:rPr>
          <w:rFonts w:cs="Times New Roman"/>
          <w:szCs w:val="24"/>
        </w:rPr>
        <w:t>, y remozamiento del centro ubicado en el Distrito Nacional</w:t>
      </w:r>
      <w:r w:rsidRPr="00DF3A8D">
        <w:rPr>
          <w:rFonts w:cs="Times New Roman"/>
          <w:szCs w:val="24"/>
        </w:rPr>
        <w:t xml:space="preserve">. </w:t>
      </w:r>
    </w:p>
    <w:p w14:paraId="52C9DB59" w14:textId="77777777" w:rsidR="001C19EC" w:rsidRPr="00D837BF" w:rsidRDefault="001C19EC" w:rsidP="00951609">
      <w:pPr>
        <w:pStyle w:val="Prrafodelista"/>
        <w:numPr>
          <w:ilvl w:val="0"/>
          <w:numId w:val="17"/>
        </w:numPr>
        <w:spacing w:line="480" w:lineRule="auto"/>
        <w:jc w:val="both"/>
        <w:rPr>
          <w:rFonts w:cs="Times New Roman"/>
          <w:szCs w:val="24"/>
        </w:rPr>
      </w:pPr>
      <w:r w:rsidRPr="00D837BF">
        <w:rPr>
          <w:rFonts w:cs="Times New Roman"/>
          <w:szCs w:val="24"/>
        </w:rPr>
        <w:t>Fortalecimiento de las capacidades de 183 actores del Servicio Nacional de Salud, para el manejo de los casos de violencia de género, intrafamiliar y delitos sexuales, a los fines de garantizar a las víctimas el acceso a la justicia.</w:t>
      </w:r>
    </w:p>
    <w:p w14:paraId="24F0D042" w14:textId="77777777" w:rsidR="001C19EC" w:rsidRPr="00DF3A8D" w:rsidRDefault="001C19EC" w:rsidP="00951609">
      <w:pPr>
        <w:pStyle w:val="Prrafodelista"/>
        <w:numPr>
          <w:ilvl w:val="0"/>
          <w:numId w:val="17"/>
        </w:numPr>
        <w:spacing w:line="480" w:lineRule="auto"/>
        <w:jc w:val="both"/>
        <w:rPr>
          <w:rFonts w:cs="Times New Roman"/>
          <w:szCs w:val="24"/>
        </w:rPr>
      </w:pPr>
      <w:r>
        <w:rPr>
          <w:rFonts w:cs="Times New Roman"/>
          <w:szCs w:val="24"/>
        </w:rPr>
        <w:t>Realización de la p</w:t>
      </w:r>
      <w:r w:rsidRPr="00DF3A8D">
        <w:rPr>
          <w:rFonts w:cs="Times New Roman"/>
          <w:szCs w:val="24"/>
        </w:rPr>
        <w:t>rimera revisión y difusión de los lineamientos para la Atención, Investigación y Persecución Eficaz de casos de Violencia de Género, Intrafamiliar y Delitos Sexuales.  </w:t>
      </w:r>
    </w:p>
    <w:p w14:paraId="45722F2B" w14:textId="5B4666BE" w:rsidR="001C19EC" w:rsidRPr="008705D9" w:rsidRDefault="001C19EC" w:rsidP="00951609">
      <w:pPr>
        <w:pStyle w:val="Prrafodelista"/>
        <w:numPr>
          <w:ilvl w:val="0"/>
          <w:numId w:val="25"/>
        </w:numPr>
        <w:spacing w:line="480" w:lineRule="auto"/>
        <w:jc w:val="both"/>
        <w:rPr>
          <w:rFonts w:cs="Times New Roman"/>
          <w:b/>
          <w:szCs w:val="24"/>
        </w:rPr>
      </w:pPr>
      <w:r w:rsidRPr="008705D9">
        <w:rPr>
          <w:rFonts w:cs="Times New Roman"/>
          <w:b/>
          <w:szCs w:val="24"/>
        </w:rPr>
        <w:t>Adoptar tecnologías de información para el control y gestión de hechos criminales</w:t>
      </w:r>
    </w:p>
    <w:p w14:paraId="4888717E" w14:textId="77777777" w:rsidR="001C19EC" w:rsidRDefault="001C19EC" w:rsidP="001C19EC">
      <w:pPr>
        <w:spacing w:line="480" w:lineRule="auto"/>
        <w:ind w:firstLine="708"/>
        <w:jc w:val="both"/>
        <w:rPr>
          <w:rFonts w:cs="Times New Roman"/>
          <w:szCs w:val="24"/>
        </w:rPr>
      </w:pPr>
      <w:r w:rsidRPr="00A32DA7">
        <w:rPr>
          <w:rFonts w:cs="Times New Roman"/>
          <w:szCs w:val="24"/>
        </w:rPr>
        <w:t>Dentro de los avances alcanzados en esta meta, la PGR ha logrado</w:t>
      </w:r>
      <w:r>
        <w:rPr>
          <w:rFonts w:cs="Times New Roman"/>
          <w:szCs w:val="24"/>
        </w:rPr>
        <w:t xml:space="preserve"> i</w:t>
      </w:r>
      <w:r w:rsidRPr="00A32DA7">
        <w:rPr>
          <w:rFonts w:cs="Times New Roman"/>
          <w:szCs w:val="24"/>
        </w:rPr>
        <w:t xml:space="preserve">nterconectar su base de datos con </w:t>
      </w:r>
      <w:r>
        <w:rPr>
          <w:rFonts w:cs="Times New Roman"/>
          <w:szCs w:val="24"/>
        </w:rPr>
        <w:t xml:space="preserve">las bases de datos de </w:t>
      </w:r>
      <w:r w:rsidRPr="00A32DA7">
        <w:rPr>
          <w:rFonts w:cs="Times New Roman"/>
          <w:szCs w:val="24"/>
        </w:rPr>
        <w:t xml:space="preserve">otras instituciones del Estado Dominicano, </w:t>
      </w:r>
      <w:r>
        <w:rPr>
          <w:rFonts w:cs="Times New Roman"/>
          <w:szCs w:val="24"/>
        </w:rPr>
        <w:t xml:space="preserve">a los fines de mejorar la coordinación interinstitucional necesaria en la persecución de los hechos delictivos. </w:t>
      </w:r>
    </w:p>
    <w:p w14:paraId="3576C5B1" w14:textId="77777777" w:rsidR="001C19EC" w:rsidRPr="00A32DA7" w:rsidRDefault="001C19EC" w:rsidP="001C19EC">
      <w:pPr>
        <w:spacing w:line="480" w:lineRule="auto"/>
        <w:ind w:firstLine="708"/>
        <w:jc w:val="both"/>
        <w:rPr>
          <w:rFonts w:cs="Times New Roman"/>
          <w:szCs w:val="24"/>
        </w:rPr>
      </w:pPr>
      <w:r w:rsidRPr="00A32DA7">
        <w:rPr>
          <w:rFonts w:cs="Times New Roman"/>
          <w:szCs w:val="24"/>
        </w:rPr>
        <w:t xml:space="preserve">Asimismo se desarrolló una nueva y mejorada plataforma del Sistema </w:t>
      </w:r>
      <w:r>
        <w:rPr>
          <w:rFonts w:cs="Times New Roman"/>
          <w:szCs w:val="24"/>
        </w:rPr>
        <w:t xml:space="preserve">de Investigación Criminal (SIC), a los fines de adaptar dicha herramienta tecnológica </w:t>
      </w:r>
      <w:r w:rsidRPr="00A32DA7">
        <w:rPr>
          <w:rFonts w:cs="Times New Roman"/>
          <w:szCs w:val="24"/>
        </w:rPr>
        <w:t>con los estándares de seguridad para el control y manejo de la información.</w:t>
      </w:r>
    </w:p>
    <w:p w14:paraId="288AE5C1" w14:textId="77777777" w:rsidR="001C19EC" w:rsidRDefault="001C19EC" w:rsidP="001C19EC">
      <w:pPr>
        <w:spacing w:line="480" w:lineRule="auto"/>
        <w:ind w:firstLine="708"/>
        <w:jc w:val="both"/>
        <w:rPr>
          <w:rFonts w:cs="Times New Roman"/>
          <w:szCs w:val="24"/>
        </w:rPr>
      </w:pPr>
      <w:r w:rsidRPr="00A32DA7">
        <w:rPr>
          <w:rFonts w:cs="Times New Roman"/>
          <w:szCs w:val="24"/>
        </w:rPr>
        <w:lastRenderedPageBreak/>
        <w:t>De cara al cumplimiento de adoptar tecnologías de información para el control,</w:t>
      </w:r>
      <w:r>
        <w:rPr>
          <w:rFonts w:cs="Times New Roman"/>
          <w:szCs w:val="24"/>
        </w:rPr>
        <w:t xml:space="preserve"> al cierre de 2019</w:t>
      </w:r>
      <w:r w:rsidRPr="00A32DA7">
        <w:rPr>
          <w:rFonts w:cs="Times New Roman"/>
          <w:szCs w:val="24"/>
        </w:rPr>
        <w:t xml:space="preserve"> se </w:t>
      </w:r>
      <w:r>
        <w:rPr>
          <w:rFonts w:cs="Times New Roman"/>
          <w:szCs w:val="24"/>
        </w:rPr>
        <w:t>logró</w:t>
      </w:r>
      <w:r w:rsidRPr="00A32DA7">
        <w:rPr>
          <w:rFonts w:cs="Times New Roman"/>
          <w:szCs w:val="24"/>
        </w:rPr>
        <w:t xml:space="preserve"> incorporar 16 instituciones mediante alojamiento de datos, VPN y Web Service, lo que representa más de un 70% de las instituciones incluidas en la meta.</w:t>
      </w:r>
    </w:p>
    <w:p w14:paraId="739CD768" w14:textId="7392C8B0" w:rsidR="001C19EC" w:rsidRPr="008705D9" w:rsidRDefault="001C19EC" w:rsidP="00951609">
      <w:pPr>
        <w:pStyle w:val="Prrafodelista"/>
        <w:numPr>
          <w:ilvl w:val="0"/>
          <w:numId w:val="25"/>
        </w:numPr>
        <w:spacing w:line="480" w:lineRule="auto"/>
        <w:jc w:val="both"/>
        <w:rPr>
          <w:rFonts w:cs="Times New Roman"/>
          <w:b/>
          <w:szCs w:val="24"/>
        </w:rPr>
      </w:pPr>
      <w:r w:rsidRPr="008705D9">
        <w:rPr>
          <w:rFonts w:cs="Times New Roman"/>
          <w:b/>
          <w:szCs w:val="24"/>
        </w:rPr>
        <w:t>Creación del laboratorio y banco de ADN</w:t>
      </w:r>
    </w:p>
    <w:p w14:paraId="630096C2" w14:textId="7C2D4998" w:rsidR="001C19EC" w:rsidRPr="00D837BF" w:rsidRDefault="001C19EC" w:rsidP="001C19EC">
      <w:pPr>
        <w:spacing w:line="480" w:lineRule="auto"/>
        <w:ind w:firstLine="708"/>
        <w:jc w:val="both"/>
        <w:rPr>
          <w:rFonts w:cs="Times New Roman"/>
          <w:b/>
          <w:szCs w:val="24"/>
        </w:rPr>
      </w:pPr>
      <w:r>
        <w:rPr>
          <w:rFonts w:cs="Times New Roman"/>
          <w:szCs w:val="24"/>
        </w:rPr>
        <w:t>En el año 2019, la PGR elaboró</w:t>
      </w:r>
      <w:r w:rsidRPr="00A32DA7">
        <w:rPr>
          <w:rFonts w:cs="Times New Roman"/>
          <w:szCs w:val="24"/>
        </w:rPr>
        <w:t xml:space="preserve"> el </w:t>
      </w:r>
      <w:r>
        <w:rPr>
          <w:rFonts w:cs="Times New Roman"/>
          <w:szCs w:val="24"/>
        </w:rPr>
        <w:t>manual de funciones</w:t>
      </w:r>
      <w:r w:rsidRPr="00A32DA7">
        <w:rPr>
          <w:rFonts w:cs="Times New Roman"/>
          <w:szCs w:val="24"/>
        </w:rPr>
        <w:t xml:space="preserve"> del </w:t>
      </w:r>
      <w:r w:rsidR="004C6F62">
        <w:rPr>
          <w:rFonts w:cs="Times New Roman"/>
          <w:szCs w:val="24"/>
        </w:rPr>
        <w:t>á</w:t>
      </w:r>
      <w:r w:rsidRPr="00A32DA7">
        <w:rPr>
          <w:rFonts w:cs="Times New Roman"/>
          <w:szCs w:val="24"/>
        </w:rPr>
        <w:t xml:space="preserve">rea, donde se detalla: la estructura orgánica, la naturaleza de la unidad, el objetivo general y las funciones principales de un banco de ADN. </w:t>
      </w:r>
    </w:p>
    <w:p w14:paraId="28A4728F" w14:textId="706D56AF" w:rsidR="001C19EC" w:rsidRDefault="001C19EC" w:rsidP="001C19EC">
      <w:pPr>
        <w:spacing w:line="480" w:lineRule="auto"/>
        <w:ind w:firstLine="708"/>
        <w:jc w:val="both"/>
        <w:rPr>
          <w:rFonts w:cs="Times New Roman"/>
          <w:szCs w:val="24"/>
        </w:rPr>
      </w:pPr>
      <w:r w:rsidRPr="00A32DA7">
        <w:rPr>
          <w:rFonts w:cs="Times New Roman"/>
          <w:szCs w:val="24"/>
        </w:rPr>
        <w:t>Asimismo, se ha cumplido en un 100% la adecuación física donde se</w:t>
      </w:r>
      <w:r>
        <w:rPr>
          <w:rFonts w:cs="Times New Roman"/>
          <w:szCs w:val="24"/>
        </w:rPr>
        <w:t>rá instalado</w:t>
      </w:r>
      <w:r w:rsidRPr="00A32DA7">
        <w:rPr>
          <w:rFonts w:cs="Times New Roman"/>
          <w:szCs w:val="24"/>
        </w:rPr>
        <w:t xml:space="preserve"> el Laboratorio de ADN. Además </w:t>
      </w:r>
      <w:r>
        <w:rPr>
          <w:rFonts w:cs="Times New Roman"/>
          <w:szCs w:val="24"/>
        </w:rPr>
        <w:t>fueron</w:t>
      </w:r>
      <w:r w:rsidRPr="00A32DA7">
        <w:rPr>
          <w:rFonts w:cs="Times New Roman"/>
          <w:szCs w:val="24"/>
        </w:rPr>
        <w:t xml:space="preserve"> adquirido</w:t>
      </w:r>
      <w:r>
        <w:rPr>
          <w:rFonts w:cs="Times New Roman"/>
          <w:szCs w:val="24"/>
        </w:rPr>
        <w:t>s gran parte de equipos para la puesta en funcionamiento de dicha unidad, dentro de los cuales se encuentran</w:t>
      </w:r>
      <w:r w:rsidRPr="00A32DA7">
        <w:rPr>
          <w:rFonts w:cs="Times New Roman"/>
          <w:szCs w:val="24"/>
        </w:rPr>
        <w:t xml:space="preserve"> los siguientes equipos </w:t>
      </w:r>
      <w:r>
        <w:rPr>
          <w:rFonts w:cs="Times New Roman"/>
          <w:szCs w:val="24"/>
        </w:rPr>
        <w:t>de</w:t>
      </w:r>
      <w:r w:rsidRPr="00A32DA7">
        <w:rPr>
          <w:rFonts w:cs="Times New Roman"/>
          <w:szCs w:val="24"/>
        </w:rPr>
        <w:t xml:space="preserve"> </w:t>
      </w:r>
      <w:r w:rsidR="004C6F62">
        <w:rPr>
          <w:rFonts w:cs="Times New Roman"/>
          <w:szCs w:val="24"/>
        </w:rPr>
        <w:t>l</w:t>
      </w:r>
      <w:r w:rsidRPr="00A32DA7">
        <w:rPr>
          <w:rFonts w:cs="Times New Roman"/>
          <w:szCs w:val="24"/>
        </w:rPr>
        <w:t>aboratorio: mezclador de muestras por agitación Thermo Scientific-Microplate Shaker, refrigerador de reactivos y bio-congelador, cabinas para PCR Air</w:t>
      </w:r>
      <w:r>
        <w:rPr>
          <w:rFonts w:cs="Times New Roman"/>
          <w:szCs w:val="24"/>
        </w:rPr>
        <w:t xml:space="preserve"> </w:t>
      </w:r>
      <w:r w:rsidRPr="00A32DA7">
        <w:rPr>
          <w:rFonts w:cs="Times New Roman"/>
          <w:szCs w:val="24"/>
        </w:rPr>
        <w:t>Clean Mod, centrifuga refrigerada Eppendorf, Termociclador Eppendorf Mastercycler, Analizador Genético para Identificación Humana SCIEX y Campana de Extracción de Gases.</w:t>
      </w:r>
    </w:p>
    <w:p w14:paraId="47CBA8DF" w14:textId="3BAFA72E" w:rsidR="001C19EC" w:rsidRPr="008705D9" w:rsidRDefault="001C19EC" w:rsidP="00951609">
      <w:pPr>
        <w:pStyle w:val="Prrafodelista"/>
        <w:numPr>
          <w:ilvl w:val="0"/>
          <w:numId w:val="25"/>
        </w:numPr>
        <w:spacing w:line="480" w:lineRule="auto"/>
        <w:jc w:val="both"/>
        <w:rPr>
          <w:rFonts w:cs="Times New Roman"/>
          <w:b/>
          <w:szCs w:val="24"/>
        </w:rPr>
      </w:pPr>
      <w:r w:rsidRPr="008705D9">
        <w:rPr>
          <w:rFonts w:cs="Times New Roman"/>
          <w:b/>
          <w:szCs w:val="24"/>
        </w:rPr>
        <w:t>Fortalecimiento del Sistema Penitenciario</w:t>
      </w:r>
    </w:p>
    <w:p w14:paraId="6B1A5371" w14:textId="561EE31D" w:rsidR="001C19EC" w:rsidRPr="00A32DA7" w:rsidRDefault="001C19EC" w:rsidP="001C19EC">
      <w:pPr>
        <w:spacing w:line="480" w:lineRule="auto"/>
        <w:ind w:firstLine="708"/>
        <w:jc w:val="both"/>
        <w:rPr>
          <w:rFonts w:cs="Times New Roman"/>
          <w:szCs w:val="24"/>
        </w:rPr>
      </w:pPr>
      <w:r>
        <w:rPr>
          <w:rFonts w:cs="Times New Roman"/>
          <w:szCs w:val="24"/>
        </w:rPr>
        <w:t>A los fines de dar cumplimiento a esta meta fue concebido el Proyecto</w:t>
      </w:r>
      <w:r w:rsidRPr="00A32DA7">
        <w:rPr>
          <w:rFonts w:cs="Times New Roman"/>
          <w:szCs w:val="24"/>
        </w:rPr>
        <w:t xml:space="preserve"> de Humanización</w:t>
      </w:r>
      <w:r>
        <w:rPr>
          <w:rFonts w:cs="Times New Roman"/>
          <w:szCs w:val="24"/>
        </w:rPr>
        <w:t xml:space="preserve"> del Sistema Penitenciario</w:t>
      </w:r>
      <w:r w:rsidRPr="00A32DA7">
        <w:rPr>
          <w:rFonts w:cs="Times New Roman"/>
          <w:szCs w:val="24"/>
        </w:rPr>
        <w:t>,</w:t>
      </w:r>
      <w:r>
        <w:rPr>
          <w:rFonts w:cs="Times New Roman"/>
          <w:szCs w:val="24"/>
        </w:rPr>
        <w:t xml:space="preserve"> inspirado en la implementación efectiva de las “</w:t>
      </w:r>
      <w:r w:rsidR="00ED26FC">
        <w:rPr>
          <w:rFonts w:cs="Times New Roman"/>
          <w:szCs w:val="24"/>
        </w:rPr>
        <w:t>R</w:t>
      </w:r>
      <w:r>
        <w:rPr>
          <w:rFonts w:cs="Times New Roman"/>
          <w:szCs w:val="24"/>
        </w:rPr>
        <w:t>eglas mínimas para el tratamiento del recluso” mejor conocidas como “Reglas Mandela”, dicho plan tiene un alcance nacional para adecuar las cárceles del país en centros penitenciarios de primer nivel, a los fines de asegurar un tratamiento penitenciario exitoso que facilite la reinserción social de las personas, luego de cumplir una condena.</w:t>
      </w:r>
    </w:p>
    <w:p w14:paraId="6C000D7C" w14:textId="79FBBF1A" w:rsidR="001C19EC" w:rsidRPr="00A32DA7" w:rsidRDefault="001C19EC" w:rsidP="001C19EC">
      <w:pPr>
        <w:spacing w:line="480" w:lineRule="auto"/>
        <w:ind w:firstLine="708"/>
        <w:jc w:val="both"/>
        <w:rPr>
          <w:rFonts w:cs="Times New Roman"/>
          <w:szCs w:val="24"/>
        </w:rPr>
      </w:pPr>
      <w:r w:rsidRPr="00A32DA7">
        <w:rPr>
          <w:rFonts w:cs="Times New Roman"/>
          <w:szCs w:val="24"/>
        </w:rPr>
        <w:t xml:space="preserve">A partir de </w:t>
      </w:r>
      <w:r>
        <w:rPr>
          <w:rFonts w:cs="Times New Roman"/>
          <w:szCs w:val="24"/>
        </w:rPr>
        <w:t>la</w:t>
      </w:r>
      <w:r w:rsidRPr="00A32DA7">
        <w:rPr>
          <w:rFonts w:cs="Times New Roman"/>
          <w:szCs w:val="24"/>
        </w:rPr>
        <w:t xml:space="preserve"> puesta en marcha </w:t>
      </w:r>
      <w:r>
        <w:rPr>
          <w:rFonts w:cs="Times New Roman"/>
          <w:szCs w:val="24"/>
        </w:rPr>
        <w:t>de este plan fue ampliado</w:t>
      </w:r>
      <w:r w:rsidRPr="00A32DA7">
        <w:rPr>
          <w:rFonts w:cs="Times New Roman"/>
          <w:szCs w:val="24"/>
        </w:rPr>
        <w:t xml:space="preserve"> </w:t>
      </w:r>
      <w:r w:rsidRPr="00C35CFA">
        <w:rPr>
          <w:rFonts w:cs="Times New Roman"/>
          <w:szCs w:val="24"/>
        </w:rPr>
        <w:t xml:space="preserve">el Centro de Atención Integral de Adolescentes en Conflicto con la Ley Penal de Santiago, se inauguró el Centro </w:t>
      </w:r>
      <w:r w:rsidRPr="00C35CFA">
        <w:rPr>
          <w:rFonts w:cs="Times New Roman"/>
          <w:szCs w:val="24"/>
        </w:rPr>
        <w:lastRenderedPageBreak/>
        <w:t>de Atención Integral de Adolescentes en Conflicto con la Ley Penal de La Romana, un recinto completamente nuevo y destinado a cubrir la región Este del país y se concluyó la obra civil del Centro Penitenciario Preventivo de San Luis</w:t>
      </w:r>
      <w:r w:rsidR="00181F65">
        <w:rPr>
          <w:rFonts w:cs="Times New Roman"/>
          <w:szCs w:val="24"/>
        </w:rPr>
        <w:t>, entre otras iniciativas.</w:t>
      </w:r>
    </w:p>
    <w:p w14:paraId="59123C91" w14:textId="01F6657A" w:rsidR="001C19EC" w:rsidRDefault="001C19EC" w:rsidP="001C19EC">
      <w:pPr>
        <w:spacing w:line="480" w:lineRule="auto"/>
        <w:ind w:firstLine="708"/>
        <w:jc w:val="both"/>
        <w:rPr>
          <w:rFonts w:cs="Times New Roman"/>
          <w:b/>
          <w:szCs w:val="24"/>
        </w:rPr>
      </w:pPr>
      <w:r w:rsidRPr="00A32DA7">
        <w:rPr>
          <w:rFonts w:cs="Times New Roman"/>
          <w:szCs w:val="24"/>
        </w:rPr>
        <w:t> </w:t>
      </w:r>
      <w:r w:rsidR="008705D9">
        <w:rPr>
          <w:rFonts w:cs="Times New Roman"/>
          <w:b/>
          <w:szCs w:val="24"/>
        </w:rPr>
        <w:t xml:space="preserve">6. </w:t>
      </w:r>
      <w:r w:rsidRPr="0037073A">
        <w:rPr>
          <w:rFonts w:cs="Times New Roman"/>
          <w:b/>
          <w:szCs w:val="24"/>
        </w:rPr>
        <w:t>Implementar la plataforma de información del Ministerio Público</w:t>
      </w:r>
    </w:p>
    <w:p w14:paraId="2BAA5D85" w14:textId="77777777" w:rsidR="001C19EC" w:rsidRPr="00A32DA7" w:rsidRDefault="001C19EC" w:rsidP="001C19EC">
      <w:pPr>
        <w:spacing w:line="480" w:lineRule="auto"/>
        <w:ind w:firstLine="708"/>
        <w:jc w:val="both"/>
        <w:rPr>
          <w:rFonts w:cs="Times New Roman"/>
          <w:szCs w:val="24"/>
        </w:rPr>
      </w:pPr>
      <w:r w:rsidRPr="00A32DA7">
        <w:rPr>
          <w:rFonts w:cs="Times New Roman"/>
          <w:szCs w:val="24"/>
        </w:rPr>
        <w:t xml:space="preserve">Comprometidos con la implementación de la plataforma de información, la PGR </w:t>
      </w:r>
      <w:r>
        <w:rPr>
          <w:rFonts w:cs="Times New Roman"/>
          <w:szCs w:val="24"/>
        </w:rPr>
        <w:t>ha</w:t>
      </w:r>
      <w:r w:rsidRPr="00A32DA7">
        <w:rPr>
          <w:rFonts w:cs="Times New Roman"/>
          <w:szCs w:val="24"/>
        </w:rPr>
        <w:t xml:space="preserve"> participado de forma activa en el Comité Interinstitucional del Proyecto de Fortalecimiento del Sector Justicia de USAID </w:t>
      </w:r>
      <w:r>
        <w:rPr>
          <w:rFonts w:cs="Times New Roman"/>
          <w:szCs w:val="24"/>
        </w:rPr>
        <w:t>a través del cual se impulsa</w:t>
      </w:r>
      <w:r w:rsidRPr="00A32DA7">
        <w:rPr>
          <w:rFonts w:cs="Times New Roman"/>
          <w:szCs w:val="24"/>
        </w:rPr>
        <w:t xml:space="preserve"> la interconexión con el Poder Judicial.</w:t>
      </w:r>
    </w:p>
    <w:p w14:paraId="41D27ECC" w14:textId="77777777" w:rsidR="001C19EC" w:rsidRDefault="001C19EC" w:rsidP="001C19EC">
      <w:pPr>
        <w:spacing w:line="480" w:lineRule="auto"/>
        <w:ind w:firstLine="708"/>
        <w:jc w:val="both"/>
        <w:rPr>
          <w:rFonts w:cs="Times New Roman"/>
          <w:szCs w:val="24"/>
        </w:rPr>
      </w:pPr>
      <w:r>
        <w:rPr>
          <w:rFonts w:cs="Times New Roman"/>
          <w:szCs w:val="24"/>
        </w:rPr>
        <w:t>Mediante los</w:t>
      </w:r>
      <w:r w:rsidRPr="00A32DA7">
        <w:rPr>
          <w:rFonts w:cs="Times New Roman"/>
          <w:szCs w:val="24"/>
        </w:rPr>
        <w:t xml:space="preserve"> trabajos realizados se ha </w:t>
      </w:r>
      <w:r>
        <w:rPr>
          <w:rFonts w:cs="Times New Roman"/>
          <w:szCs w:val="24"/>
        </w:rPr>
        <w:t>logrado un aumento de</w:t>
      </w:r>
      <w:r w:rsidRPr="00A32DA7">
        <w:rPr>
          <w:rFonts w:cs="Times New Roman"/>
          <w:szCs w:val="24"/>
        </w:rPr>
        <w:t xml:space="preserve"> un 90% </w:t>
      </w:r>
      <w:r>
        <w:rPr>
          <w:rFonts w:cs="Times New Roman"/>
          <w:szCs w:val="24"/>
        </w:rPr>
        <w:t xml:space="preserve">en </w:t>
      </w:r>
      <w:r w:rsidRPr="00A32DA7">
        <w:rPr>
          <w:rFonts w:cs="Times New Roman"/>
          <w:szCs w:val="24"/>
        </w:rPr>
        <w:t xml:space="preserve">el registro de data en </w:t>
      </w:r>
      <w:r>
        <w:rPr>
          <w:rFonts w:cs="Times New Roman"/>
          <w:szCs w:val="24"/>
        </w:rPr>
        <w:t xml:space="preserve">el </w:t>
      </w:r>
      <w:r w:rsidRPr="00A32DA7">
        <w:rPr>
          <w:rFonts w:cs="Times New Roman"/>
          <w:szCs w:val="24"/>
        </w:rPr>
        <w:t>Sistema Justicia 2.0 y se ha logrado que el 92% de las Fiscalías utilice este sistema</w:t>
      </w:r>
      <w:r>
        <w:rPr>
          <w:rFonts w:cs="Times New Roman"/>
          <w:szCs w:val="24"/>
        </w:rPr>
        <w:t xml:space="preserve"> para la realización de sus registros administrativos</w:t>
      </w:r>
      <w:r w:rsidRPr="00A32DA7">
        <w:rPr>
          <w:rFonts w:cs="Times New Roman"/>
          <w:szCs w:val="24"/>
        </w:rPr>
        <w:t>, esto es 34 de las 36 fiscalías.</w:t>
      </w:r>
    </w:p>
    <w:p w14:paraId="43573CE3" w14:textId="16AFB0C6" w:rsidR="001C19EC" w:rsidRPr="008705D9" w:rsidRDefault="001C19EC" w:rsidP="00951609">
      <w:pPr>
        <w:pStyle w:val="Prrafodelista"/>
        <w:numPr>
          <w:ilvl w:val="0"/>
          <w:numId w:val="26"/>
        </w:numPr>
        <w:spacing w:line="480" w:lineRule="auto"/>
        <w:jc w:val="both"/>
        <w:rPr>
          <w:rFonts w:cs="Times New Roman"/>
          <w:b/>
          <w:szCs w:val="24"/>
        </w:rPr>
      </w:pPr>
      <w:r w:rsidRPr="008705D9">
        <w:rPr>
          <w:rFonts w:cs="Times New Roman"/>
          <w:b/>
          <w:szCs w:val="24"/>
        </w:rPr>
        <w:t>Redefinir la problemática del consumo de sustancias controladas como problema de salud pública</w:t>
      </w:r>
    </w:p>
    <w:p w14:paraId="04C7B612" w14:textId="77777777" w:rsidR="001C19EC" w:rsidRPr="00A32DA7" w:rsidRDefault="001C19EC" w:rsidP="001C19EC">
      <w:pPr>
        <w:spacing w:line="480" w:lineRule="auto"/>
        <w:ind w:firstLine="708"/>
        <w:jc w:val="both"/>
        <w:rPr>
          <w:rFonts w:cs="Times New Roman"/>
          <w:szCs w:val="24"/>
        </w:rPr>
      </w:pPr>
      <w:r w:rsidRPr="00A32DA7">
        <w:rPr>
          <w:rFonts w:cs="Times New Roman"/>
          <w:szCs w:val="24"/>
        </w:rPr>
        <w:t xml:space="preserve">La PGR consolidó un documento con líneas de base generales y contextualización del ámbito del consumo de drogas en </w:t>
      </w:r>
      <w:r>
        <w:rPr>
          <w:rFonts w:cs="Times New Roman"/>
          <w:szCs w:val="24"/>
        </w:rPr>
        <w:t xml:space="preserve">personas </w:t>
      </w:r>
      <w:r w:rsidRPr="00A32DA7">
        <w:rPr>
          <w:rFonts w:cs="Times New Roman"/>
          <w:szCs w:val="24"/>
        </w:rPr>
        <w:t>adolescentes. Se consensuó la preparación de un Programa con la Dirección Nacional de Niñas, Niños y Adolescentes de la Procuraduría General</w:t>
      </w:r>
      <w:r>
        <w:rPr>
          <w:rFonts w:cs="Times New Roman"/>
          <w:szCs w:val="24"/>
        </w:rPr>
        <w:t xml:space="preserve"> de la República</w:t>
      </w:r>
      <w:r w:rsidRPr="00A32DA7">
        <w:rPr>
          <w:rFonts w:cs="Times New Roman"/>
          <w:szCs w:val="24"/>
        </w:rPr>
        <w:t>, para integrar iniciativas en dos niveles: un programa de Capacitación de Multiplicadores en Capacidades para la Prevención del Consumo de Drogas y un Programa coordinado de Prevenció</w:t>
      </w:r>
      <w:r>
        <w:rPr>
          <w:rFonts w:cs="Times New Roman"/>
          <w:szCs w:val="24"/>
        </w:rPr>
        <w:t>n del Consumo de Drogas conjuntamente</w:t>
      </w:r>
      <w:r w:rsidRPr="00A32DA7">
        <w:rPr>
          <w:rFonts w:cs="Times New Roman"/>
          <w:szCs w:val="24"/>
        </w:rPr>
        <w:t xml:space="preserve"> con el Centro de Atención Integral a Niños Niñas y Adolescent</w:t>
      </w:r>
      <w:r>
        <w:rPr>
          <w:rFonts w:cs="Times New Roman"/>
          <w:szCs w:val="24"/>
        </w:rPr>
        <w:t>es en Consumo de Sustancias Psi</w:t>
      </w:r>
      <w:r w:rsidRPr="00A32DA7">
        <w:rPr>
          <w:rFonts w:cs="Times New Roman"/>
          <w:szCs w:val="24"/>
        </w:rPr>
        <w:t>coactivas.</w:t>
      </w:r>
    </w:p>
    <w:p w14:paraId="7CA08FB3" w14:textId="77777777" w:rsidR="001C19EC" w:rsidRPr="00A32DA7" w:rsidRDefault="001C19EC" w:rsidP="001C19EC">
      <w:pPr>
        <w:spacing w:line="480" w:lineRule="auto"/>
        <w:ind w:firstLine="708"/>
        <w:jc w:val="both"/>
        <w:rPr>
          <w:rFonts w:cs="Times New Roman"/>
          <w:szCs w:val="24"/>
        </w:rPr>
      </w:pPr>
      <w:r>
        <w:rPr>
          <w:rFonts w:cs="Times New Roman"/>
          <w:szCs w:val="24"/>
        </w:rPr>
        <w:t>Por su parte, e</w:t>
      </w:r>
      <w:r w:rsidRPr="00A32DA7">
        <w:rPr>
          <w:rFonts w:cs="Times New Roman"/>
          <w:szCs w:val="24"/>
        </w:rPr>
        <w:t xml:space="preserve">l Centro de Atención a NNA en Consumo de Sustancias Psicoactivas (CAINNACSP), presentó una primera estructura de contenidos de la </w:t>
      </w:r>
      <w:r w:rsidRPr="00A32DA7">
        <w:rPr>
          <w:rFonts w:cs="Times New Roman"/>
          <w:szCs w:val="24"/>
        </w:rPr>
        <w:lastRenderedPageBreak/>
        <w:t xml:space="preserve">propuesta de "Programa coordinado de Prevención del Consumo de Drogas en NNA", documento que se </w:t>
      </w:r>
      <w:r>
        <w:rPr>
          <w:rFonts w:cs="Times New Roman"/>
          <w:szCs w:val="24"/>
        </w:rPr>
        <w:t xml:space="preserve">ha venido </w:t>
      </w:r>
      <w:r w:rsidRPr="00A32DA7">
        <w:rPr>
          <w:rFonts w:cs="Times New Roman"/>
          <w:szCs w:val="24"/>
        </w:rPr>
        <w:t>trabajando en conjunto con la Dirección Nacional de Niños, Niñas y Adolescentes y la Dirección de Prevención de la Criminalidad, ambas pertenecientes a la Procuraduría General de la República</w:t>
      </w:r>
      <w:r>
        <w:rPr>
          <w:rFonts w:cs="Times New Roman"/>
          <w:szCs w:val="24"/>
        </w:rPr>
        <w:t>.</w:t>
      </w:r>
    </w:p>
    <w:p w14:paraId="36B5CAF3" w14:textId="6FF534C5" w:rsidR="001C19EC" w:rsidRPr="008705D9" w:rsidRDefault="001C19EC" w:rsidP="00951609">
      <w:pPr>
        <w:pStyle w:val="Prrafodelista"/>
        <w:numPr>
          <w:ilvl w:val="0"/>
          <w:numId w:val="26"/>
        </w:numPr>
        <w:spacing w:line="480" w:lineRule="auto"/>
        <w:jc w:val="both"/>
        <w:rPr>
          <w:rFonts w:cs="Times New Roman"/>
          <w:b/>
          <w:szCs w:val="24"/>
        </w:rPr>
      </w:pPr>
      <w:r w:rsidRPr="008705D9">
        <w:rPr>
          <w:rFonts w:cs="Times New Roman"/>
          <w:b/>
          <w:szCs w:val="24"/>
        </w:rPr>
        <w:t>Involucrar a la sociedad civil en la implementación de políticas de prevención de la criminalidad</w:t>
      </w:r>
    </w:p>
    <w:p w14:paraId="7737AF1B" w14:textId="77777777" w:rsidR="001C19EC" w:rsidRPr="009D6050" w:rsidRDefault="001C19EC" w:rsidP="001C19EC">
      <w:pPr>
        <w:spacing w:line="480" w:lineRule="auto"/>
        <w:ind w:firstLine="708"/>
        <w:jc w:val="both"/>
        <w:rPr>
          <w:rFonts w:cs="Times New Roman"/>
          <w:szCs w:val="24"/>
        </w:rPr>
      </w:pPr>
      <w:r w:rsidRPr="009D6050">
        <w:rPr>
          <w:rFonts w:cs="Times New Roman"/>
          <w:szCs w:val="24"/>
        </w:rPr>
        <w:t xml:space="preserve">Al cierre del año 2018 se involucró a la sociedad civil en la prevención de los delitos, generando conciencia a través de 191 charlas a nivel nacional sobre: Prevención de la violencia de género, masculinidad positiva, prevención del consumo de drogas, prevención de la contaminación sónica, prevención de la trata y tráfico de personas, prevención de la explotación infantil, cultura de paz y resolución alterna </w:t>
      </w:r>
      <w:r>
        <w:rPr>
          <w:rFonts w:cs="Times New Roman"/>
          <w:szCs w:val="24"/>
        </w:rPr>
        <w:t xml:space="preserve">de conflictos. En conjunto </w:t>
      </w:r>
      <w:r w:rsidRPr="009D6050">
        <w:rPr>
          <w:rFonts w:cs="Times New Roman"/>
          <w:szCs w:val="24"/>
        </w:rPr>
        <w:t>estas charlas impactaron un total de 9,375 personas a nivel nacional.</w:t>
      </w:r>
    </w:p>
    <w:p w14:paraId="4108F419" w14:textId="49DF340B" w:rsidR="002203B0" w:rsidRPr="00A9371C" w:rsidRDefault="001C19EC" w:rsidP="002203B0">
      <w:pPr>
        <w:spacing w:line="480" w:lineRule="auto"/>
        <w:ind w:firstLine="708"/>
        <w:jc w:val="both"/>
        <w:rPr>
          <w:rFonts w:cs="Times New Roman"/>
          <w:szCs w:val="24"/>
        </w:rPr>
      </w:pPr>
      <w:r w:rsidRPr="009D6050">
        <w:rPr>
          <w:rFonts w:cs="Times New Roman"/>
          <w:szCs w:val="24"/>
        </w:rPr>
        <w:t xml:space="preserve">Para continuar con el logro de los objetivos de esta meta la Procuraduría General de la República (PGR) conformó un equipo de trabajo interdepartamental, el cual ha realizado 94 visitas coordinadas </w:t>
      </w:r>
      <w:r>
        <w:rPr>
          <w:rFonts w:cs="Times New Roman"/>
          <w:szCs w:val="24"/>
        </w:rPr>
        <w:t>con</w:t>
      </w:r>
      <w:r w:rsidRPr="009D6050">
        <w:rPr>
          <w:rFonts w:cs="Times New Roman"/>
          <w:szCs w:val="24"/>
        </w:rPr>
        <w:t xml:space="preserve"> el Procurador General (visitas dependencias del Ministerio Público, encuentros y diálogos comunitarios, entre otros) y se han remozado hasta la fecha las siguientes fiscalías: </w:t>
      </w:r>
      <w:r w:rsidR="002203B0">
        <w:rPr>
          <w:rFonts w:cs="Times New Roman"/>
          <w:szCs w:val="24"/>
        </w:rPr>
        <w:t>las</w:t>
      </w:r>
      <w:r w:rsidR="00376D16">
        <w:rPr>
          <w:rFonts w:cs="Times New Roman"/>
          <w:szCs w:val="24"/>
        </w:rPr>
        <w:t xml:space="preserve"> </w:t>
      </w:r>
      <w:r w:rsidR="00376D16" w:rsidRPr="008D75D9">
        <w:rPr>
          <w:rFonts w:cs="Times New Roman"/>
          <w:szCs w:val="24"/>
        </w:rPr>
        <w:t>fiscalías comunitarias de Villa Consuelo, Cristo Rey, Villa Agrícolas, Los Guandules, María Auxili</w:t>
      </w:r>
      <w:r w:rsidR="00376D16">
        <w:rPr>
          <w:rFonts w:cs="Times New Roman"/>
          <w:szCs w:val="24"/>
        </w:rPr>
        <w:t xml:space="preserve">adora, Gualey, Ensanche la Paz y </w:t>
      </w:r>
      <w:r w:rsidR="00376D16" w:rsidRPr="008D75D9">
        <w:rPr>
          <w:rFonts w:cs="Times New Roman"/>
          <w:szCs w:val="24"/>
        </w:rPr>
        <w:t xml:space="preserve">Los Girasoles, </w:t>
      </w:r>
      <w:r w:rsidR="00376D16">
        <w:rPr>
          <w:rFonts w:cs="Times New Roman"/>
          <w:szCs w:val="24"/>
        </w:rPr>
        <w:t xml:space="preserve">en el Distrito Nacional; las fiscalías comunitarias de </w:t>
      </w:r>
      <w:r w:rsidR="00376D16" w:rsidRPr="008D75D9">
        <w:rPr>
          <w:rFonts w:cs="Times New Roman"/>
          <w:szCs w:val="24"/>
        </w:rPr>
        <w:t xml:space="preserve">Guerra, Los Mina, Sabana Perdida, Los Alcarrizos, San Luis, Ensanche Ozama y La Victoria, </w:t>
      </w:r>
      <w:r w:rsidR="00376D16">
        <w:rPr>
          <w:rFonts w:cs="Times New Roman"/>
          <w:szCs w:val="24"/>
        </w:rPr>
        <w:t>en</w:t>
      </w:r>
      <w:r w:rsidR="002203B0">
        <w:rPr>
          <w:rFonts w:cs="Times New Roman"/>
          <w:szCs w:val="24"/>
        </w:rPr>
        <w:t xml:space="preserve"> la provincia de Santo Domingo, </w:t>
      </w:r>
      <w:r w:rsidR="00376D16" w:rsidRPr="008D75D9">
        <w:rPr>
          <w:rFonts w:cs="Times New Roman"/>
          <w:szCs w:val="24"/>
        </w:rPr>
        <w:t>así como también las fiscalías ordinarias de Villa Altagracia, Monseñor Nouel y Hermanas Mirabal</w:t>
      </w:r>
      <w:r w:rsidR="002203B0">
        <w:rPr>
          <w:rFonts w:cs="Times New Roman"/>
          <w:szCs w:val="24"/>
        </w:rPr>
        <w:t xml:space="preserve">. Con estas acciones se crean mejores condiciones para la atención de los ciudadanos en las dependencias de la institución. </w:t>
      </w:r>
    </w:p>
    <w:p w14:paraId="2E458F0D" w14:textId="2AFD6547" w:rsidR="001C19EC" w:rsidRDefault="001C19EC" w:rsidP="001C19EC">
      <w:pPr>
        <w:spacing w:line="480" w:lineRule="auto"/>
        <w:ind w:firstLine="708"/>
        <w:jc w:val="both"/>
        <w:rPr>
          <w:rFonts w:cs="Times New Roman"/>
          <w:szCs w:val="24"/>
        </w:rPr>
      </w:pPr>
    </w:p>
    <w:p w14:paraId="3D8DC375" w14:textId="4388582C" w:rsidR="001C19EC" w:rsidRPr="008705D9" w:rsidRDefault="001C19EC" w:rsidP="00951609">
      <w:pPr>
        <w:pStyle w:val="Prrafodelista"/>
        <w:numPr>
          <w:ilvl w:val="0"/>
          <w:numId w:val="26"/>
        </w:numPr>
        <w:spacing w:line="480" w:lineRule="auto"/>
        <w:jc w:val="both"/>
        <w:rPr>
          <w:rFonts w:cs="Times New Roman"/>
          <w:b/>
          <w:szCs w:val="24"/>
        </w:rPr>
      </w:pPr>
      <w:r w:rsidRPr="00F01526">
        <w:rPr>
          <w:noProof/>
          <w:lang w:val="es-ES" w:eastAsia="es-ES"/>
        </w:rPr>
        <w:lastRenderedPageBreak/>
        <w:drawing>
          <wp:anchor distT="0" distB="0" distL="114300" distR="114300" simplePos="0" relativeHeight="251659264" behindDoc="1" locked="0" layoutInCell="1" allowOverlap="1" wp14:anchorId="5B63D0B8" wp14:editId="1F4AF6D7">
            <wp:simplePos x="0" y="0"/>
            <wp:positionH relativeFrom="page">
              <wp:posOffset>4802490</wp:posOffset>
            </wp:positionH>
            <wp:positionV relativeFrom="paragraph">
              <wp:posOffset>619509</wp:posOffset>
            </wp:positionV>
            <wp:extent cx="2334260" cy="3733800"/>
            <wp:effectExtent l="0" t="0" r="8890" b="0"/>
            <wp:wrapTight wrapText="bothSides">
              <wp:wrapPolygon edited="0">
                <wp:start x="0" y="0"/>
                <wp:lineTo x="0" y="21490"/>
                <wp:lineTo x="21506" y="21490"/>
                <wp:lineTo x="21506"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54" name="Imagen 15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4260" cy="3733800"/>
                    </a:xfrm>
                    <a:prstGeom prst="rect">
                      <a:avLst/>
                    </a:prstGeom>
                    <a:noFill/>
                  </pic:spPr>
                </pic:pic>
              </a:graphicData>
            </a:graphic>
            <wp14:sizeRelH relativeFrom="page">
              <wp14:pctWidth>0</wp14:pctWidth>
            </wp14:sizeRelH>
            <wp14:sizeRelV relativeFrom="page">
              <wp14:pctHeight>0</wp14:pctHeight>
            </wp14:sizeRelV>
          </wp:anchor>
        </w:drawing>
      </w:r>
      <w:r w:rsidRPr="008705D9">
        <w:rPr>
          <w:rFonts w:cs="Times New Roman"/>
          <w:b/>
          <w:szCs w:val="24"/>
        </w:rPr>
        <w:t>Campañas de Formación Cívica y Ética, lucha contra la violencia de Género y la explotación sexual</w:t>
      </w:r>
    </w:p>
    <w:p w14:paraId="02904243" w14:textId="019E22FF" w:rsidR="001C19EC" w:rsidRPr="00F01526" w:rsidRDefault="001C19EC" w:rsidP="001C19EC">
      <w:pPr>
        <w:spacing w:line="480" w:lineRule="auto"/>
        <w:ind w:firstLine="708"/>
        <w:jc w:val="both"/>
        <w:rPr>
          <w:rFonts w:cs="Times New Roman"/>
          <w:szCs w:val="24"/>
          <w:lang w:val="es-ES"/>
        </w:rPr>
      </w:pPr>
      <w:r w:rsidRPr="00F01526">
        <w:rPr>
          <w:rFonts w:cs="Times New Roman"/>
          <w:szCs w:val="24"/>
          <w:lang w:val="es-ES"/>
        </w:rPr>
        <w:t xml:space="preserve">Durante el año 2017 </w:t>
      </w:r>
      <w:r w:rsidR="006136A4">
        <w:rPr>
          <w:rFonts w:cs="Times New Roman"/>
          <w:szCs w:val="24"/>
          <w:lang w:val="es-ES"/>
        </w:rPr>
        <w:t xml:space="preserve">en </w:t>
      </w:r>
      <w:r w:rsidRPr="00F01526">
        <w:rPr>
          <w:rFonts w:cs="Times New Roman"/>
          <w:szCs w:val="24"/>
          <w:lang w:val="es-ES"/>
        </w:rPr>
        <w:t>la PGR fueron desarrolladas varias campañas dirigidas a promover y fortalecer el “Servicios al Ciudadano” con el fin de crear conciencia sobre el rol que desempeña la institución en materia de prevención, persecución, fiscalización y disminución de la criminalidad en nuestro país.</w:t>
      </w:r>
      <w:r w:rsidRPr="00F01526">
        <w:rPr>
          <w:noProof/>
          <w:lang w:val="es-ES" w:eastAsia="es-ES"/>
        </w:rPr>
        <w:t xml:space="preserve"> </w:t>
      </w:r>
    </w:p>
    <w:p w14:paraId="734AC73F" w14:textId="77777777" w:rsidR="001C19EC" w:rsidRPr="00F01526" w:rsidRDefault="001C19EC" w:rsidP="001C19EC">
      <w:pPr>
        <w:spacing w:line="480" w:lineRule="auto"/>
        <w:ind w:firstLine="708"/>
        <w:jc w:val="both"/>
        <w:rPr>
          <w:rFonts w:cs="Times New Roman"/>
          <w:szCs w:val="24"/>
          <w:lang w:val="es-ES"/>
        </w:rPr>
      </w:pPr>
      <w:r w:rsidRPr="00F01526">
        <w:rPr>
          <w:rFonts w:cs="Times New Roman"/>
          <w:szCs w:val="24"/>
          <w:lang w:val="es-ES"/>
        </w:rPr>
        <w:t xml:space="preserve">Asimismo, se continuaron implementando en los años 2017, 2018 y 2019 la campaña </w:t>
      </w:r>
      <w:r>
        <w:rPr>
          <w:rFonts w:cs="Times New Roman"/>
          <w:szCs w:val="24"/>
          <w:lang w:val="es-ES"/>
        </w:rPr>
        <w:t>contra la violencia de género "</w:t>
      </w:r>
      <w:r w:rsidRPr="00F01526">
        <w:rPr>
          <w:rFonts w:cs="Times New Roman"/>
          <w:szCs w:val="24"/>
          <w:lang w:val="es-ES"/>
        </w:rPr>
        <w:t>Ni una sola", la cual estuvo dirigida a la prevención, sensibilización, educación e involucramiento de la sociedad a la lucha.</w:t>
      </w:r>
    </w:p>
    <w:p w14:paraId="16CAC3F6" w14:textId="77777777" w:rsidR="001C19EC" w:rsidRPr="00F01526" w:rsidRDefault="001C19EC" w:rsidP="001C19EC">
      <w:pPr>
        <w:spacing w:line="480" w:lineRule="auto"/>
        <w:jc w:val="both"/>
        <w:rPr>
          <w:rFonts w:cs="Times New Roman"/>
          <w:szCs w:val="24"/>
          <w:lang w:val="es-ES"/>
        </w:rPr>
      </w:pPr>
      <w:r w:rsidRPr="00F01526">
        <w:rPr>
          <w:rFonts w:ascii="Gill Sans MT" w:hAnsi="Gill Sans MT"/>
          <w:noProof/>
          <w:lang w:val="es-ES" w:eastAsia="es-ES"/>
        </w:rPr>
        <w:drawing>
          <wp:anchor distT="0" distB="0" distL="114300" distR="114300" simplePos="0" relativeHeight="251661312" behindDoc="0" locked="0" layoutInCell="1" allowOverlap="1" wp14:anchorId="19EC6156" wp14:editId="1C5EE1CF">
            <wp:simplePos x="0" y="0"/>
            <wp:positionH relativeFrom="margin">
              <wp:posOffset>3736340</wp:posOffset>
            </wp:positionH>
            <wp:positionV relativeFrom="paragraph">
              <wp:posOffset>1713865</wp:posOffset>
            </wp:positionV>
            <wp:extent cx="1781810" cy="2305685"/>
            <wp:effectExtent l="0" t="0" r="8890"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1810" cy="2305685"/>
                    </a:xfrm>
                    <a:prstGeom prst="rect">
                      <a:avLst/>
                    </a:prstGeom>
                  </pic:spPr>
                </pic:pic>
              </a:graphicData>
            </a:graphic>
            <wp14:sizeRelH relativeFrom="margin">
              <wp14:pctWidth>0</wp14:pctWidth>
            </wp14:sizeRelH>
            <wp14:sizeRelV relativeFrom="margin">
              <wp14:pctHeight>0</wp14:pctHeight>
            </wp14:sizeRelV>
          </wp:anchor>
        </w:drawing>
      </w:r>
      <w:r w:rsidRPr="00F01526">
        <w:rPr>
          <w:rFonts w:ascii="Gill Sans MT" w:hAnsi="Gill Sans MT"/>
          <w:noProof/>
          <w:lang w:val="es-ES" w:eastAsia="es-ES"/>
        </w:rPr>
        <w:drawing>
          <wp:anchor distT="0" distB="0" distL="114300" distR="114300" simplePos="0" relativeHeight="251660288" behindDoc="1" locked="0" layoutInCell="1" allowOverlap="1" wp14:anchorId="7F097333" wp14:editId="289563CA">
            <wp:simplePos x="0" y="0"/>
            <wp:positionH relativeFrom="margin">
              <wp:align>left</wp:align>
            </wp:positionH>
            <wp:positionV relativeFrom="paragraph">
              <wp:posOffset>11947</wp:posOffset>
            </wp:positionV>
            <wp:extent cx="2495550" cy="3239770"/>
            <wp:effectExtent l="0" t="0" r="0" b="0"/>
            <wp:wrapTight wrapText="bothSides">
              <wp:wrapPolygon edited="0">
                <wp:start x="0" y="0"/>
                <wp:lineTo x="0" y="21465"/>
                <wp:lineTo x="21435" y="21465"/>
                <wp:lineTo x="2143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95550" cy="323977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Cs w:val="24"/>
          <w:lang w:val="es-ES"/>
        </w:rPr>
        <w:t>De igual modo se desarrolló en los años 2017 y 2018</w:t>
      </w:r>
      <w:r w:rsidRPr="00F01526">
        <w:rPr>
          <w:rFonts w:cs="Times New Roman"/>
          <w:szCs w:val="24"/>
          <w:lang w:val="es-ES"/>
        </w:rPr>
        <w:t xml:space="preserve"> la campaña “No hay Excusas” la cual trató sobre la violación de los derechos humanos de los niños, niñas y adolescentes.</w:t>
      </w:r>
    </w:p>
    <w:p w14:paraId="7BCC7986" w14:textId="77777777" w:rsidR="001C19EC" w:rsidRPr="00F01526" w:rsidRDefault="001C19EC" w:rsidP="001C19EC">
      <w:pPr>
        <w:spacing w:line="480" w:lineRule="auto"/>
        <w:ind w:firstLine="708"/>
        <w:jc w:val="both"/>
        <w:rPr>
          <w:rFonts w:cs="Times New Roman"/>
          <w:b/>
          <w:szCs w:val="24"/>
          <w:lang w:val="es-ES"/>
        </w:rPr>
      </w:pPr>
    </w:p>
    <w:p w14:paraId="6E5EFC9E" w14:textId="77777777" w:rsidR="001C19EC" w:rsidRDefault="001C19EC" w:rsidP="001C19EC">
      <w:pPr>
        <w:spacing w:line="480" w:lineRule="auto"/>
        <w:ind w:firstLine="708"/>
        <w:jc w:val="both"/>
        <w:rPr>
          <w:rFonts w:cs="Times New Roman"/>
          <w:b/>
          <w:szCs w:val="24"/>
        </w:rPr>
      </w:pPr>
    </w:p>
    <w:p w14:paraId="4D0E2BD0" w14:textId="77777777" w:rsidR="001C19EC" w:rsidRDefault="001C19EC" w:rsidP="001C19EC">
      <w:pPr>
        <w:spacing w:line="480" w:lineRule="auto"/>
        <w:ind w:firstLine="708"/>
        <w:jc w:val="both"/>
        <w:rPr>
          <w:rFonts w:cs="Times New Roman"/>
          <w:b/>
          <w:szCs w:val="24"/>
        </w:rPr>
      </w:pPr>
    </w:p>
    <w:p w14:paraId="33B3B27D" w14:textId="77777777" w:rsidR="001C19EC" w:rsidRDefault="001C19EC" w:rsidP="001C19EC">
      <w:pPr>
        <w:spacing w:line="480" w:lineRule="auto"/>
        <w:ind w:firstLine="708"/>
        <w:jc w:val="both"/>
        <w:rPr>
          <w:rFonts w:cs="Times New Roman"/>
          <w:b/>
          <w:szCs w:val="24"/>
        </w:rPr>
      </w:pPr>
    </w:p>
    <w:p w14:paraId="0FD33CC8" w14:textId="77777777" w:rsidR="001C19EC" w:rsidRDefault="001C19EC" w:rsidP="001C19EC">
      <w:pPr>
        <w:spacing w:line="480" w:lineRule="auto"/>
        <w:ind w:firstLine="708"/>
        <w:jc w:val="both"/>
        <w:rPr>
          <w:rFonts w:cs="Times New Roman"/>
          <w:b/>
          <w:szCs w:val="24"/>
        </w:rPr>
      </w:pPr>
    </w:p>
    <w:p w14:paraId="35CF7031" w14:textId="77777777" w:rsidR="001C19EC" w:rsidRDefault="001C19EC" w:rsidP="001C19EC">
      <w:pPr>
        <w:spacing w:line="480" w:lineRule="auto"/>
        <w:ind w:firstLine="708"/>
        <w:jc w:val="both"/>
        <w:rPr>
          <w:rFonts w:cs="Times New Roman"/>
          <w:b/>
          <w:szCs w:val="24"/>
        </w:rPr>
      </w:pPr>
    </w:p>
    <w:p w14:paraId="720FCFBB" w14:textId="47255E17" w:rsidR="001C19EC" w:rsidRPr="008705D9" w:rsidRDefault="001C19EC" w:rsidP="00951609">
      <w:pPr>
        <w:pStyle w:val="Prrafodelista"/>
        <w:numPr>
          <w:ilvl w:val="0"/>
          <w:numId w:val="26"/>
        </w:numPr>
        <w:spacing w:line="480" w:lineRule="auto"/>
        <w:jc w:val="both"/>
        <w:rPr>
          <w:rFonts w:cs="Times New Roman"/>
          <w:b/>
          <w:szCs w:val="24"/>
        </w:rPr>
      </w:pPr>
      <w:r w:rsidRPr="008705D9">
        <w:rPr>
          <w:rFonts w:cs="Times New Roman"/>
          <w:b/>
          <w:szCs w:val="24"/>
        </w:rPr>
        <w:lastRenderedPageBreak/>
        <w:t>Ampliar los servicios que ofrece la PGR</w:t>
      </w:r>
    </w:p>
    <w:p w14:paraId="63A12128" w14:textId="56232F15" w:rsidR="001C19EC" w:rsidRPr="009D6050" w:rsidRDefault="001C19EC" w:rsidP="001C19EC">
      <w:pPr>
        <w:spacing w:line="480" w:lineRule="auto"/>
        <w:ind w:firstLine="708"/>
        <w:jc w:val="both"/>
        <w:rPr>
          <w:rFonts w:cs="Times New Roman"/>
          <w:szCs w:val="24"/>
        </w:rPr>
      </w:pPr>
      <w:r>
        <w:rPr>
          <w:rFonts w:cs="Times New Roman"/>
          <w:b/>
          <w:szCs w:val="24"/>
        </w:rPr>
        <w:t xml:space="preserve"> </w:t>
      </w:r>
      <w:r w:rsidRPr="009D6050">
        <w:rPr>
          <w:rFonts w:cs="Times New Roman"/>
          <w:szCs w:val="24"/>
        </w:rPr>
        <w:t>Con el fin de contribuir a la eficientizaci</w:t>
      </w:r>
      <w:r>
        <w:rPr>
          <w:rFonts w:cs="Times New Roman"/>
          <w:szCs w:val="24"/>
        </w:rPr>
        <w:t>on de los servicios la PGR logró</w:t>
      </w:r>
      <w:r w:rsidRPr="009D6050">
        <w:rPr>
          <w:rFonts w:cs="Times New Roman"/>
          <w:szCs w:val="24"/>
        </w:rPr>
        <w:t xml:space="preserve"> </w:t>
      </w:r>
      <w:r>
        <w:rPr>
          <w:rFonts w:cs="Times New Roman"/>
          <w:szCs w:val="24"/>
        </w:rPr>
        <w:t xml:space="preserve">desarrollar </w:t>
      </w:r>
      <w:r w:rsidRPr="009D6050">
        <w:rPr>
          <w:rFonts w:cs="Times New Roman"/>
          <w:szCs w:val="24"/>
        </w:rPr>
        <w:t xml:space="preserve">varios sistemas en </w:t>
      </w:r>
      <w:r>
        <w:rPr>
          <w:rFonts w:cs="Times New Roman"/>
          <w:szCs w:val="24"/>
        </w:rPr>
        <w:t>el portal institucional dirigidos a la ampliación de</w:t>
      </w:r>
      <w:r w:rsidRPr="009D6050">
        <w:rPr>
          <w:rFonts w:cs="Times New Roman"/>
          <w:szCs w:val="24"/>
        </w:rPr>
        <w:t xml:space="preserve"> los servicios que se ofrecen a la ciudadanía.</w:t>
      </w:r>
    </w:p>
    <w:p w14:paraId="3781EED9" w14:textId="77777777" w:rsidR="001C19EC" w:rsidRPr="009D6050" w:rsidRDefault="001C19EC" w:rsidP="001C19EC">
      <w:pPr>
        <w:spacing w:line="480" w:lineRule="auto"/>
        <w:ind w:firstLine="708"/>
        <w:jc w:val="both"/>
        <w:rPr>
          <w:rFonts w:cs="Times New Roman"/>
          <w:szCs w:val="24"/>
        </w:rPr>
      </w:pPr>
      <w:r w:rsidRPr="009D6050">
        <w:rPr>
          <w:rFonts w:cs="Times New Roman"/>
          <w:szCs w:val="24"/>
        </w:rPr>
        <w:t xml:space="preserve">Los sistemas que fueron desarrollados e implementados, y ya </w:t>
      </w:r>
      <w:r>
        <w:rPr>
          <w:rFonts w:cs="Times New Roman"/>
          <w:szCs w:val="24"/>
        </w:rPr>
        <w:t xml:space="preserve">se encuentran </w:t>
      </w:r>
      <w:r w:rsidRPr="009D6050">
        <w:rPr>
          <w:rFonts w:cs="Times New Roman"/>
          <w:szCs w:val="24"/>
        </w:rPr>
        <w:t>en funcionamiento</w:t>
      </w:r>
      <w:r>
        <w:rPr>
          <w:rFonts w:cs="Times New Roman"/>
          <w:szCs w:val="24"/>
        </w:rPr>
        <w:t xml:space="preserve"> son</w:t>
      </w:r>
      <w:r w:rsidRPr="009D6050">
        <w:rPr>
          <w:rFonts w:cs="Times New Roman"/>
          <w:szCs w:val="24"/>
        </w:rPr>
        <w:t>:</w:t>
      </w:r>
    </w:p>
    <w:p w14:paraId="0EB4C337" w14:textId="77777777" w:rsidR="001C19EC" w:rsidRPr="009D6050" w:rsidRDefault="001C19EC" w:rsidP="001C19EC">
      <w:pPr>
        <w:spacing w:line="480" w:lineRule="auto"/>
        <w:ind w:firstLine="708"/>
        <w:jc w:val="both"/>
        <w:rPr>
          <w:rFonts w:cs="Times New Roman"/>
          <w:szCs w:val="24"/>
        </w:rPr>
      </w:pPr>
      <w:r>
        <w:rPr>
          <w:rFonts w:cs="Times New Roman"/>
          <w:szCs w:val="24"/>
        </w:rPr>
        <w:t xml:space="preserve">• </w:t>
      </w:r>
      <w:r w:rsidRPr="004746A1">
        <w:rPr>
          <w:rFonts w:cs="Times New Roman"/>
          <w:b/>
          <w:szCs w:val="24"/>
        </w:rPr>
        <w:t>Obtención y verificación en línea del “Certificado de No Antecedentes Penales”</w:t>
      </w:r>
      <w:r>
        <w:rPr>
          <w:rFonts w:cs="Times New Roman"/>
          <w:szCs w:val="24"/>
        </w:rPr>
        <w:t>: lo</w:t>
      </w:r>
      <w:r w:rsidRPr="009D6050">
        <w:rPr>
          <w:rFonts w:cs="Times New Roman"/>
          <w:szCs w:val="24"/>
        </w:rPr>
        <w:t xml:space="preserve"> cual </w:t>
      </w:r>
      <w:r>
        <w:rPr>
          <w:rFonts w:cs="Times New Roman"/>
          <w:szCs w:val="24"/>
        </w:rPr>
        <w:t>ha permitido</w:t>
      </w:r>
      <w:r w:rsidRPr="009D6050">
        <w:rPr>
          <w:rFonts w:cs="Times New Roman"/>
          <w:szCs w:val="24"/>
        </w:rPr>
        <w:t xml:space="preserve"> múltiples beneficios al ciudadano evitando traslados, largas</w:t>
      </w:r>
      <w:r>
        <w:rPr>
          <w:rFonts w:cs="Times New Roman"/>
          <w:szCs w:val="24"/>
        </w:rPr>
        <w:t xml:space="preserve"> filas</w:t>
      </w:r>
      <w:r w:rsidRPr="009D6050">
        <w:rPr>
          <w:rFonts w:cs="Times New Roman"/>
          <w:szCs w:val="24"/>
        </w:rPr>
        <w:t xml:space="preserve"> y tiempo de espera.</w:t>
      </w:r>
    </w:p>
    <w:p w14:paraId="47B1DA4A" w14:textId="77777777" w:rsidR="001C19EC" w:rsidRPr="009D6050" w:rsidRDefault="001C19EC" w:rsidP="001C19EC">
      <w:pPr>
        <w:spacing w:line="480" w:lineRule="auto"/>
        <w:ind w:firstLine="708"/>
        <w:jc w:val="both"/>
        <w:rPr>
          <w:rFonts w:cs="Times New Roman"/>
          <w:szCs w:val="24"/>
        </w:rPr>
      </w:pPr>
      <w:r>
        <w:rPr>
          <w:rFonts w:cs="Times New Roman"/>
          <w:szCs w:val="24"/>
        </w:rPr>
        <w:t xml:space="preserve">•  </w:t>
      </w:r>
      <w:r w:rsidRPr="004746A1">
        <w:rPr>
          <w:rFonts w:cs="Times New Roman"/>
          <w:b/>
          <w:szCs w:val="24"/>
        </w:rPr>
        <w:t>Solicitud y Obtención en Línea del Exequátur de Abogados</w:t>
      </w:r>
      <w:r w:rsidRPr="009D6050">
        <w:rPr>
          <w:rFonts w:cs="Times New Roman"/>
          <w:szCs w:val="24"/>
        </w:rPr>
        <w:t xml:space="preserve">: con el cual se ha logrado evitar traslados, reducción de tiempo de entrega </w:t>
      </w:r>
      <w:r>
        <w:rPr>
          <w:rFonts w:cs="Times New Roman"/>
          <w:szCs w:val="24"/>
        </w:rPr>
        <w:t xml:space="preserve">de seis meses a tres meses </w:t>
      </w:r>
      <w:r w:rsidRPr="009D6050">
        <w:rPr>
          <w:rFonts w:cs="Times New Roman"/>
          <w:szCs w:val="24"/>
        </w:rPr>
        <w:t>y la facilidad de seguimiento para con</w:t>
      </w:r>
      <w:r>
        <w:rPr>
          <w:rFonts w:cs="Times New Roman"/>
          <w:szCs w:val="24"/>
        </w:rPr>
        <w:t>ocer su estatus en línea.</w:t>
      </w:r>
    </w:p>
    <w:p w14:paraId="0D102366" w14:textId="0B60C1CF" w:rsidR="001C19EC" w:rsidRDefault="001C19EC" w:rsidP="001C19EC">
      <w:pPr>
        <w:spacing w:line="480" w:lineRule="auto"/>
        <w:ind w:firstLine="708"/>
        <w:jc w:val="both"/>
        <w:rPr>
          <w:rFonts w:cs="Times New Roman"/>
          <w:szCs w:val="24"/>
        </w:rPr>
      </w:pPr>
      <w:r w:rsidRPr="009D6050">
        <w:rPr>
          <w:rFonts w:cs="Times New Roman"/>
          <w:szCs w:val="24"/>
        </w:rPr>
        <w:t>•</w:t>
      </w:r>
      <w:r>
        <w:rPr>
          <w:rFonts w:cs="Times New Roman"/>
          <w:szCs w:val="24"/>
        </w:rPr>
        <w:t xml:space="preserve"> </w:t>
      </w:r>
      <w:r w:rsidRPr="004746A1">
        <w:rPr>
          <w:rFonts w:cs="Times New Roman"/>
          <w:b/>
          <w:szCs w:val="24"/>
        </w:rPr>
        <w:t>Pago de Multas por Infracciones de Tránsito</w:t>
      </w:r>
      <w:r>
        <w:rPr>
          <w:rFonts w:cs="Times New Roman"/>
          <w:b/>
          <w:szCs w:val="24"/>
        </w:rPr>
        <w:t xml:space="preserve"> en línea</w:t>
      </w:r>
      <w:r w:rsidRPr="009D6050">
        <w:rPr>
          <w:rFonts w:cs="Times New Roman"/>
          <w:szCs w:val="24"/>
        </w:rPr>
        <w:t xml:space="preserve">: para </w:t>
      </w:r>
      <w:r>
        <w:rPr>
          <w:rFonts w:cs="Times New Roman"/>
          <w:szCs w:val="24"/>
        </w:rPr>
        <w:t xml:space="preserve">beneficio de </w:t>
      </w:r>
      <w:r w:rsidRPr="009D6050">
        <w:rPr>
          <w:rFonts w:cs="Times New Roman"/>
          <w:szCs w:val="24"/>
        </w:rPr>
        <w:t>todos los ciudadanos que hayan cometido una infracción de tránsito, evitando traslados para consultar sus infracciones o pagarlas y ofreciendo descargo automático tan pronto paga la</w:t>
      </w:r>
      <w:r w:rsidR="004C6F62">
        <w:rPr>
          <w:rFonts w:cs="Times New Roman"/>
          <w:szCs w:val="24"/>
        </w:rPr>
        <w:t xml:space="preserve">s </w:t>
      </w:r>
      <w:r w:rsidRPr="009D6050">
        <w:rPr>
          <w:rFonts w:cs="Times New Roman"/>
          <w:szCs w:val="24"/>
        </w:rPr>
        <w:t>mult</w:t>
      </w:r>
      <w:r w:rsidR="004C6F62">
        <w:rPr>
          <w:rFonts w:cs="Times New Roman"/>
          <w:szCs w:val="24"/>
        </w:rPr>
        <w:t>as</w:t>
      </w:r>
      <w:r w:rsidRPr="009D6050">
        <w:rPr>
          <w:rFonts w:cs="Times New Roman"/>
          <w:szCs w:val="24"/>
        </w:rPr>
        <w:t xml:space="preserve"> por </w:t>
      </w:r>
      <w:r w:rsidR="00370DC0" w:rsidRPr="009D6050">
        <w:rPr>
          <w:rFonts w:cs="Times New Roman"/>
          <w:szCs w:val="24"/>
        </w:rPr>
        <w:t>infraccion</w:t>
      </w:r>
      <w:r w:rsidR="00370DC0">
        <w:rPr>
          <w:rFonts w:cs="Times New Roman"/>
          <w:szCs w:val="24"/>
        </w:rPr>
        <w:t>es</w:t>
      </w:r>
      <w:r w:rsidRPr="009D6050">
        <w:rPr>
          <w:rFonts w:cs="Times New Roman"/>
          <w:szCs w:val="24"/>
        </w:rPr>
        <w:t xml:space="preserve"> de tránsito.</w:t>
      </w:r>
      <w:r>
        <w:rPr>
          <w:rFonts w:cs="Times New Roman"/>
          <w:szCs w:val="24"/>
        </w:rPr>
        <w:t xml:space="preserve"> </w:t>
      </w:r>
    </w:p>
    <w:p w14:paraId="3F2AC3B7" w14:textId="77777777" w:rsidR="001C19EC" w:rsidRPr="009D6050" w:rsidRDefault="001C19EC" w:rsidP="001C19EC">
      <w:pPr>
        <w:spacing w:line="480" w:lineRule="auto"/>
        <w:ind w:firstLine="708"/>
        <w:jc w:val="both"/>
        <w:rPr>
          <w:rFonts w:cs="Times New Roman"/>
          <w:szCs w:val="24"/>
        </w:rPr>
      </w:pPr>
      <w:r w:rsidRPr="009D6050">
        <w:rPr>
          <w:rFonts w:cs="Times New Roman"/>
          <w:szCs w:val="24"/>
        </w:rPr>
        <w:t xml:space="preserve">Esta meta </w:t>
      </w:r>
      <w:r>
        <w:rPr>
          <w:rFonts w:cs="Times New Roman"/>
          <w:szCs w:val="24"/>
        </w:rPr>
        <w:t xml:space="preserve">presidencial </w:t>
      </w:r>
      <w:r w:rsidRPr="009D6050">
        <w:rPr>
          <w:rFonts w:cs="Times New Roman"/>
          <w:szCs w:val="24"/>
        </w:rPr>
        <w:t xml:space="preserve">fue finalizada en </w:t>
      </w:r>
      <w:r>
        <w:rPr>
          <w:rFonts w:cs="Times New Roman"/>
          <w:szCs w:val="24"/>
        </w:rPr>
        <w:t xml:space="preserve">2019 en </w:t>
      </w:r>
      <w:r w:rsidRPr="009D6050">
        <w:rPr>
          <w:rFonts w:cs="Times New Roman"/>
          <w:szCs w:val="24"/>
        </w:rPr>
        <w:t xml:space="preserve">un 100%, logrando </w:t>
      </w:r>
      <w:r>
        <w:rPr>
          <w:rFonts w:cs="Times New Roman"/>
          <w:szCs w:val="24"/>
        </w:rPr>
        <w:t xml:space="preserve">con esto </w:t>
      </w:r>
      <w:r w:rsidRPr="009D6050">
        <w:rPr>
          <w:rFonts w:cs="Times New Roman"/>
          <w:szCs w:val="24"/>
        </w:rPr>
        <w:t xml:space="preserve">contribuir </w:t>
      </w:r>
      <w:r>
        <w:rPr>
          <w:rFonts w:cs="Times New Roman"/>
          <w:szCs w:val="24"/>
        </w:rPr>
        <w:t>al desarrollo del gobierno electrónico en la República Dominicana</w:t>
      </w:r>
      <w:r w:rsidRPr="009D6050">
        <w:rPr>
          <w:rFonts w:cs="Times New Roman"/>
          <w:szCs w:val="24"/>
        </w:rPr>
        <w:t>.</w:t>
      </w:r>
      <w:r w:rsidRPr="009D6050">
        <w:rPr>
          <w:rFonts w:cs="Times New Roman"/>
          <w:szCs w:val="24"/>
        </w:rPr>
        <w:t> </w:t>
      </w:r>
    </w:p>
    <w:p w14:paraId="66A31E24" w14:textId="7B4910F4" w:rsidR="001C19EC" w:rsidRPr="008705D9" w:rsidRDefault="001C19EC" w:rsidP="00951609">
      <w:pPr>
        <w:pStyle w:val="Prrafodelista"/>
        <w:numPr>
          <w:ilvl w:val="0"/>
          <w:numId w:val="26"/>
        </w:numPr>
        <w:spacing w:line="480" w:lineRule="auto"/>
        <w:jc w:val="both"/>
        <w:rPr>
          <w:rFonts w:cs="Times New Roman"/>
          <w:b/>
          <w:szCs w:val="24"/>
        </w:rPr>
      </w:pPr>
      <w:r w:rsidRPr="008705D9">
        <w:rPr>
          <w:rFonts w:cs="Times New Roman"/>
          <w:b/>
          <w:szCs w:val="24"/>
        </w:rPr>
        <w:t>Leyes, normas y reformas contra la corrupción y preservación de los Derechos Humanos</w:t>
      </w:r>
    </w:p>
    <w:p w14:paraId="1AC8430A" w14:textId="77777777" w:rsidR="001C19EC" w:rsidRPr="00B61B3A" w:rsidRDefault="001C19EC" w:rsidP="001C19EC">
      <w:pPr>
        <w:spacing w:line="480" w:lineRule="auto"/>
        <w:ind w:firstLine="708"/>
        <w:jc w:val="both"/>
        <w:rPr>
          <w:rFonts w:cs="Times New Roman"/>
          <w:szCs w:val="24"/>
        </w:rPr>
      </w:pPr>
      <w:r w:rsidRPr="00B61B3A">
        <w:rPr>
          <w:rFonts w:cs="Times New Roman"/>
          <w:szCs w:val="24"/>
        </w:rPr>
        <w:t xml:space="preserve">En esta meta se promovieron varias reformas al proyecto de modificación del Código Penal que reposa en el Congreso Nacional, las mismas fueron realizadas en observancia a los acuerdos internacionales suscritos, para que incluya castigos en materia </w:t>
      </w:r>
      <w:r w:rsidRPr="00B61B3A">
        <w:rPr>
          <w:rFonts w:cs="Times New Roman"/>
          <w:szCs w:val="24"/>
        </w:rPr>
        <w:lastRenderedPageBreak/>
        <w:t>de persecución y corrupción, junto con la creación de nuevos tipos penales vinculados, en especial, lo relativo al Sistema Nacional de Compras y Contrataciones Públicas.</w:t>
      </w:r>
    </w:p>
    <w:p w14:paraId="0FC0A90F" w14:textId="77777777" w:rsidR="001C19EC" w:rsidRPr="00B61B3A" w:rsidRDefault="001C19EC" w:rsidP="001C19EC">
      <w:pPr>
        <w:spacing w:line="480" w:lineRule="auto"/>
        <w:ind w:firstLine="708"/>
        <w:jc w:val="both"/>
        <w:rPr>
          <w:rFonts w:cs="Times New Roman"/>
          <w:szCs w:val="24"/>
        </w:rPr>
      </w:pPr>
      <w:r w:rsidRPr="00B61B3A">
        <w:rPr>
          <w:rFonts w:cs="Times New Roman"/>
          <w:szCs w:val="24"/>
        </w:rPr>
        <w:t xml:space="preserve">Igualmente, </w:t>
      </w:r>
      <w:r>
        <w:rPr>
          <w:rFonts w:cs="Times New Roman"/>
          <w:szCs w:val="24"/>
        </w:rPr>
        <w:t>fue desarrollada</w:t>
      </w:r>
      <w:r w:rsidRPr="00B61B3A">
        <w:rPr>
          <w:rFonts w:cs="Times New Roman"/>
          <w:szCs w:val="24"/>
        </w:rPr>
        <w:t xml:space="preserve"> la primera normativa que reconoce y consagra los derechos de las víctimas de delitos, crímenes y violaciones de los derechos humanos, la cual fue remitida al Poder Ejecutivo.</w:t>
      </w:r>
    </w:p>
    <w:p w14:paraId="6D22506E" w14:textId="2B4DE48D" w:rsidR="001C19EC" w:rsidRPr="00B61B3A" w:rsidRDefault="001C19EC" w:rsidP="001C19EC">
      <w:pPr>
        <w:spacing w:line="480" w:lineRule="auto"/>
        <w:ind w:firstLine="708"/>
        <w:jc w:val="both"/>
        <w:rPr>
          <w:rFonts w:cs="Times New Roman"/>
          <w:szCs w:val="24"/>
        </w:rPr>
      </w:pPr>
      <w:r w:rsidRPr="00B61B3A">
        <w:rPr>
          <w:rFonts w:cs="Times New Roman"/>
          <w:szCs w:val="24"/>
        </w:rPr>
        <w:t>La Procuraduría Gener</w:t>
      </w:r>
      <w:r>
        <w:rPr>
          <w:rFonts w:cs="Times New Roman"/>
          <w:szCs w:val="24"/>
        </w:rPr>
        <w:t>al de la República (PGR) culminó</w:t>
      </w:r>
      <w:r w:rsidRPr="00B61B3A">
        <w:rPr>
          <w:rFonts w:cs="Times New Roman"/>
          <w:szCs w:val="24"/>
        </w:rPr>
        <w:t xml:space="preserve"> </w:t>
      </w:r>
      <w:r>
        <w:rPr>
          <w:rFonts w:cs="Times New Roman"/>
          <w:szCs w:val="24"/>
        </w:rPr>
        <w:t xml:space="preserve">con </w:t>
      </w:r>
      <w:r w:rsidRPr="00B61B3A">
        <w:rPr>
          <w:rFonts w:cs="Times New Roman"/>
          <w:szCs w:val="24"/>
        </w:rPr>
        <w:t>la implementación del nuevo Sistema de Casos con los lineamientos, procesos y requisitos contemplados en el Manual del Plan de Investigación de Policías y Fiscales. Asimismo, dicho Manual fue socializado con las autoridades competentes.</w:t>
      </w:r>
    </w:p>
    <w:p w14:paraId="58747DB3" w14:textId="77777777" w:rsidR="001C19EC" w:rsidRPr="00B61B3A" w:rsidRDefault="001C19EC" w:rsidP="001C19EC">
      <w:pPr>
        <w:spacing w:line="480" w:lineRule="auto"/>
        <w:ind w:firstLine="708"/>
        <w:jc w:val="both"/>
        <w:rPr>
          <w:rFonts w:cs="Times New Roman"/>
          <w:szCs w:val="24"/>
        </w:rPr>
      </w:pPr>
      <w:r w:rsidRPr="00B61B3A">
        <w:rPr>
          <w:rFonts w:cs="Times New Roman"/>
          <w:szCs w:val="24"/>
        </w:rPr>
        <w:t>Cabe destacar que este Manual se encuentra disponible en el Sistema de Justicia II y cumple la finalidad de asegurar el ejercicio de las funciones de los miembros del Ministerio Público en cuanto a las investigaciones penales.</w:t>
      </w:r>
    </w:p>
    <w:p w14:paraId="0807320B" w14:textId="77777777" w:rsidR="001C19EC" w:rsidRDefault="001C19EC" w:rsidP="001C19EC">
      <w:pPr>
        <w:spacing w:line="480" w:lineRule="auto"/>
        <w:ind w:firstLine="708"/>
        <w:jc w:val="both"/>
        <w:rPr>
          <w:rFonts w:cs="Times New Roman"/>
          <w:szCs w:val="24"/>
        </w:rPr>
      </w:pPr>
      <w:r w:rsidRPr="00B61B3A">
        <w:rPr>
          <w:rFonts w:cs="Times New Roman"/>
          <w:szCs w:val="24"/>
        </w:rPr>
        <w:t>En el transcurso del año 2019 esta meta fue finalizada con excelencia logrando un 100% de su cumplimiento.</w:t>
      </w:r>
    </w:p>
    <w:p w14:paraId="171786B2" w14:textId="77777777" w:rsidR="001C19EC" w:rsidRPr="002C5BAA" w:rsidRDefault="001C19EC" w:rsidP="001C19EC">
      <w:pPr>
        <w:spacing w:line="480" w:lineRule="auto"/>
        <w:ind w:firstLine="708"/>
        <w:jc w:val="both"/>
        <w:rPr>
          <w:rFonts w:cs="Times New Roman"/>
          <w:b/>
          <w:szCs w:val="24"/>
        </w:rPr>
      </w:pPr>
      <w:r w:rsidRPr="002C5BAA">
        <w:rPr>
          <w:rFonts w:cs="Times New Roman"/>
          <w:b/>
          <w:szCs w:val="24"/>
        </w:rPr>
        <w:t>Resumen del nivel de ejecución de las Metas Presidenciales PGR</w:t>
      </w:r>
    </w:p>
    <w:tbl>
      <w:tblPr>
        <w:tblW w:w="5000" w:type="pct"/>
        <w:tblCellMar>
          <w:left w:w="0" w:type="dxa"/>
          <w:right w:w="0" w:type="dxa"/>
        </w:tblCellMar>
        <w:tblLook w:val="04A0" w:firstRow="1" w:lastRow="0" w:firstColumn="1" w:lastColumn="0" w:noHBand="0" w:noVBand="1"/>
      </w:tblPr>
      <w:tblGrid>
        <w:gridCol w:w="553"/>
        <w:gridCol w:w="3265"/>
        <w:gridCol w:w="1609"/>
        <w:gridCol w:w="1274"/>
        <w:gridCol w:w="1783"/>
      </w:tblGrid>
      <w:tr w:rsidR="001C19EC" w:rsidRPr="00DC0575" w14:paraId="6E4A75B3" w14:textId="77777777" w:rsidTr="00637245">
        <w:trPr>
          <w:trHeight w:val="303"/>
        </w:trPr>
        <w:tc>
          <w:tcPr>
            <w:tcW w:w="326" w:type="pct"/>
            <w:tcBorders>
              <w:top w:val="single" w:sz="8" w:space="0" w:color="auto"/>
              <w:left w:val="single" w:sz="8" w:space="0" w:color="auto"/>
              <w:bottom w:val="single" w:sz="8" w:space="0" w:color="auto"/>
              <w:right w:val="single" w:sz="8" w:space="0" w:color="auto"/>
            </w:tcBorders>
            <w:shd w:val="clear" w:color="auto" w:fill="4472C4"/>
            <w:noWrap/>
            <w:tcMar>
              <w:top w:w="0" w:type="dxa"/>
              <w:left w:w="70" w:type="dxa"/>
              <w:bottom w:w="0" w:type="dxa"/>
              <w:right w:w="70" w:type="dxa"/>
            </w:tcMar>
            <w:vAlign w:val="bottom"/>
            <w:hideMark/>
          </w:tcPr>
          <w:p w14:paraId="7C972511" w14:textId="77777777" w:rsidR="001C19EC" w:rsidRPr="00DC0575" w:rsidRDefault="001C19EC" w:rsidP="00637245">
            <w:pPr>
              <w:spacing w:after="0" w:line="240" w:lineRule="auto"/>
              <w:jc w:val="center"/>
              <w:rPr>
                <w:rFonts w:eastAsia="Calibri" w:cs="Times New Roman"/>
                <w:b/>
                <w:bCs/>
                <w:color w:val="FFFFFF"/>
                <w:lang w:val="es-ES" w:eastAsia="es-DO"/>
              </w:rPr>
            </w:pPr>
            <w:r w:rsidRPr="00DC0575">
              <w:rPr>
                <w:rFonts w:eastAsia="Calibri" w:cs="Times New Roman"/>
                <w:b/>
                <w:bCs/>
                <w:color w:val="FFFFFF"/>
                <w:lang w:val="es-ES" w:eastAsia="es-DO"/>
              </w:rPr>
              <w:t>No.</w:t>
            </w:r>
          </w:p>
        </w:tc>
        <w:tc>
          <w:tcPr>
            <w:tcW w:w="1924" w:type="pct"/>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14:paraId="4D75E52D" w14:textId="77777777" w:rsidR="001C19EC" w:rsidRPr="00DC0575" w:rsidRDefault="001C19EC" w:rsidP="00637245">
            <w:pPr>
              <w:spacing w:after="0" w:line="240" w:lineRule="auto"/>
              <w:jc w:val="center"/>
              <w:rPr>
                <w:rFonts w:eastAsia="Calibri" w:cs="Times New Roman"/>
                <w:b/>
                <w:bCs/>
                <w:color w:val="FFFFFF"/>
                <w:lang w:val="es-ES" w:eastAsia="es-DO"/>
              </w:rPr>
            </w:pPr>
            <w:r w:rsidRPr="00DC0575">
              <w:rPr>
                <w:rFonts w:eastAsia="Calibri" w:cs="Times New Roman"/>
                <w:b/>
                <w:bCs/>
                <w:color w:val="FFFFFF"/>
                <w:lang w:val="es-ES" w:eastAsia="es-DO"/>
              </w:rPr>
              <w:t>Meta Presidencial</w:t>
            </w:r>
          </w:p>
        </w:tc>
        <w:tc>
          <w:tcPr>
            <w:tcW w:w="948" w:type="pct"/>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14:paraId="3EE5CDAF" w14:textId="77777777" w:rsidR="001C19EC" w:rsidRPr="00DC0575" w:rsidRDefault="001C19EC" w:rsidP="00637245">
            <w:pPr>
              <w:spacing w:after="0" w:line="240" w:lineRule="auto"/>
              <w:jc w:val="center"/>
              <w:rPr>
                <w:rFonts w:eastAsia="Calibri" w:cs="Times New Roman"/>
                <w:b/>
                <w:bCs/>
                <w:color w:val="FFFFFF"/>
                <w:lang w:val="es-ES" w:eastAsia="es-DO"/>
              </w:rPr>
            </w:pPr>
            <w:r w:rsidRPr="00DC0575">
              <w:rPr>
                <w:rFonts w:eastAsia="Calibri" w:cs="Times New Roman"/>
                <w:b/>
                <w:bCs/>
                <w:color w:val="FFFFFF"/>
                <w:lang w:val="es-ES" w:eastAsia="es-DO"/>
              </w:rPr>
              <w:t>Meta al 2020</w:t>
            </w:r>
          </w:p>
        </w:tc>
        <w:tc>
          <w:tcPr>
            <w:tcW w:w="751" w:type="pct"/>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14:paraId="1110805A" w14:textId="77777777" w:rsidR="001C19EC" w:rsidRPr="00DC0575" w:rsidRDefault="001C19EC" w:rsidP="00637245">
            <w:pPr>
              <w:spacing w:after="0" w:line="240" w:lineRule="auto"/>
              <w:jc w:val="center"/>
              <w:rPr>
                <w:rFonts w:eastAsia="Calibri" w:cs="Times New Roman"/>
                <w:b/>
                <w:bCs/>
                <w:color w:val="FFFFFF"/>
                <w:lang w:val="es-ES" w:eastAsia="es-DO"/>
              </w:rPr>
            </w:pPr>
            <w:r w:rsidRPr="00DC0575">
              <w:rPr>
                <w:rFonts w:eastAsia="Calibri" w:cs="Times New Roman"/>
                <w:b/>
                <w:bCs/>
                <w:color w:val="FFFFFF"/>
                <w:lang w:val="es-ES" w:eastAsia="es-DO"/>
              </w:rPr>
              <w:t>Ejecución</w:t>
            </w:r>
          </w:p>
        </w:tc>
        <w:tc>
          <w:tcPr>
            <w:tcW w:w="1051" w:type="pct"/>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14:paraId="4118C500" w14:textId="77777777" w:rsidR="001C19EC" w:rsidRPr="00DC0575" w:rsidRDefault="001C19EC" w:rsidP="00637245">
            <w:pPr>
              <w:spacing w:after="0" w:line="240" w:lineRule="auto"/>
              <w:jc w:val="center"/>
              <w:rPr>
                <w:rFonts w:eastAsia="Calibri" w:cs="Times New Roman"/>
                <w:b/>
                <w:bCs/>
                <w:color w:val="FFFFFF"/>
                <w:lang w:val="es-ES" w:eastAsia="es-DO"/>
              </w:rPr>
            </w:pPr>
            <w:r w:rsidRPr="00DC0575">
              <w:rPr>
                <w:rFonts w:eastAsia="Calibri" w:cs="Times New Roman"/>
                <w:b/>
                <w:bCs/>
                <w:color w:val="FFFFFF"/>
                <w:lang w:val="es-ES" w:eastAsia="es-DO"/>
              </w:rPr>
              <w:t>Cumplimiento</w:t>
            </w:r>
          </w:p>
        </w:tc>
      </w:tr>
      <w:tr w:rsidR="001C19EC" w:rsidRPr="00DC0575" w14:paraId="7AFAD501"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9925907"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3E6E24E7"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Fortalecer la Lucha contra la Corrupción</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28A9713"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D26F9F"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54%</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910F7AF"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54%</w:t>
            </w:r>
          </w:p>
        </w:tc>
      </w:tr>
      <w:tr w:rsidR="001C19EC" w:rsidRPr="00DC0575" w14:paraId="077D0CEE"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3CA7EC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2</w:t>
            </w:r>
          </w:p>
        </w:tc>
        <w:tc>
          <w:tcPr>
            <w:tcW w:w="1924" w:type="pct"/>
            <w:tcBorders>
              <w:top w:val="nil"/>
              <w:left w:val="nil"/>
              <w:bottom w:val="single" w:sz="8" w:space="0" w:color="auto"/>
              <w:right w:val="single" w:sz="8" w:space="0" w:color="auto"/>
            </w:tcBorders>
            <w:tcMar>
              <w:top w:w="0" w:type="dxa"/>
              <w:left w:w="70" w:type="dxa"/>
              <w:bottom w:w="0" w:type="dxa"/>
              <w:right w:w="70" w:type="dxa"/>
            </w:tcMar>
            <w:vAlign w:val="bottom"/>
            <w:hideMark/>
          </w:tcPr>
          <w:p w14:paraId="0A6F46A2"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Fortalecer la lucha contra la Violencia de Género e Intrafamiliar</w:t>
            </w:r>
          </w:p>
        </w:tc>
        <w:tc>
          <w:tcPr>
            <w:tcW w:w="9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F56541"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3A557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96%</w:t>
            </w:r>
          </w:p>
        </w:tc>
        <w:tc>
          <w:tcPr>
            <w:tcW w:w="10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EE8550"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96%</w:t>
            </w:r>
          </w:p>
        </w:tc>
      </w:tr>
      <w:tr w:rsidR="001C19EC" w:rsidRPr="00DC0575" w14:paraId="514C6633" w14:textId="77777777" w:rsidTr="00637245">
        <w:trPr>
          <w:trHeight w:val="318"/>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365C925"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3</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2E2839B"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Adoptar tecnologías de información para el control y gestión de hechos criminales</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6DFB21D"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EC0F673"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70%</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BBB738B"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70%</w:t>
            </w:r>
          </w:p>
        </w:tc>
      </w:tr>
      <w:tr w:rsidR="001C19EC" w:rsidRPr="00DC0575" w14:paraId="1E3B0EB9"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AF99009"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4</w:t>
            </w:r>
          </w:p>
        </w:tc>
        <w:tc>
          <w:tcPr>
            <w:tcW w:w="1924" w:type="pct"/>
            <w:tcBorders>
              <w:top w:val="nil"/>
              <w:left w:val="nil"/>
              <w:bottom w:val="single" w:sz="8" w:space="0" w:color="auto"/>
              <w:right w:val="single" w:sz="8" w:space="0" w:color="auto"/>
            </w:tcBorders>
            <w:tcMar>
              <w:top w:w="0" w:type="dxa"/>
              <w:left w:w="70" w:type="dxa"/>
              <w:bottom w:w="0" w:type="dxa"/>
              <w:right w:w="70" w:type="dxa"/>
            </w:tcMar>
            <w:vAlign w:val="bottom"/>
            <w:hideMark/>
          </w:tcPr>
          <w:p w14:paraId="53179D7C"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Creación del laboratorio y banco de ADN</w:t>
            </w:r>
          </w:p>
        </w:tc>
        <w:tc>
          <w:tcPr>
            <w:tcW w:w="9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016D65"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CEA33D"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80%</w:t>
            </w:r>
          </w:p>
        </w:tc>
        <w:tc>
          <w:tcPr>
            <w:tcW w:w="10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95C6A"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80%</w:t>
            </w:r>
          </w:p>
        </w:tc>
      </w:tr>
      <w:tr w:rsidR="001C19EC" w:rsidRPr="00DC0575" w14:paraId="24E6941D"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AB09C3B"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5</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4667925"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Fortalecimiento del Sistema Penitenciario</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A4267F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09C5629"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48%</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8A24966"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48%</w:t>
            </w:r>
          </w:p>
        </w:tc>
      </w:tr>
      <w:tr w:rsidR="001C19EC" w:rsidRPr="00DC0575" w14:paraId="775934B3"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CCCF001"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6</w:t>
            </w:r>
          </w:p>
        </w:tc>
        <w:tc>
          <w:tcPr>
            <w:tcW w:w="1924" w:type="pct"/>
            <w:tcBorders>
              <w:top w:val="nil"/>
              <w:left w:val="nil"/>
              <w:bottom w:val="single" w:sz="8" w:space="0" w:color="auto"/>
              <w:right w:val="single" w:sz="8" w:space="0" w:color="auto"/>
            </w:tcBorders>
            <w:tcMar>
              <w:top w:w="0" w:type="dxa"/>
              <w:left w:w="70" w:type="dxa"/>
              <w:bottom w:w="0" w:type="dxa"/>
              <w:right w:w="70" w:type="dxa"/>
            </w:tcMar>
            <w:vAlign w:val="bottom"/>
            <w:hideMark/>
          </w:tcPr>
          <w:p w14:paraId="1D203D8B"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 xml:space="preserve">Implementar la plataforma de información del Ministerio Público </w:t>
            </w:r>
          </w:p>
        </w:tc>
        <w:tc>
          <w:tcPr>
            <w:tcW w:w="9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E5B58A"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726A3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71%</w:t>
            </w:r>
          </w:p>
        </w:tc>
        <w:tc>
          <w:tcPr>
            <w:tcW w:w="10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6290CA"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71%</w:t>
            </w:r>
          </w:p>
        </w:tc>
      </w:tr>
      <w:tr w:rsidR="001C19EC" w:rsidRPr="00DC0575" w14:paraId="3ADCD38D" w14:textId="77777777" w:rsidTr="00637245">
        <w:trPr>
          <w:trHeight w:val="606"/>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447B462"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lastRenderedPageBreak/>
              <w:t>7</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3DDFE918"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 xml:space="preserve">Redefinir la problemática del consumo de sustancias controladas como problema de salud pública </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1FE2139"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D4D69F1"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67%</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DE5FB0C"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67%</w:t>
            </w:r>
          </w:p>
        </w:tc>
      </w:tr>
      <w:tr w:rsidR="001C19EC" w:rsidRPr="00DC0575" w14:paraId="2C53C6D4" w14:textId="77777777" w:rsidTr="00637245">
        <w:trPr>
          <w:trHeight w:val="606"/>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4AC9A0B"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8</w:t>
            </w:r>
          </w:p>
        </w:tc>
        <w:tc>
          <w:tcPr>
            <w:tcW w:w="1924" w:type="pct"/>
            <w:tcBorders>
              <w:top w:val="nil"/>
              <w:left w:val="nil"/>
              <w:bottom w:val="single" w:sz="8" w:space="0" w:color="auto"/>
              <w:right w:val="single" w:sz="8" w:space="0" w:color="auto"/>
            </w:tcBorders>
            <w:tcMar>
              <w:top w:w="0" w:type="dxa"/>
              <w:left w:w="70" w:type="dxa"/>
              <w:bottom w:w="0" w:type="dxa"/>
              <w:right w:w="70" w:type="dxa"/>
            </w:tcMar>
            <w:vAlign w:val="bottom"/>
            <w:hideMark/>
          </w:tcPr>
          <w:p w14:paraId="2C9E7F53"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Involucrar a la sociedad civil en la implementación de políticas de prevención de la criminalidad</w:t>
            </w:r>
          </w:p>
        </w:tc>
        <w:tc>
          <w:tcPr>
            <w:tcW w:w="9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875922"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736037"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67%</w:t>
            </w:r>
          </w:p>
        </w:tc>
        <w:tc>
          <w:tcPr>
            <w:tcW w:w="10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3F0948"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67%</w:t>
            </w:r>
          </w:p>
        </w:tc>
      </w:tr>
      <w:tr w:rsidR="001C19EC" w:rsidRPr="00DC0575" w14:paraId="30D8B2B7" w14:textId="77777777" w:rsidTr="00637245">
        <w:trPr>
          <w:trHeight w:val="606"/>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4FF8B48"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9</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A8F21F1"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Campañas de Formación Cívica y Ética, lucha contra la violencia de Género y la explotación sexual</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016241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C747F9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50BFBE"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r>
      <w:tr w:rsidR="001C19EC" w:rsidRPr="00DC0575" w14:paraId="6B29D457" w14:textId="77777777" w:rsidTr="00637245">
        <w:trPr>
          <w:trHeight w:val="303"/>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44CF665"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w:t>
            </w:r>
          </w:p>
        </w:tc>
        <w:tc>
          <w:tcPr>
            <w:tcW w:w="1924" w:type="pct"/>
            <w:tcBorders>
              <w:top w:val="nil"/>
              <w:left w:val="nil"/>
              <w:bottom w:val="single" w:sz="8" w:space="0" w:color="auto"/>
              <w:right w:val="single" w:sz="8" w:space="0" w:color="auto"/>
            </w:tcBorders>
            <w:tcMar>
              <w:top w:w="0" w:type="dxa"/>
              <w:left w:w="70" w:type="dxa"/>
              <w:bottom w:w="0" w:type="dxa"/>
              <w:right w:w="70" w:type="dxa"/>
            </w:tcMar>
            <w:vAlign w:val="bottom"/>
            <w:hideMark/>
          </w:tcPr>
          <w:p w14:paraId="179520FD"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 xml:space="preserve">Ampliar los servicios que ofrece la PGR </w:t>
            </w:r>
          </w:p>
        </w:tc>
        <w:tc>
          <w:tcPr>
            <w:tcW w:w="9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1F4866"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295D9F"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10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F9A489"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r>
      <w:tr w:rsidR="001C19EC" w:rsidRPr="00DC0575" w14:paraId="16580293" w14:textId="77777777" w:rsidTr="00637245">
        <w:trPr>
          <w:trHeight w:val="621"/>
        </w:trPr>
        <w:tc>
          <w:tcPr>
            <w:tcW w:w="326" w:type="pc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EC3ECC4"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11</w:t>
            </w:r>
          </w:p>
        </w:tc>
        <w:tc>
          <w:tcPr>
            <w:tcW w:w="192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7D5EE90D" w14:textId="77777777" w:rsidR="001C19EC" w:rsidRPr="00DC0575" w:rsidRDefault="001C19EC" w:rsidP="00637245">
            <w:pPr>
              <w:spacing w:after="0" w:line="240" w:lineRule="auto"/>
              <w:rPr>
                <w:rFonts w:eastAsia="Calibri" w:cs="Times New Roman"/>
                <w:color w:val="000000"/>
                <w:lang w:val="es-ES" w:eastAsia="es-DO"/>
              </w:rPr>
            </w:pPr>
            <w:r w:rsidRPr="00DC0575">
              <w:rPr>
                <w:rFonts w:eastAsia="Calibri" w:cs="Times New Roman"/>
                <w:color w:val="000000"/>
                <w:lang w:val="es-ES" w:eastAsia="es-DO"/>
              </w:rPr>
              <w:t>Leyes, normas y reformas contra la corrupción y preservación de los Derechos Humanos</w:t>
            </w:r>
          </w:p>
        </w:tc>
        <w:tc>
          <w:tcPr>
            <w:tcW w:w="94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D1F8D5C"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7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E7EE327"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c>
          <w:tcPr>
            <w:tcW w:w="105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4DD3C1D" w14:textId="77777777" w:rsidR="001C19EC" w:rsidRPr="00DC0575" w:rsidRDefault="001C19EC" w:rsidP="00637245">
            <w:pPr>
              <w:spacing w:after="0" w:line="240" w:lineRule="auto"/>
              <w:jc w:val="center"/>
              <w:rPr>
                <w:rFonts w:eastAsia="Calibri" w:cs="Times New Roman"/>
                <w:color w:val="000000"/>
                <w:lang w:val="es-ES" w:eastAsia="es-DO"/>
              </w:rPr>
            </w:pPr>
            <w:r w:rsidRPr="00DC0575">
              <w:rPr>
                <w:rFonts w:eastAsia="Calibri" w:cs="Times New Roman"/>
                <w:color w:val="000000"/>
                <w:lang w:val="es-ES" w:eastAsia="es-DO"/>
              </w:rPr>
              <w:t>100%</w:t>
            </w:r>
          </w:p>
        </w:tc>
      </w:tr>
    </w:tbl>
    <w:p w14:paraId="7FFC9102" w14:textId="77777777" w:rsidR="008705D9" w:rsidRPr="003242AE" w:rsidRDefault="008705D9" w:rsidP="00370DC0">
      <w:pPr>
        <w:pStyle w:val="Estilo7"/>
        <w:numPr>
          <w:ilvl w:val="0"/>
          <w:numId w:val="0"/>
        </w:numPr>
        <w:rPr>
          <w:rFonts w:cs="Times New Roman"/>
          <w:szCs w:val="32"/>
        </w:rPr>
      </w:pPr>
    </w:p>
    <w:p w14:paraId="643D04FA" w14:textId="77777777" w:rsidR="008705D9" w:rsidRPr="003242AE" w:rsidRDefault="008705D9" w:rsidP="008705D9">
      <w:pPr>
        <w:pStyle w:val="Estilo7"/>
        <w:numPr>
          <w:ilvl w:val="0"/>
          <w:numId w:val="0"/>
        </w:numPr>
        <w:ind w:left="3060"/>
        <w:rPr>
          <w:rFonts w:cs="Times New Roman"/>
          <w:szCs w:val="32"/>
        </w:rPr>
      </w:pPr>
    </w:p>
    <w:p w14:paraId="0369E7E0" w14:textId="77777777" w:rsidR="001C19EC" w:rsidRDefault="001C19EC" w:rsidP="00951609">
      <w:pPr>
        <w:pStyle w:val="Estilo7"/>
        <w:numPr>
          <w:ilvl w:val="2"/>
          <w:numId w:val="14"/>
        </w:numPr>
      </w:pPr>
      <w:bookmarkStart w:id="35" w:name="_Toc29820585"/>
      <w:bookmarkStart w:id="36" w:name="_Toc29820586"/>
      <w:bookmarkStart w:id="37" w:name="_Toc29820587"/>
      <w:bookmarkStart w:id="38" w:name="_Toc29820588"/>
      <w:bookmarkStart w:id="39" w:name="_Toc29820593"/>
      <w:bookmarkStart w:id="40" w:name="_Toc29820610"/>
      <w:bookmarkStart w:id="41" w:name="_Toc29820611"/>
      <w:bookmarkStart w:id="42" w:name="_Toc29820617"/>
      <w:bookmarkStart w:id="43" w:name="_Toc29820620"/>
      <w:bookmarkStart w:id="44" w:name="_Toc29820678"/>
      <w:bookmarkStart w:id="45" w:name="_Toc29820680"/>
      <w:bookmarkStart w:id="46" w:name="_Toc29820682"/>
      <w:bookmarkStart w:id="47" w:name="_Toc29820683"/>
      <w:bookmarkStart w:id="48" w:name="_Toc29820684"/>
      <w:bookmarkStart w:id="49" w:name="_Toc29577318"/>
      <w:bookmarkStart w:id="50" w:name="_Toc29891703"/>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339E3">
        <w:t>Sistema de Monitoreo y Medición de la Gestión Pública (SMMGP)</w:t>
      </w:r>
      <w:bookmarkEnd w:id="49"/>
      <w:bookmarkEnd w:id="50"/>
    </w:p>
    <w:p w14:paraId="3791CD2C" w14:textId="77777777" w:rsidR="00932739" w:rsidRDefault="00932739" w:rsidP="00932739">
      <w:pPr>
        <w:pStyle w:val="Estilo7"/>
        <w:numPr>
          <w:ilvl w:val="0"/>
          <w:numId w:val="0"/>
        </w:numPr>
        <w:ind w:left="2340"/>
      </w:pPr>
    </w:p>
    <w:p w14:paraId="10F1395F" w14:textId="77777777" w:rsidR="001C19EC" w:rsidRDefault="001C19EC" w:rsidP="001C19EC">
      <w:pPr>
        <w:spacing w:line="480" w:lineRule="auto"/>
        <w:ind w:firstLine="360"/>
        <w:jc w:val="both"/>
        <w:rPr>
          <w:rFonts w:cs="Times New Roman"/>
          <w:szCs w:val="24"/>
        </w:rPr>
      </w:pPr>
      <w:r w:rsidRPr="00365089">
        <w:rPr>
          <w:rFonts w:cs="Times New Roman"/>
          <w:szCs w:val="24"/>
        </w:rPr>
        <w:t>E</w:t>
      </w:r>
      <w:r>
        <w:rPr>
          <w:rFonts w:cs="Times New Roman"/>
          <w:szCs w:val="24"/>
        </w:rPr>
        <w:t>l Sistema de</w:t>
      </w:r>
      <w:r w:rsidRPr="00365089">
        <w:rPr>
          <w:rFonts w:cs="Times New Roman"/>
          <w:szCs w:val="24"/>
        </w:rPr>
        <w:t xml:space="preserve"> </w:t>
      </w:r>
      <w:r>
        <w:rPr>
          <w:rFonts w:cs="Times New Roman"/>
          <w:szCs w:val="24"/>
        </w:rPr>
        <w:t>Monitoreo y Medición de la Gestión Pública (SMMGP), es el instrumento dirigido a desplegar la estrategia de consolidación y monitoreo de los indicadores claves para el Gobierno Dominicano, correspondiente al cumplimiento de:</w:t>
      </w:r>
    </w:p>
    <w:p w14:paraId="11329F72"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La Ley No. 41-08 de Función Pública con el Sistema de Monitoreo de la Administración Pública (SISMAP).</w:t>
      </w:r>
    </w:p>
    <w:p w14:paraId="5E1B9927"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El Índice de Uso de TIC e Implementación de Gobierno Electrónico (ITICGE).</w:t>
      </w:r>
    </w:p>
    <w:p w14:paraId="63CF449C"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Las Normas Básicas de Control Interno (NOBACI).</w:t>
      </w:r>
    </w:p>
    <w:p w14:paraId="2187ED8A"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El Índice de Transparencia Gubernamental.</w:t>
      </w:r>
    </w:p>
    <w:p w14:paraId="76B08AF1"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El Índice de Gestión Presupuestaria.</w:t>
      </w:r>
    </w:p>
    <w:p w14:paraId="6DCF2826"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t>El Uso del Sistema Nacional de Contrataciones Públicas.</w:t>
      </w:r>
    </w:p>
    <w:p w14:paraId="3F442986" w14:textId="77777777" w:rsidR="001C19EC" w:rsidRDefault="001C19EC" w:rsidP="00951609">
      <w:pPr>
        <w:pStyle w:val="Prrafodelista"/>
        <w:numPr>
          <w:ilvl w:val="0"/>
          <w:numId w:val="6"/>
        </w:numPr>
        <w:spacing w:line="480" w:lineRule="auto"/>
        <w:jc w:val="both"/>
        <w:rPr>
          <w:rFonts w:cs="Times New Roman"/>
          <w:szCs w:val="24"/>
        </w:rPr>
      </w:pPr>
      <w:r>
        <w:rPr>
          <w:rFonts w:cs="Times New Roman"/>
          <w:szCs w:val="24"/>
        </w:rPr>
        <w:lastRenderedPageBreak/>
        <w:t>El cumplimiento de la Ley No. 200-04 sobre Libre Acceso a la Información Pública.</w:t>
      </w:r>
    </w:p>
    <w:p w14:paraId="34F9CCED" w14:textId="77777777" w:rsidR="001C19EC" w:rsidRPr="001B5D26" w:rsidRDefault="001C19EC" w:rsidP="001C19EC">
      <w:pPr>
        <w:spacing w:line="480" w:lineRule="auto"/>
        <w:ind w:firstLine="360"/>
        <w:jc w:val="both"/>
        <w:rPr>
          <w:rFonts w:cs="Times New Roman"/>
          <w:szCs w:val="24"/>
        </w:rPr>
      </w:pPr>
      <w:r>
        <w:rPr>
          <w:rFonts w:cs="Times New Roman"/>
          <w:szCs w:val="24"/>
        </w:rPr>
        <w:t>En tal sentido, la PGR ha logrado al cierre del año 2019 un 96% de desempeño en el Sistema de</w:t>
      </w:r>
      <w:r w:rsidRPr="00365089">
        <w:rPr>
          <w:rFonts w:cs="Times New Roman"/>
          <w:szCs w:val="24"/>
        </w:rPr>
        <w:t xml:space="preserve"> </w:t>
      </w:r>
      <w:r>
        <w:rPr>
          <w:rFonts w:cs="Times New Roman"/>
          <w:szCs w:val="24"/>
        </w:rPr>
        <w:t>Monitoreo y Medición de la Gestión Pública (SMMGP), como resultado de los avances alcanzados en los indicadores citados anteriormente, destacándose el cumplimiento del control interno con un 100%.</w:t>
      </w:r>
    </w:p>
    <w:p w14:paraId="6E37725E" w14:textId="77777777" w:rsidR="001C19EC" w:rsidRDefault="001C19EC" w:rsidP="00951609">
      <w:pPr>
        <w:pStyle w:val="Estilo7"/>
        <w:numPr>
          <w:ilvl w:val="2"/>
          <w:numId w:val="14"/>
        </w:numPr>
      </w:pPr>
      <w:bookmarkStart w:id="51" w:name="_Toc29577319"/>
      <w:bookmarkStart w:id="52" w:name="_Toc29891704"/>
      <w:r>
        <w:t>Sistema de Monitoreo de la Administración Pública (SISMAP)</w:t>
      </w:r>
      <w:bookmarkEnd w:id="51"/>
      <w:bookmarkEnd w:id="52"/>
    </w:p>
    <w:p w14:paraId="1EDCAA62" w14:textId="77777777" w:rsidR="00932739" w:rsidRDefault="00932739" w:rsidP="00932739">
      <w:pPr>
        <w:pStyle w:val="Estilo7"/>
        <w:numPr>
          <w:ilvl w:val="0"/>
          <w:numId w:val="0"/>
        </w:numPr>
        <w:ind w:left="2340"/>
      </w:pPr>
    </w:p>
    <w:p w14:paraId="602B6AEB" w14:textId="77777777" w:rsidR="001C19EC" w:rsidRDefault="001C19EC" w:rsidP="001C19EC">
      <w:pPr>
        <w:spacing w:line="480" w:lineRule="auto"/>
        <w:ind w:firstLine="708"/>
        <w:jc w:val="both"/>
        <w:rPr>
          <w:rFonts w:cs="Times New Roman"/>
          <w:szCs w:val="24"/>
        </w:rPr>
      </w:pPr>
      <w:r>
        <w:rPr>
          <w:rFonts w:cs="Times New Roman"/>
          <w:szCs w:val="24"/>
        </w:rPr>
        <w:t xml:space="preserve">Comprometidos con el fortalecimiento institucional, la Procuraduría General de la República (PGR) ha desarrollado planes, estrategias y proyectos durante el año 2019, orientados a incrementar el nivel de cumplimiento en los indicadores establecidos en el Sistema de Monitoreo de la Administración Pública (SISMAP), logrando posicionarse dentro de los primeros cinco lugares al cierre del año con un </w:t>
      </w:r>
      <w:r w:rsidRPr="00A54EEF">
        <w:rPr>
          <w:rFonts w:cs="Times New Roman"/>
          <w:b/>
          <w:szCs w:val="24"/>
        </w:rPr>
        <w:t>97.0</w:t>
      </w:r>
      <w:r>
        <w:rPr>
          <w:rFonts w:cs="Times New Roman"/>
          <w:b/>
          <w:szCs w:val="24"/>
        </w:rPr>
        <w:t>8</w:t>
      </w:r>
      <w:r w:rsidRPr="00A54EEF">
        <w:rPr>
          <w:rFonts w:cs="Times New Roman"/>
          <w:b/>
          <w:szCs w:val="24"/>
        </w:rPr>
        <w:t>%</w:t>
      </w:r>
      <w:r>
        <w:rPr>
          <w:rFonts w:cs="Times New Roman"/>
          <w:b/>
          <w:szCs w:val="24"/>
        </w:rPr>
        <w:t xml:space="preserve"> </w:t>
      </w:r>
      <w:r w:rsidRPr="00E773FB">
        <w:rPr>
          <w:rFonts w:cs="Times New Roman"/>
          <w:szCs w:val="24"/>
        </w:rPr>
        <w:t>de desempeño</w:t>
      </w:r>
    </w:p>
    <w:p w14:paraId="7CB1B36D" w14:textId="77777777" w:rsidR="001C19EC" w:rsidRDefault="001C19EC" w:rsidP="001C19EC">
      <w:pPr>
        <w:spacing w:line="480" w:lineRule="auto"/>
        <w:ind w:firstLine="708"/>
        <w:jc w:val="both"/>
        <w:rPr>
          <w:rFonts w:cs="Times New Roman"/>
          <w:szCs w:val="24"/>
        </w:rPr>
      </w:pPr>
      <w:r>
        <w:rPr>
          <w:rFonts w:cs="Times New Roman"/>
          <w:szCs w:val="24"/>
        </w:rPr>
        <w:t xml:space="preserve">Sobre el SISMAP, se destacan los avances alcanzados en los indicadores de Gestión del Talento Humano, en el marco de los principios de la eficiencia, objetividad, transparencia y publicidad, entre otros que establece la Constitución de la República Dominicana para la Administración Pública, las directrices de la Ley No. 41-08 de Función Pública y sus reglamentos. </w:t>
      </w:r>
    </w:p>
    <w:p w14:paraId="483D58AE" w14:textId="77777777" w:rsidR="001C19EC" w:rsidRDefault="001C19EC" w:rsidP="001C19EC">
      <w:pPr>
        <w:spacing w:line="480" w:lineRule="auto"/>
        <w:ind w:firstLine="708"/>
        <w:jc w:val="both"/>
        <w:rPr>
          <w:rFonts w:cs="Times New Roman"/>
          <w:szCs w:val="24"/>
        </w:rPr>
      </w:pPr>
      <w:r w:rsidRPr="00AB0655">
        <w:rPr>
          <w:rFonts w:cs="Times New Roman"/>
          <w:szCs w:val="24"/>
        </w:rPr>
        <w:t xml:space="preserve">Siendo esto evidencia de </w:t>
      </w:r>
      <w:r>
        <w:rPr>
          <w:rFonts w:cs="Times New Roman"/>
          <w:szCs w:val="24"/>
        </w:rPr>
        <w:t xml:space="preserve">los avances obtenidos en términos de </w:t>
      </w:r>
      <w:r w:rsidRPr="00AB0655">
        <w:rPr>
          <w:rFonts w:cs="Times New Roman"/>
          <w:szCs w:val="24"/>
        </w:rPr>
        <w:t>la calidad de los servicios públicos y e</w:t>
      </w:r>
      <w:r>
        <w:rPr>
          <w:rFonts w:cs="Times New Roman"/>
          <w:szCs w:val="24"/>
        </w:rPr>
        <w:t xml:space="preserve">l fortalecimiento de la gestión </w:t>
      </w:r>
      <w:r w:rsidRPr="00AB0655">
        <w:rPr>
          <w:rFonts w:cs="Times New Roman"/>
          <w:szCs w:val="24"/>
        </w:rPr>
        <w:t>humana e institucional</w:t>
      </w:r>
      <w:r>
        <w:rPr>
          <w:rFonts w:cs="Times New Roman"/>
          <w:szCs w:val="24"/>
        </w:rPr>
        <w:t xml:space="preserve">, tal como presentamos a continuación: </w:t>
      </w:r>
    </w:p>
    <w:p w14:paraId="747FDD41" w14:textId="77777777" w:rsidR="001C19EC" w:rsidRPr="00151C1F" w:rsidRDefault="001C19EC" w:rsidP="00951609">
      <w:pPr>
        <w:pStyle w:val="Prrafodelista"/>
        <w:numPr>
          <w:ilvl w:val="0"/>
          <w:numId w:val="18"/>
        </w:numPr>
        <w:spacing w:line="480" w:lineRule="auto"/>
        <w:jc w:val="both"/>
        <w:rPr>
          <w:rFonts w:cs="Times New Roman"/>
          <w:szCs w:val="24"/>
        </w:rPr>
      </w:pPr>
      <w:r w:rsidRPr="00151C1F">
        <w:rPr>
          <w:rFonts w:cs="Times New Roman"/>
          <w:b/>
          <w:szCs w:val="24"/>
        </w:rPr>
        <w:t>Gestión de la Calidad y Servicios:</w:t>
      </w:r>
      <w:r w:rsidRPr="00151C1F">
        <w:rPr>
          <w:rFonts w:cs="Times New Roman"/>
          <w:szCs w:val="24"/>
        </w:rPr>
        <w:t xml:space="preserve"> en este indicador se ha logrado un avance de un 96% gracias a los logros alcanzados en términos de la </w:t>
      </w:r>
      <w:r>
        <w:rPr>
          <w:rFonts w:cs="Times New Roman"/>
          <w:szCs w:val="24"/>
        </w:rPr>
        <w:t xml:space="preserve">gestión de la </w:t>
      </w:r>
      <w:r w:rsidRPr="00151C1F">
        <w:rPr>
          <w:rFonts w:cs="Times New Roman"/>
          <w:szCs w:val="24"/>
        </w:rPr>
        <w:t xml:space="preserve">calidad institucional, dentro de </w:t>
      </w:r>
      <w:r>
        <w:rPr>
          <w:rFonts w:cs="Times New Roman"/>
          <w:szCs w:val="24"/>
        </w:rPr>
        <w:t>estos logros se valoran por su importancia</w:t>
      </w:r>
      <w:r w:rsidRPr="00151C1F">
        <w:rPr>
          <w:rFonts w:cs="Times New Roman"/>
          <w:szCs w:val="24"/>
        </w:rPr>
        <w:t xml:space="preserve"> la </w:t>
      </w:r>
      <w:r w:rsidRPr="00151C1F">
        <w:rPr>
          <w:rFonts w:cs="Times New Roman"/>
          <w:szCs w:val="24"/>
        </w:rPr>
        <w:lastRenderedPageBreak/>
        <w:t xml:space="preserve">implementación </w:t>
      </w:r>
      <w:r>
        <w:rPr>
          <w:rFonts w:cs="Times New Roman"/>
          <w:szCs w:val="24"/>
        </w:rPr>
        <w:t>en un 100</w:t>
      </w:r>
      <w:r w:rsidRPr="00151C1F">
        <w:rPr>
          <w:rFonts w:cs="Times New Roman"/>
          <w:szCs w:val="24"/>
        </w:rPr>
        <w:t>% del “</w:t>
      </w:r>
      <w:r>
        <w:rPr>
          <w:rFonts w:cs="Times New Roman"/>
          <w:szCs w:val="24"/>
        </w:rPr>
        <w:t>Marco Común de Evaluación (CAF por sus siglas en inglés)</w:t>
      </w:r>
      <w:r w:rsidRPr="00151C1F">
        <w:rPr>
          <w:rFonts w:cs="Times New Roman"/>
          <w:szCs w:val="24"/>
        </w:rPr>
        <w:t xml:space="preserve">” y la </w:t>
      </w:r>
      <w:r>
        <w:rPr>
          <w:rFonts w:cs="Times New Roman"/>
          <w:szCs w:val="24"/>
        </w:rPr>
        <w:t>“</w:t>
      </w:r>
      <w:r w:rsidRPr="00151C1F">
        <w:rPr>
          <w:rFonts w:cs="Times New Roman"/>
          <w:szCs w:val="24"/>
        </w:rPr>
        <w:t>Carta Compromiso al Ciudadano</w:t>
      </w:r>
      <w:r>
        <w:rPr>
          <w:rFonts w:cs="Times New Roman"/>
          <w:szCs w:val="24"/>
        </w:rPr>
        <w:t>”</w:t>
      </w:r>
      <w:r w:rsidRPr="00151C1F">
        <w:rPr>
          <w:rFonts w:cs="Times New Roman"/>
          <w:szCs w:val="24"/>
        </w:rPr>
        <w:t>,</w:t>
      </w:r>
      <w:r>
        <w:rPr>
          <w:rFonts w:cs="Times New Roman"/>
          <w:szCs w:val="24"/>
        </w:rPr>
        <w:t xml:space="preserve"> </w:t>
      </w:r>
      <w:r w:rsidRPr="00151C1F">
        <w:rPr>
          <w:rFonts w:cs="Times New Roman"/>
          <w:szCs w:val="24"/>
        </w:rPr>
        <w:t xml:space="preserve"> igualmente se destacan los avances </w:t>
      </w:r>
      <w:r>
        <w:rPr>
          <w:rFonts w:cs="Times New Roman"/>
          <w:szCs w:val="24"/>
        </w:rPr>
        <w:t xml:space="preserve">alcanzados </w:t>
      </w:r>
      <w:r w:rsidRPr="00151C1F">
        <w:rPr>
          <w:rFonts w:cs="Times New Roman"/>
          <w:szCs w:val="24"/>
        </w:rPr>
        <w:t xml:space="preserve">en la estandarización de los procesos y la gestión de la transparencia en las informaciones de los servicios y los funcionarios de la institución. </w:t>
      </w:r>
      <w:r>
        <w:rPr>
          <w:rFonts w:cs="Times New Roman"/>
          <w:szCs w:val="24"/>
        </w:rPr>
        <w:t>a través de implementación de una gestión de la calidad y de los servicios, la PGR ha podido traducir sus esfuerzos</w:t>
      </w:r>
      <w:r w:rsidRPr="00151C1F">
        <w:rPr>
          <w:rFonts w:cs="Times New Roman"/>
          <w:szCs w:val="24"/>
        </w:rPr>
        <w:t xml:space="preserve"> en resultados </w:t>
      </w:r>
      <w:r>
        <w:rPr>
          <w:rFonts w:cs="Times New Roman"/>
          <w:szCs w:val="24"/>
        </w:rPr>
        <w:t xml:space="preserve">concretos y </w:t>
      </w:r>
      <w:r w:rsidRPr="00151C1F">
        <w:rPr>
          <w:rFonts w:cs="Times New Roman"/>
          <w:szCs w:val="24"/>
        </w:rPr>
        <w:t>satisfactorios frente a los requerimientos de la población, apuntando a una gestión eficiente y eficaz como dicta la Estrategia Nacional de Desarrollo (END) 2030.</w:t>
      </w:r>
    </w:p>
    <w:p w14:paraId="685802D8" w14:textId="77777777" w:rsidR="001C19EC" w:rsidRDefault="001C19EC" w:rsidP="00951609">
      <w:pPr>
        <w:pStyle w:val="Prrafodelista"/>
        <w:numPr>
          <w:ilvl w:val="0"/>
          <w:numId w:val="7"/>
        </w:numPr>
        <w:spacing w:line="480" w:lineRule="auto"/>
        <w:ind w:left="709"/>
        <w:jc w:val="both"/>
        <w:rPr>
          <w:rFonts w:cs="Times New Roman"/>
          <w:szCs w:val="24"/>
        </w:rPr>
      </w:pPr>
      <w:r w:rsidRPr="009C4D0F">
        <w:rPr>
          <w:rFonts w:cs="Times New Roman"/>
          <w:b/>
          <w:szCs w:val="24"/>
        </w:rPr>
        <w:t>Organización de la Función de Recursos Humanos</w:t>
      </w:r>
      <w:r>
        <w:rPr>
          <w:rFonts w:cs="Times New Roman"/>
          <w:szCs w:val="24"/>
        </w:rPr>
        <w:t>: con logro de un 100% en el indicador, ha podido ser fortalecida la función de Función de Recursos Humanos y el Nivel de Administración del Sistema de Carrera de la PGR, gracias a la realización de una correcta autoevaluación de la función de los recursos humanos y a la capacitación del recurso humano sobre la Ley 41-08 de Función Pública,</w:t>
      </w:r>
    </w:p>
    <w:p w14:paraId="1371F89B" w14:textId="77777777" w:rsidR="001C19EC" w:rsidRDefault="001C19EC" w:rsidP="00951609">
      <w:pPr>
        <w:pStyle w:val="Prrafodelista"/>
        <w:numPr>
          <w:ilvl w:val="0"/>
          <w:numId w:val="7"/>
        </w:numPr>
        <w:spacing w:line="480" w:lineRule="auto"/>
        <w:ind w:left="709"/>
        <w:jc w:val="both"/>
        <w:rPr>
          <w:rFonts w:cs="Times New Roman"/>
          <w:szCs w:val="24"/>
        </w:rPr>
      </w:pPr>
      <w:r w:rsidRPr="009C4D0F">
        <w:rPr>
          <w:rFonts w:cs="Times New Roman"/>
          <w:b/>
          <w:szCs w:val="24"/>
        </w:rPr>
        <w:t>Planificación de Recursos Humanos:</w:t>
      </w:r>
      <w:r>
        <w:rPr>
          <w:rFonts w:cs="Times New Roman"/>
          <w:szCs w:val="24"/>
        </w:rPr>
        <w:t xml:space="preserve"> La correcta identificación de las necesidades actuales y futuras de recursos humanos para que la PGR alcance sus objetivos, asegurando una correcta provisión de talentos y el desarrollo de la carrera administrativa le ha permitido a la institución alcanzar el logro del 100% en este indicador.</w:t>
      </w:r>
    </w:p>
    <w:p w14:paraId="165B0783" w14:textId="77777777" w:rsidR="001C19EC" w:rsidRDefault="001C19EC" w:rsidP="00951609">
      <w:pPr>
        <w:pStyle w:val="Prrafodelista"/>
        <w:numPr>
          <w:ilvl w:val="0"/>
          <w:numId w:val="7"/>
        </w:numPr>
        <w:spacing w:line="480" w:lineRule="auto"/>
        <w:ind w:left="567"/>
        <w:jc w:val="both"/>
        <w:rPr>
          <w:rFonts w:cs="Times New Roman"/>
          <w:szCs w:val="24"/>
        </w:rPr>
      </w:pPr>
      <w:r w:rsidRPr="009C4D0F">
        <w:rPr>
          <w:rFonts w:cs="Times New Roman"/>
          <w:b/>
          <w:szCs w:val="24"/>
        </w:rPr>
        <w:t>Organización del Trabajo:</w:t>
      </w:r>
      <w:r>
        <w:rPr>
          <w:rFonts w:cs="Times New Roman"/>
          <w:szCs w:val="24"/>
        </w:rPr>
        <w:t xml:space="preserve"> este indicador obtuvo un cumplimiento de un 96.67% gracias a la actualización de la Estructura Organizativa Macro de la institución y la elaboración del Manual de Cargos y Funciones.</w:t>
      </w:r>
    </w:p>
    <w:p w14:paraId="3D3BDEB8" w14:textId="587DED52" w:rsidR="001C19EC" w:rsidRDefault="001C19EC" w:rsidP="00951609">
      <w:pPr>
        <w:pStyle w:val="Prrafodelista"/>
        <w:numPr>
          <w:ilvl w:val="0"/>
          <w:numId w:val="7"/>
        </w:numPr>
        <w:spacing w:line="480" w:lineRule="auto"/>
        <w:ind w:left="567"/>
        <w:jc w:val="both"/>
        <w:rPr>
          <w:rFonts w:cs="Times New Roman"/>
          <w:szCs w:val="24"/>
        </w:rPr>
      </w:pPr>
      <w:r w:rsidRPr="009C4D0F">
        <w:rPr>
          <w:rFonts w:cs="Times New Roman"/>
          <w:b/>
          <w:szCs w:val="24"/>
        </w:rPr>
        <w:t>Gestión del Empleo:</w:t>
      </w:r>
      <w:r>
        <w:rPr>
          <w:rFonts w:cs="Times New Roman"/>
          <w:szCs w:val="24"/>
        </w:rPr>
        <w:t xml:space="preserve"> Los avances obtenidos en la labor de las relaciones laborales y la mejora del sistema de compensaciones y beneficios de la PGR le han permitido a la institución mejorar la retención de sus recursos humanos, lo cual se ha traducido </w:t>
      </w:r>
      <w:r>
        <w:rPr>
          <w:rFonts w:cs="Times New Roman"/>
          <w:szCs w:val="24"/>
        </w:rPr>
        <w:lastRenderedPageBreak/>
        <w:t>en una baja rotación de personal, esto junto a la implementación del Sistema de Administración de los Servidores Públicos (SASP) contribuyeron al logro de un 100% en este indicador.</w:t>
      </w:r>
    </w:p>
    <w:p w14:paraId="3CDC002D" w14:textId="77777777" w:rsidR="001C19EC" w:rsidRDefault="001C19EC" w:rsidP="00951609">
      <w:pPr>
        <w:pStyle w:val="Prrafodelista"/>
        <w:numPr>
          <w:ilvl w:val="0"/>
          <w:numId w:val="7"/>
        </w:numPr>
        <w:spacing w:line="480" w:lineRule="auto"/>
        <w:ind w:left="567"/>
        <w:jc w:val="both"/>
        <w:rPr>
          <w:rFonts w:cs="Times New Roman"/>
          <w:szCs w:val="24"/>
        </w:rPr>
      </w:pPr>
      <w:r w:rsidRPr="009C4D0F">
        <w:rPr>
          <w:rFonts w:cs="Times New Roman"/>
          <w:b/>
          <w:szCs w:val="24"/>
        </w:rPr>
        <w:t>Gestión de la Compensación y Beneficios:</w:t>
      </w:r>
      <w:r>
        <w:rPr>
          <w:rFonts w:cs="Times New Roman"/>
          <w:szCs w:val="24"/>
        </w:rPr>
        <w:t xml:space="preserve"> en términos de la gestión de compensación y beneficios se obtuvieron avances significativos gracias a la aprobación de la escala salarial de la PGR, logrando cerrar el indicador con un 100% de desempeño.</w:t>
      </w:r>
    </w:p>
    <w:p w14:paraId="5EFF9530" w14:textId="77777777" w:rsidR="001C19EC" w:rsidRDefault="001C19EC" w:rsidP="00951609">
      <w:pPr>
        <w:pStyle w:val="Prrafodelista"/>
        <w:numPr>
          <w:ilvl w:val="0"/>
          <w:numId w:val="7"/>
        </w:numPr>
        <w:spacing w:line="480" w:lineRule="auto"/>
        <w:ind w:left="567"/>
        <w:jc w:val="both"/>
        <w:rPr>
          <w:rFonts w:cs="Times New Roman"/>
          <w:szCs w:val="24"/>
        </w:rPr>
      </w:pPr>
      <w:r w:rsidRPr="009C4D0F">
        <w:rPr>
          <w:rFonts w:cs="Times New Roman"/>
          <w:b/>
          <w:szCs w:val="24"/>
        </w:rPr>
        <w:t>Gestión del Rendimiento:</w:t>
      </w:r>
      <w:r>
        <w:rPr>
          <w:rFonts w:cs="Times New Roman"/>
          <w:szCs w:val="24"/>
        </w:rPr>
        <w:t xml:space="preserve"> la gestión del rendimiento ha logrado un gran avance gracias a la implementación del modelo de evaluación por desempeño implementado en 2019, año en el cual la institución alcanzó un 85.50% en el indicador de “Gestión del Rendimiento”.</w:t>
      </w:r>
    </w:p>
    <w:p w14:paraId="0E0B4049" w14:textId="77777777" w:rsidR="001C19EC" w:rsidRDefault="001C19EC" w:rsidP="00951609">
      <w:pPr>
        <w:pStyle w:val="Prrafodelista"/>
        <w:numPr>
          <w:ilvl w:val="0"/>
          <w:numId w:val="7"/>
        </w:numPr>
        <w:spacing w:line="480" w:lineRule="auto"/>
        <w:ind w:left="426"/>
        <w:jc w:val="both"/>
        <w:rPr>
          <w:rFonts w:cs="Times New Roman"/>
          <w:szCs w:val="24"/>
        </w:rPr>
      </w:pPr>
      <w:r w:rsidRPr="009C4D0F">
        <w:rPr>
          <w:rFonts w:cs="Times New Roman"/>
          <w:b/>
          <w:szCs w:val="24"/>
        </w:rPr>
        <w:t>Gestión del Desarrollo:</w:t>
      </w:r>
      <w:r>
        <w:rPr>
          <w:rFonts w:cs="Times New Roman"/>
          <w:szCs w:val="24"/>
        </w:rPr>
        <w:t xml:space="preserve"> gracias a la implementación efectiva del plan de capacitación basado en la detección de necesidades, la PGR obtuvo un 100% de cumplimiento en el indicador de “Gestión del Desarrollo”.</w:t>
      </w:r>
    </w:p>
    <w:p w14:paraId="12812BE6" w14:textId="0D811211" w:rsidR="00932739" w:rsidRPr="00370DC0" w:rsidRDefault="001C19EC" w:rsidP="00932739">
      <w:pPr>
        <w:pStyle w:val="Prrafodelista"/>
        <w:numPr>
          <w:ilvl w:val="0"/>
          <w:numId w:val="7"/>
        </w:numPr>
        <w:spacing w:line="480" w:lineRule="auto"/>
        <w:ind w:left="426"/>
        <w:jc w:val="both"/>
        <w:rPr>
          <w:rFonts w:cs="Times New Roman"/>
          <w:szCs w:val="24"/>
        </w:rPr>
      </w:pPr>
      <w:r w:rsidRPr="009C4D0F">
        <w:rPr>
          <w:rFonts w:cs="Times New Roman"/>
          <w:b/>
          <w:szCs w:val="24"/>
        </w:rPr>
        <w:t xml:space="preserve">Gestión de las </w:t>
      </w:r>
      <w:r>
        <w:rPr>
          <w:rFonts w:cs="Times New Roman"/>
          <w:b/>
          <w:szCs w:val="24"/>
        </w:rPr>
        <w:t>R</w:t>
      </w:r>
      <w:r w:rsidRPr="009C4D0F">
        <w:rPr>
          <w:rFonts w:cs="Times New Roman"/>
          <w:b/>
          <w:szCs w:val="24"/>
        </w:rPr>
        <w:t>elaciones Laborales y Sociales:</w:t>
      </w:r>
      <w:r>
        <w:rPr>
          <w:rFonts w:cs="Times New Roman"/>
          <w:szCs w:val="24"/>
        </w:rPr>
        <w:t xml:space="preserve"> la implementación del Sistema de Seguridad y Salud en el Trabajo, la elaboración de la Encuesta de Clima Laboral y el Pago de Beneficios Laborales de manera oportuna permitieron que la PGR tuviera un cumplimiento</w:t>
      </w:r>
      <w:r w:rsidR="00370DC0">
        <w:rPr>
          <w:rFonts w:cs="Times New Roman"/>
          <w:szCs w:val="24"/>
        </w:rPr>
        <w:t xml:space="preserve"> de un 97.80% en este indicador.</w:t>
      </w:r>
    </w:p>
    <w:p w14:paraId="0BB42C6E" w14:textId="77777777" w:rsidR="001C19EC" w:rsidRDefault="001C19EC" w:rsidP="00951609">
      <w:pPr>
        <w:pStyle w:val="Estilo7"/>
        <w:numPr>
          <w:ilvl w:val="1"/>
          <w:numId w:val="14"/>
        </w:numPr>
      </w:pPr>
      <w:bookmarkStart w:id="53" w:name="_Toc29577320"/>
      <w:bookmarkStart w:id="54" w:name="_Toc29891705"/>
      <w:r w:rsidRPr="00E339E3">
        <w:t xml:space="preserve">Perspectiva </w:t>
      </w:r>
      <w:r w:rsidRPr="00932739">
        <w:t>Operativa</w:t>
      </w:r>
      <w:bookmarkEnd w:id="53"/>
      <w:bookmarkEnd w:id="54"/>
    </w:p>
    <w:p w14:paraId="4E7E778A" w14:textId="77777777" w:rsidR="00932739" w:rsidRDefault="00932739" w:rsidP="00932739">
      <w:pPr>
        <w:pStyle w:val="Estilo7"/>
        <w:numPr>
          <w:ilvl w:val="0"/>
          <w:numId w:val="0"/>
        </w:numPr>
        <w:ind w:left="1620"/>
      </w:pPr>
    </w:p>
    <w:p w14:paraId="1A193721" w14:textId="77777777" w:rsidR="001C19EC" w:rsidRDefault="001C19EC" w:rsidP="00951609">
      <w:pPr>
        <w:pStyle w:val="Estilo7"/>
        <w:numPr>
          <w:ilvl w:val="2"/>
          <w:numId w:val="14"/>
        </w:numPr>
      </w:pPr>
      <w:bookmarkStart w:id="55" w:name="_Toc29577321"/>
      <w:bookmarkStart w:id="56" w:name="_Toc29891706"/>
      <w:r>
        <w:t>Índice de Transparencia</w:t>
      </w:r>
      <w:bookmarkEnd w:id="55"/>
      <w:bookmarkEnd w:id="56"/>
    </w:p>
    <w:p w14:paraId="64BCC631" w14:textId="77777777" w:rsidR="00932739" w:rsidRDefault="00932739" w:rsidP="00932739">
      <w:pPr>
        <w:pStyle w:val="Estilo7"/>
        <w:numPr>
          <w:ilvl w:val="0"/>
          <w:numId w:val="0"/>
        </w:numPr>
        <w:ind w:left="2340"/>
      </w:pPr>
    </w:p>
    <w:p w14:paraId="5464A52F" w14:textId="77777777" w:rsidR="001C19EC" w:rsidRDefault="001C19EC" w:rsidP="001C19EC">
      <w:pPr>
        <w:spacing w:line="480" w:lineRule="auto"/>
        <w:ind w:firstLine="708"/>
        <w:jc w:val="both"/>
        <w:rPr>
          <w:rFonts w:cs="Times New Roman"/>
          <w:szCs w:val="24"/>
        </w:rPr>
      </w:pPr>
      <w:r w:rsidRPr="00615710">
        <w:rPr>
          <w:rFonts w:cs="Times New Roman"/>
          <w:szCs w:val="24"/>
        </w:rPr>
        <w:t xml:space="preserve">En virtud de lo que establece la Ley </w:t>
      </w:r>
      <w:r>
        <w:rPr>
          <w:rFonts w:cs="Times New Roman"/>
          <w:szCs w:val="24"/>
        </w:rPr>
        <w:t>No.</w:t>
      </w:r>
      <w:r w:rsidRPr="004051CB">
        <w:rPr>
          <w:rFonts w:cs="Times New Roman"/>
          <w:szCs w:val="24"/>
        </w:rPr>
        <w:t xml:space="preserve"> </w:t>
      </w:r>
      <w:r w:rsidRPr="00615710">
        <w:rPr>
          <w:rFonts w:cs="Times New Roman"/>
          <w:szCs w:val="24"/>
        </w:rPr>
        <w:t>200-04</w:t>
      </w:r>
      <w:r>
        <w:rPr>
          <w:rFonts w:cs="Times New Roman"/>
          <w:szCs w:val="24"/>
        </w:rPr>
        <w:t xml:space="preserve"> </w:t>
      </w:r>
      <w:r w:rsidRPr="00615710">
        <w:rPr>
          <w:rFonts w:cs="Times New Roman"/>
          <w:szCs w:val="24"/>
        </w:rPr>
        <w:t>General de Libre Acceso a la Información Pública y el</w:t>
      </w:r>
      <w:r>
        <w:rPr>
          <w:rFonts w:cs="Times New Roman"/>
          <w:szCs w:val="24"/>
        </w:rPr>
        <w:t xml:space="preserve"> Decreto No. 130-05 que aprueba el r</w:t>
      </w:r>
      <w:r w:rsidRPr="00615710">
        <w:rPr>
          <w:rFonts w:cs="Times New Roman"/>
          <w:szCs w:val="24"/>
        </w:rPr>
        <w:t xml:space="preserve">eglamento de esa </w:t>
      </w:r>
      <w:r>
        <w:rPr>
          <w:rFonts w:cs="Times New Roman"/>
          <w:szCs w:val="24"/>
        </w:rPr>
        <w:t>L</w:t>
      </w:r>
      <w:r w:rsidRPr="00615710">
        <w:rPr>
          <w:rFonts w:cs="Times New Roman"/>
          <w:szCs w:val="24"/>
        </w:rPr>
        <w:t>e</w:t>
      </w:r>
      <w:r>
        <w:rPr>
          <w:rFonts w:cs="Times New Roman"/>
          <w:szCs w:val="24"/>
        </w:rPr>
        <w:t>y</w:t>
      </w:r>
      <w:r w:rsidRPr="00615710">
        <w:rPr>
          <w:rFonts w:cs="Times New Roman"/>
          <w:szCs w:val="24"/>
        </w:rPr>
        <w:t xml:space="preserve">, la </w:t>
      </w:r>
      <w:r>
        <w:rPr>
          <w:rFonts w:cs="Times New Roman"/>
          <w:szCs w:val="24"/>
        </w:rPr>
        <w:t>Procuraduría General de la República (PGR</w:t>
      </w:r>
      <w:r w:rsidRPr="00615710">
        <w:rPr>
          <w:rFonts w:cs="Times New Roman"/>
          <w:szCs w:val="24"/>
        </w:rPr>
        <w:t xml:space="preserve">) </w:t>
      </w:r>
      <w:r>
        <w:rPr>
          <w:rFonts w:cs="Times New Roman"/>
          <w:szCs w:val="24"/>
        </w:rPr>
        <w:t>se ha propuesto dar</w:t>
      </w:r>
      <w:r w:rsidRPr="00615710">
        <w:rPr>
          <w:rFonts w:cs="Times New Roman"/>
          <w:szCs w:val="24"/>
        </w:rPr>
        <w:t xml:space="preserve"> cumpli</w:t>
      </w:r>
      <w:r>
        <w:rPr>
          <w:rFonts w:cs="Times New Roman"/>
          <w:szCs w:val="24"/>
        </w:rPr>
        <w:t>miento irrestricto a dichas disposiciones legales</w:t>
      </w:r>
      <w:r w:rsidRPr="00615710">
        <w:rPr>
          <w:rFonts w:cs="Times New Roman"/>
          <w:szCs w:val="24"/>
        </w:rPr>
        <w:t>,</w:t>
      </w:r>
      <w:r>
        <w:rPr>
          <w:rFonts w:cs="Times New Roman"/>
          <w:szCs w:val="24"/>
        </w:rPr>
        <w:t xml:space="preserve"> para de este modo fortalecer su </w:t>
      </w:r>
      <w:r w:rsidRPr="00615710">
        <w:rPr>
          <w:rFonts w:cs="Times New Roman"/>
          <w:szCs w:val="24"/>
        </w:rPr>
        <w:t xml:space="preserve">gestión de </w:t>
      </w:r>
      <w:r>
        <w:rPr>
          <w:rFonts w:cs="Times New Roman"/>
          <w:szCs w:val="24"/>
        </w:rPr>
        <w:t xml:space="preserve">la </w:t>
      </w:r>
      <w:r w:rsidRPr="00615710">
        <w:rPr>
          <w:rFonts w:cs="Times New Roman"/>
          <w:szCs w:val="24"/>
        </w:rPr>
        <w:t xml:space="preserve">transparencia, </w:t>
      </w:r>
      <w:r w:rsidRPr="00615710">
        <w:rPr>
          <w:rFonts w:cs="Times New Roman"/>
          <w:szCs w:val="24"/>
        </w:rPr>
        <w:lastRenderedPageBreak/>
        <w:t>alcanz</w:t>
      </w:r>
      <w:r>
        <w:rPr>
          <w:rFonts w:cs="Times New Roman"/>
          <w:szCs w:val="24"/>
        </w:rPr>
        <w:t>ando</w:t>
      </w:r>
      <w:r w:rsidRPr="00615710">
        <w:rPr>
          <w:rFonts w:cs="Times New Roman"/>
          <w:szCs w:val="24"/>
        </w:rPr>
        <w:t xml:space="preserve"> logros puntual</w:t>
      </w:r>
      <w:r>
        <w:rPr>
          <w:rFonts w:cs="Times New Roman"/>
          <w:szCs w:val="24"/>
        </w:rPr>
        <w:t>es a partir de la creación de la Oficina de Acceso a la Información (OAI) en el año 2004 y la certificación del Sub-Portal de Transparencia en el año 2016</w:t>
      </w:r>
      <w:r w:rsidRPr="00615710">
        <w:rPr>
          <w:rFonts w:cs="Times New Roman"/>
          <w:szCs w:val="24"/>
        </w:rPr>
        <w:t>.</w:t>
      </w:r>
    </w:p>
    <w:p w14:paraId="3421DEC1" w14:textId="77777777" w:rsidR="001C19EC" w:rsidRDefault="001C19EC" w:rsidP="001C19EC">
      <w:pPr>
        <w:spacing w:line="480" w:lineRule="auto"/>
        <w:ind w:firstLine="708"/>
        <w:jc w:val="both"/>
        <w:rPr>
          <w:rFonts w:cs="Times New Roman"/>
          <w:szCs w:val="24"/>
        </w:rPr>
      </w:pPr>
      <w:r w:rsidRPr="00615710">
        <w:rPr>
          <w:rFonts w:cs="Times New Roman"/>
          <w:szCs w:val="24"/>
        </w:rPr>
        <w:t>Desde su instauración, la Oficina de Acceso a la Información (OAI) de la Procu</w:t>
      </w:r>
      <w:r>
        <w:rPr>
          <w:rFonts w:cs="Times New Roman"/>
          <w:szCs w:val="24"/>
        </w:rPr>
        <w:t>raduría General de la República</w:t>
      </w:r>
      <w:r w:rsidRPr="00615710">
        <w:rPr>
          <w:rFonts w:cs="Times New Roman"/>
          <w:szCs w:val="24"/>
        </w:rPr>
        <w:t xml:space="preserve"> ha venido desarrollando numerosos esfuerzos para mantener un constante flujo de información y</w:t>
      </w:r>
      <w:r>
        <w:rPr>
          <w:rFonts w:cs="Times New Roman"/>
          <w:szCs w:val="24"/>
        </w:rPr>
        <w:t xml:space="preserve"> promover la </w:t>
      </w:r>
      <w:r w:rsidRPr="00615710">
        <w:rPr>
          <w:rFonts w:cs="Times New Roman"/>
          <w:szCs w:val="24"/>
        </w:rPr>
        <w:t xml:space="preserve">participación </w:t>
      </w:r>
      <w:r>
        <w:rPr>
          <w:rFonts w:cs="Times New Roman"/>
          <w:szCs w:val="24"/>
        </w:rPr>
        <w:t>de</w:t>
      </w:r>
      <w:r w:rsidRPr="00615710">
        <w:rPr>
          <w:rFonts w:cs="Times New Roman"/>
          <w:szCs w:val="24"/>
        </w:rPr>
        <w:t xml:space="preserve"> los usuarios</w:t>
      </w:r>
      <w:r>
        <w:rPr>
          <w:rFonts w:cs="Times New Roman"/>
          <w:szCs w:val="24"/>
        </w:rPr>
        <w:t xml:space="preserve"> de los servicios</w:t>
      </w:r>
      <w:r w:rsidRPr="00615710">
        <w:rPr>
          <w:rFonts w:cs="Times New Roman"/>
          <w:szCs w:val="24"/>
        </w:rPr>
        <w:t>.</w:t>
      </w:r>
      <w:r>
        <w:rPr>
          <w:rFonts w:cs="Times New Roman"/>
          <w:szCs w:val="24"/>
        </w:rPr>
        <w:t xml:space="preserve"> </w:t>
      </w:r>
    </w:p>
    <w:p w14:paraId="126B746C" w14:textId="77777777" w:rsidR="001C19EC" w:rsidRDefault="001C19EC" w:rsidP="001C19EC">
      <w:pPr>
        <w:spacing w:line="480" w:lineRule="auto"/>
        <w:ind w:firstLine="708"/>
        <w:jc w:val="both"/>
        <w:rPr>
          <w:rFonts w:cs="Times New Roman"/>
          <w:szCs w:val="24"/>
        </w:rPr>
      </w:pPr>
      <w:r>
        <w:rPr>
          <w:rFonts w:cs="Times New Roman"/>
          <w:szCs w:val="24"/>
        </w:rPr>
        <w:t>La Gestión efectiva del portal institucional</w:t>
      </w:r>
      <w:r w:rsidRPr="00615710">
        <w:rPr>
          <w:rFonts w:cs="Times New Roman"/>
          <w:szCs w:val="24"/>
        </w:rPr>
        <w:t xml:space="preserve">, </w:t>
      </w:r>
      <w:r>
        <w:rPr>
          <w:rFonts w:cs="Times New Roman"/>
          <w:szCs w:val="24"/>
        </w:rPr>
        <w:t xml:space="preserve">ha contribuido a </w:t>
      </w:r>
      <w:r w:rsidRPr="00615710">
        <w:rPr>
          <w:rFonts w:cs="Times New Roman"/>
          <w:szCs w:val="24"/>
        </w:rPr>
        <w:t xml:space="preserve">que los ciudadanos puedan verificar </w:t>
      </w:r>
      <w:r>
        <w:rPr>
          <w:rFonts w:cs="Times New Roman"/>
          <w:szCs w:val="24"/>
        </w:rPr>
        <w:t xml:space="preserve">informaciones de interés </w:t>
      </w:r>
      <w:r w:rsidRPr="00615710">
        <w:rPr>
          <w:rFonts w:cs="Times New Roman"/>
          <w:szCs w:val="24"/>
        </w:rPr>
        <w:t>y</w:t>
      </w:r>
      <w:r>
        <w:rPr>
          <w:rFonts w:cs="Times New Roman"/>
          <w:szCs w:val="24"/>
        </w:rPr>
        <w:t xml:space="preserve"> se mantengan</w:t>
      </w:r>
      <w:r w:rsidRPr="00615710">
        <w:rPr>
          <w:rFonts w:cs="Times New Roman"/>
          <w:szCs w:val="24"/>
        </w:rPr>
        <w:t xml:space="preserve"> informados de todas las actividades</w:t>
      </w:r>
      <w:r>
        <w:rPr>
          <w:rFonts w:cs="Times New Roman"/>
          <w:szCs w:val="24"/>
        </w:rPr>
        <w:t xml:space="preserve"> </w:t>
      </w:r>
      <w:r w:rsidRPr="00615710">
        <w:rPr>
          <w:rFonts w:cs="Times New Roman"/>
          <w:szCs w:val="24"/>
        </w:rPr>
        <w:t xml:space="preserve">y acciones que </w:t>
      </w:r>
      <w:r>
        <w:rPr>
          <w:rFonts w:cs="Times New Roman"/>
          <w:szCs w:val="24"/>
        </w:rPr>
        <w:t xml:space="preserve">se </w:t>
      </w:r>
      <w:r w:rsidRPr="00615710">
        <w:rPr>
          <w:rFonts w:cs="Times New Roman"/>
          <w:szCs w:val="24"/>
        </w:rPr>
        <w:t>lleva</w:t>
      </w:r>
      <w:r>
        <w:rPr>
          <w:rFonts w:cs="Times New Roman"/>
          <w:szCs w:val="24"/>
        </w:rPr>
        <w:t>n</w:t>
      </w:r>
      <w:r w:rsidRPr="00615710">
        <w:rPr>
          <w:rFonts w:cs="Times New Roman"/>
          <w:szCs w:val="24"/>
        </w:rPr>
        <w:t xml:space="preserve"> a cabo </w:t>
      </w:r>
      <w:r>
        <w:rPr>
          <w:rFonts w:cs="Times New Roman"/>
          <w:szCs w:val="24"/>
        </w:rPr>
        <w:t>en la</w:t>
      </w:r>
      <w:r w:rsidRPr="00615710">
        <w:rPr>
          <w:rFonts w:cs="Times New Roman"/>
          <w:szCs w:val="24"/>
        </w:rPr>
        <w:t xml:space="preserve"> institución, </w:t>
      </w:r>
      <w:r>
        <w:rPr>
          <w:rFonts w:cs="Times New Roman"/>
          <w:szCs w:val="24"/>
        </w:rPr>
        <w:t>de igual modo a través de este portal, los interesados han podido realizar sus d</w:t>
      </w:r>
      <w:r w:rsidRPr="00615710">
        <w:rPr>
          <w:rFonts w:cs="Times New Roman"/>
          <w:szCs w:val="24"/>
        </w:rPr>
        <w:t>enuncias, recomendaciones y sugerencias</w:t>
      </w:r>
      <w:r>
        <w:rPr>
          <w:rFonts w:cs="Times New Roman"/>
          <w:szCs w:val="24"/>
        </w:rPr>
        <w:t xml:space="preserve"> sobre aspectos específicos de la gestión, a partir de los cuales de manera responsable se ha venido actuando para lograr una mayor integridad institucional y realizar las mejoras de los servicios ofrecidos.</w:t>
      </w:r>
    </w:p>
    <w:p w14:paraId="3F5E12B3" w14:textId="77777777" w:rsidR="001C19EC" w:rsidRDefault="001C19EC" w:rsidP="001C19EC">
      <w:pPr>
        <w:spacing w:line="480" w:lineRule="auto"/>
        <w:ind w:firstLine="708"/>
        <w:jc w:val="both"/>
        <w:rPr>
          <w:rFonts w:cs="Times New Roman"/>
          <w:szCs w:val="24"/>
        </w:rPr>
      </w:pPr>
      <w:r>
        <w:rPr>
          <w:rFonts w:cs="Times New Roman"/>
          <w:szCs w:val="24"/>
        </w:rPr>
        <w:t>El portal de la PGR</w:t>
      </w:r>
      <w:r w:rsidRPr="00615710">
        <w:rPr>
          <w:rFonts w:cs="Times New Roman"/>
          <w:szCs w:val="24"/>
        </w:rPr>
        <w:t xml:space="preserve"> fue diseñado con un estándar de calidad </w:t>
      </w:r>
      <w:r>
        <w:rPr>
          <w:rFonts w:cs="Times New Roman"/>
          <w:szCs w:val="24"/>
        </w:rPr>
        <w:t>caracterizado por contener</w:t>
      </w:r>
      <w:r w:rsidRPr="00615710">
        <w:rPr>
          <w:rFonts w:cs="Times New Roman"/>
          <w:szCs w:val="24"/>
        </w:rPr>
        <w:t xml:space="preserve"> elementos novedosos, digeribles, con estructura, organización y acceso rápido, cumpliendo cabalmente</w:t>
      </w:r>
      <w:r>
        <w:rPr>
          <w:rFonts w:cs="Times New Roman"/>
          <w:szCs w:val="24"/>
        </w:rPr>
        <w:t xml:space="preserve"> con </w:t>
      </w:r>
      <w:r w:rsidRPr="00615710">
        <w:rPr>
          <w:rFonts w:cs="Times New Roman"/>
          <w:szCs w:val="24"/>
        </w:rPr>
        <w:t>los requerimientos establecidos en la creación de este tipo de páginas web</w:t>
      </w:r>
      <w:r>
        <w:rPr>
          <w:rFonts w:cs="Times New Roman"/>
          <w:szCs w:val="24"/>
        </w:rPr>
        <w:t>, tal y como lo indica la NORTIC A2 de Desarrollo y Gestión de Medios Web</w:t>
      </w:r>
      <w:r w:rsidRPr="00615710">
        <w:rPr>
          <w:rFonts w:cs="Times New Roman"/>
          <w:szCs w:val="24"/>
        </w:rPr>
        <w:t>.</w:t>
      </w:r>
    </w:p>
    <w:p w14:paraId="1700311A" w14:textId="77777777" w:rsidR="001C19EC" w:rsidRDefault="001C19EC" w:rsidP="001C19EC">
      <w:pPr>
        <w:spacing w:line="480" w:lineRule="auto"/>
        <w:ind w:firstLine="708"/>
        <w:jc w:val="both"/>
        <w:rPr>
          <w:rFonts w:cs="Times New Roman"/>
          <w:szCs w:val="24"/>
        </w:rPr>
      </w:pPr>
      <w:r>
        <w:rPr>
          <w:rFonts w:cs="Times New Roman"/>
          <w:szCs w:val="24"/>
        </w:rPr>
        <w:t>Desde 2016</w:t>
      </w:r>
      <w:r w:rsidRPr="00615710">
        <w:rPr>
          <w:rFonts w:cs="Times New Roman"/>
          <w:szCs w:val="24"/>
        </w:rPr>
        <w:t xml:space="preserve"> a la fecha, el </w:t>
      </w:r>
      <w:r>
        <w:rPr>
          <w:rFonts w:cs="Times New Roman"/>
          <w:szCs w:val="24"/>
        </w:rPr>
        <w:t>sub-p</w:t>
      </w:r>
      <w:r w:rsidRPr="00615710">
        <w:rPr>
          <w:rFonts w:cs="Times New Roman"/>
          <w:szCs w:val="24"/>
        </w:rPr>
        <w:t>ortal de Transparencia ha sido evaluado por la Dirección General de Ética e Integridad Guber</w:t>
      </w:r>
      <w:r>
        <w:rPr>
          <w:rFonts w:cs="Times New Roman"/>
          <w:szCs w:val="24"/>
        </w:rPr>
        <w:t>namental (DIGEIG), con una excelente</w:t>
      </w:r>
      <w:r w:rsidRPr="00615710">
        <w:rPr>
          <w:rFonts w:cs="Times New Roman"/>
          <w:szCs w:val="24"/>
        </w:rPr>
        <w:t xml:space="preserve"> puntuación, </w:t>
      </w:r>
      <w:r>
        <w:rPr>
          <w:rFonts w:cs="Times New Roman"/>
          <w:szCs w:val="24"/>
        </w:rPr>
        <w:t xml:space="preserve">logrando </w:t>
      </w:r>
      <w:r w:rsidRPr="00615710">
        <w:rPr>
          <w:rFonts w:cs="Times New Roman"/>
          <w:szCs w:val="24"/>
        </w:rPr>
        <w:t>u</w:t>
      </w:r>
      <w:r>
        <w:rPr>
          <w:rFonts w:cs="Times New Roman"/>
          <w:szCs w:val="24"/>
        </w:rPr>
        <w:t>n desempeño de 96 % al mes de noviembre de 2019</w:t>
      </w:r>
      <w:r w:rsidRPr="00615710">
        <w:rPr>
          <w:rFonts w:cs="Times New Roman"/>
          <w:szCs w:val="24"/>
        </w:rPr>
        <w:t>,</w:t>
      </w:r>
      <w:r>
        <w:rPr>
          <w:rFonts w:cs="Times New Roman"/>
          <w:szCs w:val="24"/>
        </w:rPr>
        <w:t xml:space="preserve"> lo cual vino dado como resultado del compromiso institucional</w:t>
      </w:r>
      <w:r w:rsidRPr="00615710">
        <w:rPr>
          <w:rFonts w:cs="Times New Roman"/>
          <w:szCs w:val="24"/>
        </w:rPr>
        <w:t xml:space="preserve"> </w:t>
      </w:r>
      <w:r>
        <w:rPr>
          <w:rFonts w:cs="Times New Roman"/>
          <w:szCs w:val="24"/>
        </w:rPr>
        <w:t xml:space="preserve">que ha sido asumido por la gestión en </w:t>
      </w:r>
      <w:r>
        <w:rPr>
          <w:rFonts w:cs="Times New Roman"/>
          <w:szCs w:val="24"/>
        </w:rPr>
        <w:lastRenderedPageBreak/>
        <w:t xml:space="preserve">lo relativo a la transparencia y la correcta </w:t>
      </w:r>
      <w:r w:rsidRPr="00615710">
        <w:rPr>
          <w:rFonts w:cs="Times New Roman"/>
          <w:szCs w:val="24"/>
        </w:rPr>
        <w:t>publicación</w:t>
      </w:r>
      <w:r>
        <w:rPr>
          <w:rFonts w:cs="Times New Roman"/>
          <w:szCs w:val="24"/>
        </w:rPr>
        <w:t xml:space="preserve"> y actualización de las </w:t>
      </w:r>
      <w:r w:rsidRPr="00615710">
        <w:rPr>
          <w:rFonts w:cs="Times New Roman"/>
          <w:szCs w:val="24"/>
        </w:rPr>
        <w:t xml:space="preserve">informaciones </w:t>
      </w:r>
      <w:r>
        <w:rPr>
          <w:rFonts w:cs="Times New Roman"/>
          <w:szCs w:val="24"/>
        </w:rPr>
        <w:t xml:space="preserve">contenidas </w:t>
      </w:r>
      <w:r w:rsidRPr="00615710">
        <w:rPr>
          <w:rFonts w:cs="Times New Roman"/>
          <w:szCs w:val="24"/>
        </w:rPr>
        <w:t>en el</w:t>
      </w:r>
      <w:r>
        <w:rPr>
          <w:rFonts w:cs="Times New Roman"/>
          <w:szCs w:val="24"/>
        </w:rPr>
        <w:t xml:space="preserve"> portal institucional</w:t>
      </w:r>
      <w:r w:rsidRPr="00615710">
        <w:rPr>
          <w:rFonts w:cs="Times New Roman"/>
          <w:szCs w:val="24"/>
        </w:rPr>
        <w:t>.</w:t>
      </w:r>
    </w:p>
    <w:p w14:paraId="7D685E46" w14:textId="77777777" w:rsidR="001C19EC" w:rsidRDefault="001C19EC" w:rsidP="001C19EC">
      <w:pPr>
        <w:spacing w:line="480" w:lineRule="auto"/>
        <w:ind w:firstLine="708"/>
        <w:jc w:val="both"/>
        <w:rPr>
          <w:rFonts w:cs="Times New Roman"/>
          <w:szCs w:val="24"/>
        </w:rPr>
      </w:pPr>
      <w:r w:rsidRPr="00E34B5C">
        <w:rPr>
          <w:rFonts w:cs="Times New Roman"/>
          <w:szCs w:val="24"/>
        </w:rPr>
        <w:t xml:space="preserve">Durante el año 2019, la Oficina de Acceso a la Información (OAI) ha estado trabajando en el </w:t>
      </w:r>
      <w:r>
        <w:rPr>
          <w:rFonts w:cs="Times New Roman"/>
          <w:szCs w:val="24"/>
        </w:rPr>
        <w:t>desarrollo del sub-portal de Transparencia junto a la Dirección de Tecnología de la Información y Comunicación</w:t>
      </w:r>
      <w:r w:rsidRPr="00E34B5C">
        <w:rPr>
          <w:rFonts w:cs="Times New Roman"/>
          <w:szCs w:val="24"/>
        </w:rPr>
        <w:t xml:space="preserve">, haciendo el mismo cada vez más amigable </w:t>
      </w:r>
      <w:r>
        <w:rPr>
          <w:rFonts w:cs="Times New Roman"/>
          <w:szCs w:val="24"/>
        </w:rPr>
        <w:t>con el</w:t>
      </w:r>
      <w:r w:rsidRPr="00E34B5C">
        <w:rPr>
          <w:rFonts w:cs="Times New Roman"/>
          <w:szCs w:val="24"/>
        </w:rPr>
        <w:t xml:space="preserve"> usuario, creando una interfaz de fácil manejo, con informaciones actualizadas, </w:t>
      </w:r>
      <w:r>
        <w:rPr>
          <w:rFonts w:cs="Times New Roman"/>
          <w:szCs w:val="24"/>
        </w:rPr>
        <w:t xml:space="preserve">siempre tomando en cuenta </w:t>
      </w:r>
      <w:r w:rsidRPr="00E34B5C">
        <w:rPr>
          <w:rFonts w:cs="Times New Roman"/>
          <w:szCs w:val="24"/>
        </w:rPr>
        <w:t>las informaciones más solicitadas y de mayor interés para los ciudadanos.</w:t>
      </w:r>
    </w:p>
    <w:p w14:paraId="27F5AD99" w14:textId="77777777" w:rsidR="001C19EC" w:rsidRDefault="001C19EC" w:rsidP="001C19EC">
      <w:pPr>
        <w:spacing w:line="480" w:lineRule="auto"/>
        <w:ind w:firstLine="708"/>
        <w:jc w:val="both"/>
        <w:rPr>
          <w:rFonts w:cs="Times New Roman"/>
          <w:szCs w:val="24"/>
        </w:rPr>
      </w:pPr>
      <w:r>
        <w:rPr>
          <w:rFonts w:cs="Times New Roman"/>
          <w:szCs w:val="24"/>
        </w:rPr>
        <w:t>La Oficina de Acceso a la Información de la PGR registró en el Sistema de Solicitudes de Acceso a la Información (SAIP), en el período comprendido entre enero-noviembre 2019, 213 solicitudes.</w:t>
      </w:r>
    </w:p>
    <w:p w14:paraId="17119E53" w14:textId="77777777" w:rsidR="001C19EC" w:rsidRDefault="001C19EC" w:rsidP="001C19EC">
      <w:pPr>
        <w:spacing w:line="480" w:lineRule="auto"/>
        <w:ind w:firstLine="708"/>
        <w:jc w:val="both"/>
        <w:rPr>
          <w:rFonts w:cs="Times New Roman"/>
          <w:szCs w:val="24"/>
        </w:rPr>
      </w:pPr>
      <w:r w:rsidRPr="00615710">
        <w:rPr>
          <w:rFonts w:cs="Times New Roman"/>
          <w:szCs w:val="24"/>
        </w:rPr>
        <w:t>A continuación los Registros Estadísticos desde enero</w:t>
      </w:r>
      <w:r>
        <w:rPr>
          <w:rFonts w:cs="Times New Roman"/>
          <w:szCs w:val="24"/>
        </w:rPr>
        <w:t>-</w:t>
      </w:r>
      <w:r w:rsidRPr="00615710">
        <w:rPr>
          <w:rFonts w:cs="Times New Roman"/>
          <w:szCs w:val="24"/>
        </w:rPr>
        <w:t>noviembre 201</w:t>
      </w:r>
      <w:r>
        <w:rPr>
          <w:rFonts w:cs="Times New Roman"/>
          <w:szCs w:val="24"/>
        </w:rPr>
        <w:t>9:</w:t>
      </w:r>
    </w:p>
    <w:tbl>
      <w:tblPr>
        <w:tblW w:w="6129" w:type="dxa"/>
        <w:jc w:val="center"/>
        <w:tblCellMar>
          <w:left w:w="70" w:type="dxa"/>
          <w:right w:w="70" w:type="dxa"/>
        </w:tblCellMar>
        <w:tblLook w:val="04A0" w:firstRow="1" w:lastRow="0" w:firstColumn="1" w:lastColumn="0" w:noHBand="0" w:noVBand="1"/>
      </w:tblPr>
      <w:tblGrid>
        <w:gridCol w:w="4810"/>
        <w:gridCol w:w="1319"/>
      </w:tblGrid>
      <w:tr w:rsidR="001C19EC" w:rsidRPr="00273215" w14:paraId="7B84F807" w14:textId="77777777" w:rsidTr="00637245">
        <w:trPr>
          <w:trHeight w:val="330"/>
          <w:jc w:val="center"/>
        </w:trPr>
        <w:tc>
          <w:tcPr>
            <w:tcW w:w="4810"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19F3A488" w14:textId="77777777" w:rsidR="001C19EC" w:rsidRPr="00273215" w:rsidRDefault="001C19EC" w:rsidP="00637245">
            <w:pPr>
              <w:spacing w:after="0" w:line="480" w:lineRule="auto"/>
              <w:jc w:val="center"/>
              <w:rPr>
                <w:rFonts w:eastAsia="Times New Roman" w:cs="Times New Roman"/>
                <w:b/>
                <w:bCs/>
                <w:color w:val="FFFFFF"/>
                <w:szCs w:val="24"/>
                <w:lang w:eastAsia="es-DO"/>
              </w:rPr>
            </w:pPr>
            <w:r w:rsidRPr="00273215">
              <w:rPr>
                <w:rFonts w:eastAsia="Times New Roman" w:cs="Times New Roman"/>
                <w:b/>
                <w:bCs/>
                <w:color w:val="FFFFFF"/>
                <w:szCs w:val="24"/>
                <w:lang w:eastAsia="es-DO"/>
              </w:rPr>
              <w:t xml:space="preserve">Registro de solicitudes </w:t>
            </w:r>
          </w:p>
        </w:tc>
        <w:tc>
          <w:tcPr>
            <w:tcW w:w="1319"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32FBA8BC" w14:textId="77777777" w:rsidR="001C19EC" w:rsidRPr="00273215" w:rsidRDefault="001C19EC" w:rsidP="00637245">
            <w:pPr>
              <w:spacing w:after="0" w:line="480" w:lineRule="auto"/>
              <w:jc w:val="center"/>
              <w:rPr>
                <w:rFonts w:eastAsia="Times New Roman" w:cs="Times New Roman"/>
                <w:b/>
                <w:bCs/>
                <w:color w:val="FFFFFF"/>
                <w:szCs w:val="24"/>
                <w:lang w:eastAsia="es-DO"/>
              </w:rPr>
            </w:pPr>
            <w:r w:rsidRPr="00273215">
              <w:rPr>
                <w:rFonts w:eastAsia="Times New Roman" w:cs="Times New Roman"/>
                <w:b/>
                <w:bCs/>
                <w:color w:val="FFFFFF"/>
                <w:szCs w:val="24"/>
                <w:lang w:eastAsia="es-DO"/>
              </w:rPr>
              <w:t>Cantidad</w:t>
            </w:r>
          </w:p>
        </w:tc>
      </w:tr>
      <w:tr w:rsidR="001C19EC" w:rsidRPr="00273215" w14:paraId="30BD4E57" w14:textId="77777777" w:rsidTr="00637245">
        <w:trPr>
          <w:trHeight w:val="315"/>
          <w:jc w:val="center"/>
        </w:trPr>
        <w:tc>
          <w:tcPr>
            <w:tcW w:w="4810" w:type="dxa"/>
            <w:tcBorders>
              <w:top w:val="nil"/>
              <w:left w:val="single" w:sz="8" w:space="0" w:color="auto"/>
              <w:bottom w:val="single" w:sz="4" w:space="0" w:color="auto"/>
              <w:right w:val="single" w:sz="4" w:space="0" w:color="auto"/>
            </w:tcBorders>
            <w:shd w:val="clear" w:color="D9D9D9" w:fill="D9D9D9"/>
            <w:noWrap/>
            <w:vAlign w:val="bottom"/>
            <w:hideMark/>
          </w:tcPr>
          <w:p w14:paraId="372C2C8A" w14:textId="77777777" w:rsidR="001C19EC" w:rsidRPr="00273215" w:rsidRDefault="001C19EC" w:rsidP="00637245">
            <w:pPr>
              <w:spacing w:after="0" w:line="480" w:lineRule="auto"/>
              <w:rPr>
                <w:rFonts w:eastAsia="Times New Roman" w:cs="Times New Roman"/>
                <w:color w:val="000000"/>
                <w:szCs w:val="24"/>
                <w:lang w:eastAsia="es-DO"/>
              </w:rPr>
            </w:pPr>
            <w:r w:rsidRPr="00273215">
              <w:rPr>
                <w:rFonts w:eastAsia="Times New Roman" w:cs="Times New Roman"/>
                <w:color w:val="000000"/>
                <w:szCs w:val="24"/>
                <w:lang w:eastAsia="es-DO"/>
              </w:rPr>
              <w:t>Datos Abiertos Liberados</w:t>
            </w:r>
          </w:p>
        </w:tc>
        <w:tc>
          <w:tcPr>
            <w:tcW w:w="1319" w:type="dxa"/>
            <w:tcBorders>
              <w:top w:val="nil"/>
              <w:left w:val="single" w:sz="4" w:space="0" w:color="auto"/>
              <w:bottom w:val="single" w:sz="4" w:space="0" w:color="auto"/>
              <w:right w:val="single" w:sz="8" w:space="0" w:color="auto"/>
            </w:tcBorders>
            <w:shd w:val="clear" w:color="D9D9D9" w:fill="D9D9D9"/>
            <w:noWrap/>
            <w:vAlign w:val="bottom"/>
            <w:hideMark/>
          </w:tcPr>
          <w:p w14:paraId="34B577AF" w14:textId="77777777" w:rsidR="001C19EC" w:rsidRPr="00273215" w:rsidRDefault="001C19EC" w:rsidP="00637245">
            <w:pPr>
              <w:spacing w:after="0" w:line="480" w:lineRule="auto"/>
              <w:jc w:val="center"/>
              <w:rPr>
                <w:rFonts w:eastAsia="Times New Roman" w:cs="Times New Roman"/>
                <w:color w:val="000000"/>
                <w:szCs w:val="24"/>
                <w:lang w:eastAsia="es-DO"/>
              </w:rPr>
            </w:pPr>
            <w:r w:rsidRPr="00273215">
              <w:rPr>
                <w:rFonts w:eastAsia="Times New Roman" w:cs="Times New Roman"/>
                <w:color w:val="000000"/>
                <w:szCs w:val="24"/>
                <w:lang w:eastAsia="es-DO"/>
              </w:rPr>
              <w:t>3</w:t>
            </w:r>
          </w:p>
        </w:tc>
      </w:tr>
      <w:tr w:rsidR="001C19EC" w:rsidRPr="00273215" w14:paraId="45344378" w14:textId="77777777" w:rsidTr="00637245">
        <w:trPr>
          <w:trHeight w:val="315"/>
          <w:jc w:val="center"/>
        </w:trPr>
        <w:tc>
          <w:tcPr>
            <w:tcW w:w="48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32A4F" w14:textId="77777777" w:rsidR="001C19EC" w:rsidRPr="00273215" w:rsidRDefault="001C19EC" w:rsidP="00637245">
            <w:pPr>
              <w:spacing w:after="0" w:line="480" w:lineRule="auto"/>
              <w:rPr>
                <w:rFonts w:eastAsia="Times New Roman" w:cs="Times New Roman"/>
                <w:color w:val="000000"/>
                <w:szCs w:val="24"/>
                <w:lang w:eastAsia="es-DO"/>
              </w:rPr>
            </w:pPr>
            <w:r w:rsidRPr="00273215">
              <w:rPr>
                <w:rFonts w:eastAsia="Times New Roman" w:cs="Times New Roman"/>
                <w:color w:val="000000"/>
                <w:szCs w:val="24"/>
                <w:lang w:eastAsia="es-DO"/>
              </w:rPr>
              <w:t xml:space="preserve">Declaraciones Juradas Publicadas </w:t>
            </w:r>
          </w:p>
        </w:tc>
        <w:tc>
          <w:tcPr>
            <w:tcW w:w="131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2AF637" w14:textId="77777777" w:rsidR="001C19EC" w:rsidRPr="00273215" w:rsidRDefault="001C19EC" w:rsidP="00637245">
            <w:pPr>
              <w:spacing w:after="0" w:line="480" w:lineRule="auto"/>
              <w:jc w:val="center"/>
              <w:rPr>
                <w:rFonts w:eastAsia="Times New Roman" w:cs="Times New Roman"/>
                <w:color w:val="000000"/>
                <w:szCs w:val="24"/>
                <w:lang w:eastAsia="es-DO"/>
              </w:rPr>
            </w:pPr>
            <w:r w:rsidRPr="00273215">
              <w:rPr>
                <w:rFonts w:eastAsia="Times New Roman" w:cs="Times New Roman"/>
                <w:color w:val="000000"/>
                <w:szCs w:val="24"/>
                <w:lang w:eastAsia="es-DO"/>
              </w:rPr>
              <w:t>14</w:t>
            </w:r>
          </w:p>
        </w:tc>
      </w:tr>
      <w:tr w:rsidR="001C19EC" w:rsidRPr="00273215" w14:paraId="7B7588BD" w14:textId="77777777" w:rsidTr="00637245">
        <w:trPr>
          <w:trHeight w:val="315"/>
          <w:jc w:val="center"/>
        </w:trPr>
        <w:tc>
          <w:tcPr>
            <w:tcW w:w="4810"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010D21E0" w14:textId="77777777" w:rsidR="001C19EC" w:rsidRPr="00273215" w:rsidRDefault="001C19EC" w:rsidP="00637245">
            <w:pPr>
              <w:spacing w:after="0" w:line="480" w:lineRule="auto"/>
              <w:rPr>
                <w:rFonts w:eastAsia="Times New Roman" w:cs="Times New Roman"/>
                <w:color w:val="000000"/>
                <w:szCs w:val="24"/>
                <w:lang w:eastAsia="es-DO"/>
              </w:rPr>
            </w:pPr>
            <w:r w:rsidRPr="00273215">
              <w:rPr>
                <w:rFonts w:eastAsia="Times New Roman" w:cs="Times New Roman"/>
                <w:color w:val="000000"/>
                <w:szCs w:val="24"/>
                <w:lang w:eastAsia="es-DO"/>
              </w:rPr>
              <w:t xml:space="preserve">Obligados a declaraciones juradas </w:t>
            </w:r>
          </w:p>
        </w:tc>
        <w:tc>
          <w:tcPr>
            <w:tcW w:w="1319"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6FD9393B" w14:textId="77777777" w:rsidR="001C19EC" w:rsidRPr="00273215" w:rsidRDefault="001C19EC" w:rsidP="00637245">
            <w:pPr>
              <w:spacing w:after="0" w:line="480" w:lineRule="auto"/>
              <w:jc w:val="center"/>
              <w:rPr>
                <w:rFonts w:eastAsia="Times New Roman" w:cs="Times New Roman"/>
                <w:color w:val="000000"/>
                <w:szCs w:val="24"/>
                <w:lang w:eastAsia="es-DO"/>
              </w:rPr>
            </w:pPr>
            <w:r w:rsidRPr="00273215">
              <w:rPr>
                <w:rFonts w:eastAsia="Times New Roman" w:cs="Times New Roman"/>
                <w:color w:val="000000"/>
                <w:szCs w:val="24"/>
                <w:lang w:eastAsia="es-DO"/>
              </w:rPr>
              <w:t>1,027</w:t>
            </w:r>
          </w:p>
        </w:tc>
      </w:tr>
      <w:tr w:rsidR="001C19EC" w:rsidRPr="00273215" w14:paraId="3CD6052A" w14:textId="77777777" w:rsidTr="00637245">
        <w:trPr>
          <w:trHeight w:val="315"/>
          <w:jc w:val="center"/>
        </w:trPr>
        <w:tc>
          <w:tcPr>
            <w:tcW w:w="48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70BAD39" w14:textId="77777777" w:rsidR="001C19EC" w:rsidRPr="00273215" w:rsidRDefault="001C19EC" w:rsidP="00637245">
            <w:pPr>
              <w:spacing w:after="0" w:line="480" w:lineRule="auto"/>
              <w:rPr>
                <w:rFonts w:eastAsia="Times New Roman" w:cs="Times New Roman"/>
                <w:color w:val="000000"/>
                <w:szCs w:val="24"/>
                <w:lang w:eastAsia="es-DO"/>
              </w:rPr>
            </w:pPr>
            <w:r w:rsidRPr="00273215">
              <w:rPr>
                <w:rFonts w:eastAsia="Times New Roman" w:cs="Times New Roman"/>
                <w:color w:val="000000"/>
                <w:szCs w:val="24"/>
                <w:lang w:eastAsia="es-DO"/>
              </w:rPr>
              <w:t xml:space="preserve">Solicitudes recibidas </w:t>
            </w:r>
          </w:p>
        </w:tc>
        <w:tc>
          <w:tcPr>
            <w:tcW w:w="131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6015992" w14:textId="77777777" w:rsidR="001C19EC" w:rsidRPr="00273215" w:rsidRDefault="001C19EC" w:rsidP="00637245">
            <w:pPr>
              <w:spacing w:after="0" w:line="480" w:lineRule="auto"/>
              <w:jc w:val="center"/>
              <w:rPr>
                <w:rFonts w:eastAsia="Times New Roman" w:cs="Times New Roman"/>
                <w:color w:val="000000"/>
                <w:szCs w:val="24"/>
                <w:lang w:eastAsia="es-DO"/>
              </w:rPr>
            </w:pPr>
            <w:r w:rsidRPr="00273215">
              <w:rPr>
                <w:rFonts w:eastAsia="Times New Roman" w:cs="Times New Roman"/>
                <w:color w:val="000000"/>
                <w:szCs w:val="24"/>
                <w:lang w:eastAsia="es-DO"/>
              </w:rPr>
              <w:t>304</w:t>
            </w:r>
          </w:p>
        </w:tc>
      </w:tr>
      <w:tr w:rsidR="001C19EC" w:rsidRPr="00273215" w14:paraId="0D958627" w14:textId="77777777" w:rsidTr="00637245">
        <w:trPr>
          <w:trHeight w:val="315"/>
          <w:jc w:val="center"/>
        </w:trPr>
        <w:tc>
          <w:tcPr>
            <w:tcW w:w="4810"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7990EEE7" w14:textId="77777777" w:rsidR="001C19EC" w:rsidRPr="00273215" w:rsidRDefault="001C19EC" w:rsidP="00637245">
            <w:pPr>
              <w:spacing w:after="0" w:line="480" w:lineRule="auto"/>
              <w:rPr>
                <w:rFonts w:eastAsia="Times New Roman" w:cs="Times New Roman"/>
                <w:color w:val="000000"/>
                <w:szCs w:val="24"/>
                <w:lang w:eastAsia="es-DO"/>
              </w:rPr>
            </w:pPr>
            <w:r w:rsidRPr="00273215">
              <w:rPr>
                <w:rFonts w:eastAsia="Times New Roman" w:cs="Times New Roman"/>
                <w:color w:val="000000"/>
                <w:szCs w:val="24"/>
                <w:lang w:eastAsia="es-DO"/>
              </w:rPr>
              <w:t xml:space="preserve">Solicitudes respondidas </w:t>
            </w:r>
          </w:p>
        </w:tc>
        <w:tc>
          <w:tcPr>
            <w:tcW w:w="1319"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4829FB2B" w14:textId="77777777" w:rsidR="001C19EC" w:rsidRPr="00273215" w:rsidRDefault="001C19EC" w:rsidP="00637245">
            <w:pPr>
              <w:spacing w:after="0" w:line="480" w:lineRule="auto"/>
              <w:jc w:val="center"/>
              <w:rPr>
                <w:rFonts w:eastAsia="Times New Roman" w:cs="Times New Roman"/>
                <w:color w:val="000000"/>
                <w:szCs w:val="24"/>
                <w:lang w:eastAsia="es-DO"/>
              </w:rPr>
            </w:pPr>
            <w:r w:rsidRPr="00273215">
              <w:rPr>
                <w:rFonts w:eastAsia="Times New Roman" w:cs="Times New Roman"/>
                <w:color w:val="000000"/>
                <w:szCs w:val="24"/>
                <w:lang w:eastAsia="es-DO"/>
              </w:rPr>
              <w:t>294</w:t>
            </w:r>
          </w:p>
        </w:tc>
      </w:tr>
      <w:tr w:rsidR="001C19EC" w:rsidRPr="00273215" w14:paraId="5B87AF89" w14:textId="77777777" w:rsidTr="00637245">
        <w:trPr>
          <w:trHeight w:val="315"/>
          <w:jc w:val="center"/>
        </w:trPr>
        <w:tc>
          <w:tcPr>
            <w:tcW w:w="4810" w:type="dxa"/>
            <w:tcBorders>
              <w:top w:val="single" w:sz="4" w:space="0" w:color="auto"/>
              <w:left w:val="single" w:sz="8" w:space="0" w:color="auto"/>
              <w:bottom w:val="single" w:sz="8" w:space="0" w:color="auto"/>
              <w:right w:val="single" w:sz="4" w:space="0" w:color="auto"/>
            </w:tcBorders>
            <w:shd w:val="clear" w:color="auto" w:fill="FFFFFF" w:themeFill="background1"/>
            <w:noWrap/>
            <w:vAlign w:val="bottom"/>
            <w:hideMark/>
          </w:tcPr>
          <w:p w14:paraId="3C483E5D" w14:textId="77777777" w:rsidR="001C19EC" w:rsidRPr="00887319" w:rsidRDefault="001C19EC" w:rsidP="00637245">
            <w:pPr>
              <w:spacing w:after="0" w:line="480" w:lineRule="auto"/>
              <w:rPr>
                <w:rFonts w:eastAsia="Times New Roman" w:cs="Times New Roman"/>
                <w:color w:val="000000"/>
                <w:szCs w:val="24"/>
                <w:lang w:eastAsia="es-DO"/>
              </w:rPr>
            </w:pPr>
            <w:r w:rsidRPr="00887319">
              <w:rPr>
                <w:rFonts w:eastAsia="Times New Roman" w:cs="Times New Roman"/>
                <w:color w:val="000000"/>
                <w:szCs w:val="24"/>
                <w:lang w:eastAsia="es-DO"/>
              </w:rPr>
              <w:t xml:space="preserve">Promedio de días para responder una solicitud </w:t>
            </w:r>
          </w:p>
        </w:tc>
        <w:tc>
          <w:tcPr>
            <w:tcW w:w="1319" w:type="dxa"/>
            <w:tcBorders>
              <w:top w:val="single" w:sz="4" w:space="0" w:color="auto"/>
              <w:left w:val="single" w:sz="4" w:space="0" w:color="auto"/>
              <w:bottom w:val="single" w:sz="8" w:space="0" w:color="auto"/>
              <w:right w:val="single" w:sz="8" w:space="0" w:color="auto"/>
            </w:tcBorders>
            <w:shd w:val="clear" w:color="auto" w:fill="FFFFFF" w:themeFill="background1"/>
            <w:noWrap/>
            <w:vAlign w:val="bottom"/>
            <w:hideMark/>
          </w:tcPr>
          <w:p w14:paraId="3A8D5877" w14:textId="77777777" w:rsidR="001C19EC" w:rsidRPr="00887319" w:rsidRDefault="001C19EC" w:rsidP="00637245">
            <w:pPr>
              <w:spacing w:after="0" w:line="480" w:lineRule="auto"/>
              <w:jc w:val="center"/>
              <w:rPr>
                <w:rFonts w:eastAsia="Times New Roman" w:cs="Times New Roman"/>
                <w:color w:val="000000"/>
                <w:szCs w:val="24"/>
                <w:lang w:eastAsia="es-DO"/>
              </w:rPr>
            </w:pPr>
            <w:r w:rsidRPr="00887319">
              <w:rPr>
                <w:rFonts w:eastAsia="Times New Roman" w:cs="Times New Roman"/>
                <w:color w:val="000000"/>
                <w:szCs w:val="24"/>
                <w:lang w:eastAsia="es-DO"/>
              </w:rPr>
              <w:t>12 días</w:t>
            </w:r>
          </w:p>
        </w:tc>
      </w:tr>
    </w:tbl>
    <w:p w14:paraId="7F660098" w14:textId="77777777" w:rsidR="001C19EC" w:rsidRDefault="001C19EC" w:rsidP="001C19EC">
      <w:pPr>
        <w:rPr>
          <w:rFonts w:cs="Times New Roman"/>
          <w:szCs w:val="24"/>
        </w:rPr>
      </w:pPr>
    </w:p>
    <w:p w14:paraId="0731C1A8" w14:textId="77777777" w:rsidR="001C19EC" w:rsidRDefault="001C19EC" w:rsidP="001C19EC">
      <w:pPr>
        <w:spacing w:line="480" w:lineRule="auto"/>
        <w:ind w:firstLine="708"/>
        <w:jc w:val="both"/>
        <w:rPr>
          <w:rFonts w:cs="Times New Roman"/>
          <w:szCs w:val="24"/>
        </w:rPr>
      </w:pPr>
      <w:r>
        <w:rPr>
          <w:rFonts w:cs="Times New Roman"/>
          <w:szCs w:val="24"/>
        </w:rPr>
        <w:t>Para seguir fortaleciendo la gestión de la transparencia institucional la O</w:t>
      </w:r>
      <w:r w:rsidRPr="009344F9">
        <w:rPr>
          <w:rFonts w:cs="Times New Roman"/>
          <w:szCs w:val="24"/>
        </w:rPr>
        <w:t>ficina de Acceso a la Información (OAI) se encuentra</w:t>
      </w:r>
      <w:r>
        <w:rPr>
          <w:rFonts w:cs="Times New Roman"/>
          <w:szCs w:val="24"/>
        </w:rPr>
        <w:t>n</w:t>
      </w:r>
      <w:r w:rsidRPr="009344F9">
        <w:rPr>
          <w:rFonts w:cs="Times New Roman"/>
          <w:szCs w:val="24"/>
        </w:rPr>
        <w:t xml:space="preserve"> </w:t>
      </w:r>
      <w:r>
        <w:rPr>
          <w:rFonts w:cs="Times New Roman"/>
          <w:szCs w:val="24"/>
        </w:rPr>
        <w:t xml:space="preserve">se plantea dentro de sus planes la </w:t>
      </w:r>
      <w:r w:rsidRPr="009344F9">
        <w:rPr>
          <w:rFonts w:cs="Times New Roman"/>
          <w:szCs w:val="24"/>
        </w:rPr>
        <w:t xml:space="preserve">elaboración de talleres y seminarios </w:t>
      </w:r>
      <w:r>
        <w:rPr>
          <w:rFonts w:cs="Times New Roman"/>
          <w:szCs w:val="24"/>
        </w:rPr>
        <w:t xml:space="preserve">dirigidos </w:t>
      </w:r>
      <w:r w:rsidRPr="009344F9">
        <w:rPr>
          <w:rFonts w:cs="Times New Roman"/>
          <w:szCs w:val="24"/>
        </w:rPr>
        <w:t>a todo el</w:t>
      </w:r>
      <w:r>
        <w:rPr>
          <w:rFonts w:cs="Times New Roman"/>
          <w:szCs w:val="24"/>
        </w:rPr>
        <w:t xml:space="preserve"> personal de la Institución, a los </w:t>
      </w:r>
      <w:r>
        <w:rPr>
          <w:rFonts w:cs="Times New Roman"/>
          <w:szCs w:val="24"/>
        </w:rPr>
        <w:lastRenderedPageBreak/>
        <w:t xml:space="preserve">fines </w:t>
      </w:r>
      <w:r w:rsidRPr="009344F9">
        <w:rPr>
          <w:rFonts w:cs="Times New Roman"/>
          <w:szCs w:val="24"/>
        </w:rPr>
        <w:t xml:space="preserve">de </w:t>
      </w:r>
      <w:r>
        <w:rPr>
          <w:rFonts w:cs="Times New Roman"/>
          <w:szCs w:val="24"/>
        </w:rPr>
        <w:t>concientizar sobre</w:t>
      </w:r>
      <w:r w:rsidRPr="009344F9">
        <w:rPr>
          <w:rFonts w:cs="Times New Roman"/>
          <w:szCs w:val="24"/>
        </w:rPr>
        <w:t xml:space="preserve"> la importancia de </w:t>
      </w:r>
      <w:r>
        <w:rPr>
          <w:rFonts w:cs="Times New Roman"/>
          <w:szCs w:val="24"/>
        </w:rPr>
        <w:t xml:space="preserve">la transparencia y el acceso a la información pública. </w:t>
      </w:r>
    </w:p>
    <w:p w14:paraId="1ADEF604" w14:textId="77777777" w:rsidR="001C19EC" w:rsidRPr="003242AE" w:rsidRDefault="001C19EC" w:rsidP="001C19EC">
      <w:pPr>
        <w:spacing w:line="480" w:lineRule="auto"/>
        <w:ind w:firstLine="708"/>
        <w:jc w:val="both"/>
        <w:rPr>
          <w:rFonts w:cs="Times New Roman"/>
          <w:color w:val="auto"/>
          <w:szCs w:val="24"/>
        </w:rPr>
      </w:pPr>
      <w:r w:rsidRPr="009344F9">
        <w:rPr>
          <w:rFonts w:cs="Times New Roman"/>
          <w:szCs w:val="24"/>
        </w:rPr>
        <w:t xml:space="preserve">De igual forma </w:t>
      </w:r>
      <w:r>
        <w:rPr>
          <w:rFonts w:cs="Times New Roman"/>
          <w:szCs w:val="24"/>
        </w:rPr>
        <w:t xml:space="preserve">se pretende sensibilizar a </w:t>
      </w:r>
      <w:r w:rsidRPr="009344F9">
        <w:rPr>
          <w:rFonts w:cs="Times New Roman"/>
          <w:szCs w:val="24"/>
        </w:rPr>
        <w:t>los servidores de</w:t>
      </w:r>
      <w:r>
        <w:rPr>
          <w:rFonts w:cs="Times New Roman"/>
          <w:szCs w:val="24"/>
        </w:rPr>
        <w:t xml:space="preserve"> la</w:t>
      </w:r>
      <w:r w:rsidRPr="009344F9">
        <w:rPr>
          <w:rFonts w:cs="Times New Roman"/>
          <w:szCs w:val="24"/>
        </w:rPr>
        <w:t xml:space="preserve"> institución </w:t>
      </w:r>
      <w:r>
        <w:rPr>
          <w:rFonts w:cs="Times New Roman"/>
          <w:szCs w:val="24"/>
        </w:rPr>
        <w:t xml:space="preserve">sobre la importancia de </w:t>
      </w:r>
      <w:r w:rsidRPr="009344F9">
        <w:rPr>
          <w:rFonts w:cs="Times New Roman"/>
          <w:szCs w:val="24"/>
        </w:rPr>
        <w:t>denuncia</w:t>
      </w:r>
      <w:r>
        <w:rPr>
          <w:rFonts w:cs="Times New Roman"/>
          <w:szCs w:val="24"/>
        </w:rPr>
        <w:t>r</w:t>
      </w:r>
      <w:r w:rsidRPr="009344F9">
        <w:rPr>
          <w:rFonts w:cs="Times New Roman"/>
          <w:szCs w:val="24"/>
        </w:rPr>
        <w:t xml:space="preserve"> </w:t>
      </w:r>
      <w:r>
        <w:rPr>
          <w:rFonts w:cs="Times New Roman"/>
          <w:szCs w:val="24"/>
        </w:rPr>
        <w:t xml:space="preserve">ante el conocimiento de un hecho que constituya una inobservancia a la ética, para promover de esta </w:t>
      </w:r>
      <w:r w:rsidRPr="009344F9">
        <w:rPr>
          <w:rFonts w:cs="Times New Roman"/>
          <w:szCs w:val="24"/>
        </w:rPr>
        <w:t>manera la transparencia</w:t>
      </w:r>
      <w:r>
        <w:rPr>
          <w:rFonts w:cs="Times New Roman"/>
          <w:szCs w:val="24"/>
        </w:rPr>
        <w:t xml:space="preserve"> y la integridad </w:t>
      </w:r>
      <w:r w:rsidRPr="009344F9">
        <w:rPr>
          <w:rFonts w:cs="Times New Roman"/>
          <w:szCs w:val="24"/>
        </w:rPr>
        <w:t xml:space="preserve">en todos los </w:t>
      </w:r>
      <w:r>
        <w:rPr>
          <w:rFonts w:cs="Times New Roman"/>
          <w:szCs w:val="24"/>
        </w:rPr>
        <w:t>estamentos</w:t>
      </w:r>
      <w:r w:rsidRPr="009344F9">
        <w:rPr>
          <w:rFonts w:cs="Times New Roman"/>
          <w:szCs w:val="24"/>
        </w:rPr>
        <w:t xml:space="preserve"> de la Institución.</w:t>
      </w:r>
    </w:p>
    <w:p w14:paraId="7690C2D4" w14:textId="77777777" w:rsidR="001C19EC" w:rsidRDefault="001C19EC" w:rsidP="00951609">
      <w:pPr>
        <w:pStyle w:val="Estilo7"/>
        <w:numPr>
          <w:ilvl w:val="2"/>
          <w:numId w:val="14"/>
        </w:numPr>
      </w:pPr>
      <w:bookmarkStart w:id="57" w:name="_Toc29577322"/>
      <w:bookmarkStart w:id="58" w:name="_Toc29891707"/>
      <w:r w:rsidRPr="004325FA">
        <w:t xml:space="preserve">Índice de Uso TIC e Implementación de Gobierno </w:t>
      </w:r>
      <w:r w:rsidRPr="00932739">
        <w:t>Electrónico</w:t>
      </w:r>
      <w:r w:rsidRPr="004325FA">
        <w:t xml:space="preserve"> (ITICGE)</w:t>
      </w:r>
      <w:bookmarkEnd w:id="57"/>
      <w:bookmarkEnd w:id="58"/>
    </w:p>
    <w:p w14:paraId="333C0B2F" w14:textId="77777777" w:rsidR="00932739" w:rsidRDefault="00932739" w:rsidP="00932739">
      <w:pPr>
        <w:pStyle w:val="Estilo7"/>
        <w:numPr>
          <w:ilvl w:val="0"/>
          <w:numId w:val="0"/>
        </w:numPr>
        <w:ind w:left="2340"/>
      </w:pPr>
    </w:p>
    <w:p w14:paraId="2A8F34E1" w14:textId="77777777" w:rsidR="001C19EC" w:rsidRDefault="001C19EC" w:rsidP="001C19EC">
      <w:pPr>
        <w:spacing w:line="480" w:lineRule="auto"/>
        <w:ind w:firstLine="708"/>
        <w:jc w:val="both"/>
        <w:rPr>
          <w:rFonts w:cs="Times New Roman"/>
          <w:szCs w:val="24"/>
        </w:rPr>
      </w:pPr>
      <w:r>
        <w:rPr>
          <w:rFonts w:cs="Times New Roman"/>
          <w:szCs w:val="24"/>
        </w:rPr>
        <w:t xml:space="preserve">La Procuraduría General de la República (PGR) ha venido desarrollando una serie de acciones que le han permitido destacarse en el Ranking ITICGE, para el año 2019, la institución alcanzó una calificación de </w:t>
      </w:r>
      <w:r w:rsidRPr="00196717">
        <w:rPr>
          <w:rFonts w:cs="Times New Roman"/>
          <w:b/>
          <w:szCs w:val="24"/>
        </w:rPr>
        <w:t>97.99%</w:t>
      </w:r>
      <w:r>
        <w:rPr>
          <w:rFonts w:cs="Times New Roman"/>
          <w:b/>
          <w:szCs w:val="24"/>
        </w:rPr>
        <w:t xml:space="preserve"> </w:t>
      </w:r>
      <w:r w:rsidRPr="00E773FB">
        <w:rPr>
          <w:rFonts w:cs="Times New Roman"/>
          <w:szCs w:val="24"/>
        </w:rPr>
        <w:t>en dicho ranking</w:t>
      </w:r>
      <w:r>
        <w:rPr>
          <w:rFonts w:cs="Times New Roman"/>
          <w:szCs w:val="24"/>
        </w:rPr>
        <w:t>.</w:t>
      </w:r>
    </w:p>
    <w:p w14:paraId="26B68E81" w14:textId="2B9EC1C9" w:rsidR="00932739" w:rsidRDefault="001C19EC" w:rsidP="00370DC0">
      <w:pPr>
        <w:spacing w:line="480" w:lineRule="auto"/>
        <w:ind w:firstLine="708"/>
        <w:jc w:val="both"/>
        <w:rPr>
          <w:rFonts w:cs="Times New Roman"/>
          <w:szCs w:val="24"/>
        </w:rPr>
      </w:pPr>
      <w:r>
        <w:rPr>
          <w:rFonts w:cs="Times New Roman"/>
          <w:szCs w:val="24"/>
        </w:rPr>
        <w:t>En forma general la PGR logró un fortalecimiento de los 4 pilares que conforman este índice, haciendo un correcto uso de las TIC en la gestión, por sus logros en la implementación del gobierno electrónico, el gobierno abierto y el desarrollo de e-servicios, tal como se resume a continuación.</w:t>
      </w:r>
    </w:p>
    <w:tbl>
      <w:tblPr>
        <w:tblW w:w="8223" w:type="dxa"/>
        <w:jc w:val="center"/>
        <w:tblCellMar>
          <w:left w:w="70" w:type="dxa"/>
          <w:right w:w="70" w:type="dxa"/>
        </w:tblCellMar>
        <w:tblLook w:val="04A0" w:firstRow="1" w:lastRow="0" w:firstColumn="1" w:lastColumn="0" w:noHBand="0" w:noVBand="1"/>
      </w:tblPr>
      <w:tblGrid>
        <w:gridCol w:w="3676"/>
        <w:gridCol w:w="1867"/>
        <w:gridCol w:w="2680"/>
      </w:tblGrid>
      <w:tr w:rsidR="001C19EC" w:rsidRPr="00256026" w14:paraId="25F76248" w14:textId="77777777" w:rsidTr="00932739">
        <w:trPr>
          <w:trHeight w:val="330"/>
          <w:jc w:val="center"/>
        </w:trPr>
        <w:tc>
          <w:tcPr>
            <w:tcW w:w="3676"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52CF52CD" w14:textId="77777777" w:rsidR="001C19EC" w:rsidRPr="00256026" w:rsidRDefault="001C19EC" w:rsidP="00637245">
            <w:pPr>
              <w:spacing w:after="0" w:line="480" w:lineRule="auto"/>
              <w:jc w:val="center"/>
              <w:rPr>
                <w:rFonts w:eastAsia="Times New Roman" w:cs="Times New Roman"/>
                <w:b/>
                <w:bCs/>
                <w:color w:val="FFFFFF"/>
                <w:szCs w:val="24"/>
                <w:lang w:eastAsia="es-DO"/>
              </w:rPr>
            </w:pPr>
            <w:r w:rsidRPr="00256026">
              <w:rPr>
                <w:rFonts w:eastAsia="Times New Roman" w:cs="Times New Roman"/>
                <w:b/>
                <w:bCs/>
                <w:color w:val="FFFFFF"/>
                <w:szCs w:val="24"/>
                <w:lang w:eastAsia="es-DO"/>
              </w:rPr>
              <w:t xml:space="preserve">Pilar </w:t>
            </w:r>
          </w:p>
        </w:tc>
        <w:tc>
          <w:tcPr>
            <w:tcW w:w="1867" w:type="dxa"/>
            <w:tcBorders>
              <w:top w:val="single" w:sz="8" w:space="0" w:color="auto"/>
              <w:left w:val="single" w:sz="4" w:space="0" w:color="auto"/>
              <w:bottom w:val="single" w:sz="8" w:space="0" w:color="auto"/>
              <w:right w:val="single" w:sz="4" w:space="0" w:color="auto"/>
            </w:tcBorders>
            <w:shd w:val="clear" w:color="4472C4" w:fill="4472C4"/>
            <w:noWrap/>
            <w:vAlign w:val="bottom"/>
            <w:hideMark/>
          </w:tcPr>
          <w:p w14:paraId="76A8659A" w14:textId="77777777" w:rsidR="001C19EC" w:rsidRPr="00256026" w:rsidRDefault="001C19EC" w:rsidP="00637245">
            <w:pPr>
              <w:spacing w:after="0" w:line="480" w:lineRule="auto"/>
              <w:jc w:val="center"/>
              <w:rPr>
                <w:rFonts w:eastAsia="Times New Roman" w:cs="Times New Roman"/>
                <w:b/>
                <w:bCs/>
                <w:color w:val="FFFFFF"/>
                <w:szCs w:val="24"/>
                <w:lang w:eastAsia="es-DO"/>
              </w:rPr>
            </w:pPr>
            <w:r w:rsidRPr="00256026">
              <w:rPr>
                <w:rFonts w:eastAsia="Times New Roman" w:cs="Times New Roman"/>
                <w:b/>
                <w:bCs/>
                <w:color w:val="FFFFFF"/>
                <w:szCs w:val="24"/>
                <w:lang w:eastAsia="es-DO"/>
              </w:rPr>
              <w:t>Peso Categoría</w:t>
            </w:r>
          </w:p>
        </w:tc>
        <w:tc>
          <w:tcPr>
            <w:tcW w:w="2680"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354EAAB3" w14:textId="77777777" w:rsidR="001C19EC" w:rsidRPr="00256026" w:rsidRDefault="001C19EC" w:rsidP="00637245">
            <w:pPr>
              <w:spacing w:after="0" w:line="480" w:lineRule="auto"/>
              <w:jc w:val="center"/>
              <w:rPr>
                <w:rFonts w:eastAsia="Times New Roman" w:cs="Times New Roman"/>
                <w:b/>
                <w:bCs/>
                <w:color w:val="FFFFFF"/>
                <w:szCs w:val="24"/>
                <w:lang w:eastAsia="es-DO"/>
              </w:rPr>
            </w:pPr>
            <w:r w:rsidRPr="00256026">
              <w:rPr>
                <w:rFonts w:eastAsia="Times New Roman" w:cs="Times New Roman"/>
                <w:b/>
                <w:bCs/>
                <w:color w:val="FFFFFF"/>
                <w:szCs w:val="24"/>
                <w:lang w:eastAsia="es-DO"/>
              </w:rPr>
              <w:t>Puntuación Obtenida</w:t>
            </w:r>
          </w:p>
        </w:tc>
      </w:tr>
      <w:tr w:rsidR="001C19EC" w:rsidRPr="00256026" w14:paraId="6E23CDF3" w14:textId="77777777" w:rsidTr="00932739">
        <w:trPr>
          <w:trHeight w:val="315"/>
          <w:jc w:val="center"/>
        </w:trPr>
        <w:tc>
          <w:tcPr>
            <w:tcW w:w="3676" w:type="dxa"/>
            <w:tcBorders>
              <w:top w:val="nil"/>
              <w:left w:val="single" w:sz="8" w:space="0" w:color="auto"/>
              <w:bottom w:val="single" w:sz="4" w:space="0" w:color="auto"/>
              <w:right w:val="single" w:sz="4" w:space="0" w:color="auto"/>
            </w:tcBorders>
            <w:shd w:val="clear" w:color="D9D9D9" w:fill="D9D9D9"/>
            <w:noWrap/>
            <w:vAlign w:val="bottom"/>
            <w:hideMark/>
          </w:tcPr>
          <w:p w14:paraId="1E82220D" w14:textId="77777777" w:rsidR="001C19EC" w:rsidRPr="00256026" w:rsidRDefault="001C19EC" w:rsidP="00637245">
            <w:pPr>
              <w:spacing w:after="0" w:line="480" w:lineRule="auto"/>
              <w:rPr>
                <w:rFonts w:eastAsia="Times New Roman" w:cs="Times New Roman"/>
                <w:color w:val="000000"/>
                <w:szCs w:val="24"/>
                <w:lang w:eastAsia="es-DO"/>
              </w:rPr>
            </w:pPr>
            <w:r w:rsidRPr="00256026">
              <w:rPr>
                <w:rFonts w:eastAsia="Times New Roman" w:cs="Times New Roman"/>
                <w:color w:val="000000"/>
                <w:szCs w:val="24"/>
                <w:lang w:eastAsia="es-DO"/>
              </w:rPr>
              <w:t>Uso de las TIC</w:t>
            </w:r>
          </w:p>
        </w:tc>
        <w:tc>
          <w:tcPr>
            <w:tcW w:w="1867" w:type="dxa"/>
            <w:tcBorders>
              <w:top w:val="nil"/>
              <w:left w:val="single" w:sz="4" w:space="0" w:color="auto"/>
              <w:bottom w:val="single" w:sz="4" w:space="0" w:color="auto"/>
              <w:right w:val="single" w:sz="4" w:space="0" w:color="auto"/>
            </w:tcBorders>
            <w:shd w:val="clear" w:color="D9D9D9" w:fill="D9D9D9"/>
            <w:noWrap/>
            <w:vAlign w:val="bottom"/>
            <w:hideMark/>
          </w:tcPr>
          <w:p w14:paraId="0161018D"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20</w:t>
            </w:r>
          </w:p>
        </w:tc>
        <w:tc>
          <w:tcPr>
            <w:tcW w:w="2680" w:type="dxa"/>
            <w:tcBorders>
              <w:top w:val="nil"/>
              <w:left w:val="single" w:sz="4" w:space="0" w:color="auto"/>
              <w:bottom w:val="single" w:sz="4" w:space="0" w:color="auto"/>
              <w:right w:val="single" w:sz="8" w:space="0" w:color="auto"/>
            </w:tcBorders>
            <w:shd w:val="clear" w:color="D9D9D9" w:fill="D9D9D9"/>
            <w:noWrap/>
            <w:vAlign w:val="bottom"/>
            <w:hideMark/>
          </w:tcPr>
          <w:p w14:paraId="018533E0"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20</w:t>
            </w:r>
          </w:p>
        </w:tc>
      </w:tr>
      <w:tr w:rsidR="001C19EC" w:rsidRPr="00256026" w14:paraId="25A79968" w14:textId="77777777" w:rsidTr="00932739">
        <w:trPr>
          <w:trHeight w:val="315"/>
          <w:jc w:val="center"/>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A0C3BE" w14:textId="77777777" w:rsidR="001C19EC" w:rsidRPr="00256026" w:rsidRDefault="001C19EC" w:rsidP="00637245">
            <w:pPr>
              <w:spacing w:after="0" w:line="480" w:lineRule="auto"/>
              <w:rPr>
                <w:rFonts w:eastAsia="Times New Roman" w:cs="Times New Roman"/>
                <w:color w:val="000000"/>
                <w:szCs w:val="24"/>
                <w:lang w:eastAsia="es-DO"/>
              </w:rPr>
            </w:pPr>
            <w:r w:rsidRPr="00256026">
              <w:rPr>
                <w:rFonts w:eastAsia="Times New Roman" w:cs="Times New Roman"/>
                <w:color w:val="000000"/>
                <w:szCs w:val="24"/>
                <w:lang w:eastAsia="es-DO"/>
              </w:rPr>
              <w:t>Implementación de E-GOB</w:t>
            </w:r>
          </w:p>
        </w:tc>
        <w:tc>
          <w:tcPr>
            <w:tcW w:w="1867" w:type="dxa"/>
            <w:tcBorders>
              <w:top w:val="nil"/>
              <w:left w:val="nil"/>
              <w:bottom w:val="single" w:sz="4" w:space="0" w:color="auto"/>
              <w:right w:val="single" w:sz="4" w:space="0" w:color="auto"/>
            </w:tcBorders>
            <w:shd w:val="clear" w:color="auto" w:fill="auto"/>
            <w:noWrap/>
            <w:vAlign w:val="bottom"/>
            <w:hideMark/>
          </w:tcPr>
          <w:p w14:paraId="2882473C"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30</w:t>
            </w:r>
          </w:p>
        </w:tc>
        <w:tc>
          <w:tcPr>
            <w:tcW w:w="26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F3A257"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28.59</w:t>
            </w:r>
          </w:p>
        </w:tc>
      </w:tr>
      <w:tr w:rsidR="001C19EC" w:rsidRPr="00256026" w14:paraId="7E8A2E47" w14:textId="77777777" w:rsidTr="00932739">
        <w:trPr>
          <w:trHeight w:val="315"/>
          <w:jc w:val="center"/>
        </w:trPr>
        <w:tc>
          <w:tcPr>
            <w:tcW w:w="3676"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29B4EE4B" w14:textId="77777777" w:rsidR="001C19EC" w:rsidRPr="00256026" w:rsidRDefault="001C19EC" w:rsidP="00637245">
            <w:pPr>
              <w:spacing w:after="0" w:line="480" w:lineRule="auto"/>
              <w:rPr>
                <w:rFonts w:eastAsia="Times New Roman" w:cs="Times New Roman"/>
                <w:color w:val="000000"/>
                <w:szCs w:val="24"/>
                <w:lang w:eastAsia="es-DO"/>
              </w:rPr>
            </w:pPr>
            <w:r w:rsidRPr="00256026">
              <w:rPr>
                <w:rFonts w:eastAsia="Times New Roman" w:cs="Times New Roman"/>
                <w:color w:val="000000"/>
                <w:szCs w:val="24"/>
                <w:lang w:eastAsia="es-DO"/>
              </w:rPr>
              <w:t>Gobierno Abierto y e-Participación</w:t>
            </w:r>
          </w:p>
        </w:tc>
        <w:tc>
          <w:tcPr>
            <w:tcW w:w="186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267FFA"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25</w:t>
            </w:r>
          </w:p>
        </w:tc>
        <w:tc>
          <w:tcPr>
            <w:tcW w:w="268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69084D4B"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24.90</w:t>
            </w:r>
          </w:p>
        </w:tc>
      </w:tr>
      <w:tr w:rsidR="001C19EC" w:rsidRPr="00256026" w14:paraId="76BDBE40" w14:textId="77777777" w:rsidTr="00932739">
        <w:trPr>
          <w:trHeight w:val="315"/>
          <w:jc w:val="center"/>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1E598C" w14:textId="77777777" w:rsidR="001C19EC" w:rsidRPr="00256026" w:rsidRDefault="001C19EC" w:rsidP="00637245">
            <w:pPr>
              <w:spacing w:after="0" w:line="480" w:lineRule="auto"/>
              <w:rPr>
                <w:rFonts w:eastAsia="Times New Roman" w:cs="Times New Roman"/>
                <w:color w:val="000000"/>
                <w:szCs w:val="24"/>
                <w:lang w:eastAsia="es-DO"/>
              </w:rPr>
            </w:pPr>
            <w:r w:rsidRPr="00256026">
              <w:rPr>
                <w:rFonts w:eastAsia="Times New Roman" w:cs="Times New Roman"/>
                <w:color w:val="000000"/>
                <w:szCs w:val="24"/>
                <w:lang w:eastAsia="es-DO"/>
              </w:rPr>
              <w:t xml:space="preserve">Desarrollo de e-Servicios </w:t>
            </w:r>
          </w:p>
        </w:tc>
        <w:tc>
          <w:tcPr>
            <w:tcW w:w="1867" w:type="dxa"/>
            <w:tcBorders>
              <w:top w:val="nil"/>
              <w:left w:val="nil"/>
              <w:bottom w:val="single" w:sz="4" w:space="0" w:color="auto"/>
              <w:right w:val="single" w:sz="4" w:space="0" w:color="auto"/>
            </w:tcBorders>
            <w:shd w:val="clear" w:color="auto" w:fill="auto"/>
            <w:noWrap/>
            <w:vAlign w:val="bottom"/>
            <w:hideMark/>
          </w:tcPr>
          <w:p w14:paraId="255E1E29"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25</w:t>
            </w:r>
          </w:p>
        </w:tc>
        <w:tc>
          <w:tcPr>
            <w:tcW w:w="26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B7DD9E"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24.50</w:t>
            </w:r>
          </w:p>
        </w:tc>
      </w:tr>
      <w:tr w:rsidR="001C19EC" w:rsidRPr="00256026" w14:paraId="73F6C6B8" w14:textId="77777777" w:rsidTr="00932739">
        <w:trPr>
          <w:trHeight w:val="315"/>
          <w:jc w:val="center"/>
        </w:trPr>
        <w:tc>
          <w:tcPr>
            <w:tcW w:w="3676" w:type="dxa"/>
            <w:tcBorders>
              <w:top w:val="single" w:sz="4" w:space="0" w:color="auto"/>
              <w:left w:val="single" w:sz="8" w:space="0" w:color="auto"/>
              <w:bottom w:val="single" w:sz="8" w:space="0" w:color="auto"/>
              <w:right w:val="single" w:sz="4" w:space="0" w:color="auto"/>
            </w:tcBorders>
            <w:shd w:val="clear" w:color="D9D9D9" w:fill="D9D9D9"/>
            <w:noWrap/>
            <w:vAlign w:val="bottom"/>
            <w:hideMark/>
          </w:tcPr>
          <w:p w14:paraId="6838A4DE" w14:textId="77777777" w:rsidR="001C19EC" w:rsidRPr="00256026" w:rsidRDefault="001C19EC" w:rsidP="00637245">
            <w:pPr>
              <w:spacing w:after="0" w:line="480" w:lineRule="auto"/>
              <w:jc w:val="right"/>
              <w:rPr>
                <w:rFonts w:eastAsia="Times New Roman" w:cs="Times New Roman"/>
                <w:b/>
                <w:bCs/>
                <w:color w:val="000000"/>
                <w:szCs w:val="24"/>
                <w:lang w:eastAsia="es-DO"/>
              </w:rPr>
            </w:pPr>
            <w:r w:rsidRPr="00256026">
              <w:rPr>
                <w:rFonts w:eastAsia="Times New Roman" w:cs="Times New Roman"/>
                <w:b/>
                <w:bCs/>
                <w:color w:val="000000"/>
                <w:szCs w:val="24"/>
                <w:lang w:eastAsia="es-DO"/>
              </w:rPr>
              <w:t xml:space="preserve">Total </w:t>
            </w:r>
          </w:p>
        </w:tc>
        <w:tc>
          <w:tcPr>
            <w:tcW w:w="1867" w:type="dxa"/>
            <w:tcBorders>
              <w:top w:val="single" w:sz="4" w:space="0" w:color="auto"/>
              <w:left w:val="single" w:sz="4" w:space="0" w:color="auto"/>
              <w:bottom w:val="single" w:sz="8" w:space="0" w:color="auto"/>
              <w:right w:val="single" w:sz="4" w:space="0" w:color="auto"/>
            </w:tcBorders>
            <w:shd w:val="clear" w:color="D9D9D9" w:fill="D9D9D9"/>
            <w:noWrap/>
            <w:vAlign w:val="bottom"/>
            <w:hideMark/>
          </w:tcPr>
          <w:p w14:paraId="6019D028"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100</w:t>
            </w:r>
          </w:p>
        </w:tc>
        <w:tc>
          <w:tcPr>
            <w:tcW w:w="2680" w:type="dxa"/>
            <w:tcBorders>
              <w:top w:val="single" w:sz="4" w:space="0" w:color="auto"/>
              <w:left w:val="single" w:sz="4" w:space="0" w:color="auto"/>
              <w:bottom w:val="single" w:sz="8" w:space="0" w:color="auto"/>
              <w:right w:val="single" w:sz="8" w:space="0" w:color="auto"/>
            </w:tcBorders>
            <w:shd w:val="clear" w:color="D9D9D9" w:fill="D9D9D9"/>
            <w:noWrap/>
            <w:vAlign w:val="bottom"/>
            <w:hideMark/>
          </w:tcPr>
          <w:p w14:paraId="595383DE" w14:textId="77777777" w:rsidR="001C19EC" w:rsidRPr="00256026" w:rsidRDefault="001C19EC" w:rsidP="00637245">
            <w:pPr>
              <w:spacing w:after="0" w:line="480" w:lineRule="auto"/>
              <w:jc w:val="center"/>
              <w:rPr>
                <w:rFonts w:eastAsia="Times New Roman" w:cs="Times New Roman"/>
                <w:color w:val="000000"/>
                <w:szCs w:val="24"/>
                <w:lang w:eastAsia="es-DO"/>
              </w:rPr>
            </w:pPr>
            <w:r w:rsidRPr="00256026">
              <w:rPr>
                <w:rFonts w:eastAsia="Times New Roman" w:cs="Times New Roman"/>
                <w:color w:val="000000"/>
                <w:szCs w:val="24"/>
                <w:lang w:eastAsia="es-DO"/>
              </w:rPr>
              <w:t>97.99</w:t>
            </w:r>
          </w:p>
        </w:tc>
      </w:tr>
    </w:tbl>
    <w:p w14:paraId="5D327056" w14:textId="77777777" w:rsidR="001C19EC" w:rsidRDefault="001C19EC" w:rsidP="001C19EC">
      <w:pPr>
        <w:spacing w:line="480" w:lineRule="auto"/>
        <w:ind w:firstLine="708"/>
        <w:jc w:val="both"/>
        <w:rPr>
          <w:rFonts w:cs="Times New Roman"/>
          <w:szCs w:val="24"/>
        </w:rPr>
      </w:pPr>
    </w:p>
    <w:p w14:paraId="730C77DE" w14:textId="77777777" w:rsidR="001C19EC" w:rsidRDefault="001C19EC" w:rsidP="001C19EC">
      <w:pPr>
        <w:spacing w:line="480" w:lineRule="auto"/>
        <w:ind w:firstLine="708"/>
        <w:jc w:val="both"/>
        <w:rPr>
          <w:rFonts w:cs="Times New Roman"/>
          <w:szCs w:val="24"/>
        </w:rPr>
      </w:pPr>
      <w:r>
        <w:rPr>
          <w:rFonts w:cs="Times New Roman"/>
          <w:szCs w:val="24"/>
        </w:rPr>
        <w:t xml:space="preserve">En materia de las NORTIC la Procuraduría logró importantes avances, luego de haberse certificado en las normas: </w:t>
      </w:r>
      <w:r w:rsidRPr="00196717">
        <w:rPr>
          <w:rFonts w:cs="Times New Roman"/>
          <w:b/>
          <w:szCs w:val="24"/>
        </w:rPr>
        <w:t>NORTIC A2</w:t>
      </w:r>
      <w:r>
        <w:rPr>
          <w:rFonts w:cs="Times New Roman"/>
          <w:szCs w:val="24"/>
        </w:rPr>
        <w:t xml:space="preserve"> (Norma para el Desarrollo y Gestión de </w:t>
      </w:r>
      <w:r>
        <w:rPr>
          <w:rFonts w:cs="Times New Roman"/>
          <w:szCs w:val="24"/>
        </w:rPr>
        <w:lastRenderedPageBreak/>
        <w:t xml:space="preserve">los Medios Web del Estado Dominicano), </w:t>
      </w:r>
      <w:r w:rsidRPr="00196717">
        <w:rPr>
          <w:rFonts w:cs="Times New Roman"/>
          <w:b/>
          <w:szCs w:val="24"/>
        </w:rPr>
        <w:t>NORTIC A3</w:t>
      </w:r>
      <w:r>
        <w:rPr>
          <w:rFonts w:cs="Times New Roman"/>
          <w:szCs w:val="24"/>
        </w:rPr>
        <w:t xml:space="preserve"> (Norma Sobre Publicación de Datos Abiertos del Gobierno Dominicano), </w:t>
      </w:r>
      <w:r w:rsidRPr="00196717">
        <w:rPr>
          <w:rFonts w:cs="Times New Roman"/>
          <w:b/>
          <w:szCs w:val="24"/>
        </w:rPr>
        <w:t>NORTIC A4</w:t>
      </w:r>
      <w:r>
        <w:rPr>
          <w:rFonts w:cs="Times New Roman"/>
          <w:szCs w:val="24"/>
        </w:rPr>
        <w:t xml:space="preserve"> (Norma para la Interoperabilidad entre los Organismos del Gobierno Dominicano), </w:t>
      </w:r>
      <w:r w:rsidRPr="00196717">
        <w:rPr>
          <w:rFonts w:cs="Times New Roman"/>
          <w:b/>
          <w:szCs w:val="24"/>
        </w:rPr>
        <w:t>NORTIC A5</w:t>
      </w:r>
      <w:r>
        <w:rPr>
          <w:rFonts w:cs="Times New Roman"/>
          <w:szCs w:val="24"/>
        </w:rPr>
        <w:t xml:space="preserve"> (Norma sobre la Prestación y Automatización de los Servicios Públicos del Estado Dominicano) y la </w:t>
      </w:r>
      <w:r w:rsidRPr="00196717">
        <w:rPr>
          <w:rFonts w:cs="Times New Roman"/>
          <w:b/>
          <w:szCs w:val="24"/>
        </w:rPr>
        <w:t>NORTIC E1</w:t>
      </w:r>
      <w:r>
        <w:rPr>
          <w:rFonts w:cs="Times New Roman"/>
          <w:szCs w:val="24"/>
        </w:rPr>
        <w:t xml:space="preserve"> (Norma para la Gestión de las Redes Sociales en los Organismos Gubernamentales). </w:t>
      </w:r>
    </w:p>
    <w:p w14:paraId="405F7DAE" w14:textId="77777777" w:rsidR="001C19EC" w:rsidRDefault="001C19EC" w:rsidP="001C19EC">
      <w:pPr>
        <w:spacing w:line="480" w:lineRule="auto"/>
        <w:ind w:firstLine="708"/>
        <w:jc w:val="both"/>
        <w:rPr>
          <w:rFonts w:cs="Times New Roman"/>
          <w:szCs w:val="24"/>
        </w:rPr>
      </w:pPr>
      <w:r>
        <w:rPr>
          <w:rFonts w:cs="Times New Roman"/>
          <w:szCs w:val="24"/>
        </w:rPr>
        <w:t xml:space="preserve">Por su parte, se encuentra en proceso de implementación las normas: </w:t>
      </w:r>
      <w:r w:rsidRPr="00E773FB">
        <w:rPr>
          <w:rFonts w:cs="Times New Roman"/>
          <w:b/>
          <w:szCs w:val="24"/>
        </w:rPr>
        <w:t>NORTIC A6</w:t>
      </w:r>
      <w:r>
        <w:rPr>
          <w:rFonts w:cs="Times New Roman"/>
          <w:szCs w:val="24"/>
        </w:rPr>
        <w:t xml:space="preserve"> (Norma Sobre el Desarrollo y Gestión del Software en el Estado Dominicano), la </w:t>
      </w:r>
      <w:r w:rsidRPr="00E773FB">
        <w:rPr>
          <w:rFonts w:cs="Times New Roman"/>
          <w:b/>
          <w:szCs w:val="24"/>
        </w:rPr>
        <w:t>NORTIC A7</w:t>
      </w:r>
      <w:r>
        <w:rPr>
          <w:rFonts w:cs="Times New Roman"/>
          <w:szCs w:val="24"/>
        </w:rPr>
        <w:t xml:space="preserve"> (Norma para la Seguridad de las Tecnologías de la Información y Comunicación en el Estado Dominicano) y la NORTIC B2 (Norma sobre Accesibilidad Web del Estado Dominicano).</w:t>
      </w:r>
    </w:p>
    <w:p w14:paraId="2A6543C5" w14:textId="77777777" w:rsidR="001C19EC" w:rsidRDefault="001C19EC" w:rsidP="001C19EC">
      <w:pPr>
        <w:spacing w:line="480" w:lineRule="auto"/>
        <w:ind w:firstLine="708"/>
        <w:jc w:val="both"/>
        <w:rPr>
          <w:rFonts w:cs="Times New Roman"/>
          <w:szCs w:val="24"/>
        </w:rPr>
      </w:pPr>
      <w:r>
        <w:rPr>
          <w:rFonts w:cs="Times New Roman"/>
          <w:szCs w:val="24"/>
        </w:rPr>
        <w:t>El cumplimiento de las NORTIC y el constante esfuerzo en cumplir con las mejores prácticas establecidas por la Oficina Presidencial de Tecnologías de la Información y Comunicación (OPTIC), colocan a la PGR entre las 5 mejores instituciones del Estado Dominicano en el uso de las TIC e implementación de gobierno electrónico, según consta en el Ranking ITICGE durante el año 2019.</w:t>
      </w:r>
    </w:p>
    <w:p w14:paraId="09E5A1F4" w14:textId="046BB8B4" w:rsidR="001C19EC" w:rsidRDefault="001C19EC" w:rsidP="00951609">
      <w:pPr>
        <w:pStyle w:val="Estilo7"/>
        <w:numPr>
          <w:ilvl w:val="2"/>
          <w:numId w:val="14"/>
        </w:numPr>
      </w:pPr>
      <w:bookmarkStart w:id="59" w:name="_Toc29577323"/>
      <w:bookmarkStart w:id="60" w:name="_Toc29891708"/>
      <w:r>
        <w:t>Normas Básicas de Control Interno (NOBACI)</w:t>
      </w:r>
      <w:bookmarkEnd w:id="59"/>
      <w:bookmarkEnd w:id="60"/>
      <w:r w:rsidR="00932739">
        <w:t xml:space="preserve"> </w:t>
      </w:r>
    </w:p>
    <w:p w14:paraId="146F1455" w14:textId="77777777" w:rsidR="00932739" w:rsidRDefault="00932739" w:rsidP="00932739">
      <w:pPr>
        <w:pStyle w:val="Estilo7"/>
        <w:numPr>
          <w:ilvl w:val="0"/>
          <w:numId w:val="0"/>
        </w:numPr>
        <w:ind w:left="2160"/>
      </w:pPr>
    </w:p>
    <w:p w14:paraId="4982C8C2" w14:textId="77777777" w:rsidR="001C19EC" w:rsidRDefault="001C19EC" w:rsidP="001C19EC">
      <w:pPr>
        <w:spacing w:line="480" w:lineRule="auto"/>
        <w:ind w:firstLine="708"/>
        <w:jc w:val="both"/>
        <w:rPr>
          <w:rFonts w:cs="Times New Roman"/>
          <w:szCs w:val="24"/>
        </w:rPr>
      </w:pPr>
      <w:r w:rsidRPr="008A0F6D">
        <w:rPr>
          <w:rFonts w:cs="Times New Roman"/>
          <w:szCs w:val="24"/>
        </w:rPr>
        <w:t>En</w:t>
      </w:r>
      <w:r>
        <w:rPr>
          <w:rFonts w:cs="Times New Roman"/>
          <w:szCs w:val="24"/>
        </w:rPr>
        <w:t xml:space="preserve"> términos de implementación de la Norma Básicas de Control Interno (NOBACI) durante el añ</w:t>
      </w:r>
      <w:r w:rsidRPr="00E773FB">
        <w:rPr>
          <w:rFonts w:cs="Times New Roman"/>
          <w:szCs w:val="24"/>
        </w:rPr>
        <w:t>o 2019</w:t>
      </w:r>
      <w:r>
        <w:rPr>
          <w:rFonts w:cs="Times New Roman"/>
          <w:szCs w:val="24"/>
        </w:rPr>
        <w:t xml:space="preserve"> la PGR muestra un desempeño de un 100%, medido a través del Sistema de Monitoreo y Medición de la Gestión Pública (SMMGP), lo cual es coherente con los avances alcanzados en términos del fortalecimiento institucional.</w:t>
      </w:r>
    </w:p>
    <w:p w14:paraId="395CA061" w14:textId="77777777" w:rsidR="001C19EC" w:rsidRPr="003242AE" w:rsidRDefault="001C19EC" w:rsidP="001C19EC">
      <w:pPr>
        <w:spacing w:line="480" w:lineRule="auto"/>
        <w:ind w:firstLine="708"/>
        <w:jc w:val="both"/>
        <w:rPr>
          <w:rFonts w:cs="Times New Roman"/>
          <w:szCs w:val="24"/>
        </w:rPr>
      </w:pPr>
      <w:r>
        <w:rPr>
          <w:rFonts w:cs="Times New Roman"/>
          <w:szCs w:val="24"/>
        </w:rPr>
        <w:t xml:space="preserve">Este logro </w:t>
      </w:r>
      <w:r w:rsidRPr="00E2545F">
        <w:rPr>
          <w:rFonts w:cs="Times New Roman"/>
          <w:szCs w:val="24"/>
        </w:rPr>
        <w:t xml:space="preserve">indica que </w:t>
      </w:r>
      <w:r>
        <w:rPr>
          <w:rFonts w:cs="Times New Roman"/>
          <w:szCs w:val="24"/>
        </w:rPr>
        <w:t xml:space="preserve">fueron implementadas de manera satisfactoria </w:t>
      </w:r>
      <w:r w:rsidRPr="00E2545F">
        <w:rPr>
          <w:rFonts w:cs="Times New Roman"/>
          <w:szCs w:val="24"/>
        </w:rPr>
        <w:t xml:space="preserve">las 5 normas (“Ambiente de Control”, “Valoración y Administración del Riesgo” Actividades de </w:t>
      </w:r>
      <w:r w:rsidRPr="00E2545F">
        <w:rPr>
          <w:rFonts w:cs="Times New Roman"/>
          <w:szCs w:val="24"/>
        </w:rPr>
        <w:lastRenderedPageBreak/>
        <w:t>Control, “Información y Comunicac</w:t>
      </w:r>
      <w:r>
        <w:rPr>
          <w:rFonts w:cs="Times New Roman"/>
          <w:szCs w:val="24"/>
        </w:rPr>
        <w:t>ión” “Monitoreo y Evaluación”) que conforman las NOBACI. En resumen, durante el año 2019 fueron alcanzados los siguientes resultados en cada una de las cinco normas que conforman el sistema de control interno instituido por las NOBACI:</w:t>
      </w:r>
    </w:p>
    <w:tbl>
      <w:tblPr>
        <w:tblW w:w="9300" w:type="dxa"/>
        <w:tblInd w:w="-10" w:type="dxa"/>
        <w:tblCellMar>
          <w:left w:w="70" w:type="dxa"/>
          <w:right w:w="70" w:type="dxa"/>
        </w:tblCellMar>
        <w:tblLook w:val="04A0" w:firstRow="1" w:lastRow="0" w:firstColumn="1" w:lastColumn="0" w:noHBand="0" w:noVBand="1"/>
      </w:tblPr>
      <w:tblGrid>
        <w:gridCol w:w="4253"/>
        <w:gridCol w:w="2487"/>
        <w:gridCol w:w="2560"/>
      </w:tblGrid>
      <w:tr w:rsidR="001C19EC" w:rsidRPr="00BD0F90" w14:paraId="2A5D6E3D" w14:textId="77777777" w:rsidTr="00637245">
        <w:trPr>
          <w:trHeight w:val="315"/>
        </w:trPr>
        <w:tc>
          <w:tcPr>
            <w:tcW w:w="4253" w:type="dxa"/>
            <w:tcBorders>
              <w:top w:val="single" w:sz="8" w:space="0" w:color="auto"/>
              <w:left w:val="single" w:sz="8" w:space="0" w:color="auto"/>
              <w:bottom w:val="single" w:sz="4" w:space="0" w:color="auto"/>
              <w:right w:val="single" w:sz="4" w:space="0" w:color="auto"/>
            </w:tcBorders>
            <w:shd w:val="clear" w:color="4472C4" w:fill="4472C4"/>
            <w:noWrap/>
            <w:vAlign w:val="bottom"/>
            <w:hideMark/>
          </w:tcPr>
          <w:p w14:paraId="31818447" w14:textId="77777777" w:rsidR="001C19EC" w:rsidRPr="00BD0F90" w:rsidRDefault="001C19EC" w:rsidP="00637245">
            <w:pPr>
              <w:spacing w:after="0" w:line="480" w:lineRule="auto"/>
              <w:jc w:val="center"/>
              <w:rPr>
                <w:rFonts w:eastAsia="Times New Roman" w:cs="Times New Roman"/>
                <w:b/>
                <w:bCs/>
                <w:color w:val="FFFFFF"/>
                <w:szCs w:val="24"/>
                <w:lang w:eastAsia="es-DO"/>
              </w:rPr>
            </w:pPr>
            <w:r w:rsidRPr="00BD0F90">
              <w:rPr>
                <w:rFonts w:eastAsia="Times New Roman" w:cs="Times New Roman"/>
                <w:b/>
                <w:bCs/>
                <w:color w:val="FFFFFF"/>
                <w:szCs w:val="24"/>
                <w:lang w:eastAsia="es-DO"/>
              </w:rPr>
              <w:t>Componentes del Control Interno</w:t>
            </w:r>
          </w:p>
        </w:tc>
        <w:tc>
          <w:tcPr>
            <w:tcW w:w="2487" w:type="dxa"/>
            <w:tcBorders>
              <w:top w:val="single" w:sz="8" w:space="0" w:color="auto"/>
              <w:left w:val="single" w:sz="4" w:space="0" w:color="auto"/>
              <w:bottom w:val="single" w:sz="4" w:space="0" w:color="auto"/>
              <w:right w:val="single" w:sz="4" w:space="0" w:color="auto"/>
            </w:tcBorders>
            <w:shd w:val="clear" w:color="4472C4" w:fill="4472C4"/>
            <w:noWrap/>
            <w:vAlign w:val="bottom"/>
            <w:hideMark/>
          </w:tcPr>
          <w:p w14:paraId="50BC65DE" w14:textId="77777777" w:rsidR="001C19EC" w:rsidRPr="00BD0F90" w:rsidRDefault="001C19EC" w:rsidP="00637245">
            <w:pPr>
              <w:spacing w:after="0" w:line="480" w:lineRule="auto"/>
              <w:jc w:val="center"/>
              <w:rPr>
                <w:rFonts w:eastAsia="Times New Roman" w:cs="Times New Roman"/>
                <w:b/>
                <w:bCs/>
                <w:color w:val="FFFFFF"/>
                <w:szCs w:val="24"/>
                <w:lang w:eastAsia="es-DO"/>
              </w:rPr>
            </w:pPr>
            <w:r w:rsidRPr="00BD0F90">
              <w:rPr>
                <w:rFonts w:eastAsia="Times New Roman" w:cs="Times New Roman"/>
                <w:b/>
                <w:bCs/>
                <w:color w:val="FFFFFF"/>
                <w:szCs w:val="24"/>
                <w:lang w:eastAsia="es-DO"/>
              </w:rPr>
              <w:t>Calificación Obtenida</w:t>
            </w:r>
          </w:p>
        </w:tc>
        <w:tc>
          <w:tcPr>
            <w:tcW w:w="2560" w:type="dxa"/>
            <w:tcBorders>
              <w:top w:val="single" w:sz="8" w:space="0" w:color="auto"/>
              <w:left w:val="single" w:sz="4" w:space="0" w:color="auto"/>
              <w:bottom w:val="single" w:sz="4" w:space="0" w:color="auto"/>
              <w:right w:val="single" w:sz="8" w:space="0" w:color="auto"/>
            </w:tcBorders>
            <w:shd w:val="clear" w:color="4472C4" w:fill="4472C4"/>
            <w:noWrap/>
            <w:vAlign w:val="bottom"/>
            <w:hideMark/>
          </w:tcPr>
          <w:p w14:paraId="669CD9D3" w14:textId="77777777" w:rsidR="001C19EC" w:rsidRPr="00BD0F90" w:rsidRDefault="001C19EC" w:rsidP="00637245">
            <w:pPr>
              <w:spacing w:after="0" w:line="480" w:lineRule="auto"/>
              <w:jc w:val="center"/>
              <w:rPr>
                <w:rFonts w:eastAsia="Times New Roman" w:cs="Times New Roman"/>
                <w:b/>
                <w:bCs/>
                <w:color w:val="FFFFFF"/>
                <w:szCs w:val="24"/>
                <w:lang w:eastAsia="es-DO"/>
              </w:rPr>
            </w:pPr>
            <w:r w:rsidRPr="00BD0F90">
              <w:rPr>
                <w:rFonts w:eastAsia="Times New Roman" w:cs="Times New Roman"/>
                <w:b/>
                <w:bCs/>
                <w:color w:val="FFFFFF"/>
                <w:szCs w:val="24"/>
                <w:lang w:eastAsia="es-DO"/>
              </w:rPr>
              <w:t>Nivel de Desarrollo</w:t>
            </w:r>
          </w:p>
        </w:tc>
      </w:tr>
      <w:tr w:rsidR="001C19EC" w:rsidRPr="00BD0F90" w14:paraId="4FFDE8D1" w14:textId="77777777" w:rsidTr="00637245">
        <w:trPr>
          <w:trHeight w:val="315"/>
        </w:trPr>
        <w:tc>
          <w:tcPr>
            <w:tcW w:w="425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5D5AD3EE" w14:textId="77777777" w:rsidR="001C19EC" w:rsidRPr="00BD0F90" w:rsidRDefault="001C19EC" w:rsidP="00637245">
            <w:pPr>
              <w:spacing w:after="0" w:line="480" w:lineRule="auto"/>
              <w:rPr>
                <w:rFonts w:eastAsia="Times New Roman" w:cs="Times New Roman"/>
                <w:color w:val="000000"/>
                <w:szCs w:val="24"/>
                <w:lang w:eastAsia="es-DO"/>
              </w:rPr>
            </w:pPr>
            <w:r w:rsidRPr="00BD0F90">
              <w:rPr>
                <w:rFonts w:eastAsia="Times New Roman" w:cs="Times New Roman"/>
                <w:color w:val="000000"/>
                <w:szCs w:val="24"/>
                <w:lang w:eastAsia="es-DO"/>
              </w:rPr>
              <w:t xml:space="preserve">I. Ambiente y Control </w:t>
            </w:r>
          </w:p>
        </w:tc>
        <w:tc>
          <w:tcPr>
            <w:tcW w:w="248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812D07"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76A917AB"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r w:rsidR="001C19EC" w:rsidRPr="00BD0F90" w14:paraId="1165558C" w14:textId="77777777" w:rsidTr="00637245">
        <w:trPr>
          <w:trHeight w:val="315"/>
        </w:trPr>
        <w:tc>
          <w:tcPr>
            <w:tcW w:w="42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D97C4E" w14:textId="77777777" w:rsidR="001C19EC" w:rsidRPr="00BD0F90" w:rsidRDefault="001C19EC" w:rsidP="00637245">
            <w:pPr>
              <w:spacing w:after="0" w:line="480" w:lineRule="auto"/>
              <w:rPr>
                <w:rFonts w:eastAsia="Times New Roman" w:cs="Times New Roman"/>
                <w:color w:val="000000"/>
                <w:szCs w:val="24"/>
                <w:lang w:eastAsia="es-DO"/>
              </w:rPr>
            </w:pPr>
            <w:r w:rsidRPr="00BD0F90">
              <w:rPr>
                <w:rFonts w:eastAsia="Times New Roman" w:cs="Times New Roman"/>
                <w:color w:val="000000"/>
                <w:szCs w:val="24"/>
                <w:lang w:eastAsia="es-DO"/>
              </w:rPr>
              <w:t>II. Valoración y Administración de Riesgo</w:t>
            </w:r>
          </w:p>
        </w:tc>
        <w:tc>
          <w:tcPr>
            <w:tcW w:w="2487" w:type="dxa"/>
            <w:tcBorders>
              <w:top w:val="nil"/>
              <w:left w:val="nil"/>
              <w:bottom w:val="single" w:sz="4" w:space="0" w:color="auto"/>
              <w:right w:val="single" w:sz="4" w:space="0" w:color="auto"/>
            </w:tcBorders>
            <w:shd w:val="clear" w:color="auto" w:fill="auto"/>
            <w:noWrap/>
            <w:vAlign w:val="bottom"/>
            <w:hideMark/>
          </w:tcPr>
          <w:p w14:paraId="6482A921"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9F4D4E"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r w:rsidR="001C19EC" w:rsidRPr="00BD0F90" w14:paraId="1B7B29B8" w14:textId="77777777" w:rsidTr="00637245">
        <w:trPr>
          <w:trHeight w:val="315"/>
        </w:trPr>
        <w:tc>
          <w:tcPr>
            <w:tcW w:w="425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778F95C7" w14:textId="77777777" w:rsidR="001C19EC" w:rsidRPr="00BD0F90" w:rsidRDefault="001C19EC" w:rsidP="00637245">
            <w:pPr>
              <w:spacing w:after="0" w:line="480" w:lineRule="auto"/>
              <w:rPr>
                <w:rFonts w:eastAsia="Times New Roman" w:cs="Times New Roman"/>
                <w:color w:val="000000"/>
                <w:szCs w:val="24"/>
                <w:lang w:eastAsia="es-DO"/>
              </w:rPr>
            </w:pPr>
            <w:r w:rsidRPr="00BD0F90">
              <w:rPr>
                <w:rFonts w:eastAsia="Times New Roman" w:cs="Times New Roman"/>
                <w:color w:val="000000"/>
                <w:szCs w:val="24"/>
                <w:lang w:eastAsia="es-DO"/>
              </w:rPr>
              <w:t>III. Actividad de Control</w:t>
            </w:r>
          </w:p>
        </w:tc>
        <w:tc>
          <w:tcPr>
            <w:tcW w:w="248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71DCCA"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5D3027FE"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r w:rsidR="001C19EC" w:rsidRPr="00BD0F90" w14:paraId="1E3690DA" w14:textId="77777777" w:rsidTr="00637245">
        <w:trPr>
          <w:trHeight w:val="315"/>
        </w:trPr>
        <w:tc>
          <w:tcPr>
            <w:tcW w:w="42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FC47A4" w14:textId="77777777" w:rsidR="001C19EC" w:rsidRPr="00BD0F90" w:rsidRDefault="001C19EC" w:rsidP="00637245">
            <w:pPr>
              <w:spacing w:after="0" w:line="480" w:lineRule="auto"/>
              <w:rPr>
                <w:rFonts w:eastAsia="Times New Roman" w:cs="Times New Roman"/>
                <w:color w:val="000000"/>
                <w:szCs w:val="24"/>
                <w:lang w:eastAsia="es-DO"/>
              </w:rPr>
            </w:pPr>
            <w:r w:rsidRPr="00BD0F90">
              <w:rPr>
                <w:rFonts w:eastAsia="Times New Roman" w:cs="Times New Roman"/>
                <w:color w:val="000000"/>
                <w:szCs w:val="24"/>
                <w:lang w:eastAsia="es-DO"/>
              </w:rPr>
              <w:t>IV. Información y Comunicación</w:t>
            </w:r>
          </w:p>
        </w:tc>
        <w:tc>
          <w:tcPr>
            <w:tcW w:w="2487" w:type="dxa"/>
            <w:tcBorders>
              <w:top w:val="nil"/>
              <w:left w:val="nil"/>
              <w:bottom w:val="single" w:sz="4" w:space="0" w:color="auto"/>
              <w:right w:val="single" w:sz="4" w:space="0" w:color="auto"/>
            </w:tcBorders>
            <w:shd w:val="clear" w:color="auto" w:fill="auto"/>
            <w:noWrap/>
            <w:vAlign w:val="bottom"/>
            <w:hideMark/>
          </w:tcPr>
          <w:p w14:paraId="0F554994"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F474ED"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r w:rsidR="001C19EC" w:rsidRPr="00BD0F90" w14:paraId="16235E11" w14:textId="77777777" w:rsidTr="00637245">
        <w:trPr>
          <w:trHeight w:val="315"/>
        </w:trPr>
        <w:tc>
          <w:tcPr>
            <w:tcW w:w="425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2E5FAC20" w14:textId="77777777" w:rsidR="001C19EC" w:rsidRPr="00BD0F90" w:rsidRDefault="001C19EC" w:rsidP="00637245">
            <w:pPr>
              <w:spacing w:after="0" w:line="480" w:lineRule="auto"/>
              <w:rPr>
                <w:rFonts w:eastAsia="Times New Roman" w:cs="Times New Roman"/>
                <w:color w:val="000000"/>
                <w:szCs w:val="24"/>
                <w:lang w:eastAsia="es-DO"/>
              </w:rPr>
            </w:pPr>
            <w:r w:rsidRPr="00BD0F90">
              <w:rPr>
                <w:rFonts w:eastAsia="Times New Roman" w:cs="Times New Roman"/>
                <w:color w:val="000000"/>
                <w:szCs w:val="24"/>
                <w:lang w:eastAsia="es-DO"/>
              </w:rPr>
              <w:t>V. Monitoreo y Evaluación</w:t>
            </w:r>
          </w:p>
        </w:tc>
        <w:tc>
          <w:tcPr>
            <w:tcW w:w="248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5B128E"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6BE39DA3"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r w:rsidR="001C19EC" w:rsidRPr="00BD0F90" w14:paraId="1F343E8A" w14:textId="77777777" w:rsidTr="00637245">
        <w:trPr>
          <w:trHeight w:val="375"/>
        </w:trPr>
        <w:tc>
          <w:tcPr>
            <w:tcW w:w="425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DC82B9" w14:textId="77777777" w:rsidR="001C19EC" w:rsidRPr="00BD0F90" w:rsidRDefault="001C19EC" w:rsidP="00637245">
            <w:pPr>
              <w:spacing w:after="0" w:line="480" w:lineRule="auto"/>
              <w:jc w:val="right"/>
              <w:rPr>
                <w:rFonts w:eastAsia="Times New Roman" w:cs="Times New Roman"/>
                <w:b/>
                <w:bCs/>
                <w:color w:val="000000"/>
                <w:sz w:val="28"/>
                <w:szCs w:val="28"/>
                <w:lang w:eastAsia="es-DO"/>
              </w:rPr>
            </w:pPr>
            <w:r w:rsidRPr="00BD0F90">
              <w:rPr>
                <w:rFonts w:eastAsia="Times New Roman" w:cs="Times New Roman"/>
                <w:b/>
                <w:bCs/>
                <w:color w:val="000000"/>
                <w:sz w:val="28"/>
                <w:szCs w:val="28"/>
                <w:lang w:eastAsia="es-DO"/>
              </w:rPr>
              <w:t xml:space="preserve">Total </w:t>
            </w:r>
          </w:p>
        </w:tc>
        <w:tc>
          <w:tcPr>
            <w:tcW w:w="248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78FD729"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100%</w:t>
            </w:r>
          </w:p>
        </w:tc>
        <w:tc>
          <w:tcPr>
            <w:tcW w:w="25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443E2593" w14:textId="77777777" w:rsidR="001C19EC" w:rsidRPr="00BD0F90" w:rsidRDefault="001C19EC" w:rsidP="00637245">
            <w:pPr>
              <w:spacing w:after="0" w:line="480" w:lineRule="auto"/>
              <w:jc w:val="center"/>
              <w:rPr>
                <w:rFonts w:eastAsia="Times New Roman" w:cs="Times New Roman"/>
                <w:color w:val="000000"/>
                <w:szCs w:val="24"/>
                <w:lang w:eastAsia="es-DO"/>
              </w:rPr>
            </w:pPr>
            <w:r w:rsidRPr="00BD0F90">
              <w:rPr>
                <w:rFonts w:eastAsia="Times New Roman" w:cs="Times New Roman"/>
                <w:color w:val="000000"/>
                <w:szCs w:val="24"/>
                <w:lang w:eastAsia="es-DO"/>
              </w:rPr>
              <w:t>Implementado</w:t>
            </w:r>
          </w:p>
        </w:tc>
      </w:tr>
    </w:tbl>
    <w:p w14:paraId="3399913B" w14:textId="77777777" w:rsidR="00932739" w:rsidRDefault="00932739" w:rsidP="001C19EC">
      <w:pPr>
        <w:spacing w:line="480" w:lineRule="auto"/>
        <w:jc w:val="both"/>
        <w:rPr>
          <w:rFonts w:cs="Times New Roman"/>
          <w:b/>
          <w:sz w:val="28"/>
          <w:szCs w:val="28"/>
        </w:rPr>
      </w:pPr>
    </w:p>
    <w:p w14:paraId="3E8C1C4F" w14:textId="342F3E62" w:rsidR="001C19EC" w:rsidRPr="006E3AAF" w:rsidRDefault="001C19EC" w:rsidP="00951609">
      <w:pPr>
        <w:pStyle w:val="Estilo7"/>
        <w:keepNext w:val="0"/>
        <w:keepLines w:val="0"/>
        <w:numPr>
          <w:ilvl w:val="1"/>
          <w:numId w:val="27"/>
        </w:numPr>
        <w:spacing w:after="160" w:line="480" w:lineRule="auto"/>
        <w:ind w:right="0"/>
        <w:contextualSpacing/>
        <w:outlineLvl w:val="9"/>
      </w:pPr>
      <w:bookmarkStart w:id="61" w:name="_Toc29577324"/>
      <w:r w:rsidRPr="006E3AAF">
        <w:t>Carta Compromiso al Ciudadano</w:t>
      </w:r>
      <w:bookmarkEnd w:id="61"/>
    </w:p>
    <w:p w14:paraId="2026E17C" w14:textId="77777777" w:rsidR="001C19EC" w:rsidRDefault="001C19EC" w:rsidP="001C19EC">
      <w:pPr>
        <w:spacing w:line="480" w:lineRule="auto"/>
        <w:ind w:firstLine="708"/>
        <w:jc w:val="both"/>
        <w:rPr>
          <w:rFonts w:cs="Times New Roman"/>
          <w:szCs w:val="24"/>
        </w:rPr>
      </w:pPr>
      <w:r>
        <w:rPr>
          <w:rFonts w:cs="Times New Roman"/>
          <w:szCs w:val="24"/>
        </w:rPr>
        <w:t xml:space="preserve">La Procuraduría General de la República (PGR) presentó a la ciudadanía la primera versión de la Carta Compromiso en el año 2018, con lo cual fueron reafirmados los compromisos y estándares de calidad en la prestación de los servicios públicos que se brindan a los ciudadanos. </w:t>
      </w:r>
    </w:p>
    <w:p w14:paraId="0EA52346" w14:textId="77777777" w:rsidR="001C19EC" w:rsidRDefault="001C19EC" w:rsidP="001C19EC">
      <w:pPr>
        <w:spacing w:line="480" w:lineRule="auto"/>
        <w:ind w:firstLine="708"/>
        <w:jc w:val="both"/>
        <w:rPr>
          <w:rFonts w:cs="Times New Roman"/>
          <w:szCs w:val="24"/>
        </w:rPr>
      </w:pPr>
      <w:r>
        <w:rPr>
          <w:rFonts w:cs="Times New Roman"/>
          <w:szCs w:val="24"/>
        </w:rPr>
        <w:t>Más adelante, en 2019 la Dirección de Simplificación de Trámites del Ministerio de Administración Pública (MAP), realizó una evaluación satisfactoria sobre los resultados obtenidos en la implementación de la herramienta durante el período comprendido entre noviembre 2018 y noviembre 2019.</w:t>
      </w:r>
    </w:p>
    <w:p w14:paraId="7046E402" w14:textId="77777777" w:rsidR="001C19EC" w:rsidRDefault="001C19EC" w:rsidP="001C19EC">
      <w:pPr>
        <w:spacing w:line="480" w:lineRule="auto"/>
        <w:ind w:firstLine="708"/>
        <w:jc w:val="both"/>
        <w:rPr>
          <w:rFonts w:cs="Times New Roman"/>
          <w:szCs w:val="24"/>
        </w:rPr>
      </w:pPr>
      <w:r>
        <w:rPr>
          <w:rFonts w:cs="Times New Roman"/>
          <w:szCs w:val="24"/>
        </w:rPr>
        <w:t xml:space="preserve">Producto de los resultados alcanzados en dicha evaluación, la PGR participó como expositor en el evento de “Benchlearning Carta Compromiso al Ciudadano”, con el tema </w:t>
      </w:r>
      <w:r>
        <w:rPr>
          <w:rFonts w:cs="Times New Roman"/>
          <w:szCs w:val="24"/>
        </w:rPr>
        <w:lastRenderedPageBreak/>
        <w:t>de “Experiencia en el proceso de elaboración de la Carta Compromiso”, en donde fueron presentadas las fortalezas alcanzadas por la PGR en términos del cumplimiento de los estándares de satisfacción de los servicios comprometidos.</w:t>
      </w:r>
    </w:p>
    <w:p w14:paraId="1E163097" w14:textId="047D0AEC" w:rsidR="00932739" w:rsidRDefault="001C19EC" w:rsidP="00370DC0">
      <w:pPr>
        <w:spacing w:line="480" w:lineRule="auto"/>
        <w:ind w:firstLine="708"/>
        <w:jc w:val="both"/>
        <w:rPr>
          <w:rFonts w:cs="Times New Roman"/>
          <w:szCs w:val="24"/>
        </w:rPr>
      </w:pPr>
      <w:r>
        <w:rPr>
          <w:rFonts w:cs="Times New Roman"/>
          <w:szCs w:val="24"/>
        </w:rPr>
        <w:t>El compromiso contraído con el ciudadano, así como la implementación de los principios que rigen los sistemas de gestión de la calidad han permitido lograr altos niveles de satisfacción en los usuarios con los servicios a citar “Certificación de Buena Conducta” y “Certificación de Firma de Documentos Notariales”, los cuales han alcanzado niveles de satisfacción entre el 98% y el 99% en los atributos de cortesía y profesionalidad del personal.</w:t>
      </w:r>
    </w:p>
    <w:p w14:paraId="7E8167DD" w14:textId="27776689" w:rsidR="001C19EC" w:rsidRPr="003242AE" w:rsidRDefault="001C19EC" w:rsidP="00951609">
      <w:pPr>
        <w:pStyle w:val="Estilo7"/>
        <w:keepNext w:val="0"/>
        <w:keepLines w:val="0"/>
        <w:numPr>
          <w:ilvl w:val="1"/>
          <w:numId w:val="27"/>
        </w:numPr>
        <w:spacing w:after="160" w:line="480" w:lineRule="auto"/>
        <w:ind w:right="0"/>
        <w:contextualSpacing/>
        <w:outlineLvl w:val="9"/>
        <w:rPr>
          <w:sz w:val="24"/>
          <w:szCs w:val="24"/>
        </w:rPr>
      </w:pPr>
      <w:bookmarkStart w:id="62" w:name="_Toc29577325"/>
      <w:r>
        <w:t>Marco Común de Evaluación (CAF)</w:t>
      </w:r>
      <w:bookmarkEnd w:id="62"/>
    </w:p>
    <w:p w14:paraId="457A7854" w14:textId="77777777" w:rsidR="001C19EC" w:rsidRDefault="001C19EC" w:rsidP="001C19EC">
      <w:pPr>
        <w:spacing w:line="480" w:lineRule="auto"/>
        <w:ind w:firstLine="708"/>
        <w:jc w:val="both"/>
        <w:rPr>
          <w:rFonts w:cs="Times New Roman"/>
          <w:szCs w:val="24"/>
        </w:rPr>
      </w:pPr>
      <w:r w:rsidRPr="00E57590">
        <w:rPr>
          <w:rFonts w:cs="Times New Roman"/>
          <w:szCs w:val="24"/>
        </w:rPr>
        <w:t xml:space="preserve">A raíz de la implementación del Modelo CAF (Marco Común de Evaluación), herramienta fundamental de apoyo en el sistema de gestión de calidad, la Procuraduría General de la </w:t>
      </w:r>
      <w:r>
        <w:rPr>
          <w:rFonts w:cs="Times New Roman"/>
          <w:szCs w:val="24"/>
        </w:rPr>
        <w:t>Repú</w:t>
      </w:r>
      <w:r w:rsidRPr="00E57590">
        <w:rPr>
          <w:rFonts w:cs="Times New Roman"/>
          <w:szCs w:val="24"/>
        </w:rPr>
        <w:t xml:space="preserve">blica ha </w:t>
      </w:r>
      <w:r>
        <w:rPr>
          <w:rFonts w:cs="Times New Roman"/>
          <w:szCs w:val="24"/>
        </w:rPr>
        <w:t xml:space="preserve">venido </w:t>
      </w:r>
      <w:r w:rsidRPr="00E57590">
        <w:rPr>
          <w:rFonts w:cs="Times New Roman"/>
          <w:szCs w:val="24"/>
        </w:rPr>
        <w:t>desarrollado una cultura de mejora continua a través de la detección de áreas de mejora que han sido transformadas en logros.</w:t>
      </w:r>
    </w:p>
    <w:p w14:paraId="06670FDA" w14:textId="77777777" w:rsidR="001C19EC" w:rsidRDefault="001C19EC" w:rsidP="001C19EC">
      <w:pPr>
        <w:spacing w:line="480" w:lineRule="auto"/>
        <w:ind w:firstLine="708"/>
        <w:jc w:val="both"/>
        <w:rPr>
          <w:rFonts w:cs="Times New Roman"/>
          <w:szCs w:val="24"/>
        </w:rPr>
      </w:pPr>
      <w:r w:rsidRPr="00E57590">
        <w:rPr>
          <w:rFonts w:cs="Times New Roman"/>
          <w:szCs w:val="24"/>
        </w:rPr>
        <w:t xml:space="preserve">En ese sentido, </w:t>
      </w:r>
      <w:r>
        <w:rPr>
          <w:rFonts w:cs="Times New Roman"/>
          <w:szCs w:val="24"/>
        </w:rPr>
        <w:t>se destacaron</w:t>
      </w:r>
      <w:r w:rsidRPr="00E57590">
        <w:rPr>
          <w:rFonts w:cs="Times New Roman"/>
          <w:szCs w:val="24"/>
        </w:rPr>
        <w:t xml:space="preserve"> los resultados obtenidos luego de completar el ciclo PDCA (planificación, desarrollo, control y ajustes) en cada uno de los planes de mejora desarrollados. Esto </w:t>
      </w:r>
      <w:r>
        <w:rPr>
          <w:rFonts w:cs="Times New Roman"/>
          <w:szCs w:val="24"/>
        </w:rPr>
        <w:t>permitió</w:t>
      </w:r>
      <w:r w:rsidRPr="00E57590">
        <w:rPr>
          <w:rFonts w:cs="Times New Roman"/>
          <w:szCs w:val="24"/>
        </w:rPr>
        <w:t xml:space="preserve"> </w:t>
      </w:r>
      <w:r>
        <w:rPr>
          <w:rFonts w:cs="Times New Roman"/>
          <w:szCs w:val="24"/>
        </w:rPr>
        <w:t>la implementación de</w:t>
      </w:r>
      <w:r w:rsidRPr="00E57590">
        <w:rPr>
          <w:rFonts w:cs="Times New Roman"/>
          <w:szCs w:val="24"/>
        </w:rPr>
        <w:t xml:space="preserve"> acciones puntuales</w:t>
      </w:r>
      <w:r>
        <w:rPr>
          <w:rFonts w:cs="Times New Roman"/>
          <w:szCs w:val="24"/>
        </w:rPr>
        <w:t xml:space="preserve"> dirigidas a </w:t>
      </w:r>
      <w:r w:rsidRPr="00E57590">
        <w:rPr>
          <w:rFonts w:cs="Times New Roman"/>
          <w:szCs w:val="24"/>
        </w:rPr>
        <w:t>satisfacer las necesidades del ciudadano, y demás grupos de interés de la institución.</w:t>
      </w:r>
    </w:p>
    <w:p w14:paraId="3AD7CFCC" w14:textId="77777777" w:rsidR="001C19EC" w:rsidRDefault="001C19EC" w:rsidP="001C19EC">
      <w:pPr>
        <w:spacing w:line="480" w:lineRule="auto"/>
        <w:ind w:firstLine="708"/>
        <w:jc w:val="both"/>
        <w:rPr>
          <w:rFonts w:cs="Times New Roman"/>
          <w:szCs w:val="24"/>
        </w:rPr>
      </w:pPr>
      <w:r>
        <w:rPr>
          <w:rFonts w:cs="Times New Roman"/>
          <w:szCs w:val="24"/>
        </w:rPr>
        <w:t>Dentro de los</w:t>
      </w:r>
      <w:r w:rsidRPr="00E57590">
        <w:rPr>
          <w:rFonts w:cs="Times New Roman"/>
          <w:szCs w:val="24"/>
        </w:rPr>
        <w:t xml:space="preserve"> avances </w:t>
      </w:r>
      <w:r>
        <w:rPr>
          <w:rFonts w:cs="Times New Roman"/>
          <w:szCs w:val="24"/>
        </w:rPr>
        <w:t xml:space="preserve">obtenidos se destacaron </w:t>
      </w:r>
      <w:r w:rsidRPr="00E57590">
        <w:rPr>
          <w:rFonts w:cs="Times New Roman"/>
          <w:szCs w:val="24"/>
        </w:rPr>
        <w:t xml:space="preserve">el incremento de la satisfacción, </w:t>
      </w:r>
      <w:r>
        <w:rPr>
          <w:rFonts w:cs="Times New Roman"/>
          <w:szCs w:val="24"/>
        </w:rPr>
        <w:t xml:space="preserve">y </w:t>
      </w:r>
      <w:r w:rsidRPr="00E57590">
        <w:rPr>
          <w:rFonts w:cs="Times New Roman"/>
          <w:szCs w:val="24"/>
        </w:rPr>
        <w:t xml:space="preserve">motivación de los empleados, </w:t>
      </w:r>
      <w:r>
        <w:rPr>
          <w:rFonts w:cs="Times New Roman"/>
          <w:szCs w:val="24"/>
        </w:rPr>
        <w:t>medidos a través de</w:t>
      </w:r>
      <w:r w:rsidRPr="00E57590">
        <w:rPr>
          <w:rFonts w:cs="Times New Roman"/>
          <w:szCs w:val="24"/>
        </w:rPr>
        <w:t xml:space="preserve"> </w:t>
      </w:r>
      <w:r>
        <w:rPr>
          <w:rFonts w:cs="Times New Roman"/>
          <w:szCs w:val="24"/>
        </w:rPr>
        <w:t xml:space="preserve">varias </w:t>
      </w:r>
      <w:r w:rsidRPr="00E57590">
        <w:rPr>
          <w:rFonts w:cs="Times New Roman"/>
          <w:szCs w:val="24"/>
        </w:rPr>
        <w:t>herramientas de medición de percepción, siendo una de estas</w:t>
      </w:r>
      <w:r>
        <w:rPr>
          <w:rFonts w:cs="Times New Roman"/>
          <w:szCs w:val="24"/>
        </w:rPr>
        <w:t>,</w:t>
      </w:r>
      <w:r w:rsidRPr="00E57590">
        <w:rPr>
          <w:rFonts w:cs="Times New Roman"/>
          <w:szCs w:val="24"/>
        </w:rPr>
        <w:t xml:space="preserve"> las encuestas de clima laboral</w:t>
      </w:r>
      <w:r>
        <w:rPr>
          <w:rFonts w:cs="Times New Roman"/>
          <w:szCs w:val="24"/>
        </w:rPr>
        <w:t xml:space="preserve"> realizadas</w:t>
      </w:r>
      <w:r w:rsidRPr="00E57590">
        <w:rPr>
          <w:rFonts w:cs="Times New Roman"/>
          <w:szCs w:val="24"/>
        </w:rPr>
        <w:t xml:space="preserve">. En otro aspecto, se procedió a la estandarización y eficiencia de los procesos con la elaboración del Manual de Procesos y Procedimientos Institucional. Así mismo, </w:t>
      </w:r>
      <w:r>
        <w:rPr>
          <w:rFonts w:cs="Times New Roman"/>
          <w:szCs w:val="24"/>
        </w:rPr>
        <w:t>fueron actualizados</w:t>
      </w:r>
      <w:r w:rsidRPr="00E57590">
        <w:rPr>
          <w:rFonts w:cs="Times New Roman"/>
          <w:szCs w:val="24"/>
        </w:rPr>
        <w:t xml:space="preserve"> el Manual de Cargos y </w:t>
      </w:r>
      <w:r>
        <w:rPr>
          <w:rFonts w:cs="Times New Roman"/>
          <w:szCs w:val="24"/>
        </w:rPr>
        <w:t xml:space="preserve">fue </w:t>
      </w:r>
      <w:r w:rsidRPr="00E57590">
        <w:rPr>
          <w:rFonts w:cs="Times New Roman"/>
          <w:szCs w:val="24"/>
        </w:rPr>
        <w:t>socializa</w:t>
      </w:r>
      <w:r>
        <w:rPr>
          <w:rFonts w:cs="Times New Roman"/>
          <w:szCs w:val="24"/>
        </w:rPr>
        <w:t>do</w:t>
      </w:r>
      <w:r w:rsidRPr="00E57590">
        <w:rPr>
          <w:rFonts w:cs="Times New Roman"/>
          <w:szCs w:val="24"/>
        </w:rPr>
        <w:t xml:space="preserve"> el Mapa de Procesos.</w:t>
      </w:r>
    </w:p>
    <w:p w14:paraId="044BA865" w14:textId="77777777" w:rsidR="001C19EC" w:rsidRDefault="001C19EC" w:rsidP="001C19EC">
      <w:pPr>
        <w:spacing w:line="480" w:lineRule="auto"/>
        <w:ind w:firstLine="708"/>
        <w:jc w:val="both"/>
        <w:rPr>
          <w:rFonts w:cs="Times New Roman"/>
          <w:szCs w:val="24"/>
        </w:rPr>
      </w:pPr>
      <w:r w:rsidRPr="004F197B">
        <w:rPr>
          <w:rFonts w:cs="Times New Roman"/>
          <w:szCs w:val="24"/>
        </w:rPr>
        <w:lastRenderedPageBreak/>
        <w:t xml:space="preserve">Continuando con el desarrollo institucional, otra de las acciones de mejora implementada fue la disposición de buzones de quejas y sugerencias para los empleados, </w:t>
      </w:r>
      <w:r>
        <w:rPr>
          <w:rFonts w:cs="Times New Roman"/>
          <w:szCs w:val="24"/>
        </w:rPr>
        <w:t>como</w:t>
      </w:r>
      <w:r w:rsidRPr="004F197B">
        <w:rPr>
          <w:rFonts w:cs="Times New Roman"/>
          <w:szCs w:val="24"/>
        </w:rPr>
        <w:t xml:space="preserve"> canal de comunicación interna para expresar propuestas y recomendaciones.  Sumado a esto, se </w:t>
      </w:r>
      <w:r>
        <w:rPr>
          <w:rFonts w:cs="Times New Roman"/>
          <w:szCs w:val="24"/>
        </w:rPr>
        <w:t>retomaron los procesos de</w:t>
      </w:r>
      <w:r w:rsidRPr="004F197B">
        <w:rPr>
          <w:rFonts w:cs="Times New Roman"/>
          <w:szCs w:val="24"/>
        </w:rPr>
        <w:t xml:space="preserve"> concursos públicos</w:t>
      </w:r>
      <w:r>
        <w:rPr>
          <w:rFonts w:cs="Times New Roman"/>
          <w:szCs w:val="24"/>
        </w:rPr>
        <w:t xml:space="preserve"> de oposición </w:t>
      </w:r>
      <w:r w:rsidRPr="004F197B">
        <w:rPr>
          <w:rFonts w:cs="Times New Roman"/>
          <w:szCs w:val="24"/>
        </w:rPr>
        <w:t>avalados por Ministerio de Administración Pública (MAP</w:t>
      </w:r>
      <w:r>
        <w:rPr>
          <w:rFonts w:cs="Times New Roman"/>
          <w:szCs w:val="24"/>
        </w:rPr>
        <w:t>)</w:t>
      </w:r>
      <w:r w:rsidRPr="004F197B">
        <w:rPr>
          <w:rFonts w:cs="Times New Roman"/>
          <w:szCs w:val="24"/>
        </w:rPr>
        <w:t xml:space="preserve">. También se construyó y socializó </w:t>
      </w:r>
      <w:r>
        <w:rPr>
          <w:rFonts w:cs="Times New Roman"/>
          <w:szCs w:val="24"/>
        </w:rPr>
        <w:t xml:space="preserve">a través del Comité de Calidad, </w:t>
      </w:r>
      <w:r w:rsidRPr="004F197B">
        <w:rPr>
          <w:rFonts w:cs="Times New Roman"/>
          <w:szCs w:val="24"/>
        </w:rPr>
        <w:t xml:space="preserve">la matriz institucional de grupos de interés, </w:t>
      </w:r>
      <w:r>
        <w:rPr>
          <w:rFonts w:cs="Times New Roman"/>
          <w:szCs w:val="24"/>
        </w:rPr>
        <w:t>a los fines de fortalecer la sostenibilidad institucional</w:t>
      </w:r>
      <w:r w:rsidRPr="004F197B">
        <w:rPr>
          <w:rFonts w:cs="Times New Roman"/>
          <w:szCs w:val="24"/>
        </w:rPr>
        <w:t>.</w:t>
      </w:r>
    </w:p>
    <w:p w14:paraId="6587D1A7" w14:textId="77777777" w:rsidR="001C19EC" w:rsidRDefault="001C19EC" w:rsidP="001C19EC">
      <w:pPr>
        <w:spacing w:line="480" w:lineRule="auto"/>
        <w:ind w:firstLine="708"/>
        <w:jc w:val="both"/>
        <w:rPr>
          <w:rFonts w:cs="Times New Roman"/>
          <w:szCs w:val="24"/>
        </w:rPr>
      </w:pPr>
      <w:r>
        <w:rPr>
          <w:rFonts w:cs="Times New Roman"/>
          <w:szCs w:val="24"/>
        </w:rPr>
        <w:t xml:space="preserve">Desde la </w:t>
      </w:r>
      <w:r w:rsidRPr="004F197B">
        <w:rPr>
          <w:rFonts w:cs="Times New Roman"/>
          <w:szCs w:val="24"/>
        </w:rPr>
        <w:t xml:space="preserve">Dirección de Gestión Humana </w:t>
      </w:r>
      <w:r>
        <w:rPr>
          <w:rFonts w:cs="Times New Roman"/>
          <w:szCs w:val="24"/>
        </w:rPr>
        <w:t>fueron implementadas algunas</w:t>
      </w:r>
      <w:r w:rsidRPr="004F197B">
        <w:rPr>
          <w:rFonts w:cs="Times New Roman"/>
          <w:szCs w:val="24"/>
        </w:rPr>
        <w:t xml:space="preserve"> prácticas para </w:t>
      </w:r>
      <w:r>
        <w:rPr>
          <w:rFonts w:cs="Times New Roman"/>
          <w:szCs w:val="24"/>
        </w:rPr>
        <w:t>contribuir a la gestión de la responsabilidad social</w:t>
      </w:r>
      <w:r w:rsidRPr="004F197B">
        <w:rPr>
          <w:rFonts w:cs="Times New Roman"/>
          <w:szCs w:val="24"/>
        </w:rPr>
        <w:t xml:space="preserve">.  En adición a esto, </w:t>
      </w:r>
      <w:r>
        <w:rPr>
          <w:rFonts w:cs="Times New Roman"/>
          <w:szCs w:val="24"/>
        </w:rPr>
        <w:t xml:space="preserve">la Dirección de Planificación y Desarrollo a través de su departamento de Calidad en la Gestión, </w:t>
      </w:r>
      <w:r w:rsidRPr="004F197B">
        <w:rPr>
          <w:rFonts w:cs="Times New Roman"/>
          <w:szCs w:val="24"/>
        </w:rPr>
        <w:t>lanzó</w:t>
      </w:r>
      <w:r>
        <w:rPr>
          <w:rFonts w:cs="Times New Roman"/>
          <w:szCs w:val="24"/>
        </w:rPr>
        <w:t xml:space="preserve"> en el mes de diciembre 2019 su p</w:t>
      </w:r>
      <w:r w:rsidRPr="004F197B">
        <w:rPr>
          <w:rFonts w:cs="Times New Roman"/>
          <w:szCs w:val="24"/>
        </w:rPr>
        <w:t xml:space="preserve">royecto </w:t>
      </w:r>
      <w:r>
        <w:rPr>
          <w:rFonts w:cs="Times New Roman"/>
          <w:szCs w:val="24"/>
        </w:rPr>
        <w:t>“Procuraduría “Piensa Verde”</w:t>
      </w:r>
      <w:r w:rsidRPr="004F197B">
        <w:rPr>
          <w:rFonts w:cs="Times New Roman"/>
          <w:szCs w:val="24"/>
        </w:rPr>
        <w:t xml:space="preserve">, </w:t>
      </w:r>
      <w:r>
        <w:rPr>
          <w:rFonts w:cs="Times New Roman"/>
          <w:szCs w:val="24"/>
        </w:rPr>
        <w:t>una i</w:t>
      </w:r>
      <w:r w:rsidRPr="004F197B">
        <w:rPr>
          <w:rFonts w:cs="Times New Roman"/>
          <w:szCs w:val="24"/>
        </w:rPr>
        <w:t xml:space="preserve">niciativa </w:t>
      </w:r>
      <w:r>
        <w:rPr>
          <w:rFonts w:cs="Times New Roman"/>
          <w:szCs w:val="24"/>
        </w:rPr>
        <w:t>dirigida a</w:t>
      </w:r>
      <w:r w:rsidRPr="004F197B">
        <w:rPr>
          <w:rFonts w:cs="Times New Roman"/>
          <w:szCs w:val="24"/>
        </w:rPr>
        <w:t xml:space="preserve"> contribuir </w:t>
      </w:r>
      <w:r>
        <w:rPr>
          <w:rFonts w:cs="Times New Roman"/>
          <w:szCs w:val="24"/>
        </w:rPr>
        <w:t>en el</w:t>
      </w:r>
      <w:r w:rsidRPr="004F197B">
        <w:rPr>
          <w:rFonts w:cs="Times New Roman"/>
          <w:szCs w:val="24"/>
        </w:rPr>
        <w:t xml:space="preserve"> desarrollo de una cultura organizativa más responsable con el medioambiente</w:t>
      </w:r>
      <w:r>
        <w:rPr>
          <w:rFonts w:cs="Times New Roman"/>
          <w:szCs w:val="24"/>
        </w:rPr>
        <w:t>, adoptando la filosofía de las 3 R, reduce-reúsa-recicla</w:t>
      </w:r>
      <w:r w:rsidRPr="004F197B">
        <w:rPr>
          <w:rFonts w:cs="Times New Roman"/>
          <w:szCs w:val="24"/>
        </w:rPr>
        <w:t>.</w:t>
      </w:r>
    </w:p>
    <w:p w14:paraId="2682DEE4" w14:textId="77777777" w:rsidR="001C19EC" w:rsidRDefault="001C19EC" w:rsidP="001C19EC">
      <w:pPr>
        <w:spacing w:line="480" w:lineRule="auto"/>
        <w:ind w:firstLine="708"/>
        <w:jc w:val="both"/>
        <w:rPr>
          <w:rFonts w:cs="Times New Roman"/>
          <w:szCs w:val="24"/>
        </w:rPr>
      </w:pPr>
      <w:r w:rsidRPr="004F197B">
        <w:rPr>
          <w:rFonts w:cs="Times New Roman"/>
          <w:szCs w:val="24"/>
        </w:rPr>
        <w:t xml:space="preserve">Una de las mejoras a resaltar en temas de salud ocupacional </w:t>
      </w:r>
      <w:r>
        <w:rPr>
          <w:rFonts w:cs="Times New Roman"/>
          <w:szCs w:val="24"/>
        </w:rPr>
        <w:t>fue</w:t>
      </w:r>
      <w:r w:rsidRPr="004F197B">
        <w:rPr>
          <w:rFonts w:cs="Times New Roman"/>
          <w:szCs w:val="24"/>
        </w:rPr>
        <w:t xml:space="preserve"> la elaboración del primer </w:t>
      </w:r>
      <w:r>
        <w:rPr>
          <w:rFonts w:cs="Times New Roman"/>
          <w:szCs w:val="24"/>
        </w:rPr>
        <w:t>“</w:t>
      </w:r>
      <w:r w:rsidRPr="004F197B">
        <w:rPr>
          <w:rFonts w:cs="Times New Roman"/>
          <w:szCs w:val="24"/>
        </w:rPr>
        <w:t>Plan de Contingencia y Evacuación</w:t>
      </w:r>
      <w:r>
        <w:rPr>
          <w:rFonts w:cs="Times New Roman"/>
          <w:szCs w:val="24"/>
        </w:rPr>
        <w:t>”</w:t>
      </w:r>
      <w:r w:rsidRPr="004F197B">
        <w:rPr>
          <w:rFonts w:cs="Times New Roman"/>
          <w:szCs w:val="24"/>
        </w:rPr>
        <w:t xml:space="preserve">, </w:t>
      </w:r>
      <w:r>
        <w:rPr>
          <w:rFonts w:cs="Times New Roman"/>
          <w:szCs w:val="24"/>
        </w:rPr>
        <w:t>con el objetivo de</w:t>
      </w:r>
      <w:r w:rsidRPr="004F197B">
        <w:rPr>
          <w:rFonts w:cs="Times New Roman"/>
          <w:szCs w:val="24"/>
        </w:rPr>
        <w:t xml:space="preserve"> </w:t>
      </w:r>
      <w:r>
        <w:rPr>
          <w:rFonts w:cs="Times New Roman"/>
          <w:szCs w:val="24"/>
        </w:rPr>
        <w:t>gestionar</w:t>
      </w:r>
      <w:r w:rsidRPr="004F197B">
        <w:rPr>
          <w:rFonts w:cs="Times New Roman"/>
          <w:szCs w:val="24"/>
        </w:rPr>
        <w:t xml:space="preserve"> la seguridad física de</w:t>
      </w:r>
      <w:r>
        <w:rPr>
          <w:rFonts w:cs="Times New Roman"/>
          <w:szCs w:val="24"/>
        </w:rPr>
        <w:t>l</w:t>
      </w:r>
      <w:r w:rsidRPr="004F197B">
        <w:rPr>
          <w:rFonts w:cs="Times New Roman"/>
          <w:szCs w:val="24"/>
        </w:rPr>
        <w:t xml:space="preserve"> personal ante cualquier caso de emergencia.</w:t>
      </w:r>
    </w:p>
    <w:p w14:paraId="05ADA7E6" w14:textId="77777777" w:rsidR="001C19EC" w:rsidRDefault="001C19EC" w:rsidP="001C19EC">
      <w:pPr>
        <w:spacing w:line="480" w:lineRule="auto"/>
        <w:ind w:firstLine="708"/>
        <w:jc w:val="both"/>
        <w:rPr>
          <w:rFonts w:cs="Times New Roman"/>
          <w:szCs w:val="24"/>
        </w:rPr>
      </w:pPr>
      <w:r w:rsidRPr="004F197B">
        <w:rPr>
          <w:rFonts w:cs="Times New Roman"/>
          <w:szCs w:val="24"/>
        </w:rPr>
        <w:t>Además de los logros anteriormente citados, a partir de la implementación de</w:t>
      </w:r>
      <w:r>
        <w:rPr>
          <w:rFonts w:cs="Times New Roman"/>
          <w:szCs w:val="24"/>
        </w:rPr>
        <w:t>l Marco Común de Evaluación (CAF, por sus siglas en inglés)</w:t>
      </w:r>
      <w:r w:rsidRPr="004F197B">
        <w:rPr>
          <w:rFonts w:cs="Times New Roman"/>
          <w:szCs w:val="24"/>
        </w:rPr>
        <w:t xml:space="preserve"> </w:t>
      </w:r>
      <w:r>
        <w:rPr>
          <w:rFonts w:cs="Times New Roman"/>
          <w:szCs w:val="24"/>
        </w:rPr>
        <w:t>se destacaron además lo siguiente</w:t>
      </w:r>
      <w:r w:rsidRPr="004F197B">
        <w:rPr>
          <w:rFonts w:cs="Times New Roman"/>
          <w:szCs w:val="24"/>
        </w:rPr>
        <w:t>:</w:t>
      </w:r>
    </w:p>
    <w:p w14:paraId="720ED893" w14:textId="77777777" w:rsidR="001C19EC" w:rsidRDefault="001C19EC" w:rsidP="00951609">
      <w:pPr>
        <w:pStyle w:val="Prrafodelista"/>
        <w:numPr>
          <w:ilvl w:val="0"/>
          <w:numId w:val="13"/>
        </w:numPr>
        <w:spacing w:line="480" w:lineRule="auto"/>
        <w:jc w:val="both"/>
        <w:rPr>
          <w:rFonts w:cs="Times New Roman"/>
          <w:szCs w:val="24"/>
        </w:rPr>
      </w:pPr>
      <w:r>
        <w:rPr>
          <w:rFonts w:cs="Times New Roman"/>
          <w:szCs w:val="24"/>
        </w:rPr>
        <w:t>Se ofrecen Planes de Inducción ajustados al puesto y a la función pública.</w:t>
      </w:r>
    </w:p>
    <w:p w14:paraId="3E977E2E" w14:textId="77777777" w:rsidR="001C19EC" w:rsidRDefault="001C19EC" w:rsidP="00951609">
      <w:pPr>
        <w:pStyle w:val="Prrafodelista"/>
        <w:numPr>
          <w:ilvl w:val="0"/>
          <w:numId w:val="13"/>
        </w:numPr>
        <w:spacing w:line="480" w:lineRule="auto"/>
        <w:jc w:val="both"/>
        <w:rPr>
          <w:rFonts w:cs="Times New Roman"/>
          <w:szCs w:val="24"/>
        </w:rPr>
      </w:pPr>
      <w:r>
        <w:rPr>
          <w:rFonts w:cs="Times New Roman"/>
          <w:szCs w:val="24"/>
        </w:rPr>
        <w:t>Los Sistemas de Justicia XXI y Justicia 2.0 contienen datos precisos que garantizan la información de los casos tramitados en las fiscalías.</w:t>
      </w:r>
    </w:p>
    <w:p w14:paraId="54D09170" w14:textId="77777777" w:rsidR="001C19EC" w:rsidRDefault="001C19EC" w:rsidP="00951609">
      <w:pPr>
        <w:pStyle w:val="Prrafodelista"/>
        <w:numPr>
          <w:ilvl w:val="0"/>
          <w:numId w:val="13"/>
        </w:numPr>
        <w:spacing w:line="480" w:lineRule="auto"/>
        <w:jc w:val="both"/>
        <w:rPr>
          <w:rFonts w:cs="Times New Roman"/>
          <w:szCs w:val="24"/>
        </w:rPr>
      </w:pPr>
      <w:r>
        <w:rPr>
          <w:rFonts w:cs="Times New Roman"/>
          <w:szCs w:val="24"/>
        </w:rPr>
        <w:t>Se ha asegurado un sistema de gestión de procesos en toda la institución.</w:t>
      </w:r>
    </w:p>
    <w:p w14:paraId="606850A6" w14:textId="77777777" w:rsidR="001C19EC" w:rsidRDefault="001C19EC" w:rsidP="00951609">
      <w:pPr>
        <w:pStyle w:val="Prrafodelista"/>
        <w:numPr>
          <w:ilvl w:val="0"/>
          <w:numId w:val="13"/>
        </w:numPr>
        <w:spacing w:line="480" w:lineRule="auto"/>
        <w:jc w:val="both"/>
        <w:rPr>
          <w:rFonts w:cs="Times New Roman"/>
          <w:szCs w:val="24"/>
        </w:rPr>
      </w:pPr>
      <w:r>
        <w:rPr>
          <w:rFonts w:cs="Times New Roman"/>
          <w:szCs w:val="24"/>
        </w:rPr>
        <w:t>Se completó la matriz de riesgos institucional.</w:t>
      </w:r>
    </w:p>
    <w:p w14:paraId="1CEADDC7" w14:textId="77777777" w:rsidR="001C19EC" w:rsidRPr="000902AA" w:rsidRDefault="001C19EC" w:rsidP="00951609">
      <w:pPr>
        <w:pStyle w:val="Prrafodelista"/>
        <w:numPr>
          <w:ilvl w:val="0"/>
          <w:numId w:val="13"/>
        </w:numPr>
        <w:spacing w:line="480" w:lineRule="auto"/>
        <w:jc w:val="both"/>
        <w:rPr>
          <w:rFonts w:eastAsiaTheme="majorEastAsia" w:cstheme="majorBidi"/>
          <w:b/>
          <w:bCs/>
          <w:noProof/>
          <w:color w:val="262626" w:themeColor="text1" w:themeTint="D9"/>
          <w:spacing w:val="-4"/>
          <w:sz w:val="32"/>
          <w:szCs w:val="20"/>
          <w:lang w:val="es-ES" w:eastAsia="lv-LV"/>
        </w:rPr>
      </w:pPr>
      <w:r>
        <w:rPr>
          <w:rFonts w:cs="Times New Roman"/>
          <w:szCs w:val="24"/>
        </w:rPr>
        <w:lastRenderedPageBreak/>
        <w:t>Contamos con evidencias de la eficiencia de todos los canales de información.</w:t>
      </w:r>
    </w:p>
    <w:p w14:paraId="794ADD3A" w14:textId="77777777" w:rsidR="001C19EC" w:rsidRDefault="001C19EC" w:rsidP="00951609">
      <w:pPr>
        <w:pStyle w:val="Estilo7"/>
        <w:numPr>
          <w:ilvl w:val="0"/>
          <w:numId w:val="28"/>
        </w:numPr>
      </w:pPr>
      <w:bookmarkStart w:id="63" w:name="_Toc29577326"/>
      <w:bookmarkStart w:id="64" w:name="_Toc29891709"/>
      <w:r>
        <w:t xml:space="preserve">Plan </w:t>
      </w:r>
      <w:r w:rsidRPr="00932739">
        <w:t>Anual</w:t>
      </w:r>
      <w:r>
        <w:t xml:space="preserve"> de Compras y Contrataciones</w:t>
      </w:r>
      <w:bookmarkEnd w:id="63"/>
      <w:bookmarkEnd w:id="64"/>
    </w:p>
    <w:p w14:paraId="5452E513" w14:textId="77777777" w:rsidR="00932739" w:rsidRDefault="00932739" w:rsidP="00932739">
      <w:pPr>
        <w:pStyle w:val="Estilo7"/>
        <w:numPr>
          <w:ilvl w:val="0"/>
          <w:numId w:val="0"/>
        </w:numPr>
        <w:ind w:left="900" w:hanging="360"/>
      </w:pPr>
    </w:p>
    <w:p w14:paraId="4815F447" w14:textId="77777777" w:rsidR="001C19EC" w:rsidRDefault="001C19EC" w:rsidP="001C19EC">
      <w:pPr>
        <w:spacing w:line="480" w:lineRule="auto"/>
        <w:jc w:val="both"/>
        <w:rPr>
          <w:rFonts w:cs="Times New Roman"/>
          <w:szCs w:val="24"/>
        </w:rPr>
      </w:pPr>
      <w:r>
        <w:rPr>
          <w:rFonts w:cs="Times New Roman"/>
          <w:szCs w:val="24"/>
        </w:rPr>
        <w:t xml:space="preserve">En cumplimiento de la Ley No. 449-06 de Compras y Contrataciones de Bienes, Servicios, Obras y Concesiones, la Procuraduría General de la República (PGR) elaboró su Plan Anual de Compras y Contrataciones de acuerdo a lo establecido por la Dirección General de Contrataciones Públicas. Durante el período enero-diciembre 2019 las diferentes unidades de la institución programaron un total de 2,555 requerimientos o procesos de compras con un monto estimado total </w:t>
      </w:r>
      <w:r w:rsidRPr="008B431C">
        <w:rPr>
          <w:rFonts w:cs="Times New Roman"/>
          <w:szCs w:val="24"/>
        </w:rPr>
        <w:t xml:space="preserve">de RD$ </w:t>
      </w:r>
      <w:r w:rsidRPr="000902AA">
        <w:rPr>
          <w:rFonts w:eastAsia="Times New Roman" w:cs="Times New Roman"/>
          <w:color w:val="000000"/>
          <w:szCs w:val="24"/>
          <w:lang w:eastAsia="es-DO"/>
        </w:rPr>
        <w:t>2</w:t>
      </w:r>
      <w:proofErr w:type="gramStart"/>
      <w:r w:rsidRPr="000902AA">
        <w:rPr>
          <w:rFonts w:eastAsia="Times New Roman" w:cs="Times New Roman"/>
          <w:color w:val="000000"/>
          <w:szCs w:val="24"/>
          <w:lang w:eastAsia="es-DO"/>
        </w:rPr>
        <w:t>,238,744,167.78</w:t>
      </w:r>
      <w:proofErr w:type="gramEnd"/>
      <w:r>
        <w:rPr>
          <w:rFonts w:cs="Times New Roman"/>
          <w:szCs w:val="24"/>
        </w:rPr>
        <w:t>, fruto de los cual fueron realizadas diferentes modalidades de compras (licitación pública, comparación de precios, compras menores, proceso de excepción, por debajo del umbral, etc.), lo cual se detalla a continuación:</w:t>
      </w:r>
    </w:p>
    <w:p w14:paraId="7D7F6D88" w14:textId="77777777" w:rsidR="00502D8F" w:rsidRDefault="00502D8F" w:rsidP="001C19EC">
      <w:pPr>
        <w:spacing w:line="480" w:lineRule="auto"/>
        <w:jc w:val="both"/>
        <w:rPr>
          <w:rFonts w:cs="Times New Roman"/>
          <w:szCs w:val="24"/>
        </w:rPr>
      </w:pPr>
    </w:p>
    <w:p w14:paraId="1C99F7EA" w14:textId="77777777" w:rsidR="00502D8F" w:rsidRDefault="00502D8F" w:rsidP="001C19EC">
      <w:pPr>
        <w:spacing w:line="480" w:lineRule="auto"/>
        <w:jc w:val="both"/>
        <w:rPr>
          <w:rFonts w:cs="Times New Roman"/>
          <w:szCs w:val="24"/>
        </w:rPr>
      </w:pPr>
    </w:p>
    <w:p w14:paraId="59C88913" w14:textId="77777777" w:rsidR="00502D8F" w:rsidRDefault="00502D8F" w:rsidP="001C19EC">
      <w:pPr>
        <w:spacing w:line="480" w:lineRule="auto"/>
        <w:jc w:val="both"/>
        <w:rPr>
          <w:rFonts w:cs="Times New Roman"/>
          <w:szCs w:val="24"/>
        </w:rPr>
      </w:pPr>
    </w:p>
    <w:p w14:paraId="7D3F7929" w14:textId="77777777" w:rsidR="00502D8F" w:rsidRDefault="00502D8F" w:rsidP="001C19EC">
      <w:pPr>
        <w:spacing w:line="480" w:lineRule="auto"/>
        <w:jc w:val="both"/>
        <w:rPr>
          <w:rFonts w:cs="Times New Roman"/>
          <w:szCs w:val="24"/>
        </w:rPr>
      </w:pPr>
    </w:p>
    <w:p w14:paraId="0718233E" w14:textId="77777777" w:rsidR="00502D8F" w:rsidRDefault="00502D8F" w:rsidP="001C19EC">
      <w:pPr>
        <w:spacing w:line="480" w:lineRule="auto"/>
        <w:jc w:val="both"/>
        <w:rPr>
          <w:rFonts w:cs="Times New Roman"/>
          <w:szCs w:val="24"/>
        </w:rPr>
      </w:pPr>
    </w:p>
    <w:p w14:paraId="440CB30D" w14:textId="77777777" w:rsidR="00502D8F" w:rsidRDefault="00502D8F" w:rsidP="001C19EC">
      <w:pPr>
        <w:spacing w:line="480" w:lineRule="auto"/>
        <w:jc w:val="both"/>
        <w:rPr>
          <w:rFonts w:cs="Times New Roman"/>
          <w:szCs w:val="24"/>
        </w:rPr>
      </w:pPr>
    </w:p>
    <w:p w14:paraId="363DD609" w14:textId="77777777" w:rsidR="00502D8F" w:rsidRDefault="00502D8F" w:rsidP="001C19EC">
      <w:pPr>
        <w:spacing w:line="480" w:lineRule="auto"/>
        <w:jc w:val="both"/>
        <w:rPr>
          <w:rFonts w:cs="Times New Roman"/>
          <w:szCs w:val="24"/>
        </w:rPr>
      </w:pPr>
    </w:p>
    <w:p w14:paraId="7D48E8B7" w14:textId="77777777" w:rsidR="00502D8F" w:rsidRDefault="00502D8F" w:rsidP="001C19EC">
      <w:pPr>
        <w:spacing w:line="480" w:lineRule="auto"/>
        <w:jc w:val="both"/>
        <w:rPr>
          <w:rFonts w:cs="Times New Roman"/>
          <w:szCs w:val="24"/>
        </w:rPr>
      </w:pPr>
    </w:p>
    <w:p w14:paraId="71149F53" w14:textId="77777777" w:rsidR="00502D8F" w:rsidRDefault="00502D8F" w:rsidP="001C19EC">
      <w:pPr>
        <w:spacing w:line="480" w:lineRule="auto"/>
        <w:jc w:val="both"/>
        <w:rPr>
          <w:rFonts w:cs="Times New Roman"/>
          <w:szCs w:val="24"/>
        </w:rPr>
      </w:pPr>
    </w:p>
    <w:tbl>
      <w:tblPr>
        <w:tblpPr w:leftFromText="141" w:rightFromText="141" w:vertAnchor="text" w:horzAnchor="margin" w:tblpXSpec="center" w:tblpY="339"/>
        <w:tblW w:w="10100" w:type="dxa"/>
        <w:tblCellMar>
          <w:left w:w="70" w:type="dxa"/>
          <w:right w:w="70" w:type="dxa"/>
        </w:tblCellMar>
        <w:tblLook w:val="04A0" w:firstRow="1" w:lastRow="0" w:firstColumn="1" w:lastColumn="0" w:noHBand="0" w:noVBand="1"/>
      </w:tblPr>
      <w:tblGrid>
        <w:gridCol w:w="7100"/>
        <w:gridCol w:w="3000"/>
      </w:tblGrid>
      <w:tr w:rsidR="001C19EC" w:rsidRPr="00DF49D2" w14:paraId="604128A3" w14:textId="77777777" w:rsidTr="00637245">
        <w:trPr>
          <w:trHeight w:val="315"/>
        </w:trPr>
        <w:tc>
          <w:tcPr>
            <w:tcW w:w="7100"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0D492B87" w14:textId="77777777" w:rsidR="001C19EC" w:rsidRPr="00DF49D2" w:rsidRDefault="001C19EC" w:rsidP="00637245">
            <w:pPr>
              <w:spacing w:after="0" w:line="240" w:lineRule="auto"/>
              <w:jc w:val="center"/>
              <w:rPr>
                <w:rFonts w:eastAsia="Times New Roman" w:cs="Times New Roman"/>
                <w:b/>
                <w:bCs/>
                <w:color w:val="FFFFFF"/>
                <w:lang w:eastAsia="es-DO"/>
              </w:rPr>
            </w:pPr>
            <w:r w:rsidRPr="00DF49D2">
              <w:rPr>
                <w:rFonts w:eastAsia="Times New Roman" w:cs="Times New Roman"/>
                <w:b/>
                <w:bCs/>
                <w:color w:val="FFFFFF"/>
                <w:lang w:eastAsia="es-DO"/>
              </w:rPr>
              <w:lastRenderedPageBreak/>
              <w:t xml:space="preserve">Modalidad de Compra </w:t>
            </w:r>
          </w:p>
        </w:tc>
        <w:tc>
          <w:tcPr>
            <w:tcW w:w="3000"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4B178474" w14:textId="77777777" w:rsidR="001C19EC" w:rsidRPr="00DF49D2" w:rsidRDefault="001C19EC" w:rsidP="00637245">
            <w:pPr>
              <w:spacing w:after="0" w:line="240" w:lineRule="auto"/>
              <w:jc w:val="center"/>
              <w:rPr>
                <w:rFonts w:eastAsia="Times New Roman" w:cs="Times New Roman"/>
                <w:b/>
                <w:bCs/>
                <w:color w:val="FFFFFF"/>
                <w:lang w:eastAsia="es-DO"/>
              </w:rPr>
            </w:pPr>
            <w:r w:rsidRPr="00DF49D2">
              <w:rPr>
                <w:rFonts w:eastAsia="Times New Roman" w:cs="Times New Roman"/>
                <w:b/>
                <w:bCs/>
                <w:color w:val="FFFFFF"/>
                <w:lang w:eastAsia="es-DO"/>
              </w:rPr>
              <w:t xml:space="preserve">Monto Adjudicado RD$ </w:t>
            </w:r>
          </w:p>
        </w:tc>
      </w:tr>
      <w:tr w:rsidR="001C19EC" w:rsidRPr="00DF49D2" w14:paraId="31998FA2" w14:textId="77777777" w:rsidTr="00637245">
        <w:trPr>
          <w:trHeight w:val="300"/>
        </w:trPr>
        <w:tc>
          <w:tcPr>
            <w:tcW w:w="7100" w:type="dxa"/>
            <w:tcBorders>
              <w:top w:val="nil"/>
              <w:left w:val="single" w:sz="8" w:space="0" w:color="auto"/>
              <w:bottom w:val="single" w:sz="4" w:space="0" w:color="auto"/>
              <w:right w:val="single" w:sz="4" w:space="0" w:color="auto"/>
            </w:tcBorders>
            <w:shd w:val="clear" w:color="D9D9D9" w:fill="D9D9D9"/>
            <w:noWrap/>
            <w:vAlign w:val="bottom"/>
            <w:hideMark/>
          </w:tcPr>
          <w:p w14:paraId="3EC0CE88"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Licitación pública para servicio de fumigación</w:t>
            </w:r>
          </w:p>
        </w:tc>
        <w:tc>
          <w:tcPr>
            <w:tcW w:w="3000" w:type="dxa"/>
            <w:tcBorders>
              <w:top w:val="nil"/>
              <w:left w:val="single" w:sz="4" w:space="0" w:color="auto"/>
              <w:bottom w:val="single" w:sz="4" w:space="0" w:color="auto"/>
              <w:right w:val="single" w:sz="8" w:space="0" w:color="auto"/>
            </w:tcBorders>
            <w:shd w:val="clear" w:color="D9D9D9" w:fill="D9D9D9"/>
            <w:noWrap/>
            <w:vAlign w:val="bottom"/>
            <w:hideMark/>
          </w:tcPr>
          <w:p w14:paraId="05BFFEAB"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23,683,102.20</w:t>
            </w:r>
          </w:p>
        </w:tc>
      </w:tr>
      <w:tr w:rsidR="001C19EC" w:rsidRPr="00DF49D2" w14:paraId="5CA2189E" w14:textId="77777777" w:rsidTr="00637245">
        <w:trPr>
          <w:trHeight w:val="300"/>
        </w:trPr>
        <w:tc>
          <w:tcPr>
            <w:tcW w:w="71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280574"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Licitación pública para  servicios de mantenimiento y reparación de vehículos</w:t>
            </w:r>
          </w:p>
        </w:tc>
        <w:tc>
          <w:tcPr>
            <w:tcW w:w="30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66178B"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63,184,600.01</w:t>
            </w:r>
          </w:p>
        </w:tc>
      </w:tr>
      <w:tr w:rsidR="001C19EC" w:rsidRPr="00DF49D2" w14:paraId="059AED8A" w14:textId="77777777" w:rsidTr="00637245">
        <w:trPr>
          <w:trHeight w:val="600"/>
        </w:trPr>
        <w:tc>
          <w:tcPr>
            <w:tcW w:w="7100" w:type="dxa"/>
            <w:tcBorders>
              <w:top w:val="single" w:sz="4" w:space="0" w:color="auto"/>
              <w:left w:val="single" w:sz="8" w:space="0" w:color="auto"/>
              <w:bottom w:val="single" w:sz="4" w:space="0" w:color="auto"/>
              <w:right w:val="single" w:sz="4" w:space="0" w:color="auto"/>
            </w:tcBorders>
            <w:shd w:val="clear" w:color="D9D9D9" w:fill="D9D9D9"/>
            <w:vAlign w:val="bottom"/>
            <w:hideMark/>
          </w:tcPr>
          <w:p w14:paraId="51975F9B"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 xml:space="preserve">Licitación pública para adquisición de equipos sanitarios anti vandálicos </w:t>
            </w:r>
            <w:r w:rsidRPr="00DF49D2">
              <w:rPr>
                <w:rFonts w:eastAsia="Times New Roman" w:cs="Times New Roman"/>
                <w:color w:val="000000"/>
                <w:lang w:eastAsia="es-DO"/>
              </w:rPr>
              <w:br/>
              <w:t>para los recintos penitenciarios</w:t>
            </w:r>
          </w:p>
        </w:tc>
        <w:tc>
          <w:tcPr>
            <w:tcW w:w="3000" w:type="dxa"/>
            <w:tcBorders>
              <w:top w:val="single" w:sz="4" w:space="0" w:color="auto"/>
              <w:left w:val="single" w:sz="4" w:space="0" w:color="auto"/>
              <w:bottom w:val="single" w:sz="4" w:space="0" w:color="auto"/>
              <w:right w:val="single" w:sz="8" w:space="0" w:color="auto"/>
            </w:tcBorders>
            <w:shd w:val="clear" w:color="D9D9D9" w:fill="D9D9D9"/>
            <w:noWrap/>
            <w:vAlign w:val="center"/>
            <w:hideMark/>
          </w:tcPr>
          <w:p w14:paraId="373BA0F7"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284,597,166.00</w:t>
            </w:r>
          </w:p>
        </w:tc>
      </w:tr>
      <w:tr w:rsidR="001C19EC" w:rsidRPr="00DF49D2" w14:paraId="1DD93410" w14:textId="77777777" w:rsidTr="00637245">
        <w:trPr>
          <w:trHeight w:val="600"/>
        </w:trPr>
        <w:tc>
          <w:tcPr>
            <w:tcW w:w="710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977764"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 xml:space="preserve">Licitación pública para adquisición de uniformes y artículos del hogar </w:t>
            </w:r>
            <w:r w:rsidRPr="00DF49D2">
              <w:rPr>
                <w:rFonts w:eastAsia="Times New Roman" w:cs="Times New Roman"/>
                <w:color w:val="000000"/>
                <w:lang w:eastAsia="es-DO"/>
              </w:rPr>
              <w:br/>
              <w:t>para los recintos penitenciarios del Plan Humanización</w:t>
            </w:r>
          </w:p>
        </w:tc>
        <w:tc>
          <w:tcPr>
            <w:tcW w:w="30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4CBE9E9"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120,956,842.69</w:t>
            </w:r>
          </w:p>
        </w:tc>
      </w:tr>
      <w:tr w:rsidR="001C19EC" w:rsidRPr="00DF49D2" w14:paraId="577DCA73" w14:textId="77777777" w:rsidTr="00637245">
        <w:trPr>
          <w:trHeight w:val="600"/>
        </w:trPr>
        <w:tc>
          <w:tcPr>
            <w:tcW w:w="7100" w:type="dxa"/>
            <w:tcBorders>
              <w:top w:val="single" w:sz="4" w:space="0" w:color="auto"/>
              <w:left w:val="single" w:sz="8" w:space="0" w:color="auto"/>
              <w:bottom w:val="single" w:sz="4" w:space="0" w:color="auto"/>
              <w:right w:val="single" w:sz="4" w:space="0" w:color="auto"/>
            </w:tcBorders>
            <w:shd w:val="clear" w:color="D9D9D9" w:fill="D9D9D9"/>
            <w:vAlign w:val="bottom"/>
            <w:hideMark/>
          </w:tcPr>
          <w:p w14:paraId="30AF07EE"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 xml:space="preserve">Licitación pública para adquisición de equipo de cocina para los </w:t>
            </w:r>
            <w:r w:rsidRPr="00DF49D2">
              <w:rPr>
                <w:rFonts w:eastAsia="Times New Roman" w:cs="Times New Roman"/>
                <w:color w:val="000000"/>
                <w:lang w:eastAsia="es-DO"/>
              </w:rPr>
              <w:br/>
              <w:t>recintos penitenciarios</w:t>
            </w:r>
          </w:p>
        </w:tc>
        <w:tc>
          <w:tcPr>
            <w:tcW w:w="3000" w:type="dxa"/>
            <w:tcBorders>
              <w:top w:val="single" w:sz="4" w:space="0" w:color="auto"/>
              <w:left w:val="single" w:sz="4" w:space="0" w:color="auto"/>
              <w:bottom w:val="single" w:sz="4" w:space="0" w:color="auto"/>
              <w:right w:val="single" w:sz="8" w:space="0" w:color="auto"/>
            </w:tcBorders>
            <w:shd w:val="clear" w:color="D9D9D9" w:fill="D9D9D9"/>
            <w:noWrap/>
            <w:vAlign w:val="center"/>
            <w:hideMark/>
          </w:tcPr>
          <w:p w14:paraId="45CFFF31"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8,135,595.72</w:t>
            </w:r>
          </w:p>
        </w:tc>
      </w:tr>
      <w:tr w:rsidR="001C19EC" w:rsidRPr="00DF49D2" w14:paraId="0C63E73B" w14:textId="77777777" w:rsidTr="00637245">
        <w:trPr>
          <w:trHeight w:val="600"/>
        </w:trPr>
        <w:tc>
          <w:tcPr>
            <w:tcW w:w="710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FCC7AD7"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 xml:space="preserve">Licitación pública para la adquisición de muebles y equipos para </w:t>
            </w:r>
            <w:r w:rsidRPr="00DF49D2">
              <w:rPr>
                <w:rFonts w:eastAsia="Times New Roman" w:cs="Times New Roman"/>
                <w:color w:val="000000"/>
                <w:lang w:eastAsia="es-DO"/>
              </w:rPr>
              <w:br/>
              <w:t>recintos penitenciarios</w:t>
            </w:r>
          </w:p>
        </w:tc>
        <w:tc>
          <w:tcPr>
            <w:tcW w:w="30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915483"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324,014,503.27</w:t>
            </w:r>
          </w:p>
        </w:tc>
      </w:tr>
      <w:tr w:rsidR="001C19EC" w:rsidRPr="00DF49D2" w14:paraId="3A0FF768" w14:textId="77777777" w:rsidTr="00637245">
        <w:trPr>
          <w:trHeight w:val="600"/>
        </w:trPr>
        <w:tc>
          <w:tcPr>
            <w:tcW w:w="7100" w:type="dxa"/>
            <w:tcBorders>
              <w:top w:val="single" w:sz="4" w:space="0" w:color="auto"/>
              <w:left w:val="single" w:sz="8" w:space="0" w:color="auto"/>
              <w:bottom w:val="single" w:sz="4" w:space="0" w:color="auto"/>
              <w:right w:val="single" w:sz="4" w:space="0" w:color="auto"/>
            </w:tcBorders>
            <w:shd w:val="clear" w:color="D9D9D9" w:fill="D9D9D9"/>
            <w:vAlign w:val="bottom"/>
            <w:hideMark/>
          </w:tcPr>
          <w:p w14:paraId="6FAA7A67"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 xml:space="preserve">Licitación pública para la adquisición de luminarias y plantas eléctricas </w:t>
            </w:r>
            <w:r w:rsidRPr="00DF49D2">
              <w:rPr>
                <w:rFonts w:eastAsia="Times New Roman" w:cs="Times New Roman"/>
                <w:color w:val="000000"/>
                <w:lang w:eastAsia="es-DO"/>
              </w:rPr>
              <w:br/>
              <w:t>para los recintos penitenciarios</w:t>
            </w:r>
          </w:p>
        </w:tc>
        <w:tc>
          <w:tcPr>
            <w:tcW w:w="3000" w:type="dxa"/>
            <w:tcBorders>
              <w:top w:val="single" w:sz="4" w:space="0" w:color="auto"/>
              <w:left w:val="single" w:sz="4" w:space="0" w:color="auto"/>
              <w:bottom w:val="single" w:sz="4" w:space="0" w:color="auto"/>
              <w:right w:val="single" w:sz="8" w:space="0" w:color="auto"/>
            </w:tcBorders>
            <w:shd w:val="clear" w:color="D9D9D9" w:fill="D9D9D9"/>
            <w:noWrap/>
            <w:vAlign w:val="center"/>
            <w:hideMark/>
          </w:tcPr>
          <w:p w14:paraId="7A26B58E"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32,593,032.00</w:t>
            </w:r>
          </w:p>
        </w:tc>
      </w:tr>
      <w:tr w:rsidR="001C19EC" w:rsidRPr="00DF49D2" w14:paraId="26F6F265" w14:textId="77777777" w:rsidTr="00637245">
        <w:trPr>
          <w:trHeight w:val="300"/>
        </w:trPr>
        <w:tc>
          <w:tcPr>
            <w:tcW w:w="71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931D23"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14 trámites bajo la modalidad de Comparación de Precios o Competencia</w:t>
            </w:r>
          </w:p>
        </w:tc>
        <w:tc>
          <w:tcPr>
            <w:tcW w:w="30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3D17EB6"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59,834,866.00</w:t>
            </w:r>
          </w:p>
        </w:tc>
      </w:tr>
      <w:tr w:rsidR="001C19EC" w:rsidRPr="00DF49D2" w14:paraId="2512230C" w14:textId="77777777" w:rsidTr="00637245">
        <w:trPr>
          <w:trHeight w:val="300"/>
        </w:trPr>
        <w:tc>
          <w:tcPr>
            <w:tcW w:w="7100"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6ABDE435"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377 órdenes de compra bajo la modalidad de Compras Menores</w:t>
            </w:r>
          </w:p>
        </w:tc>
        <w:tc>
          <w:tcPr>
            <w:tcW w:w="300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11E8A517"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128,880,700.00</w:t>
            </w:r>
          </w:p>
        </w:tc>
      </w:tr>
      <w:tr w:rsidR="001C19EC" w:rsidRPr="00DF49D2" w14:paraId="188426D0" w14:textId="77777777" w:rsidTr="00637245">
        <w:trPr>
          <w:trHeight w:val="300"/>
        </w:trPr>
        <w:tc>
          <w:tcPr>
            <w:tcW w:w="71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D745F9"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683 órdenes de compra bajo la modalidad de Compras por Debajo del Umbral</w:t>
            </w:r>
          </w:p>
        </w:tc>
        <w:tc>
          <w:tcPr>
            <w:tcW w:w="30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A4274B"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42,831,880.00</w:t>
            </w:r>
          </w:p>
        </w:tc>
      </w:tr>
      <w:tr w:rsidR="001C19EC" w:rsidRPr="00DF49D2" w14:paraId="7403AC38" w14:textId="77777777" w:rsidTr="00637245">
        <w:trPr>
          <w:trHeight w:val="300"/>
        </w:trPr>
        <w:tc>
          <w:tcPr>
            <w:tcW w:w="7100"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20D1C6BE"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191 órdenes de compra bajo la modalidad de Proceso de Excepción</w:t>
            </w:r>
          </w:p>
        </w:tc>
        <w:tc>
          <w:tcPr>
            <w:tcW w:w="300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2AC21DF3"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30,658,296.00</w:t>
            </w:r>
          </w:p>
        </w:tc>
      </w:tr>
      <w:tr w:rsidR="001C19EC" w:rsidRPr="00DF49D2" w14:paraId="625F040A" w14:textId="77777777" w:rsidTr="00637245">
        <w:trPr>
          <w:trHeight w:val="300"/>
        </w:trPr>
        <w:tc>
          <w:tcPr>
            <w:tcW w:w="7100" w:type="dxa"/>
            <w:tcBorders>
              <w:top w:val="single" w:sz="4" w:space="0" w:color="auto"/>
              <w:left w:val="single" w:sz="8" w:space="0" w:color="auto"/>
              <w:bottom w:val="nil"/>
              <w:right w:val="single" w:sz="4" w:space="0" w:color="auto"/>
            </w:tcBorders>
            <w:shd w:val="clear" w:color="auto" w:fill="auto"/>
            <w:noWrap/>
            <w:vAlign w:val="bottom"/>
            <w:hideMark/>
          </w:tcPr>
          <w:p w14:paraId="4BF2E258" w14:textId="77777777" w:rsidR="001C19EC" w:rsidRPr="00DF49D2" w:rsidRDefault="001C19EC" w:rsidP="00637245">
            <w:pPr>
              <w:spacing w:after="0" w:line="240" w:lineRule="auto"/>
              <w:rPr>
                <w:rFonts w:eastAsia="Times New Roman" w:cs="Times New Roman"/>
                <w:color w:val="000000"/>
                <w:lang w:eastAsia="es-DO"/>
              </w:rPr>
            </w:pPr>
            <w:r w:rsidRPr="00DF49D2">
              <w:rPr>
                <w:rFonts w:eastAsia="Times New Roman" w:cs="Times New Roman"/>
                <w:color w:val="000000"/>
                <w:lang w:eastAsia="es-DO"/>
              </w:rPr>
              <w:t>1,283 Órdenes de Contratación de Bienes y Servicios</w:t>
            </w:r>
          </w:p>
        </w:tc>
        <w:tc>
          <w:tcPr>
            <w:tcW w:w="3000" w:type="dxa"/>
            <w:tcBorders>
              <w:top w:val="single" w:sz="4" w:space="0" w:color="auto"/>
              <w:left w:val="single" w:sz="4" w:space="0" w:color="auto"/>
              <w:bottom w:val="nil"/>
              <w:right w:val="single" w:sz="8" w:space="0" w:color="auto"/>
            </w:tcBorders>
            <w:shd w:val="clear" w:color="auto" w:fill="auto"/>
            <w:noWrap/>
            <w:vAlign w:val="bottom"/>
            <w:hideMark/>
          </w:tcPr>
          <w:p w14:paraId="3FE22981" w14:textId="77777777" w:rsidR="001C19EC" w:rsidRPr="00DF49D2" w:rsidRDefault="001C19EC" w:rsidP="00637245">
            <w:pPr>
              <w:spacing w:after="0" w:line="240" w:lineRule="auto"/>
              <w:jc w:val="center"/>
              <w:rPr>
                <w:rFonts w:eastAsia="Times New Roman" w:cs="Times New Roman"/>
                <w:color w:val="000000"/>
                <w:lang w:eastAsia="es-DO"/>
              </w:rPr>
            </w:pPr>
            <w:r w:rsidRPr="00DF49D2">
              <w:rPr>
                <w:rFonts w:eastAsia="Times New Roman" w:cs="Times New Roman"/>
                <w:color w:val="000000"/>
                <w:lang w:eastAsia="es-DO"/>
              </w:rPr>
              <w:t>1,119,373,583.89</w:t>
            </w:r>
          </w:p>
        </w:tc>
      </w:tr>
      <w:tr w:rsidR="001C19EC" w:rsidRPr="00DF49D2" w14:paraId="057BC3BE" w14:textId="77777777" w:rsidTr="00637245">
        <w:trPr>
          <w:trHeight w:val="300"/>
        </w:trPr>
        <w:tc>
          <w:tcPr>
            <w:tcW w:w="7100" w:type="dxa"/>
            <w:tcBorders>
              <w:top w:val="single" w:sz="4" w:space="0" w:color="auto"/>
              <w:left w:val="single" w:sz="8" w:space="0" w:color="auto"/>
              <w:bottom w:val="single" w:sz="8" w:space="0" w:color="auto"/>
              <w:right w:val="single" w:sz="4" w:space="0" w:color="auto"/>
            </w:tcBorders>
            <w:shd w:val="clear" w:color="D9D9D9" w:fill="D9D9D9"/>
            <w:noWrap/>
            <w:vAlign w:val="bottom"/>
            <w:hideMark/>
          </w:tcPr>
          <w:p w14:paraId="722AED17" w14:textId="77777777" w:rsidR="001C19EC" w:rsidRPr="00DF49D2" w:rsidRDefault="001C19EC" w:rsidP="00637245">
            <w:pPr>
              <w:spacing w:after="0" w:line="240" w:lineRule="auto"/>
              <w:jc w:val="right"/>
              <w:rPr>
                <w:rFonts w:eastAsia="Times New Roman" w:cs="Times New Roman"/>
                <w:b/>
                <w:bCs/>
                <w:color w:val="000000"/>
                <w:lang w:eastAsia="es-DO"/>
              </w:rPr>
            </w:pPr>
            <w:r w:rsidRPr="00DF49D2">
              <w:rPr>
                <w:rFonts w:eastAsia="Times New Roman" w:cs="Times New Roman"/>
                <w:b/>
                <w:bCs/>
                <w:color w:val="000000"/>
                <w:lang w:eastAsia="es-DO"/>
              </w:rPr>
              <w:t>Total</w:t>
            </w:r>
          </w:p>
        </w:tc>
        <w:tc>
          <w:tcPr>
            <w:tcW w:w="3000" w:type="dxa"/>
            <w:tcBorders>
              <w:top w:val="single" w:sz="4" w:space="0" w:color="auto"/>
              <w:left w:val="single" w:sz="4" w:space="0" w:color="auto"/>
              <w:bottom w:val="single" w:sz="8" w:space="0" w:color="auto"/>
              <w:right w:val="single" w:sz="8" w:space="0" w:color="auto"/>
            </w:tcBorders>
            <w:shd w:val="clear" w:color="D9D9D9" w:fill="D9D9D9"/>
            <w:noWrap/>
            <w:vAlign w:val="bottom"/>
            <w:hideMark/>
          </w:tcPr>
          <w:p w14:paraId="73D6760D" w14:textId="77777777" w:rsidR="001C19EC" w:rsidRPr="00DE32D4" w:rsidRDefault="001C19EC" w:rsidP="00637245">
            <w:pPr>
              <w:spacing w:after="0" w:line="240" w:lineRule="auto"/>
              <w:jc w:val="center"/>
              <w:rPr>
                <w:rFonts w:eastAsia="Times New Roman" w:cs="Times New Roman"/>
                <w:b/>
                <w:color w:val="000000"/>
                <w:lang w:eastAsia="es-DO"/>
              </w:rPr>
            </w:pPr>
            <w:r w:rsidRPr="00DE32D4">
              <w:rPr>
                <w:rFonts w:eastAsia="Times New Roman" w:cs="Times New Roman"/>
                <w:b/>
                <w:color w:val="000000"/>
                <w:lang w:eastAsia="es-DO"/>
              </w:rPr>
              <w:t>2,238,744,167.78</w:t>
            </w:r>
          </w:p>
        </w:tc>
      </w:tr>
    </w:tbl>
    <w:p w14:paraId="7810FC9A" w14:textId="77777777" w:rsidR="001C19EC" w:rsidRDefault="001C19EC" w:rsidP="001C19EC">
      <w:pPr>
        <w:rPr>
          <w:rFonts w:eastAsiaTheme="majorEastAsia" w:cstheme="majorBidi"/>
          <w:b/>
          <w:bCs/>
          <w:noProof/>
          <w:color w:val="262626" w:themeColor="text1" w:themeTint="D9"/>
          <w:spacing w:val="-4"/>
          <w:sz w:val="32"/>
          <w:szCs w:val="20"/>
          <w:lang w:val="es-ES" w:eastAsia="lv-LV"/>
        </w:rPr>
      </w:pPr>
    </w:p>
    <w:p w14:paraId="3EB7A312" w14:textId="77777777" w:rsidR="001C19EC" w:rsidRPr="00932739" w:rsidRDefault="001C19EC" w:rsidP="00951609">
      <w:pPr>
        <w:pStyle w:val="Estilo7"/>
        <w:numPr>
          <w:ilvl w:val="0"/>
          <w:numId w:val="29"/>
        </w:numPr>
        <w:rPr>
          <w:rFonts w:cs="Times New Roman"/>
          <w:noProof w:val="0"/>
          <w:szCs w:val="32"/>
        </w:rPr>
      </w:pPr>
      <w:bookmarkStart w:id="65" w:name="_Toc29577327"/>
      <w:bookmarkStart w:id="66" w:name="_Toc29891710"/>
      <w:r>
        <w:t>Sistema Nacional de Compras y Contrataciones Públicas (SNCCP)</w:t>
      </w:r>
      <w:bookmarkEnd w:id="65"/>
      <w:bookmarkEnd w:id="66"/>
    </w:p>
    <w:p w14:paraId="125D927D" w14:textId="77777777" w:rsidR="00932739" w:rsidRPr="003242AE" w:rsidRDefault="00932739" w:rsidP="00932739">
      <w:pPr>
        <w:pStyle w:val="Estilo7"/>
        <w:numPr>
          <w:ilvl w:val="0"/>
          <w:numId w:val="0"/>
        </w:numPr>
        <w:ind w:left="2340"/>
        <w:rPr>
          <w:rFonts w:cs="Times New Roman"/>
          <w:noProof w:val="0"/>
          <w:szCs w:val="32"/>
        </w:rPr>
      </w:pPr>
    </w:p>
    <w:p w14:paraId="209D91FF" w14:textId="4C18BD7A" w:rsidR="00932739" w:rsidRPr="00E4148D" w:rsidRDefault="001C19EC" w:rsidP="00370DC0">
      <w:pPr>
        <w:spacing w:line="480" w:lineRule="auto"/>
        <w:ind w:firstLine="708"/>
        <w:jc w:val="both"/>
        <w:rPr>
          <w:rFonts w:cs="Times New Roman"/>
          <w:szCs w:val="24"/>
        </w:rPr>
      </w:pPr>
      <w:r>
        <w:rPr>
          <w:rFonts w:cs="Times New Roman"/>
          <w:szCs w:val="24"/>
        </w:rPr>
        <w:t xml:space="preserve">La Procuraduría General de la República (PGR) ha venido desarrollando de manera transparentes sus procesos de compras y contrataciones a través del </w:t>
      </w:r>
      <w:r w:rsidRPr="000E22BD">
        <w:rPr>
          <w:rFonts w:cs="Times New Roman"/>
          <w:szCs w:val="24"/>
        </w:rPr>
        <w:t>el Portal de Compras Dominicanas</w:t>
      </w:r>
      <w:r>
        <w:rPr>
          <w:rFonts w:cs="Times New Roman"/>
          <w:szCs w:val="24"/>
        </w:rPr>
        <w:t>, tal como lo establecen las disposiciones legales existentes.  En el 2019</w:t>
      </w:r>
      <w:r w:rsidRPr="00EA00C0">
        <w:rPr>
          <w:rFonts w:cs="Times New Roman"/>
          <w:szCs w:val="24"/>
        </w:rPr>
        <w:t xml:space="preserve"> </w:t>
      </w:r>
      <w:r>
        <w:rPr>
          <w:rFonts w:cs="Times New Roman"/>
          <w:szCs w:val="24"/>
        </w:rPr>
        <w:t>fueron ejecutadas mil doscientos ochenta y tres (1,283</w:t>
      </w:r>
      <w:r w:rsidRPr="00EA00C0">
        <w:rPr>
          <w:rFonts w:cs="Times New Roman"/>
          <w:szCs w:val="24"/>
        </w:rPr>
        <w:t>) completadas y registradas</w:t>
      </w:r>
      <w:r>
        <w:rPr>
          <w:rFonts w:cs="Times New Roman"/>
          <w:szCs w:val="24"/>
        </w:rPr>
        <w:t xml:space="preserve"> a través del portal de Compras Dominicanas.</w:t>
      </w:r>
    </w:p>
    <w:p w14:paraId="0994E4E3" w14:textId="77777777" w:rsidR="00502D8F" w:rsidRDefault="00502D8F">
      <w:pPr>
        <w:rPr>
          <w:rFonts w:eastAsiaTheme="majorEastAsia" w:cstheme="majorBidi"/>
          <w:b/>
          <w:bCs/>
          <w:noProof/>
          <w:color w:val="262626" w:themeColor="text1" w:themeTint="D9"/>
          <w:spacing w:val="-4"/>
          <w:sz w:val="32"/>
          <w:szCs w:val="20"/>
          <w:lang w:val="es-ES" w:eastAsia="lv-LV"/>
        </w:rPr>
      </w:pPr>
      <w:bookmarkStart w:id="67" w:name="_Toc29577328"/>
      <w:r>
        <w:br w:type="page"/>
      </w:r>
    </w:p>
    <w:p w14:paraId="2C573A30" w14:textId="5DAE7A41" w:rsidR="001C19EC" w:rsidRDefault="001C19EC" w:rsidP="00951609">
      <w:pPr>
        <w:pStyle w:val="Estilo7"/>
        <w:numPr>
          <w:ilvl w:val="0"/>
          <w:numId w:val="30"/>
        </w:numPr>
      </w:pPr>
      <w:bookmarkStart w:id="68" w:name="_Toc29891711"/>
      <w:r w:rsidRPr="00932739">
        <w:lastRenderedPageBreak/>
        <w:t>Declaraciones</w:t>
      </w:r>
      <w:r>
        <w:t xml:space="preserve"> Juradas</w:t>
      </w:r>
      <w:bookmarkEnd w:id="67"/>
      <w:bookmarkEnd w:id="68"/>
    </w:p>
    <w:p w14:paraId="7552AD16" w14:textId="77777777" w:rsidR="00520032" w:rsidRDefault="00520032" w:rsidP="00520032">
      <w:pPr>
        <w:pStyle w:val="Estilo7"/>
        <w:numPr>
          <w:ilvl w:val="0"/>
          <w:numId w:val="0"/>
        </w:numPr>
        <w:ind w:left="1620"/>
      </w:pPr>
    </w:p>
    <w:p w14:paraId="05560988" w14:textId="3F313441" w:rsidR="001C19EC" w:rsidRPr="00520032" w:rsidRDefault="001C19EC" w:rsidP="00502D8F">
      <w:pPr>
        <w:spacing w:line="480" w:lineRule="auto"/>
        <w:ind w:firstLine="708"/>
        <w:jc w:val="both"/>
        <w:rPr>
          <w:rFonts w:cs="Times New Roman"/>
          <w:szCs w:val="24"/>
        </w:rPr>
      </w:pPr>
      <w:r>
        <w:rPr>
          <w:rFonts w:cs="Times New Roman"/>
          <w:szCs w:val="24"/>
        </w:rPr>
        <w:t xml:space="preserve">Las Declaraciones Juradas de los Funcionarios de la Procuraduría General de la República (PGR) se realizan, de conformidad al Artículo No. 18 de la Ley No. 200-04 de Libre Acceso a la Información Pública y al Artículo No. 28 de su Reglamento de Aplicación aprobado mediante el Decreto No. 130-05, así como la Ley No. 311-14 de la Cámara de Cuentas de la República, que incluye al Director Administrativo y Financiero y al Encargado de Compras. En este sentido se han publicado las declaraciones juradas de 14 funcionarios incluyendo al Procurador General de la República y a los Procuradores Adjuntos. Las mismas pueden ser consultadas en la sección “Declaraciones Juradas de Patrimonios” del sub-portal de Transparencia en el siguiente enlace: </w:t>
      </w:r>
      <w:hyperlink r:id="rId16" w:history="1">
        <w:r w:rsidRPr="00C651D2">
          <w:rPr>
            <w:rStyle w:val="Hipervnculo"/>
            <w:rFonts w:cs="Times New Roman"/>
            <w:szCs w:val="24"/>
          </w:rPr>
          <w:t>www.pgr.gob.do/transparencia</w:t>
        </w:r>
      </w:hyperlink>
      <w:r>
        <w:rPr>
          <w:rFonts w:cs="Times New Roman"/>
          <w:szCs w:val="24"/>
        </w:rPr>
        <w:t xml:space="preserve">.  </w:t>
      </w:r>
    </w:p>
    <w:p w14:paraId="50B84E58" w14:textId="77777777" w:rsidR="001C19EC" w:rsidRDefault="001C19EC" w:rsidP="00520032">
      <w:pPr>
        <w:pStyle w:val="Estilo7"/>
      </w:pPr>
      <w:bookmarkStart w:id="69" w:name="_Toc29577331"/>
      <w:bookmarkStart w:id="70" w:name="_Toc29891712"/>
      <w:r w:rsidRPr="00742CB1">
        <w:t>GESTIÓN INTERNA</w:t>
      </w:r>
      <w:bookmarkEnd w:id="69"/>
      <w:bookmarkEnd w:id="70"/>
    </w:p>
    <w:p w14:paraId="48BF5603" w14:textId="77777777" w:rsidR="00520032" w:rsidRPr="00742CB1" w:rsidRDefault="00520032" w:rsidP="00520032">
      <w:pPr>
        <w:pStyle w:val="Estilo7"/>
        <w:numPr>
          <w:ilvl w:val="0"/>
          <w:numId w:val="0"/>
        </w:numPr>
        <w:ind w:left="900"/>
      </w:pPr>
    </w:p>
    <w:p w14:paraId="76F951E4" w14:textId="01EBC441" w:rsidR="00520032" w:rsidRDefault="001C19EC" w:rsidP="00951609">
      <w:pPr>
        <w:pStyle w:val="Estilo7"/>
        <w:numPr>
          <w:ilvl w:val="1"/>
          <w:numId w:val="14"/>
        </w:numPr>
      </w:pPr>
      <w:bookmarkStart w:id="71" w:name="_Toc29577332"/>
      <w:bookmarkStart w:id="72" w:name="_Toc29891713"/>
      <w:r w:rsidRPr="00742CB1">
        <w:t>Desempeño Financiero</w:t>
      </w:r>
      <w:bookmarkEnd w:id="71"/>
      <w:bookmarkEnd w:id="72"/>
    </w:p>
    <w:p w14:paraId="4CD49414" w14:textId="77777777" w:rsidR="00520032" w:rsidRPr="00742CB1" w:rsidRDefault="00520032" w:rsidP="00520032">
      <w:pPr>
        <w:pStyle w:val="Estilo7"/>
        <w:numPr>
          <w:ilvl w:val="0"/>
          <w:numId w:val="0"/>
        </w:numPr>
        <w:ind w:left="1620"/>
      </w:pPr>
    </w:p>
    <w:p w14:paraId="74314627" w14:textId="77777777" w:rsidR="001C19EC" w:rsidRDefault="001C19EC" w:rsidP="00951609">
      <w:pPr>
        <w:pStyle w:val="Estilo7"/>
        <w:numPr>
          <w:ilvl w:val="2"/>
          <w:numId w:val="14"/>
        </w:numPr>
      </w:pPr>
      <w:bookmarkStart w:id="73" w:name="_Toc29577333"/>
      <w:bookmarkStart w:id="74" w:name="_Toc29891714"/>
      <w:r w:rsidRPr="00787BA7">
        <w:t xml:space="preserve">Ejecución </w:t>
      </w:r>
      <w:r w:rsidRPr="003242AE">
        <w:t>presupuestaria</w:t>
      </w:r>
      <w:bookmarkEnd w:id="73"/>
      <w:bookmarkEnd w:id="74"/>
    </w:p>
    <w:p w14:paraId="1C8D5B26" w14:textId="77777777" w:rsidR="00520032" w:rsidRDefault="00520032" w:rsidP="00520032">
      <w:pPr>
        <w:pStyle w:val="Estilo7"/>
        <w:numPr>
          <w:ilvl w:val="0"/>
          <w:numId w:val="0"/>
        </w:numPr>
        <w:ind w:left="2340"/>
      </w:pPr>
    </w:p>
    <w:p w14:paraId="215D4DCA" w14:textId="77777777" w:rsidR="001C19EC" w:rsidRDefault="001C19EC" w:rsidP="001C19EC">
      <w:pPr>
        <w:spacing w:line="480" w:lineRule="auto"/>
        <w:ind w:firstLine="708"/>
        <w:jc w:val="both"/>
        <w:rPr>
          <w:rFonts w:cs="Times New Roman"/>
          <w:szCs w:val="24"/>
        </w:rPr>
      </w:pPr>
      <w:r>
        <w:rPr>
          <w:rFonts w:cs="Times New Roman"/>
          <w:szCs w:val="24"/>
        </w:rPr>
        <w:t>Tal y como</w:t>
      </w:r>
      <w:r w:rsidRPr="00691069">
        <w:rPr>
          <w:rFonts w:cs="Times New Roman"/>
          <w:szCs w:val="24"/>
        </w:rPr>
        <w:t xml:space="preserve"> </w:t>
      </w:r>
      <w:r>
        <w:rPr>
          <w:rFonts w:cs="Times New Roman"/>
          <w:szCs w:val="24"/>
        </w:rPr>
        <w:t>lo establece la Ley No. 423-06 Orgánica de Presupuesto para el Sector Público y la Ley No. 126-01 de la Dirección General de Contabilidad, en el período diciembre 2018 hasta octubre 2019, se elaboraron los siguientes informes de ejecución presupuestaria:</w:t>
      </w:r>
    </w:p>
    <w:p w14:paraId="137E0F88" w14:textId="77777777" w:rsidR="001C19EC" w:rsidRDefault="001C19EC" w:rsidP="00951609">
      <w:pPr>
        <w:pStyle w:val="Prrafodelista"/>
        <w:numPr>
          <w:ilvl w:val="0"/>
          <w:numId w:val="8"/>
        </w:numPr>
        <w:spacing w:line="480" w:lineRule="auto"/>
        <w:jc w:val="both"/>
        <w:rPr>
          <w:rFonts w:cs="Times New Roman"/>
          <w:szCs w:val="24"/>
        </w:rPr>
      </w:pPr>
      <w:r>
        <w:rPr>
          <w:rFonts w:cs="Times New Roman"/>
          <w:szCs w:val="24"/>
        </w:rPr>
        <w:t>1 Presupuesto General Institucional.</w:t>
      </w:r>
    </w:p>
    <w:p w14:paraId="6626A361" w14:textId="77777777" w:rsidR="001C19EC" w:rsidRDefault="001C19EC" w:rsidP="00951609">
      <w:pPr>
        <w:pStyle w:val="Prrafodelista"/>
        <w:numPr>
          <w:ilvl w:val="0"/>
          <w:numId w:val="8"/>
        </w:numPr>
        <w:spacing w:line="480" w:lineRule="auto"/>
        <w:jc w:val="both"/>
        <w:rPr>
          <w:rFonts w:cs="Times New Roman"/>
          <w:szCs w:val="24"/>
        </w:rPr>
      </w:pPr>
      <w:r>
        <w:rPr>
          <w:rFonts w:cs="Times New Roman"/>
          <w:szCs w:val="24"/>
        </w:rPr>
        <w:t>12 Informes Analíticos de Estado de Ejecución de la Cuenta Operacional (Recursos provenientes del presupuesto general, fondo 100), los cuales tuvieron una ejecución desde el 1ro de diciembre 2018 hasta el 31 de octubre 2019 como se describe a continuación:</w:t>
      </w:r>
    </w:p>
    <w:tbl>
      <w:tblPr>
        <w:tblW w:w="6020" w:type="dxa"/>
        <w:jc w:val="center"/>
        <w:tblCellMar>
          <w:left w:w="70" w:type="dxa"/>
          <w:right w:w="70" w:type="dxa"/>
        </w:tblCellMar>
        <w:tblLook w:val="04A0" w:firstRow="1" w:lastRow="0" w:firstColumn="1" w:lastColumn="0" w:noHBand="0" w:noVBand="1"/>
      </w:tblPr>
      <w:tblGrid>
        <w:gridCol w:w="4101"/>
        <w:gridCol w:w="1919"/>
      </w:tblGrid>
      <w:tr w:rsidR="001C19EC" w:rsidRPr="002069F9" w14:paraId="40C36D6E" w14:textId="77777777" w:rsidTr="00637245">
        <w:trPr>
          <w:trHeight w:val="315"/>
          <w:jc w:val="center"/>
        </w:trPr>
        <w:tc>
          <w:tcPr>
            <w:tcW w:w="4101"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7356AB4F"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lastRenderedPageBreak/>
              <w:t xml:space="preserve">Objeto de Gasto </w:t>
            </w:r>
          </w:p>
        </w:tc>
        <w:tc>
          <w:tcPr>
            <w:tcW w:w="1919"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5EF6E531"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t xml:space="preserve"> Valores en RD$</w:t>
            </w:r>
          </w:p>
        </w:tc>
      </w:tr>
      <w:tr w:rsidR="001C19EC" w:rsidRPr="002069F9" w14:paraId="17276601" w14:textId="77777777" w:rsidTr="00637245">
        <w:trPr>
          <w:trHeight w:val="300"/>
          <w:jc w:val="center"/>
        </w:trPr>
        <w:tc>
          <w:tcPr>
            <w:tcW w:w="4101" w:type="dxa"/>
            <w:tcBorders>
              <w:top w:val="nil"/>
              <w:left w:val="single" w:sz="8" w:space="0" w:color="auto"/>
              <w:bottom w:val="single" w:sz="4" w:space="0" w:color="auto"/>
              <w:right w:val="single" w:sz="4" w:space="0" w:color="auto"/>
            </w:tcBorders>
            <w:shd w:val="clear" w:color="D9D9D9" w:fill="D9D9D9"/>
            <w:noWrap/>
            <w:vAlign w:val="bottom"/>
            <w:hideMark/>
          </w:tcPr>
          <w:p w14:paraId="2449ECA1"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Remuneraciones  y Contribuciones</w:t>
            </w:r>
          </w:p>
        </w:tc>
        <w:tc>
          <w:tcPr>
            <w:tcW w:w="1919" w:type="dxa"/>
            <w:tcBorders>
              <w:top w:val="nil"/>
              <w:left w:val="single" w:sz="4" w:space="0" w:color="auto"/>
              <w:bottom w:val="single" w:sz="4" w:space="0" w:color="auto"/>
              <w:right w:val="single" w:sz="8" w:space="0" w:color="auto"/>
            </w:tcBorders>
            <w:shd w:val="clear" w:color="D9D9D9" w:fill="D9D9D9"/>
            <w:noWrap/>
            <w:vAlign w:val="bottom"/>
            <w:hideMark/>
          </w:tcPr>
          <w:p w14:paraId="4307A3E5"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4,441,381,249.98</w:t>
            </w:r>
          </w:p>
        </w:tc>
      </w:tr>
      <w:tr w:rsidR="001C19EC" w:rsidRPr="002069F9" w14:paraId="69ED0080"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80F7B9"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Contratación de Servicios</w:t>
            </w:r>
          </w:p>
        </w:tc>
        <w:tc>
          <w:tcPr>
            <w:tcW w:w="191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AC595C"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208,926,943.22</w:t>
            </w:r>
          </w:p>
        </w:tc>
      </w:tr>
      <w:tr w:rsidR="001C19EC" w:rsidRPr="002069F9" w14:paraId="37C5E337"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443925C9"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Materiales y Suministros</w:t>
            </w:r>
          </w:p>
        </w:tc>
        <w:tc>
          <w:tcPr>
            <w:tcW w:w="1919"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5F6B7073"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206,094,162.38</w:t>
            </w:r>
          </w:p>
        </w:tc>
      </w:tr>
      <w:tr w:rsidR="001C19EC" w:rsidRPr="002069F9" w14:paraId="4F6747C7"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AA7CFD"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Transferencia Corrientes</w:t>
            </w:r>
          </w:p>
        </w:tc>
        <w:tc>
          <w:tcPr>
            <w:tcW w:w="191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89BEBD"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9,523,310.83</w:t>
            </w:r>
          </w:p>
        </w:tc>
      </w:tr>
      <w:tr w:rsidR="001C19EC" w:rsidRPr="002069F9" w14:paraId="4ACE31AF"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48398571"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Bienes Muebles, Inmuebles e Intangibles</w:t>
            </w:r>
          </w:p>
        </w:tc>
        <w:tc>
          <w:tcPr>
            <w:tcW w:w="1919"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61C12C52"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221,579,232.59</w:t>
            </w:r>
          </w:p>
        </w:tc>
      </w:tr>
      <w:tr w:rsidR="001C19EC" w:rsidRPr="002069F9" w14:paraId="0D74229D"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54F5FE"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Adquisición de Títulos y Valores</w:t>
            </w:r>
          </w:p>
        </w:tc>
        <w:tc>
          <w:tcPr>
            <w:tcW w:w="191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D6DEEEF"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418,440,398.58</w:t>
            </w:r>
          </w:p>
        </w:tc>
      </w:tr>
      <w:tr w:rsidR="001C19EC" w:rsidRPr="002069F9" w14:paraId="0CD4D432" w14:textId="77777777" w:rsidTr="00637245">
        <w:trPr>
          <w:trHeight w:val="300"/>
          <w:jc w:val="center"/>
        </w:trPr>
        <w:tc>
          <w:tcPr>
            <w:tcW w:w="4101"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3B60A811"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Gastos Financieros</w:t>
            </w:r>
          </w:p>
        </w:tc>
        <w:tc>
          <w:tcPr>
            <w:tcW w:w="1919"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061C7583"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27,136.04</w:t>
            </w:r>
          </w:p>
        </w:tc>
      </w:tr>
      <w:tr w:rsidR="001C19EC" w:rsidRPr="002069F9" w14:paraId="4721DCDD" w14:textId="77777777" w:rsidTr="00637245">
        <w:trPr>
          <w:trHeight w:val="300"/>
          <w:jc w:val="center"/>
        </w:trPr>
        <w:tc>
          <w:tcPr>
            <w:tcW w:w="410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BDD3F14" w14:textId="77777777" w:rsidR="001C19EC" w:rsidRPr="00691069" w:rsidRDefault="001C19EC" w:rsidP="00637245">
            <w:pPr>
              <w:spacing w:after="0" w:line="480" w:lineRule="auto"/>
              <w:jc w:val="right"/>
              <w:rPr>
                <w:rFonts w:eastAsia="Times New Roman" w:cs="Times New Roman"/>
                <w:b/>
                <w:bCs/>
                <w:color w:val="000000"/>
                <w:szCs w:val="24"/>
                <w:lang w:eastAsia="es-DO"/>
              </w:rPr>
            </w:pPr>
            <w:r w:rsidRPr="00691069">
              <w:rPr>
                <w:rFonts w:eastAsia="Times New Roman" w:cs="Times New Roman"/>
                <w:b/>
                <w:bCs/>
                <w:color w:val="000000"/>
                <w:szCs w:val="24"/>
                <w:lang w:eastAsia="es-DO"/>
              </w:rPr>
              <w:t>Total</w:t>
            </w:r>
          </w:p>
        </w:tc>
        <w:tc>
          <w:tcPr>
            <w:tcW w:w="191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1C9D5F4" w14:textId="77777777" w:rsidR="001C19EC" w:rsidRPr="00691069" w:rsidRDefault="001C19EC" w:rsidP="00637245">
            <w:pPr>
              <w:spacing w:after="0" w:line="480" w:lineRule="auto"/>
              <w:jc w:val="center"/>
              <w:rPr>
                <w:rFonts w:eastAsia="Times New Roman" w:cs="Times New Roman"/>
                <w:b/>
                <w:bCs/>
                <w:color w:val="000000"/>
                <w:szCs w:val="24"/>
                <w:lang w:eastAsia="es-DO"/>
              </w:rPr>
            </w:pPr>
            <w:r w:rsidRPr="00691069">
              <w:rPr>
                <w:rFonts w:eastAsia="Times New Roman" w:cs="Times New Roman"/>
                <w:b/>
                <w:bCs/>
                <w:color w:val="000000"/>
                <w:szCs w:val="24"/>
                <w:lang w:eastAsia="es-DO"/>
              </w:rPr>
              <w:t>5,505,972,433.62</w:t>
            </w:r>
          </w:p>
        </w:tc>
      </w:tr>
    </w:tbl>
    <w:p w14:paraId="7922E159" w14:textId="77777777" w:rsidR="001C19EC" w:rsidRDefault="001C19EC" w:rsidP="001C19EC">
      <w:pPr>
        <w:spacing w:line="480" w:lineRule="auto"/>
        <w:jc w:val="both"/>
        <w:rPr>
          <w:rFonts w:cs="Times New Roman"/>
          <w:szCs w:val="24"/>
        </w:rPr>
      </w:pPr>
    </w:p>
    <w:p w14:paraId="4A2C1615" w14:textId="77777777" w:rsidR="001C19EC" w:rsidRPr="005E50B3" w:rsidRDefault="001C19EC" w:rsidP="00951609">
      <w:pPr>
        <w:pStyle w:val="Prrafodelista"/>
        <w:numPr>
          <w:ilvl w:val="0"/>
          <w:numId w:val="9"/>
        </w:numPr>
        <w:spacing w:line="480" w:lineRule="auto"/>
        <w:jc w:val="both"/>
        <w:rPr>
          <w:rFonts w:cs="Times New Roman"/>
          <w:szCs w:val="24"/>
        </w:rPr>
      </w:pPr>
      <w:r>
        <w:rPr>
          <w:rFonts w:cs="Times New Roman"/>
          <w:szCs w:val="24"/>
        </w:rPr>
        <w:t>12 Informes Analíticos de Estado de Ejecución de la Cuenta Control de Multas (Recursos provenientes, por la aplicación de multas ordinarias y de tránsito y su aplicación como lo establece la ley 12-07), los cuales tuvieron una ejecución desde el 1ro de diciembre 2018 hasta el 31 de octubre 2019 como se describe a continuación:</w:t>
      </w:r>
    </w:p>
    <w:tbl>
      <w:tblPr>
        <w:tblW w:w="6020" w:type="dxa"/>
        <w:jc w:val="center"/>
        <w:tblCellMar>
          <w:left w:w="70" w:type="dxa"/>
          <w:right w:w="70" w:type="dxa"/>
        </w:tblCellMar>
        <w:tblLook w:val="04A0" w:firstRow="1" w:lastRow="0" w:firstColumn="1" w:lastColumn="0" w:noHBand="0" w:noVBand="1"/>
      </w:tblPr>
      <w:tblGrid>
        <w:gridCol w:w="4000"/>
        <w:gridCol w:w="2020"/>
      </w:tblGrid>
      <w:tr w:rsidR="001C19EC" w:rsidRPr="005D151B" w14:paraId="1CA0B610" w14:textId="77777777" w:rsidTr="00637245">
        <w:trPr>
          <w:trHeight w:val="315"/>
          <w:jc w:val="center"/>
        </w:trPr>
        <w:tc>
          <w:tcPr>
            <w:tcW w:w="4000"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1857FC1F"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t xml:space="preserve">Objeto de Gasto </w:t>
            </w:r>
          </w:p>
        </w:tc>
        <w:tc>
          <w:tcPr>
            <w:tcW w:w="2020"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026FF899"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t xml:space="preserve"> Valores en RD$</w:t>
            </w:r>
          </w:p>
        </w:tc>
      </w:tr>
      <w:tr w:rsidR="001C19EC" w:rsidRPr="005D151B" w14:paraId="30C78115" w14:textId="77777777" w:rsidTr="00637245">
        <w:trPr>
          <w:trHeight w:val="300"/>
          <w:jc w:val="center"/>
        </w:trPr>
        <w:tc>
          <w:tcPr>
            <w:tcW w:w="4000" w:type="dxa"/>
            <w:tcBorders>
              <w:top w:val="nil"/>
              <w:left w:val="single" w:sz="8" w:space="0" w:color="auto"/>
              <w:bottom w:val="single" w:sz="4" w:space="0" w:color="auto"/>
              <w:right w:val="single" w:sz="4" w:space="0" w:color="auto"/>
            </w:tcBorders>
            <w:shd w:val="clear" w:color="D9D9D9" w:fill="D9D9D9"/>
            <w:noWrap/>
            <w:vAlign w:val="bottom"/>
            <w:hideMark/>
          </w:tcPr>
          <w:p w14:paraId="5C754B4C"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Contratación de Servicios</w:t>
            </w:r>
          </w:p>
        </w:tc>
        <w:tc>
          <w:tcPr>
            <w:tcW w:w="2020" w:type="dxa"/>
            <w:tcBorders>
              <w:top w:val="nil"/>
              <w:left w:val="single" w:sz="4" w:space="0" w:color="auto"/>
              <w:bottom w:val="single" w:sz="4" w:space="0" w:color="auto"/>
              <w:right w:val="single" w:sz="8" w:space="0" w:color="auto"/>
            </w:tcBorders>
            <w:shd w:val="clear" w:color="D9D9D9" w:fill="D9D9D9"/>
            <w:noWrap/>
            <w:vAlign w:val="bottom"/>
            <w:hideMark/>
          </w:tcPr>
          <w:p w14:paraId="1AD67808"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1,248,791.00</w:t>
            </w:r>
          </w:p>
        </w:tc>
      </w:tr>
      <w:tr w:rsidR="001C19EC" w:rsidRPr="005D151B" w14:paraId="5E508AE3" w14:textId="77777777" w:rsidTr="00637245">
        <w:trPr>
          <w:trHeight w:val="300"/>
          <w:jc w:val="center"/>
        </w:trPr>
        <w:tc>
          <w:tcPr>
            <w:tcW w:w="40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AFC29D"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Materiales y Suministros</w:t>
            </w:r>
          </w:p>
        </w:tc>
        <w:tc>
          <w:tcPr>
            <w:tcW w:w="2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CA05E3"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189,048,504.38</w:t>
            </w:r>
          </w:p>
        </w:tc>
      </w:tr>
      <w:tr w:rsidR="001C19EC" w:rsidRPr="005D151B" w14:paraId="191F5595" w14:textId="77777777" w:rsidTr="00637245">
        <w:trPr>
          <w:trHeight w:val="300"/>
          <w:jc w:val="center"/>
        </w:trPr>
        <w:tc>
          <w:tcPr>
            <w:tcW w:w="4000"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52ED13DC"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Transferencia Corrientes</w:t>
            </w:r>
          </w:p>
        </w:tc>
        <w:tc>
          <w:tcPr>
            <w:tcW w:w="2020"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6C1FC040"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2,000,000.00</w:t>
            </w:r>
          </w:p>
        </w:tc>
      </w:tr>
      <w:tr w:rsidR="001C19EC" w:rsidRPr="005D151B" w14:paraId="5ED18F94" w14:textId="77777777" w:rsidTr="00637245">
        <w:trPr>
          <w:trHeight w:val="300"/>
          <w:jc w:val="center"/>
        </w:trPr>
        <w:tc>
          <w:tcPr>
            <w:tcW w:w="40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22F232"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Adquisición de Títulos y Valores</w:t>
            </w:r>
          </w:p>
        </w:tc>
        <w:tc>
          <w:tcPr>
            <w:tcW w:w="20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B2436D"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60,757,962.99</w:t>
            </w:r>
          </w:p>
        </w:tc>
      </w:tr>
      <w:tr w:rsidR="001C19EC" w:rsidRPr="005D151B" w14:paraId="7040FE6A" w14:textId="77777777" w:rsidTr="00637245">
        <w:trPr>
          <w:trHeight w:val="300"/>
          <w:jc w:val="center"/>
        </w:trPr>
        <w:tc>
          <w:tcPr>
            <w:tcW w:w="4000" w:type="dxa"/>
            <w:tcBorders>
              <w:top w:val="single" w:sz="4" w:space="0" w:color="auto"/>
              <w:left w:val="single" w:sz="8" w:space="0" w:color="auto"/>
              <w:bottom w:val="single" w:sz="8" w:space="0" w:color="auto"/>
              <w:right w:val="single" w:sz="4" w:space="0" w:color="auto"/>
            </w:tcBorders>
            <w:shd w:val="clear" w:color="D9D9D9" w:fill="D9D9D9"/>
            <w:noWrap/>
            <w:vAlign w:val="bottom"/>
            <w:hideMark/>
          </w:tcPr>
          <w:p w14:paraId="287DF8A9" w14:textId="77777777" w:rsidR="001C19EC" w:rsidRPr="00691069" w:rsidRDefault="001C19EC" w:rsidP="00637245">
            <w:pPr>
              <w:spacing w:after="0" w:line="480" w:lineRule="auto"/>
              <w:jc w:val="right"/>
              <w:rPr>
                <w:rFonts w:eastAsia="Times New Roman" w:cs="Times New Roman"/>
                <w:b/>
                <w:bCs/>
                <w:color w:val="000000"/>
                <w:szCs w:val="24"/>
                <w:lang w:eastAsia="es-DO"/>
              </w:rPr>
            </w:pPr>
            <w:r w:rsidRPr="00691069">
              <w:rPr>
                <w:rFonts w:eastAsia="Times New Roman" w:cs="Times New Roman"/>
                <w:b/>
                <w:bCs/>
                <w:color w:val="000000"/>
                <w:szCs w:val="24"/>
                <w:lang w:eastAsia="es-DO"/>
              </w:rPr>
              <w:t>Total</w:t>
            </w:r>
          </w:p>
        </w:tc>
        <w:tc>
          <w:tcPr>
            <w:tcW w:w="2020" w:type="dxa"/>
            <w:tcBorders>
              <w:top w:val="single" w:sz="4" w:space="0" w:color="auto"/>
              <w:left w:val="single" w:sz="4" w:space="0" w:color="auto"/>
              <w:bottom w:val="single" w:sz="8" w:space="0" w:color="auto"/>
              <w:right w:val="single" w:sz="8" w:space="0" w:color="auto"/>
            </w:tcBorders>
            <w:shd w:val="clear" w:color="D9D9D9" w:fill="D9D9D9"/>
            <w:noWrap/>
            <w:vAlign w:val="bottom"/>
            <w:hideMark/>
          </w:tcPr>
          <w:p w14:paraId="03B92159" w14:textId="77777777" w:rsidR="001C19EC" w:rsidRPr="00691069" w:rsidRDefault="001C19EC" w:rsidP="00637245">
            <w:pPr>
              <w:spacing w:after="0" w:line="480" w:lineRule="auto"/>
              <w:jc w:val="center"/>
              <w:rPr>
                <w:rFonts w:eastAsia="Times New Roman" w:cs="Times New Roman"/>
                <w:b/>
                <w:bCs/>
                <w:color w:val="000000"/>
                <w:szCs w:val="24"/>
                <w:lang w:eastAsia="es-DO"/>
              </w:rPr>
            </w:pPr>
            <w:r w:rsidRPr="00691069">
              <w:rPr>
                <w:rFonts w:eastAsia="Times New Roman" w:cs="Times New Roman"/>
                <w:b/>
                <w:bCs/>
                <w:color w:val="000000"/>
                <w:szCs w:val="24"/>
                <w:lang w:eastAsia="es-DO"/>
              </w:rPr>
              <w:t>253,055,258.37</w:t>
            </w:r>
          </w:p>
        </w:tc>
      </w:tr>
    </w:tbl>
    <w:p w14:paraId="086D135C" w14:textId="77777777" w:rsidR="001C19EC" w:rsidRDefault="001C19EC" w:rsidP="001C19EC">
      <w:pPr>
        <w:rPr>
          <w:rFonts w:cs="Times New Roman"/>
          <w:szCs w:val="24"/>
        </w:rPr>
      </w:pPr>
    </w:p>
    <w:p w14:paraId="5B8C64CC" w14:textId="77777777" w:rsidR="001C19EC" w:rsidRDefault="001C19EC" w:rsidP="00951609">
      <w:pPr>
        <w:pStyle w:val="Prrafodelista"/>
        <w:numPr>
          <w:ilvl w:val="0"/>
          <w:numId w:val="9"/>
        </w:numPr>
        <w:spacing w:line="480" w:lineRule="auto"/>
        <w:jc w:val="both"/>
        <w:rPr>
          <w:rFonts w:cs="Times New Roman"/>
          <w:szCs w:val="24"/>
        </w:rPr>
      </w:pPr>
      <w:r>
        <w:rPr>
          <w:rFonts w:cs="Times New Roman"/>
          <w:szCs w:val="24"/>
        </w:rPr>
        <w:t xml:space="preserve">12 Informes Analíticos de Estado de Ejecución de la Cuenta Recurso Directo (Recursos derivados de las ventas y los servicios que ofrece la </w:t>
      </w:r>
      <w:r>
        <w:rPr>
          <w:rFonts w:cs="Times New Roman"/>
          <w:szCs w:val="24"/>
        </w:rPr>
        <w:lastRenderedPageBreak/>
        <w:t>institución), los cuales tuvieron una ejecución desde el 1ro de diciembre 2018 hasta el 31 de octubre 2019 como se describe a continuación:</w:t>
      </w:r>
    </w:p>
    <w:tbl>
      <w:tblPr>
        <w:tblW w:w="6780" w:type="dxa"/>
        <w:jc w:val="center"/>
        <w:tblCellMar>
          <w:left w:w="70" w:type="dxa"/>
          <w:right w:w="70" w:type="dxa"/>
        </w:tblCellMar>
        <w:tblLook w:val="04A0" w:firstRow="1" w:lastRow="0" w:firstColumn="1" w:lastColumn="0" w:noHBand="0" w:noVBand="1"/>
      </w:tblPr>
      <w:tblGrid>
        <w:gridCol w:w="5093"/>
        <w:gridCol w:w="1820"/>
      </w:tblGrid>
      <w:tr w:rsidR="001C19EC" w:rsidRPr="005D151B" w14:paraId="141CA187" w14:textId="77777777" w:rsidTr="00637245">
        <w:trPr>
          <w:trHeight w:val="315"/>
          <w:jc w:val="center"/>
        </w:trPr>
        <w:tc>
          <w:tcPr>
            <w:tcW w:w="5093" w:type="dxa"/>
            <w:tcBorders>
              <w:top w:val="single" w:sz="8" w:space="0" w:color="auto"/>
              <w:left w:val="single" w:sz="8" w:space="0" w:color="auto"/>
              <w:bottom w:val="single" w:sz="8" w:space="0" w:color="auto"/>
              <w:right w:val="single" w:sz="4" w:space="0" w:color="auto"/>
            </w:tcBorders>
            <w:shd w:val="clear" w:color="4472C4" w:fill="4472C4"/>
            <w:noWrap/>
            <w:vAlign w:val="bottom"/>
            <w:hideMark/>
          </w:tcPr>
          <w:p w14:paraId="3403BEAD"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t xml:space="preserve">Objeto de Gasto </w:t>
            </w:r>
          </w:p>
        </w:tc>
        <w:tc>
          <w:tcPr>
            <w:tcW w:w="1687" w:type="dxa"/>
            <w:tcBorders>
              <w:top w:val="single" w:sz="8" w:space="0" w:color="auto"/>
              <w:left w:val="single" w:sz="4" w:space="0" w:color="auto"/>
              <w:bottom w:val="single" w:sz="8" w:space="0" w:color="auto"/>
              <w:right w:val="single" w:sz="8" w:space="0" w:color="auto"/>
            </w:tcBorders>
            <w:shd w:val="clear" w:color="4472C4" w:fill="4472C4"/>
            <w:noWrap/>
            <w:vAlign w:val="bottom"/>
            <w:hideMark/>
          </w:tcPr>
          <w:p w14:paraId="0EB6C127" w14:textId="77777777" w:rsidR="001C19EC" w:rsidRPr="00691069" w:rsidRDefault="001C19EC" w:rsidP="00637245">
            <w:pPr>
              <w:spacing w:after="0" w:line="480" w:lineRule="auto"/>
              <w:jc w:val="center"/>
              <w:rPr>
                <w:rFonts w:eastAsia="Times New Roman" w:cs="Times New Roman"/>
                <w:b/>
                <w:bCs/>
                <w:color w:val="FFFFFF"/>
                <w:szCs w:val="24"/>
                <w:lang w:eastAsia="es-DO"/>
              </w:rPr>
            </w:pPr>
            <w:r w:rsidRPr="00691069">
              <w:rPr>
                <w:rFonts w:eastAsia="Times New Roman" w:cs="Times New Roman"/>
                <w:b/>
                <w:bCs/>
                <w:color w:val="FFFFFF"/>
                <w:szCs w:val="24"/>
                <w:lang w:eastAsia="es-DO"/>
              </w:rPr>
              <w:t xml:space="preserve"> Valores en RD$</w:t>
            </w:r>
          </w:p>
        </w:tc>
      </w:tr>
      <w:tr w:rsidR="001C19EC" w:rsidRPr="005D151B" w14:paraId="212AAB90" w14:textId="77777777" w:rsidTr="00637245">
        <w:trPr>
          <w:trHeight w:val="300"/>
          <w:jc w:val="center"/>
        </w:trPr>
        <w:tc>
          <w:tcPr>
            <w:tcW w:w="5093" w:type="dxa"/>
            <w:tcBorders>
              <w:top w:val="nil"/>
              <w:left w:val="single" w:sz="8" w:space="0" w:color="auto"/>
              <w:bottom w:val="single" w:sz="4" w:space="0" w:color="auto"/>
              <w:right w:val="single" w:sz="4" w:space="0" w:color="auto"/>
            </w:tcBorders>
            <w:shd w:val="clear" w:color="D9D9D9" w:fill="D9D9D9"/>
            <w:noWrap/>
            <w:vAlign w:val="bottom"/>
            <w:hideMark/>
          </w:tcPr>
          <w:p w14:paraId="296D7FE7"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Remuneraciones y Contribuciones</w:t>
            </w:r>
          </w:p>
        </w:tc>
        <w:tc>
          <w:tcPr>
            <w:tcW w:w="1687" w:type="dxa"/>
            <w:tcBorders>
              <w:top w:val="nil"/>
              <w:left w:val="single" w:sz="4" w:space="0" w:color="auto"/>
              <w:bottom w:val="single" w:sz="4" w:space="0" w:color="auto"/>
              <w:right w:val="single" w:sz="8" w:space="0" w:color="auto"/>
            </w:tcBorders>
            <w:shd w:val="clear" w:color="D9D9D9" w:fill="D9D9D9"/>
            <w:noWrap/>
            <w:vAlign w:val="bottom"/>
            <w:hideMark/>
          </w:tcPr>
          <w:p w14:paraId="68D07BCF"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325,459,035.78</w:t>
            </w:r>
          </w:p>
        </w:tc>
      </w:tr>
      <w:tr w:rsidR="001C19EC" w:rsidRPr="005D151B" w14:paraId="58AB41C2"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047459"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Contratación de Servicios</w:t>
            </w:r>
          </w:p>
        </w:tc>
        <w:tc>
          <w:tcPr>
            <w:tcW w:w="16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F06DA6"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759,230,879.56</w:t>
            </w:r>
          </w:p>
        </w:tc>
      </w:tr>
      <w:tr w:rsidR="001C19EC" w:rsidRPr="005D151B" w14:paraId="30D11448"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3D06A21E"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Materiales y Suministros</w:t>
            </w:r>
          </w:p>
        </w:tc>
        <w:tc>
          <w:tcPr>
            <w:tcW w:w="1687"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42862F4A"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660,502,279.30</w:t>
            </w:r>
          </w:p>
        </w:tc>
      </w:tr>
      <w:tr w:rsidR="001C19EC" w:rsidRPr="005D151B" w14:paraId="2B871307"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03E54C"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Transferencias Corrientes</w:t>
            </w:r>
          </w:p>
        </w:tc>
        <w:tc>
          <w:tcPr>
            <w:tcW w:w="16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08077F8"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48,689,635.63</w:t>
            </w:r>
          </w:p>
        </w:tc>
      </w:tr>
      <w:tr w:rsidR="001C19EC" w:rsidRPr="005D151B" w14:paraId="5F499785"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77F1B447"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Transferencia a Otras Instituciones Públicas</w:t>
            </w:r>
          </w:p>
        </w:tc>
        <w:tc>
          <w:tcPr>
            <w:tcW w:w="1687"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0E9E059A"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78,189,023.79</w:t>
            </w:r>
          </w:p>
        </w:tc>
      </w:tr>
      <w:tr w:rsidR="001C19EC" w:rsidRPr="005D151B" w14:paraId="3B21D347"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46BA76"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Bienes Muebles, Inmuebles e Intangibles</w:t>
            </w:r>
          </w:p>
        </w:tc>
        <w:tc>
          <w:tcPr>
            <w:tcW w:w="16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6BFEFC"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149,037,397.03</w:t>
            </w:r>
          </w:p>
        </w:tc>
      </w:tr>
      <w:tr w:rsidR="001C19EC" w:rsidRPr="005D151B" w14:paraId="40FDA8F0"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1BB31A72"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Obras</w:t>
            </w:r>
          </w:p>
        </w:tc>
        <w:tc>
          <w:tcPr>
            <w:tcW w:w="1687"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410A3E1D"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3,464,640,415.55</w:t>
            </w:r>
          </w:p>
        </w:tc>
      </w:tr>
      <w:tr w:rsidR="001C19EC" w:rsidRPr="005D151B" w14:paraId="22E44BB5"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46E730"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Adquisición de Activos Financieros</w:t>
            </w:r>
          </w:p>
        </w:tc>
        <w:tc>
          <w:tcPr>
            <w:tcW w:w="16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1FFAC5"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0.00</w:t>
            </w:r>
          </w:p>
        </w:tc>
      </w:tr>
      <w:tr w:rsidR="001C19EC" w:rsidRPr="005D151B" w14:paraId="699569CD" w14:textId="77777777" w:rsidTr="00637245">
        <w:trPr>
          <w:trHeight w:val="300"/>
          <w:jc w:val="center"/>
        </w:trPr>
        <w:tc>
          <w:tcPr>
            <w:tcW w:w="5093" w:type="dxa"/>
            <w:tcBorders>
              <w:top w:val="single" w:sz="4" w:space="0" w:color="auto"/>
              <w:left w:val="single" w:sz="8" w:space="0" w:color="auto"/>
              <w:bottom w:val="single" w:sz="4" w:space="0" w:color="auto"/>
              <w:right w:val="single" w:sz="4" w:space="0" w:color="auto"/>
            </w:tcBorders>
            <w:shd w:val="clear" w:color="D9D9D9" w:fill="D9D9D9"/>
            <w:noWrap/>
            <w:vAlign w:val="bottom"/>
            <w:hideMark/>
          </w:tcPr>
          <w:p w14:paraId="2B392710" w14:textId="77777777" w:rsidR="001C19EC" w:rsidRPr="00691069" w:rsidRDefault="001C19EC" w:rsidP="00637245">
            <w:pPr>
              <w:spacing w:after="0" w:line="480" w:lineRule="auto"/>
              <w:rPr>
                <w:rFonts w:eastAsia="Times New Roman" w:cs="Times New Roman"/>
                <w:color w:val="000000"/>
                <w:szCs w:val="24"/>
                <w:lang w:eastAsia="es-DO"/>
              </w:rPr>
            </w:pPr>
            <w:r w:rsidRPr="00691069">
              <w:rPr>
                <w:rFonts w:eastAsia="Times New Roman" w:cs="Times New Roman"/>
                <w:color w:val="000000"/>
                <w:szCs w:val="24"/>
                <w:lang w:eastAsia="es-DO"/>
              </w:rPr>
              <w:t>Transferencias Servicio a Cuenta Única del Tesoro</w:t>
            </w:r>
          </w:p>
        </w:tc>
        <w:tc>
          <w:tcPr>
            <w:tcW w:w="1687" w:type="dxa"/>
            <w:tcBorders>
              <w:top w:val="single" w:sz="4" w:space="0" w:color="auto"/>
              <w:left w:val="single" w:sz="4" w:space="0" w:color="auto"/>
              <w:bottom w:val="single" w:sz="4" w:space="0" w:color="auto"/>
              <w:right w:val="single" w:sz="8" w:space="0" w:color="auto"/>
            </w:tcBorders>
            <w:shd w:val="clear" w:color="D9D9D9" w:fill="D9D9D9"/>
            <w:noWrap/>
            <w:vAlign w:val="bottom"/>
            <w:hideMark/>
          </w:tcPr>
          <w:p w14:paraId="4A9C4F27" w14:textId="77777777" w:rsidR="001C19EC" w:rsidRPr="00691069" w:rsidRDefault="001C19EC" w:rsidP="00637245">
            <w:pPr>
              <w:spacing w:after="0" w:line="480" w:lineRule="auto"/>
              <w:jc w:val="center"/>
              <w:rPr>
                <w:rFonts w:eastAsia="Times New Roman" w:cs="Times New Roman"/>
                <w:color w:val="000000"/>
                <w:szCs w:val="24"/>
                <w:lang w:eastAsia="es-DO"/>
              </w:rPr>
            </w:pPr>
            <w:r w:rsidRPr="00691069">
              <w:rPr>
                <w:rFonts w:eastAsia="Times New Roman" w:cs="Times New Roman"/>
                <w:color w:val="000000"/>
                <w:szCs w:val="24"/>
                <w:lang w:eastAsia="es-DO"/>
              </w:rPr>
              <w:t>786,846,399.41</w:t>
            </w:r>
          </w:p>
        </w:tc>
      </w:tr>
      <w:tr w:rsidR="001C19EC" w:rsidRPr="005D151B" w14:paraId="48BBD19E" w14:textId="77777777" w:rsidTr="00637245">
        <w:trPr>
          <w:trHeight w:val="300"/>
          <w:jc w:val="center"/>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408C720" w14:textId="77777777" w:rsidR="001C19EC" w:rsidRPr="00691069" w:rsidRDefault="001C19EC" w:rsidP="00637245">
            <w:pPr>
              <w:spacing w:after="0" w:line="480" w:lineRule="auto"/>
              <w:jc w:val="right"/>
              <w:rPr>
                <w:rFonts w:eastAsia="Times New Roman" w:cs="Times New Roman"/>
                <w:b/>
                <w:bCs/>
                <w:color w:val="000000"/>
                <w:szCs w:val="24"/>
                <w:lang w:eastAsia="es-DO"/>
              </w:rPr>
            </w:pPr>
            <w:r w:rsidRPr="00691069">
              <w:rPr>
                <w:rFonts w:eastAsia="Times New Roman" w:cs="Times New Roman"/>
                <w:b/>
                <w:bCs/>
                <w:color w:val="000000"/>
                <w:szCs w:val="24"/>
                <w:lang w:eastAsia="es-DO"/>
              </w:rPr>
              <w:t>Total</w:t>
            </w:r>
          </w:p>
        </w:tc>
        <w:tc>
          <w:tcPr>
            <w:tcW w:w="168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FCBCE71" w14:textId="77777777" w:rsidR="001C19EC" w:rsidRPr="00691069" w:rsidRDefault="001C19EC" w:rsidP="00637245">
            <w:pPr>
              <w:spacing w:after="0" w:line="480" w:lineRule="auto"/>
              <w:jc w:val="center"/>
              <w:rPr>
                <w:rFonts w:eastAsia="Times New Roman" w:cs="Times New Roman"/>
                <w:b/>
                <w:bCs/>
                <w:color w:val="000000"/>
                <w:szCs w:val="24"/>
                <w:lang w:eastAsia="es-DO"/>
              </w:rPr>
            </w:pPr>
            <w:r w:rsidRPr="00691069">
              <w:rPr>
                <w:rFonts w:eastAsia="Times New Roman" w:cs="Times New Roman"/>
                <w:b/>
                <w:bCs/>
                <w:color w:val="000000"/>
                <w:szCs w:val="24"/>
                <w:lang w:eastAsia="es-DO"/>
              </w:rPr>
              <w:t>6,272,595,066.05</w:t>
            </w:r>
          </w:p>
        </w:tc>
      </w:tr>
    </w:tbl>
    <w:p w14:paraId="68656AF2" w14:textId="77777777" w:rsidR="001C19EC" w:rsidRDefault="001C19EC" w:rsidP="001C19EC">
      <w:pPr>
        <w:spacing w:line="480" w:lineRule="auto"/>
        <w:jc w:val="both"/>
        <w:rPr>
          <w:rFonts w:cs="Times New Roman"/>
          <w:szCs w:val="24"/>
        </w:rPr>
      </w:pPr>
    </w:p>
    <w:p w14:paraId="15C4A9DF" w14:textId="77777777" w:rsidR="001C19EC" w:rsidRDefault="001C19EC" w:rsidP="00951609">
      <w:pPr>
        <w:pStyle w:val="Prrafodelista"/>
        <w:numPr>
          <w:ilvl w:val="0"/>
          <w:numId w:val="9"/>
        </w:numPr>
        <w:spacing w:line="480" w:lineRule="auto"/>
        <w:jc w:val="both"/>
        <w:rPr>
          <w:rFonts w:cs="Times New Roman"/>
          <w:szCs w:val="24"/>
        </w:rPr>
      </w:pPr>
      <w:r>
        <w:rPr>
          <w:rFonts w:cs="Times New Roman"/>
          <w:szCs w:val="24"/>
        </w:rPr>
        <w:t>12 Informes Analíticos de Disponibilidad Presupuestaria, para mayor control y distribución de los techos presupuestarios.</w:t>
      </w:r>
    </w:p>
    <w:p w14:paraId="34B58F54" w14:textId="77777777" w:rsidR="001C19EC" w:rsidRDefault="001C19EC" w:rsidP="00951609">
      <w:pPr>
        <w:pStyle w:val="Prrafodelista"/>
        <w:numPr>
          <w:ilvl w:val="1"/>
          <w:numId w:val="9"/>
        </w:numPr>
        <w:spacing w:line="480" w:lineRule="auto"/>
        <w:jc w:val="both"/>
        <w:rPr>
          <w:rFonts w:cs="Times New Roman"/>
          <w:szCs w:val="24"/>
        </w:rPr>
      </w:pPr>
      <w:r>
        <w:rPr>
          <w:rFonts w:cs="Times New Roman"/>
          <w:szCs w:val="24"/>
        </w:rPr>
        <w:t>Elaborado y auditado en tiempo oportuno, para ser presentado a la Dirección General de Contabilidad y a la Dirección General de Presupuesto respectivamente.</w:t>
      </w:r>
    </w:p>
    <w:p w14:paraId="34484FA6" w14:textId="77777777" w:rsidR="001C19EC" w:rsidRDefault="001C19EC" w:rsidP="001C19EC">
      <w:pPr>
        <w:spacing w:line="480" w:lineRule="auto"/>
        <w:ind w:left="708"/>
        <w:jc w:val="both"/>
        <w:rPr>
          <w:rFonts w:cs="Times New Roman"/>
          <w:szCs w:val="24"/>
        </w:rPr>
      </w:pPr>
      <w:r>
        <w:rPr>
          <w:rFonts w:cs="Times New Roman"/>
          <w:szCs w:val="24"/>
        </w:rPr>
        <w:t>En ese mismo orden se han elaborado:</w:t>
      </w:r>
    </w:p>
    <w:p w14:paraId="55246DBE" w14:textId="77777777" w:rsidR="001C19EC" w:rsidRDefault="001C19EC" w:rsidP="00951609">
      <w:pPr>
        <w:pStyle w:val="Prrafodelista"/>
        <w:numPr>
          <w:ilvl w:val="0"/>
          <w:numId w:val="9"/>
        </w:numPr>
        <w:spacing w:line="480" w:lineRule="auto"/>
        <w:jc w:val="both"/>
        <w:rPr>
          <w:rFonts w:cs="Times New Roman"/>
          <w:szCs w:val="24"/>
        </w:rPr>
      </w:pPr>
      <w:r>
        <w:rPr>
          <w:rFonts w:cs="Times New Roman"/>
          <w:szCs w:val="24"/>
        </w:rPr>
        <w:t>12 Informes de Programación de Gastos Corrientes, para mejor distribución de los ingresos de acuerdo a las prioridades que se presenten.</w:t>
      </w:r>
    </w:p>
    <w:p w14:paraId="7192F513" w14:textId="77777777" w:rsidR="001C19EC" w:rsidRDefault="001C19EC" w:rsidP="00951609">
      <w:pPr>
        <w:pStyle w:val="Prrafodelista"/>
        <w:numPr>
          <w:ilvl w:val="0"/>
          <w:numId w:val="9"/>
        </w:numPr>
        <w:spacing w:line="480" w:lineRule="auto"/>
        <w:jc w:val="both"/>
        <w:rPr>
          <w:rFonts w:cs="Times New Roman"/>
          <w:szCs w:val="24"/>
        </w:rPr>
      </w:pPr>
      <w:r>
        <w:rPr>
          <w:rFonts w:cs="Times New Roman"/>
          <w:szCs w:val="24"/>
        </w:rPr>
        <w:t xml:space="preserve">1 Informe de Cierre de Ejercicio en el año 2018, dando cumplimiento a la circular No. 04-2017 y lo establecido en la Ley No. 126-01 de Creación de </w:t>
      </w:r>
      <w:r>
        <w:rPr>
          <w:rFonts w:cs="Times New Roman"/>
          <w:szCs w:val="24"/>
        </w:rPr>
        <w:lastRenderedPageBreak/>
        <w:t>la Dirección General de Contabilidad Gubernamental en sus párrafos 1, 4 y 8 donde establece las disposiciones en la obligatoriedad del cierre de cada ejercicio fiscal de las instituciones gubernamentales.</w:t>
      </w:r>
    </w:p>
    <w:p w14:paraId="2DD0DF0D" w14:textId="77777777" w:rsidR="001C19EC" w:rsidRDefault="001C19EC" w:rsidP="00951609">
      <w:pPr>
        <w:pStyle w:val="Prrafodelista"/>
        <w:numPr>
          <w:ilvl w:val="0"/>
          <w:numId w:val="9"/>
        </w:numPr>
        <w:spacing w:line="480" w:lineRule="auto"/>
        <w:jc w:val="both"/>
        <w:rPr>
          <w:rFonts w:cs="Times New Roman"/>
          <w:szCs w:val="24"/>
        </w:rPr>
      </w:pPr>
      <w:r>
        <w:rPr>
          <w:rFonts w:cs="Times New Roman"/>
          <w:szCs w:val="24"/>
        </w:rPr>
        <w:t>1 Informe de Corte del Semestre al 30 de junio 2019, dando cumplimiento a la circular No.01-2018 y lo establecido en la Ley No. 126-01 de Creación de la Dirección General de Contabilidad Gubernamental.</w:t>
      </w:r>
    </w:p>
    <w:p w14:paraId="4109C705" w14:textId="77777777" w:rsidR="001C19EC" w:rsidRPr="005E50B3" w:rsidRDefault="001C19EC" w:rsidP="001C19EC">
      <w:pPr>
        <w:spacing w:line="480" w:lineRule="auto"/>
        <w:ind w:firstLine="284"/>
        <w:jc w:val="both"/>
        <w:rPr>
          <w:rFonts w:cs="Times New Roman"/>
          <w:b/>
          <w:szCs w:val="24"/>
        </w:rPr>
      </w:pPr>
      <w:r>
        <w:rPr>
          <w:rFonts w:cs="Times New Roman"/>
          <w:szCs w:val="24"/>
        </w:rPr>
        <w:t>Por otro lado fueron recibidas, analizadas y tramitadas 663 ejecuciones presupuestarias, procedentes de las 36 Procuradurías Fiscales, 11 Cortes de Apelación, Modelo de Gestión Penitenciaria, Instituto Nacional de Ciencias Forenses (INACIF), Dirección Nacional de Niños, Niñas y Adolescentes (NNA) y la Escuela Nacional del Ministerio Público.</w:t>
      </w:r>
    </w:p>
    <w:p w14:paraId="2F24E7BB" w14:textId="77777777" w:rsidR="001C19EC" w:rsidRPr="00520032" w:rsidRDefault="001C19EC" w:rsidP="00520032">
      <w:pPr>
        <w:pStyle w:val="Estilo7"/>
        <w:rPr>
          <w:sz w:val="24"/>
          <w:szCs w:val="24"/>
        </w:rPr>
      </w:pPr>
      <w:bookmarkStart w:id="75" w:name="_Toc29577334"/>
      <w:bookmarkStart w:id="76" w:name="_Toc29891715"/>
      <w:r w:rsidRPr="00616A96">
        <w:t>P</w:t>
      </w:r>
      <w:r w:rsidRPr="00027D59">
        <w:t>R</w:t>
      </w:r>
      <w:r>
        <w:t>OYECCIONES</w:t>
      </w:r>
      <w:bookmarkEnd w:id="75"/>
      <w:bookmarkEnd w:id="76"/>
    </w:p>
    <w:p w14:paraId="75EE89C8" w14:textId="77777777" w:rsidR="00520032" w:rsidRPr="00473156" w:rsidRDefault="00520032" w:rsidP="00520032">
      <w:pPr>
        <w:pStyle w:val="Estilo7"/>
        <w:numPr>
          <w:ilvl w:val="0"/>
          <w:numId w:val="0"/>
        </w:numPr>
        <w:ind w:left="900"/>
        <w:rPr>
          <w:sz w:val="24"/>
          <w:szCs w:val="24"/>
        </w:rPr>
      </w:pPr>
    </w:p>
    <w:p w14:paraId="35DAAD67" w14:textId="77777777" w:rsidR="001C19EC" w:rsidRDefault="001C19EC" w:rsidP="001C19EC">
      <w:pPr>
        <w:spacing w:line="480" w:lineRule="auto"/>
        <w:ind w:firstLine="708"/>
        <w:jc w:val="both"/>
        <w:rPr>
          <w:rFonts w:cs="Times New Roman"/>
          <w:szCs w:val="24"/>
        </w:rPr>
      </w:pPr>
      <w:r>
        <w:rPr>
          <w:rFonts w:cs="Times New Roman"/>
          <w:szCs w:val="24"/>
        </w:rPr>
        <w:t>La Procuraduría General de la República (PGR) en el 2020 seguirá actuando apegada a la Constitución y las leyes, previniendo y combatiendo el crimen en todas sus manifestaciones, a fin de garantizar seguridad al pueblo dominicano. Entre las principales proyecciones para el futuro inmediato se encuentran las siguientes:</w:t>
      </w:r>
    </w:p>
    <w:p w14:paraId="213B124D" w14:textId="50BC0D96"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 xml:space="preserve">Continuar la ejecución del Plan de Humanización del Sistema Penitenciario. En este sentido, para el año 2020 se proyecta un aumento importante en la capacidad instalada del sistema penitenciario, como resultado de las ampliaciones de los Centros Correccionales de Najayo Mujeres, Najayo Hombres, Najayo Sancristobalense, Dajabón, Puerto Plata, San Pedro de Macorís y Rafey Hombres, y la conclusión de las obras civiles del Centro Penitenciario Preventivo de la Nueva Victoria y el Centro Correccional  de San Juan, con lo que la capacidad del </w:t>
      </w:r>
      <w:r w:rsidRPr="00F01526">
        <w:rPr>
          <w:rFonts w:cs="Times New Roman"/>
          <w:szCs w:val="24"/>
        </w:rPr>
        <w:lastRenderedPageBreak/>
        <w:t>Sistema Penitenciario aumentaría</w:t>
      </w:r>
      <w:r w:rsidR="008171A4">
        <w:rPr>
          <w:rFonts w:cs="Times New Roman"/>
          <w:szCs w:val="24"/>
        </w:rPr>
        <w:t xml:space="preserve"> de </w:t>
      </w:r>
      <w:r w:rsidR="004C6F62" w:rsidRPr="00A62E94">
        <w:rPr>
          <w:rFonts w:cs="Times New Roman"/>
          <w:szCs w:val="24"/>
        </w:rPr>
        <w:t>menos de 15,000 espacios</w:t>
      </w:r>
      <w:r w:rsidRPr="004C6F62">
        <w:rPr>
          <w:rFonts w:cs="Times New Roman"/>
          <w:szCs w:val="24"/>
        </w:rPr>
        <w:t xml:space="preserve"> a 26,849</w:t>
      </w:r>
      <w:r w:rsidRPr="00F01526">
        <w:rPr>
          <w:rFonts w:cs="Times New Roman"/>
          <w:szCs w:val="24"/>
        </w:rPr>
        <w:t xml:space="preserve"> espacios para privados de libertad.</w:t>
      </w:r>
    </w:p>
    <w:p w14:paraId="7239CB31" w14:textId="77777777"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 xml:space="preserve">Incrementar los niveles de auto-sostenimiento del Modelo de Gestión Penitenciaria. </w:t>
      </w:r>
    </w:p>
    <w:p w14:paraId="2E3511FC" w14:textId="77777777"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Aumentar en No. Agentes de Vigilancia y Tr</w:t>
      </w:r>
      <w:r>
        <w:rPr>
          <w:rFonts w:cs="Times New Roman"/>
          <w:szCs w:val="24"/>
        </w:rPr>
        <w:t xml:space="preserve">atamiento Penitenciario (VTP): </w:t>
      </w:r>
      <w:r w:rsidRPr="00F01526">
        <w:rPr>
          <w:rFonts w:cs="Times New Roman"/>
          <w:szCs w:val="24"/>
        </w:rPr>
        <w:t>continuar con la formación de 1,050 Agentes de Vigilancia y Tratamiento Penitenciario (VTP) para el Modelo de Gestión Penitenciaria (MGP).</w:t>
      </w:r>
    </w:p>
    <w:p w14:paraId="44FFBBB3" w14:textId="77777777"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Seguir avanzando en la implementación del Plan Nacional contra la Violencia de Género: trabajando en la construcción de 2 nuevos Centros Regionales de Sobrevivientes de Violencia, en las regiones Norte y Este de la República Dominicana y la inauguración de nuevas Unidades de Atención Integral a Víctimas de Violencia de Género, Intrafamiliar y Delitos Sexuales (UGV).</w:t>
      </w:r>
    </w:p>
    <w:p w14:paraId="21D0A2FD"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Continuar el proyecto de cooperación AC1/Crime para el “Fortalecimiento de la investigación criminal en países del SICA’’: Incluyendo el INACIF en la agenda de trabajo para los resultados inmediatos R3 (tercer ruido cardiaco) y R4</w:t>
      </w:r>
      <w:r w:rsidRPr="00F01526">
        <w:rPr>
          <w:rFonts w:cs="Times New Roman"/>
          <w:szCs w:val="24"/>
          <w:lang w:val="es-ES"/>
        </w:rPr>
        <w:t xml:space="preserve"> (cuarto ruido cardiaco)</w:t>
      </w:r>
      <w:r w:rsidRPr="00F01526">
        <w:rPr>
          <w:rFonts w:cs="Times New Roman"/>
          <w:szCs w:val="24"/>
        </w:rPr>
        <w:t>, que incluyen a los institutos forenses de los países del SICA.</w:t>
      </w:r>
    </w:p>
    <w:p w14:paraId="5C097908"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Iniciar la recolección de datos mediante el Nuevo Sistema de Casos y Expedientes del Ministerio Público (SICEMP): en tal sentido, visualizamos la obtención de una data más robusta para la toma de decisiones oportuna.</w:t>
      </w:r>
    </w:p>
    <w:p w14:paraId="72751FCA" w14:textId="77777777"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Lanzamiento del Sistema Digital de la Unidad de Protección Animal: para seguir avanzando en la persecución de los delitos del maltrato animal y la tenencia irresponsable donde se incluirá un portal de denuncias para eficientizar la comunicación con los grupos de interés, medir las estadísticas y lograr un mejor cumplimiento de la Ley No. 248.12 sobre la Protección Animal y Tenencia Responsable.</w:t>
      </w:r>
    </w:p>
    <w:p w14:paraId="12517A34" w14:textId="77777777" w:rsidR="001C19EC" w:rsidRPr="00F95F21" w:rsidRDefault="001C19EC" w:rsidP="00951609">
      <w:pPr>
        <w:pStyle w:val="Prrafodelista"/>
        <w:numPr>
          <w:ilvl w:val="0"/>
          <w:numId w:val="5"/>
        </w:numPr>
        <w:spacing w:line="480" w:lineRule="auto"/>
        <w:jc w:val="both"/>
        <w:rPr>
          <w:rFonts w:cs="Times New Roman"/>
          <w:szCs w:val="24"/>
        </w:rPr>
      </w:pPr>
      <w:r w:rsidRPr="00F95F21">
        <w:rPr>
          <w:rFonts w:cs="Times New Roman"/>
          <w:szCs w:val="24"/>
        </w:rPr>
        <w:lastRenderedPageBreak/>
        <w:t>Iniciar con la segunda fase del Proyecto de Salud Mental para las personas privadas de libertad.</w:t>
      </w:r>
    </w:p>
    <w:p w14:paraId="5AC9CD11" w14:textId="34DA894F" w:rsidR="001C19EC" w:rsidRPr="00F95F21" w:rsidRDefault="001C19EC" w:rsidP="00951609">
      <w:pPr>
        <w:pStyle w:val="Prrafodelista"/>
        <w:numPr>
          <w:ilvl w:val="0"/>
          <w:numId w:val="5"/>
        </w:numPr>
        <w:spacing w:line="480" w:lineRule="auto"/>
        <w:jc w:val="both"/>
        <w:rPr>
          <w:rFonts w:cs="Times New Roman"/>
          <w:szCs w:val="24"/>
        </w:rPr>
      </w:pPr>
      <w:r w:rsidRPr="00F95F21">
        <w:rPr>
          <w:rFonts w:cs="Times New Roman"/>
          <w:szCs w:val="24"/>
        </w:rPr>
        <w:t>Dar a conocer por medio del Plan de Comunicación los servicios que se ofrecen en el Departamento de Atención a Víctimas y Centro de Atención a NNA y Familia</w:t>
      </w:r>
      <w:r w:rsidR="00F95F21" w:rsidRPr="00F95F21">
        <w:rPr>
          <w:rFonts w:cs="Times New Roman"/>
          <w:szCs w:val="24"/>
        </w:rPr>
        <w:t xml:space="preserve"> a nivel nacional.</w:t>
      </w:r>
    </w:p>
    <w:p w14:paraId="0ACCFD84" w14:textId="4D537FD0"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Acondicionamiento y mejora de la estruc</w:t>
      </w:r>
      <w:r w:rsidR="0085157C">
        <w:rPr>
          <w:rFonts w:cs="Times New Roman"/>
          <w:szCs w:val="24"/>
        </w:rPr>
        <w:t xml:space="preserve">tura física de los </w:t>
      </w:r>
      <w:r w:rsidRPr="00F01526">
        <w:rPr>
          <w:rFonts w:cs="Times New Roman"/>
          <w:szCs w:val="24"/>
        </w:rPr>
        <w:t>Centro</w:t>
      </w:r>
      <w:r w:rsidR="0085157C">
        <w:rPr>
          <w:rFonts w:cs="Times New Roman"/>
          <w:szCs w:val="24"/>
        </w:rPr>
        <w:t>s</w:t>
      </w:r>
      <w:r w:rsidRPr="00F01526">
        <w:rPr>
          <w:rFonts w:cs="Times New Roman"/>
          <w:szCs w:val="24"/>
        </w:rPr>
        <w:t xml:space="preserve"> de Atención a Niños, Niñas, Adolescentes y Familia</w:t>
      </w:r>
      <w:r w:rsidR="008171A4">
        <w:rPr>
          <w:rFonts w:cs="Times New Roman"/>
          <w:szCs w:val="24"/>
        </w:rPr>
        <w:t xml:space="preserve"> ubicado</w:t>
      </w:r>
      <w:r w:rsidR="0085157C">
        <w:rPr>
          <w:rFonts w:cs="Times New Roman"/>
          <w:szCs w:val="24"/>
        </w:rPr>
        <w:t>s a nivel nacional.</w:t>
      </w:r>
      <w:r w:rsidR="008171A4">
        <w:rPr>
          <w:rFonts w:cs="Times New Roman"/>
          <w:szCs w:val="24"/>
        </w:rPr>
        <w:t xml:space="preserve"> </w:t>
      </w:r>
    </w:p>
    <w:p w14:paraId="7526597D" w14:textId="7E4C783F" w:rsidR="001C19EC" w:rsidRPr="00F01526" w:rsidRDefault="0038058D" w:rsidP="00951609">
      <w:pPr>
        <w:pStyle w:val="Prrafodelista"/>
        <w:numPr>
          <w:ilvl w:val="0"/>
          <w:numId w:val="5"/>
        </w:numPr>
        <w:spacing w:line="480" w:lineRule="auto"/>
        <w:jc w:val="both"/>
        <w:rPr>
          <w:rFonts w:cs="Times New Roman"/>
          <w:szCs w:val="24"/>
        </w:rPr>
      </w:pPr>
      <w:r>
        <w:rPr>
          <w:rFonts w:cs="Times New Roman"/>
          <w:szCs w:val="24"/>
        </w:rPr>
        <w:t>Educación continua para 3,251</w:t>
      </w:r>
      <w:r w:rsidR="001C19EC" w:rsidRPr="00F01526">
        <w:rPr>
          <w:rFonts w:cs="Times New Roman"/>
          <w:szCs w:val="24"/>
        </w:rPr>
        <w:t xml:space="preserve"> empleados (capacitaciones en diferentes actividades, diplomados, cursos especializados, talleres, conferencias y charlas), tanto en la Escuela Nacional del Ministerio Público como en la Escuela Nacional Penitenciaria.</w:t>
      </w:r>
    </w:p>
    <w:p w14:paraId="5B43F483" w14:textId="77777777" w:rsidR="001C19EC"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Establecimiento de sedes regionales para la implementación de programas de cuarto nivel (Maestrías Especializadas) en los Distritos de: Santiago de los Caballeros, Puerto Plata, San Francisco de Macorís, La Romana, Montecristi, Barahona, La Vega y San Juan de la Maguana.</w:t>
      </w:r>
    </w:p>
    <w:p w14:paraId="59083934" w14:textId="77777777" w:rsidR="001C19EC" w:rsidRPr="00027D59"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Socializar el Manual de Cargos de la Institución aprobado por el Ministerio de Administración Pública (MAP).</w:t>
      </w:r>
    </w:p>
    <w:p w14:paraId="2B876425" w14:textId="77777777" w:rsidR="001C19EC"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Promover la transparencia y el empoderamiento de los ciudadanos participando en el Portal de Concurso Públicos avalados por el Ministerio de Administración Pública (MAP).</w:t>
      </w:r>
    </w:p>
    <w:p w14:paraId="0419BAA2"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Dar continuidad a la Integración de Bancos a la plataforma de pagos de Multas, el cual consiste en habilitar el pago de multas en las ventanillas de las instituciones bancarias junto con el proceso de expendio del marbete.</w:t>
      </w:r>
    </w:p>
    <w:p w14:paraId="6A198E7F"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 xml:space="preserve">Implementación de las NORTIC A6 (Norma Sobre el Desarrollo y Gestión del Software en el Estado Dominicano), la NORTIC A7 (Norma para la Seguridad de </w:t>
      </w:r>
      <w:r w:rsidRPr="00F01526">
        <w:rPr>
          <w:rFonts w:cs="Times New Roman"/>
          <w:szCs w:val="24"/>
        </w:rPr>
        <w:lastRenderedPageBreak/>
        <w:t>las Tecnologías de la Información y Comunicación en el Estado Dominicano) y la NORTIC B2 (Norma sobre Accesibilidad Web del Estado Dominicano).</w:t>
      </w:r>
    </w:p>
    <w:p w14:paraId="717CA06F"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Automatización y actualización de la Big Data (Datos Masivos).</w:t>
      </w:r>
    </w:p>
    <w:p w14:paraId="5523BDA8" w14:textId="77777777" w:rsidR="001C19EC" w:rsidRPr="00F01526" w:rsidRDefault="001C19EC" w:rsidP="00951609">
      <w:pPr>
        <w:pStyle w:val="Prrafodelista"/>
        <w:numPr>
          <w:ilvl w:val="0"/>
          <w:numId w:val="5"/>
        </w:numPr>
        <w:spacing w:line="480" w:lineRule="auto"/>
        <w:jc w:val="both"/>
        <w:rPr>
          <w:rFonts w:cs="Times New Roman"/>
          <w:szCs w:val="24"/>
        </w:rPr>
      </w:pPr>
      <w:r w:rsidRPr="00F01526">
        <w:rPr>
          <w:rFonts w:cs="Times New Roman"/>
          <w:szCs w:val="24"/>
        </w:rPr>
        <w:t>Verificación en línea por medio de un sistema de información los pagos de compras, bienes y servicios, así como las diversas reposiciones de fondos a través de sus objétales.</w:t>
      </w:r>
    </w:p>
    <w:p w14:paraId="572FAF45" w14:textId="77777777" w:rsidR="001C19EC" w:rsidRPr="000902AA" w:rsidRDefault="001C19EC" w:rsidP="001C19EC">
      <w:pPr>
        <w:spacing w:line="480" w:lineRule="auto"/>
        <w:ind w:left="360"/>
        <w:jc w:val="both"/>
        <w:rPr>
          <w:rFonts w:cs="Times New Roman"/>
          <w:szCs w:val="24"/>
        </w:rPr>
      </w:pPr>
    </w:p>
    <w:p w14:paraId="64358907" w14:textId="77777777" w:rsidR="001C19EC" w:rsidRPr="000902AA" w:rsidRDefault="001C19EC" w:rsidP="001C19EC"/>
    <w:sectPr w:rsidR="001C19EC" w:rsidRPr="000902AA" w:rsidSect="00ED7216">
      <w:footerReference w:type="default" r:id="rId1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D6E4" w14:textId="77777777" w:rsidR="00522571" w:rsidRDefault="00522571" w:rsidP="00BE1BB4">
      <w:pPr>
        <w:spacing w:after="0" w:line="240" w:lineRule="auto"/>
      </w:pPr>
      <w:r>
        <w:separator/>
      </w:r>
    </w:p>
  </w:endnote>
  <w:endnote w:type="continuationSeparator" w:id="0">
    <w:p w14:paraId="3045C8B1" w14:textId="77777777" w:rsidR="00522571" w:rsidRDefault="00522571" w:rsidP="00B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FrizQuadrata BT">
    <w:altName w:val="FrizQuadrata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V Boli">
    <w:panose1 w:val="02000500030200090000"/>
    <w:charset w:val="00"/>
    <w:family w:val="auto"/>
    <w:pitch w:val="variable"/>
    <w:sig w:usb0="00000003" w:usb1="00000000" w:usb2="000001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5C4A" w14:textId="77777777" w:rsidR="0038058D" w:rsidRDefault="0038058D">
    <w:pPr>
      <w:pStyle w:val="Piedepgina"/>
      <w:jc w:val="right"/>
    </w:pPr>
  </w:p>
  <w:p w14:paraId="20EE4D83" w14:textId="77777777" w:rsidR="0038058D" w:rsidRDefault="003805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09773"/>
      <w:docPartObj>
        <w:docPartGallery w:val="Page Numbers (Bottom of Page)"/>
        <w:docPartUnique/>
      </w:docPartObj>
    </w:sdtPr>
    <w:sdtContent>
      <w:p w14:paraId="04A0F754" w14:textId="77777777" w:rsidR="0038058D" w:rsidRDefault="0038058D">
        <w:pPr>
          <w:pStyle w:val="Piedepgina"/>
          <w:jc w:val="right"/>
        </w:pPr>
        <w:r>
          <w:fldChar w:fldCharType="begin"/>
        </w:r>
        <w:r>
          <w:instrText>PAGE   \* MERGEFORMAT</w:instrText>
        </w:r>
        <w:r>
          <w:fldChar w:fldCharType="separate"/>
        </w:r>
        <w:r w:rsidR="00502D8F" w:rsidRPr="00502D8F">
          <w:rPr>
            <w:noProof/>
            <w:lang w:val="es-ES"/>
          </w:rPr>
          <w:t>1</w:t>
        </w:r>
        <w:r>
          <w:fldChar w:fldCharType="end"/>
        </w:r>
      </w:p>
    </w:sdtContent>
  </w:sdt>
  <w:p w14:paraId="2E3CFA34" w14:textId="77777777" w:rsidR="0038058D" w:rsidRDefault="00380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F085A" w14:textId="77777777" w:rsidR="00522571" w:rsidRDefault="00522571" w:rsidP="00BE1BB4">
      <w:pPr>
        <w:spacing w:after="0" w:line="240" w:lineRule="auto"/>
      </w:pPr>
      <w:r>
        <w:separator/>
      </w:r>
    </w:p>
  </w:footnote>
  <w:footnote w:type="continuationSeparator" w:id="0">
    <w:p w14:paraId="332EA01B" w14:textId="77777777" w:rsidR="00522571" w:rsidRDefault="00522571" w:rsidP="00BE1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16"/>
    <w:multiLevelType w:val="hybridMultilevel"/>
    <w:tmpl w:val="FB36E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136C"/>
    <w:multiLevelType w:val="hybridMultilevel"/>
    <w:tmpl w:val="B192D590"/>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 w15:restartNumberingAfterBreak="0">
    <w:nsid w:val="06900202"/>
    <w:multiLevelType w:val="hybridMultilevel"/>
    <w:tmpl w:val="B76C2D96"/>
    <w:lvl w:ilvl="0" w:tplc="0CC2C596">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D6698B"/>
    <w:multiLevelType w:val="hybridMultilevel"/>
    <w:tmpl w:val="2CC8841C"/>
    <w:lvl w:ilvl="0" w:tplc="532ADCB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74A49E6"/>
    <w:multiLevelType w:val="hybridMultilevel"/>
    <w:tmpl w:val="D4566C92"/>
    <w:lvl w:ilvl="0" w:tplc="1C0A0001">
      <w:start w:val="1"/>
      <w:numFmt w:val="bullet"/>
      <w:lvlText w:val=""/>
      <w:lvlJc w:val="left"/>
      <w:pPr>
        <w:ind w:left="1426" w:hanging="360"/>
      </w:pPr>
      <w:rPr>
        <w:rFonts w:ascii="Symbol" w:hAnsi="Symbol" w:hint="default"/>
      </w:rPr>
    </w:lvl>
    <w:lvl w:ilvl="1" w:tplc="1C0A0003">
      <w:start w:val="1"/>
      <w:numFmt w:val="bullet"/>
      <w:lvlText w:val="o"/>
      <w:lvlJc w:val="left"/>
      <w:pPr>
        <w:ind w:left="2146" w:hanging="360"/>
      </w:pPr>
      <w:rPr>
        <w:rFonts w:ascii="Courier New" w:hAnsi="Courier New" w:cs="Courier New" w:hint="default"/>
      </w:rPr>
    </w:lvl>
    <w:lvl w:ilvl="2" w:tplc="1C0A0005" w:tentative="1">
      <w:start w:val="1"/>
      <w:numFmt w:val="bullet"/>
      <w:lvlText w:val=""/>
      <w:lvlJc w:val="left"/>
      <w:pPr>
        <w:ind w:left="2866" w:hanging="360"/>
      </w:pPr>
      <w:rPr>
        <w:rFonts w:ascii="Wingdings" w:hAnsi="Wingdings" w:hint="default"/>
      </w:rPr>
    </w:lvl>
    <w:lvl w:ilvl="3" w:tplc="1C0A0001" w:tentative="1">
      <w:start w:val="1"/>
      <w:numFmt w:val="bullet"/>
      <w:lvlText w:val=""/>
      <w:lvlJc w:val="left"/>
      <w:pPr>
        <w:ind w:left="3586" w:hanging="360"/>
      </w:pPr>
      <w:rPr>
        <w:rFonts w:ascii="Symbol" w:hAnsi="Symbol" w:hint="default"/>
      </w:rPr>
    </w:lvl>
    <w:lvl w:ilvl="4" w:tplc="1C0A0003" w:tentative="1">
      <w:start w:val="1"/>
      <w:numFmt w:val="bullet"/>
      <w:lvlText w:val="o"/>
      <w:lvlJc w:val="left"/>
      <w:pPr>
        <w:ind w:left="4306" w:hanging="360"/>
      </w:pPr>
      <w:rPr>
        <w:rFonts w:ascii="Courier New" w:hAnsi="Courier New" w:cs="Courier New" w:hint="default"/>
      </w:rPr>
    </w:lvl>
    <w:lvl w:ilvl="5" w:tplc="1C0A0005" w:tentative="1">
      <w:start w:val="1"/>
      <w:numFmt w:val="bullet"/>
      <w:lvlText w:val=""/>
      <w:lvlJc w:val="left"/>
      <w:pPr>
        <w:ind w:left="5026" w:hanging="360"/>
      </w:pPr>
      <w:rPr>
        <w:rFonts w:ascii="Wingdings" w:hAnsi="Wingdings" w:hint="default"/>
      </w:rPr>
    </w:lvl>
    <w:lvl w:ilvl="6" w:tplc="1C0A0001" w:tentative="1">
      <w:start w:val="1"/>
      <w:numFmt w:val="bullet"/>
      <w:lvlText w:val=""/>
      <w:lvlJc w:val="left"/>
      <w:pPr>
        <w:ind w:left="5746" w:hanging="360"/>
      </w:pPr>
      <w:rPr>
        <w:rFonts w:ascii="Symbol" w:hAnsi="Symbol" w:hint="default"/>
      </w:rPr>
    </w:lvl>
    <w:lvl w:ilvl="7" w:tplc="1C0A0003" w:tentative="1">
      <w:start w:val="1"/>
      <w:numFmt w:val="bullet"/>
      <w:lvlText w:val="o"/>
      <w:lvlJc w:val="left"/>
      <w:pPr>
        <w:ind w:left="6466" w:hanging="360"/>
      </w:pPr>
      <w:rPr>
        <w:rFonts w:ascii="Courier New" w:hAnsi="Courier New" w:cs="Courier New" w:hint="default"/>
      </w:rPr>
    </w:lvl>
    <w:lvl w:ilvl="8" w:tplc="1C0A0005" w:tentative="1">
      <w:start w:val="1"/>
      <w:numFmt w:val="bullet"/>
      <w:lvlText w:val=""/>
      <w:lvlJc w:val="left"/>
      <w:pPr>
        <w:ind w:left="7186" w:hanging="360"/>
      </w:pPr>
      <w:rPr>
        <w:rFonts w:ascii="Wingdings" w:hAnsi="Wingdings" w:hint="default"/>
      </w:rPr>
    </w:lvl>
  </w:abstractNum>
  <w:abstractNum w:abstractNumId="5" w15:restartNumberingAfterBreak="0">
    <w:nsid w:val="11DE2019"/>
    <w:multiLevelType w:val="hybridMultilevel"/>
    <w:tmpl w:val="27F68DA6"/>
    <w:lvl w:ilvl="0" w:tplc="1C0A0001">
      <w:start w:val="1"/>
      <w:numFmt w:val="bullet"/>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6" w15:restartNumberingAfterBreak="0">
    <w:nsid w:val="125449CE"/>
    <w:multiLevelType w:val="hybridMultilevel"/>
    <w:tmpl w:val="4AF871AC"/>
    <w:lvl w:ilvl="0" w:tplc="1C0A0001">
      <w:start w:val="1"/>
      <w:numFmt w:val="bullet"/>
      <w:lvlText w:val=""/>
      <w:lvlJc w:val="left"/>
      <w:pPr>
        <w:ind w:left="1428" w:hanging="360"/>
      </w:pPr>
      <w:rPr>
        <w:rFonts w:ascii="Symbol" w:hAnsi="Symbol" w:hint="default"/>
      </w:rPr>
    </w:lvl>
    <w:lvl w:ilvl="1" w:tplc="1C0A0003">
      <w:start w:val="1"/>
      <w:numFmt w:val="bullet"/>
      <w:lvlText w:val="o"/>
      <w:lvlJc w:val="left"/>
      <w:pPr>
        <w:ind w:left="360"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7" w15:restartNumberingAfterBreak="0">
    <w:nsid w:val="16376D13"/>
    <w:multiLevelType w:val="hybridMultilevel"/>
    <w:tmpl w:val="7416D94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1A223A61"/>
    <w:multiLevelType w:val="hybridMultilevel"/>
    <w:tmpl w:val="A49EC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EC07FE"/>
    <w:multiLevelType w:val="hybridMultilevel"/>
    <w:tmpl w:val="5FE6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3767D"/>
    <w:multiLevelType w:val="hybridMultilevel"/>
    <w:tmpl w:val="B8CAC3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1F5661B2"/>
    <w:multiLevelType w:val="multilevel"/>
    <w:tmpl w:val="1C0A001F"/>
    <w:styleLink w:val="Estilo1"/>
    <w:lvl w:ilvl="0">
      <w:start w:val="1"/>
      <w:numFmt w:val="decimal"/>
      <w:lvlText w:val="%1."/>
      <w:lvlJc w:val="left"/>
      <w:pPr>
        <w:ind w:left="360" w:hanging="360"/>
      </w:pPr>
      <w:rPr>
        <w:rFonts w:hint="default"/>
        <w:vanish/>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5601C2"/>
    <w:multiLevelType w:val="hybridMultilevel"/>
    <w:tmpl w:val="398AE42A"/>
    <w:lvl w:ilvl="0" w:tplc="442E16C8">
      <w:start w:val="7"/>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0A6B5A"/>
    <w:multiLevelType w:val="hybridMultilevel"/>
    <w:tmpl w:val="28DE1B94"/>
    <w:lvl w:ilvl="0" w:tplc="29C49E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875D8E"/>
    <w:multiLevelType w:val="hybridMultilevel"/>
    <w:tmpl w:val="9AE027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A664E"/>
    <w:multiLevelType w:val="hybridMultilevel"/>
    <w:tmpl w:val="F1FE5E9E"/>
    <w:lvl w:ilvl="0" w:tplc="758E66A6">
      <w:start w:val="5"/>
      <w:numFmt w:val="lowerRoman"/>
      <w:lvlText w:val="%1."/>
      <w:lvlJc w:val="right"/>
      <w:pPr>
        <w:ind w:left="23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2A23F6"/>
    <w:multiLevelType w:val="hybridMultilevel"/>
    <w:tmpl w:val="A7A04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765CD8"/>
    <w:multiLevelType w:val="hybridMultilevel"/>
    <w:tmpl w:val="14D8E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3E3F64"/>
    <w:multiLevelType w:val="hybridMultilevel"/>
    <w:tmpl w:val="99C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57D4"/>
    <w:multiLevelType w:val="hybridMultilevel"/>
    <w:tmpl w:val="BD003C48"/>
    <w:lvl w:ilvl="0" w:tplc="09FED0A4">
      <w:start w:val="1"/>
      <w:numFmt w:val="decimal"/>
      <w:lvlText w:val="%1."/>
      <w:lvlJc w:val="left"/>
      <w:pPr>
        <w:ind w:left="1068" w:hanging="360"/>
      </w:pPr>
      <w:rPr>
        <w:rFonts w:ascii="Times New Roman" w:eastAsiaTheme="minorHAnsi" w:hAnsi="Times New Roman" w:cs="Times New Roman"/>
        <w:b/>
      </w:r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0" w15:restartNumberingAfterBreak="0">
    <w:nsid w:val="416448ED"/>
    <w:multiLevelType w:val="hybridMultilevel"/>
    <w:tmpl w:val="EB0244EE"/>
    <w:lvl w:ilvl="0" w:tplc="66E61DD2">
      <w:start w:val="6"/>
      <w:numFmt w:val="lowerLetter"/>
      <w:lvlText w:val="%1."/>
      <w:lvlJc w:val="left"/>
      <w:pPr>
        <w:ind w:left="16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9741B9"/>
    <w:multiLevelType w:val="hybridMultilevel"/>
    <w:tmpl w:val="6676518A"/>
    <w:lvl w:ilvl="0" w:tplc="1E04D890">
      <w:start w:val="1"/>
      <w:numFmt w:val="upperRoman"/>
      <w:pStyle w:val="Estilo7"/>
      <w:lvlText w:val="%1."/>
      <w:lvlJc w:val="right"/>
      <w:pPr>
        <w:ind w:left="900" w:hanging="360"/>
      </w:pPr>
    </w:lvl>
    <w:lvl w:ilvl="1" w:tplc="1C0A0019">
      <w:start w:val="1"/>
      <w:numFmt w:val="lowerLetter"/>
      <w:lvlText w:val="%2."/>
      <w:lvlJc w:val="left"/>
      <w:pPr>
        <w:ind w:left="1620" w:hanging="360"/>
      </w:pPr>
    </w:lvl>
    <w:lvl w:ilvl="2" w:tplc="1C0A001B">
      <w:start w:val="1"/>
      <w:numFmt w:val="lowerRoman"/>
      <w:lvlText w:val="%3."/>
      <w:lvlJc w:val="right"/>
      <w:pPr>
        <w:ind w:left="2340" w:hanging="180"/>
      </w:pPr>
    </w:lvl>
    <w:lvl w:ilvl="3" w:tplc="1C0A000F">
      <w:start w:val="1"/>
      <w:numFmt w:val="decimal"/>
      <w:lvlText w:val="%4."/>
      <w:lvlJc w:val="left"/>
      <w:pPr>
        <w:ind w:left="3060" w:hanging="360"/>
      </w:pPr>
    </w:lvl>
    <w:lvl w:ilvl="4" w:tplc="1C0A0019" w:tentative="1">
      <w:start w:val="1"/>
      <w:numFmt w:val="lowerLetter"/>
      <w:lvlText w:val="%5."/>
      <w:lvlJc w:val="left"/>
      <w:pPr>
        <w:ind w:left="3780" w:hanging="360"/>
      </w:pPr>
    </w:lvl>
    <w:lvl w:ilvl="5" w:tplc="1C0A001B" w:tentative="1">
      <w:start w:val="1"/>
      <w:numFmt w:val="lowerRoman"/>
      <w:lvlText w:val="%6."/>
      <w:lvlJc w:val="right"/>
      <w:pPr>
        <w:ind w:left="4500" w:hanging="180"/>
      </w:pPr>
    </w:lvl>
    <w:lvl w:ilvl="6" w:tplc="1C0A000F" w:tentative="1">
      <w:start w:val="1"/>
      <w:numFmt w:val="decimal"/>
      <w:lvlText w:val="%7."/>
      <w:lvlJc w:val="left"/>
      <w:pPr>
        <w:ind w:left="5220" w:hanging="360"/>
      </w:pPr>
    </w:lvl>
    <w:lvl w:ilvl="7" w:tplc="1C0A0019" w:tentative="1">
      <w:start w:val="1"/>
      <w:numFmt w:val="lowerLetter"/>
      <w:lvlText w:val="%8."/>
      <w:lvlJc w:val="left"/>
      <w:pPr>
        <w:ind w:left="5940" w:hanging="360"/>
      </w:pPr>
    </w:lvl>
    <w:lvl w:ilvl="8" w:tplc="1C0A001B" w:tentative="1">
      <w:start w:val="1"/>
      <w:numFmt w:val="lowerRoman"/>
      <w:lvlText w:val="%9."/>
      <w:lvlJc w:val="right"/>
      <w:pPr>
        <w:ind w:left="6660" w:hanging="180"/>
      </w:pPr>
    </w:lvl>
  </w:abstractNum>
  <w:abstractNum w:abstractNumId="22" w15:restartNumberingAfterBreak="0">
    <w:nsid w:val="51167C06"/>
    <w:multiLevelType w:val="hybridMultilevel"/>
    <w:tmpl w:val="9A7AB872"/>
    <w:lvl w:ilvl="0" w:tplc="6E7E624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7F7E01"/>
    <w:multiLevelType w:val="hybridMultilevel"/>
    <w:tmpl w:val="7124DDC0"/>
    <w:lvl w:ilvl="0" w:tplc="29028526">
      <w:start w:val="4"/>
      <w:numFmt w:val="lowerRoman"/>
      <w:lvlText w:val="%1."/>
      <w:lvlJc w:val="right"/>
      <w:pPr>
        <w:ind w:left="23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64332F"/>
    <w:multiLevelType w:val="hybridMultilevel"/>
    <w:tmpl w:val="79CCF840"/>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5" w15:restartNumberingAfterBreak="0">
    <w:nsid w:val="56681DFA"/>
    <w:multiLevelType w:val="hybridMultilevel"/>
    <w:tmpl w:val="3FE230B4"/>
    <w:lvl w:ilvl="0" w:tplc="BFFA90EA">
      <w:start w:val="1"/>
      <w:numFmt w:val="decimal"/>
      <w:lvlText w:val="%1."/>
      <w:lvlJc w:val="left"/>
      <w:pPr>
        <w:ind w:left="1068" w:hanging="360"/>
      </w:pPr>
      <w:rPr>
        <w:rFonts w:hint="default"/>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6" w15:restartNumberingAfterBreak="0">
    <w:nsid w:val="58446B92"/>
    <w:multiLevelType w:val="hybridMultilevel"/>
    <w:tmpl w:val="08E47D3E"/>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7" w15:restartNumberingAfterBreak="0">
    <w:nsid w:val="59636143"/>
    <w:multiLevelType w:val="hybridMultilevel"/>
    <w:tmpl w:val="0C8827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B163403"/>
    <w:multiLevelType w:val="hybridMultilevel"/>
    <w:tmpl w:val="3078C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691C7C"/>
    <w:multiLevelType w:val="hybridMultilevel"/>
    <w:tmpl w:val="0720A878"/>
    <w:lvl w:ilvl="0" w:tplc="99A4A04C">
      <w:start w:val="1"/>
      <w:numFmt w:val="decimal"/>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D2B17CE"/>
    <w:multiLevelType w:val="hybridMultilevel"/>
    <w:tmpl w:val="ECEEE960"/>
    <w:lvl w:ilvl="0" w:tplc="CD2ED332">
      <w:start w:val="7"/>
      <w:numFmt w:val="lowerLetter"/>
      <w:lvlText w:val="%1."/>
      <w:lvlJc w:val="left"/>
      <w:pPr>
        <w:ind w:left="16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32224E"/>
    <w:multiLevelType w:val="hybridMultilevel"/>
    <w:tmpl w:val="A19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647F7"/>
    <w:multiLevelType w:val="hybridMultilevel"/>
    <w:tmpl w:val="0C28AC26"/>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33" w15:restartNumberingAfterBreak="0">
    <w:nsid w:val="70D5658F"/>
    <w:multiLevelType w:val="hybridMultilevel"/>
    <w:tmpl w:val="C352A8F8"/>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34" w15:restartNumberingAfterBreak="0">
    <w:nsid w:val="7152253B"/>
    <w:multiLevelType w:val="hybridMultilevel"/>
    <w:tmpl w:val="A5AE80EE"/>
    <w:lvl w:ilvl="0" w:tplc="B1A6BB04">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6"/>
  </w:num>
  <w:num w:numId="5">
    <w:abstractNumId w:val="22"/>
  </w:num>
  <w:num w:numId="6">
    <w:abstractNumId w:val="33"/>
  </w:num>
  <w:num w:numId="7">
    <w:abstractNumId w:val="6"/>
  </w:num>
  <w:num w:numId="8">
    <w:abstractNumId w:val="32"/>
  </w:num>
  <w:num w:numId="9">
    <w:abstractNumId w:val="4"/>
  </w:num>
  <w:num w:numId="10">
    <w:abstractNumId w:val="5"/>
  </w:num>
  <w:num w:numId="11">
    <w:abstractNumId w:val="24"/>
  </w:num>
  <w:num w:numId="12">
    <w:abstractNumId w:val="25"/>
  </w:num>
  <w:num w:numId="13">
    <w:abstractNumId w:val="26"/>
  </w:num>
  <w:num w:numId="14">
    <w:abstractNumId w:val="21"/>
  </w:num>
  <w:num w:numId="15">
    <w:abstractNumId w:val="28"/>
  </w:num>
  <w:num w:numId="16">
    <w:abstractNumId w:val="10"/>
  </w:num>
  <w:num w:numId="17">
    <w:abstractNumId w:val="1"/>
  </w:num>
  <w:num w:numId="18">
    <w:abstractNumId w:val="17"/>
  </w:num>
  <w:num w:numId="19">
    <w:abstractNumId w:val="2"/>
  </w:num>
  <w:num w:numId="20">
    <w:abstractNumId w:val="14"/>
  </w:num>
  <w:num w:numId="21">
    <w:abstractNumId w:val="34"/>
  </w:num>
  <w:num w:numId="22">
    <w:abstractNumId w:val="29"/>
  </w:num>
  <w:num w:numId="23">
    <w:abstractNumId w:val="13"/>
  </w:num>
  <w:num w:numId="24">
    <w:abstractNumId w:val="27"/>
  </w:num>
  <w:num w:numId="25">
    <w:abstractNumId w:val="3"/>
  </w:num>
  <w:num w:numId="26">
    <w:abstractNumId w:val="12"/>
  </w:num>
  <w:num w:numId="27">
    <w:abstractNumId w:val="21"/>
    <w:lvlOverride w:ilvl="0">
      <w:startOverride w:val="1"/>
    </w:lvlOverride>
    <w:lvlOverride w:ilvl="1">
      <w:startOverride w:val="1"/>
    </w:lvlOverride>
  </w:num>
  <w:num w:numId="28">
    <w:abstractNumId w:val="23"/>
  </w:num>
  <w:num w:numId="29">
    <w:abstractNumId w:val="15"/>
  </w:num>
  <w:num w:numId="30">
    <w:abstractNumId w:val="20"/>
  </w:num>
  <w:num w:numId="31">
    <w:abstractNumId w:val="30"/>
  </w:num>
  <w:num w:numId="32">
    <w:abstractNumId w:val="21"/>
  </w:num>
  <w:num w:numId="33">
    <w:abstractNumId w:val="21"/>
  </w:num>
  <w:num w:numId="34">
    <w:abstractNumId w:val="31"/>
  </w:num>
  <w:num w:numId="35">
    <w:abstractNumId w:val="18"/>
  </w:num>
  <w:num w:numId="36">
    <w:abstractNumId w:val="9"/>
  </w:num>
  <w:num w:numId="37">
    <w:abstractNumId w:val="0"/>
  </w:num>
  <w:num w:numId="38">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B4"/>
    <w:rsid w:val="00000601"/>
    <w:rsid w:val="000006C6"/>
    <w:rsid w:val="00007B35"/>
    <w:rsid w:val="00012718"/>
    <w:rsid w:val="00012B80"/>
    <w:rsid w:val="000151DF"/>
    <w:rsid w:val="00021D6B"/>
    <w:rsid w:val="00022610"/>
    <w:rsid w:val="00026A56"/>
    <w:rsid w:val="000276C1"/>
    <w:rsid w:val="00027A60"/>
    <w:rsid w:val="00032E81"/>
    <w:rsid w:val="000334AB"/>
    <w:rsid w:val="00035667"/>
    <w:rsid w:val="00041135"/>
    <w:rsid w:val="000414A7"/>
    <w:rsid w:val="000419BE"/>
    <w:rsid w:val="000428C2"/>
    <w:rsid w:val="00045A17"/>
    <w:rsid w:val="00046CF6"/>
    <w:rsid w:val="00047E7B"/>
    <w:rsid w:val="00053A85"/>
    <w:rsid w:val="0005417C"/>
    <w:rsid w:val="000556F4"/>
    <w:rsid w:val="0006130E"/>
    <w:rsid w:val="00064A74"/>
    <w:rsid w:val="0006557C"/>
    <w:rsid w:val="000664B6"/>
    <w:rsid w:val="000702E3"/>
    <w:rsid w:val="00071F58"/>
    <w:rsid w:val="0007616B"/>
    <w:rsid w:val="00076D72"/>
    <w:rsid w:val="0008159A"/>
    <w:rsid w:val="00084AF2"/>
    <w:rsid w:val="000902AA"/>
    <w:rsid w:val="0009060D"/>
    <w:rsid w:val="0009179C"/>
    <w:rsid w:val="00093459"/>
    <w:rsid w:val="000934CA"/>
    <w:rsid w:val="000955E9"/>
    <w:rsid w:val="0009677D"/>
    <w:rsid w:val="00096CDE"/>
    <w:rsid w:val="000975C2"/>
    <w:rsid w:val="000A02EF"/>
    <w:rsid w:val="000A162C"/>
    <w:rsid w:val="000A24EC"/>
    <w:rsid w:val="000A2CE8"/>
    <w:rsid w:val="000A33E8"/>
    <w:rsid w:val="000A6A1B"/>
    <w:rsid w:val="000A7026"/>
    <w:rsid w:val="000A7A36"/>
    <w:rsid w:val="000B0591"/>
    <w:rsid w:val="000B0A96"/>
    <w:rsid w:val="000B4003"/>
    <w:rsid w:val="000B4729"/>
    <w:rsid w:val="000C1284"/>
    <w:rsid w:val="000C2226"/>
    <w:rsid w:val="000C47F4"/>
    <w:rsid w:val="000C57B0"/>
    <w:rsid w:val="000C65DB"/>
    <w:rsid w:val="000C6BDF"/>
    <w:rsid w:val="000C76EA"/>
    <w:rsid w:val="000D03C7"/>
    <w:rsid w:val="000D201F"/>
    <w:rsid w:val="000D400C"/>
    <w:rsid w:val="000D59E7"/>
    <w:rsid w:val="000D5A87"/>
    <w:rsid w:val="000D7B02"/>
    <w:rsid w:val="000D7FF5"/>
    <w:rsid w:val="000E11AF"/>
    <w:rsid w:val="000E154B"/>
    <w:rsid w:val="000E22BD"/>
    <w:rsid w:val="000E4833"/>
    <w:rsid w:val="000E67ED"/>
    <w:rsid w:val="000E7BF0"/>
    <w:rsid w:val="000E7E5E"/>
    <w:rsid w:val="000F2D79"/>
    <w:rsid w:val="000F33B4"/>
    <w:rsid w:val="000F4B74"/>
    <w:rsid w:val="000F6C3C"/>
    <w:rsid w:val="001012FE"/>
    <w:rsid w:val="001019C8"/>
    <w:rsid w:val="00102AC8"/>
    <w:rsid w:val="00105387"/>
    <w:rsid w:val="00105523"/>
    <w:rsid w:val="001104B9"/>
    <w:rsid w:val="0011347A"/>
    <w:rsid w:val="00114ABA"/>
    <w:rsid w:val="00120806"/>
    <w:rsid w:val="0012334B"/>
    <w:rsid w:val="00123ACC"/>
    <w:rsid w:val="0013442C"/>
    <w:rsid w:val="00135D00"/>
    <w:rsid w:val="001369DC"/>
    <w:rsid w:val="00137DE8"/>
    <w:rsid w:val="00140C30"/>
    <w:rsid w:val="00141BF0"/>
    <w:rsid w:val="00141C5E"/>
    <w:rsid w:val="00141F59"/>
    <w:rsid w:val="00144D25"/>
    <w:rsid w:val="001506AC"/>
    <w:rsid w:val="00150817"/>
    <w:rsid w:val="00151C1F"/>
    <w:rsid w:val="00152AB9"/>
    <w:rsid w:val="0015320C"/>
    <w:rsid w:val="001624DC"/>
    <w:rsid w:val="00162819"/>
    <w:rsid w:val="00163CDE"/>
    <w:rsid w:val="00167040"/>
    <w:rsid w:val="001757CB"/>
    <w:rsid w:val="001761BB"/>
    <w:rsid w:val="0017786B"/>
    <w:rsid w:val="0018191D"/>
    <w:rsid w:val="00181F65"/>
    <w:rsid w:val="00184766"/>
    <w:rsid w:val="0019082C"/>
    <w:rsid w:val="001939F8"/>
    <w:rsid w:val="00196131"/>
    <w:rsid w:val="0019706D"/>
    <w:rsid w:val="00197968"/>
    <w:rsid w:val="001A112F"/>
    <w:rsid w:val="001A26E4"/>
    <w:rsid w:val="001A279C"/>
    <w:rsid w:val="001A35D4"/>
    <w:rsid w:val="001A5C79"/>
    <w:rsid w:val="001B0B3A"/>
    <w:rsid w:val="001B15DD"/>
    <w:rsid w:val="001B2630"/>
    <w:rsid w:val="001B2A59"/>
    <w:rsid w:val="001B5D26"/>
    <w:rsid w:val="001B7D4C"/>
    <w:rsid w:val="001C1678"/>
    <w:rsid w:val="001C19EC"/>
    <w:rsid w:val="001C3F00"/>
    <w:rsid w:val="001C541A"/>
    <w:rsid w:val="001C62D7"/>
    <w:rsid w:val="001C7D6B"/>
    <w:rsid w:val="001D0D06"/>
    <w:rsid w:val="001D1B54"/>
    <w:rsid w:val="001D2D88"/>
    <w:rsid w:val="001D5A4D"/>
    <w:rsid w:val="001E042D"/>
    <w:rsid w:val="001E2020"/>
    <w:rsid w:val="001E33C2"/>
    <w:rsid w:val="001E566C"/>
    <w:rsid w:val="001E5CF8"/>
    <w:rsid w:val="001E70D9"/>
    <w:rsid w:val="001E7671"/>
    <w:rsid w:val="001E7AB0"/>
    <w:rsid w:val="001F0FE3"/>
    <w:rsid w:val="001F217B"/>
    <w:rsid w:val="00203457"/>
    <w:rsid w:val="00205212"/>
    <w:rsid w:val="00207BD6"/>
    <w:rsid w:val="00211B09"/>
    <w:rsid w:val="00212391"/>
    <w:rsid w:val="00212673"/>
    <w:rsid w:val="00212727"/>
    <w:rsid w:val="0022016A"/>
    <w:rsid w:val="002203B0"/>
    <w:rsid w:val="00222F20"/>
    <w:rsid w:val="00224479"/>
    <w:rsid w:val="00224CA9"/>
    <w:rsid w:val="00224DA2"/>
    <w:rsid w:val="00227715"/>
    <w:rsid w:val="002329A9"/>
    <w:rsid w:val="00232AA8"/>
    <w:rsid w:val="00233E90"/>
    <w:rsid w:val="00235950"/>
    <w:rsid w:val="00237BB8"/>
    <w:rsid w:val="00237D66"/>
    <w:rsid w:val="00241D78"/>
    <w:rsid w:val="00244E71"/>
    <w:rsid w:val="00245125"/>
    <w:rsid w:val="002462B8"/>
    <w:rsid w:val="00247A37"/>
    <w:rsid w:val="0025103C"/>
    <w:rsid w:val="0025235A"/>
    <w:rsid w:val="00252566"/>
    <w:rsid w:val="00252C5B"/>
    <w:rsid w:val="002547CA"/>
    <w:rsid w:val="00255982"/>
    <w:rsid w:val="00256FCB"/>
    <w:rsid w:val="00260DC2"/>
    <w:rsid w:val="00261D36"/>
    <w:rsid w:val="0026453C"/>
    <w:rsid w:val="002663FE"/>
    <w:rsid w:val="0026660B"/>
    <w:rsid w:val="002675A6"/>
    <w:rsid w:val="0027097A"/>
    <w:rsid w:val="0027261D"/>
    <w:rsid w:val="00274D3C"/>
    <w:rsid w:val="00274E4B"/>
    <w:rsid w:val="0027515A"/>
    <w:rsid w:val="00276C52"/>
    <w:rsid w:val="00277B9F"/>
    <w:rsid w:val="0028051E"/>
    <w:rsid w:val="00282C69"/>
    <w:rsid w:val="0028302A"/>
    <w:rsid w:val="00283F96"/>
    <w:rsid w:val="002844F0"/>
    <w:rsid w:val="00284D86"/>
    <w:rsid w:val="00285C5A"/>
    <w:rsid w:val="00286186"/>
    <w:rsid w:val="00291DCF"/>
    <w:rsid w:val="0029213F"/>
    <w:rsid w:val="002927C6"/>
    <w:rsid w:val="00296E03"/>
    <w:rsid w:val="00297949"/>
    <w:rsid w:val="00297D4B"/>
    <w:rsid w:val="002A0891"/>
    <w:rsid w:val="002A3A2D"/>
    <w:rsid w:val="002A6FE3"/>
    <w:rsid w:val="002A7309"/>
    <w:rsid w:val="002A7569"/>
    <w:rsid w:val="002B0C74"/>
    <w:rsid w:val="002B1F55"/>
    <w:rsid w:val="002B21BE"/>
    <w:rsid w:val="002B3B0D"/>
    <w:rsid w:val="002B471E"/>
    <w:rsid w:val="002B7B1C"/>
    <w:rsid w:val="002C1250"/>
    <w:rsid w:val="002C2596"/>
    <w:rsid w:val="002C4F17"/>
    <w:rsid w:val="002C5BAA"/>
    <w:rsid w:val="002C6203"/>
    <w:rsid w:val="002D0688"/>
    <w:rsid w:val="002D1C59"/>
    <w:rsid w:val="002D2C74"/>
    <w:rsid w:val="002D4172"/>
    <w:rsid w:val="002D66BC"/>
    <w:rsid w:val="002D6FD8"/>
    <w:rsid w:val="002E2D9F"/>
    <w:rsid w:val="002E36BA"/>
    <w:rsid w:val="002E7BF1"/>
    <w:rsid w:val="002E7DFA"/>
    <w:rsid w:val="002F04E9"/>
    <w:rsid w:val="002F4ED2"/>
    <w:rsid w:val="002F55CD"/>
    <w:rsid w:val="002F7A86"/>
    <w:rsid w:val="002F7F8E"/>
    <w:rsid w:val="003023C4"/>
    <w:rsid w:val="003037D9"/>
    <w:rsid w:val="00305EE3"/>
    <w:rsid w:val="003107BA"/>
    <w:rsid w:val="0031179F"/>
    <w:rsid w:val="003121F1"/>
    <w:rsid w:val="00314FB6"/>
    <w:rsid w:val="00317CDA"/>
    <w:rsid w:val="003220B6"/>
    <w:rsid w:val="00323A71"/>
    <w:rsid w:val="0032420F"/>
    <w:rsid w:val="00324B9B"/>
    <w:rsid w:val="003252FA"/>
    <w:rsid w:val="00330244"/>
    <w:rsid w:val="00330BFD"/>
    <w:rsid w:val="00331F3F"/>
    <w:rsid w:val="00334267"/>
    <w:rsid w:val="00334CF5"/>
    <w:rsid w:val="00337800"/>
    <w:rsid w:val="00341C9C"/>
    <w:rsid w:val="00342FD6"/>
    <w:rsid w:val="003442AA"/>
    <w:rsid w:val="00344AAF"/>
    <w:rsid w:val="00345528"/>
    <w:rsid w:val="003468C6"/>
    <w:rsid w:val="00346CE9"/>
    <w:rsid w:val="00353202"/>
    <w:rsid w:val="00353362"/>
    <w:rsid w:val="00353D44"/>
    <w:rsid w:val="00360D42"/>
    <w:rsid w:val="003612B3"/>
    <w:rsid w:val="003626FC"/>
    <w:rsid w:val="0036402B"/>
    <w:rsid w:val="00365498"/>
    <w:rsid w:val="00365992"/>
    <w:rsid w:val="00367092"/>
    <w:rsid w:val="003706F7"/>
    <w:rsid w:val="0037073A"/>
    <w:rsid w:val="00370DC0"/>
    <w:rsid w:val="00371626"/>
    <w:rsid w:val="003726D7"/>
    <w:rsid w:val="00376D16"/>
    <w:rsid w:val="00377030"/>
    <w:rsid w:val="00377687"/>
    <w:rsid w:val="0038058D"/>
    <w:rsid w:val="00380593"/>
    <w:rsid w:val="00380CC1"/>
    <w:rsid w:val="00381F7D"/>
    <w:rsid w:val="00382C4E"/>
    <w:rsid w:val="00384CF3"/>
    <w:rsid w:val="00386336"/>
    <w:rsid w:val="0038780D"/>
    <w:rsid w:val="00387E35"/>
    <w:rsid w:val="003922AF"/>
    <w:rsid w:val="00395909"/>
    <w:rsid w:val="00396953"/>
    <w:rsid w:val="00397C95"/>
    <w:rsid w:val="003A1664"/>
    <w:rsid w:val="003A2D3A"/>
    <w:rsid w:val="003A501A"/>
    <w:rsid w:val="003A57D9"/>
    <w:rsid w:val="003A7C41"/>
    <w:rsid w:val="003B173D"/>
    <w:rsid w:val="003B274B"/>
    <w:rsid w:val="003B35E2"/>
    <w:rsid w:val="003B4A40"/>
    <w:rsid w:val="003B4BDC"/>
    <w:rsid w:val="003B760A"/>
    <w:rsid w:val="003C2A9F"/>
    <w:rsid w:val="003C4BB8"/>
    <w:rsid w:val="003C5CF5"/>
    <w:rsid w:val="003C6AAD"/>
    <w:rsid w:val="003C6B33"/>
    <w:rsid w:val="003C7E6F"/>
    <w:rsid w:val="003D022A"/>
    <w:rsid w:val="003D6352"/>
    <w:rsid w:val="003D7025"/>
    <w:rsid w:val="003D7141"/>
    <w:rsid w:val="003E03EE"/>
    <w:rsid w:val="003E44A8"/>
    <w:rsid w:val="003E58EA"/>
    <w:rsid w:val="003E6F23"/>
    <w:rsid w:val="003F2146"/>
    <w:rsid w:val="003F6008"/>
    <w:rsid w:val="003F6744"/>
    <w:rsid w:val="003F774B"/>
    <w:rsid w:val="004005AC"/>
    <w:rsid w:val="004005B3"/>
    <w:rsid w:val="004015EE"/>
    <w:rsid w:val="004033E4"/>
    <w:rsid w:val="004051CB"/>
    <w:rsid w:val="00407633"/>
    <w:rsid w:val="004138CD"/>
    <w:rsid w:val="00414AD7"/>
    <w:rsid w:val="00414B09"/>
    <w:rsid w:val="00416E27"/>
    <w:rsid w:val="0042064E"/>
    <w:rsid w:val="00422F2D"/>
    <w:rsid w:val="0042770E"/>
    <w:rsid w:val="00427D38"/>
    <w:rsid w:val="004307EF"/>
    <w:rsid w:val="00431D2A"/>
    <w:rsid w:val="004325FA"/>
    <w:rsid w:val="004326B4"/>
    <w:rsid w:val="00434681"/>
    <w:rsid w:val="00437A2B"/>
    <w:rsid w:val="00437A7D"/>
    <w:rsid w:val="00440FC7"/>
    <w:rsid w:val="0044423B"/>
    <w:rsid w:val="004454BE"/>
    <w:rsid w:val="00445A2F"/>
    <w:rsid w:val="00446155"/>
    <w:rsid w:val="00450080"/>
    <w:rsid w:val="004517D2"/>
    <w:rsid w:val="00452488"/>
    <w:rsid w:val="00455862"/>
    <w:rsid w:val="0046097F"/>
    <w:rsid w:val="00462C4B"/>
    <w:rsid w:val="00463D17"/>
    <w:rsid w:val="004662B6"/>
    <w:rsid w:val="004700B6"/>
    <w:rsid w:val="00470172"/>
    <w:rsid w:val="004701EB"/>
    <w:rsid w:val="004705E0"/>
    <w:rsid w:val="0047205F"/>
    <w:rsid w:val="00474696"/>
    <w:rsid w:val="004746A1"/>
    <w:rsid w:val="004755D6"/>
    <w:rsid w:val="00481200"/>
    <w:rsid w:val="004814DB"/>
    <w:rsid w:val="00482F77"/>
    <w:rsid w:val="00484C92"/>
    <w:rsid w:val="004911F3"/>
    <w:rsid w:val="00491F47"/>
    <w:rsid w:val="00492C42"/>
    <w:rsid w:val="00493125"/>
    <w:rsid w:val="0049529C"/>
    <w:rsid w:val="004954F1"/>
    <w:rsid w:val="004961ED"/>
    <w:rsid w:val="004A19BE"/>
    <w:rsid w:val="004A2459"/>
    <w:rsid w:val="004A2F19"/>
    <w:rsid w:val="004A449B"/>
    <w:rsid w:val="004A45B5"/>
    <w:rsid w:val="004A5964"/>
    <w:rsid w:val="004A5A38"/>
    <w:rsid w:val="004A5FB1"/>
    <w:rsid w:val="004B3788"/>
    <w:rsid w:val="004B4787"/>
    <w:rsid w:val="004B5828"/>
    <w:rsid w:val="004C16EC"/>
    <w:rsid w:val="004C6D01"/>
    <w:rsid w:val="004C6D86"/>
    <w:rsid w:val="004C6F62"/>
    <w:rsid w:val="004D200C"/>
    <w:rsid w:val="004D6CEF"/>
    <w:rsid w:val="004D7316"/>
    <w:rsid w:val="004D77B7"/>
    <w:rsid w:val="004D7A55"/>
    <w:rsid w:val="004E2F0C"/>
    <w:rsid w:val="004E41BD"/>
    <w:rsid w:val="004E44E9"/>
    <w:rsid w:val="004E46D5"/>
    <w:rsid w:val="004E4C4C"/>
    <w:rsid w:val="004E602A"/>
    <w:rsid w:val="004E6C3A"/>
    <w:rsid w:val="004F0DA1"/>
    <w:rsid w:val="004F197B"/>
    <w:rsid w:val="004F1CE2"/>
    <w:rsid w:val="004F23CE"/>
    <w:rsid w:val="00502D8F"/>
    <w:rsid w:val="005032BD"/>
    <w:rsid w:val="005048A7"/>
    <w:rsid w:val="00505376"/>
    <w:rsid w:val="00506755"/>
    <w:rsid w:val="0050799D"/>
    <w:rsid w:val="00513F7F"/>
    <w:rsid w:val="0051426F"/>
    <w:rsid w:val="0051545F"/>
    <w:rsid w:val="00517FE3"/>
    <w:rsid w:val="00520032"/>
    <w:rsid w:val="00521599"/>
    <w:rsid w:val="0052234C"/>
    <w:rsid w:val="00522571"/>
    <w:rsid w:val="00522FF4"/>
    <w:rsid w:val="00523C64"/>
    <w:rsid w:val="005242C1"/>
    <w:rsid w:val="005257A0"/>
    <w:rsid w:val="005306FA"/>
    <w:rsid w:val="00530DC2"/>
    <w:rsid w:val="00531EFC"/>
    <w:rsid w:val="00531FA7"/>
    <w:rsid w:val="00532B8A"/>
    <w:rsid w:val="005402CB"/>
    <w:rsid w:val="0054121A"/>
    <w:rsid w:val="00541E67"/>
    <w:rsid w:val="00542281"/>
    <w:rsid w:val="00543874"/>
    <w:rsid w:val="0054466D"/>
    <w:rsid w:val="00545227"/>
    <w:rsid w:val="00553E6F"/>
    <w:rsid w:val="005561E8"/>
    <w:rsid w:val="005563E5"/>
    <w:rsid w:val="00557800"/>
    <w:rsid w:val="00560DB7"/>
    <w:rsid w:val="005623A1"/>
    <w:rsid w:val="00565964"/>
    <w:rsid w:val="00566188"/>
    <w:rsid w:val="0056792D"/>
    <w:rsid w:val="0057248A"/>
    <w:rsid w:val="00573C6A"/>
    <w:rsid w:val="00577852"/>
    <w:rsid w:val="005805EF"/>
    <w:rsid w:val="00582875"/>
    <w:rsid w:val="005829F1"/>
    <w:rsid w:val="00584A1E"/>
    <w:rsid w:val="00585000"/>
    <w:rsid w:val="00586FB5"/>
    <w:rsid w:val="005917B7"/>
    <w:rsid w:val="005919A2"/>
    <w:rsid w:val="00593A0A"/>
    <w:rsid w:val="00594A27"/>
    <w:rsid w:val="00595EE3"/>
    <w:rsid w:val="005960D2"/>
    <w:rsid w:val="00596250"/>
    <w:rsid w:val="00596965"/>
    <w:rsid w:val="00596C4A"/>
    <w:rsid w:val="00597B9B"/>
    <w:rsid w:val="005A2B4C"/>
    <w:rsid w:val="005A3FC1"/>
    <w:rsid w:val="005A477D"/>
    <w:rsid w:val="005A7ADF"/>
    <w:rsid w:val="005B10E2"/>
    <w:rsid w:val="005B3914"/>
    <w:rsid w:val="005B6318"/>
    <w:rsid w:val="005B65E5"/>
    <w:rsid w:val="005B706A"/>
    <w:rsid w:val="005B7140"/>
    <w:rsid w:val="005C3F91"/>
    <w:rsid w:val="005D0A8C"/>
    <w:rsid w:val="005D2682"/>
    <w:rsid w:val="005D291F"/>
    <w:rsid w:val="005D54BD"/>
    <w:rsid w:val="005E032A"/>
    <w:rsid w:val="005E50B3"/>
    <w:rsid w:val="005E6C67"/>
    <w:rsid w:val="005E747E"/>
    <w:rsid w:val="005E7DDC"/>
    <w:rsid w:val="005F0661"/>
    <w:rsid w:val="005F1503"/>
    <w:rsid w:val="005F2E3D"/>
    <w:rsid w:val="005F541B"/>
    <w:rsid w:val="005F7C6F"/>
    <w:rsid w:val="005F7CF6"/>
    <w:rsid w:val="00602EA7"/>
    <w:rsid w:val="0060395D"/>
    <w:rsid w:val="00604365"/>
    <w:rsid w:val="0061265D"/>
    <w:rsid w:val="00612977"/>
    <w:rsid w:val="00612D14"/>
    <w:rsid w:val="006136A4"/>
    <w:rsid w:val="006151DE"/>
    <w:rsid w:val="0061598F"/>
    <w:rsid w:val="00616A96"/>
    <w:rsid w:val="006206FB"/>
    <w:rsid w:val="00621D4C"/>
    <w:rsid w:val="00621E5E"/>
    <w:rsid w:val="006224A5"/>
    <w:rsid w:val="0062270F"/>
    <w:rsid w:val="006230D7"/>
    <w:rsid w:val="0062337C"/>
    <w:rsid w:val="00623D7E"/>
    <w:rsid w:val="00626DB8"/>
    <w:rsid w:val="00633027"/>
    <w:rsid w:val="006330DA"/>
    <w:rsid w:val="006358B5"/>
    <w:rsid w:val="006362C2"/>
    <w:rsid w:val="00637245"/>
    <w:rsid w:val="00637E51"/>
    <w:rsid w:val="00640559"/>
    <w:rsid w:val="00640F00"/>
    <w:rsid w:val="0064120C"/>
    <w:rsid w:val="006429CE"/>
    <w:rsid w:val="00644EDD"/>
    <w:rsid w:val="006464B3"/>
    <w:rsid w:val="00647D52"/>
    <w:rsid w:val="00656E02"/>
    <w:rsid w:val="00661796"/>
    <w:rsid w:val="00663E24"/>
    <w:rsid w:val="00665756"/>
    <w:rsid w:val="00665792"/>
    <w:rsid w:val="006658B7"/>
    <w:rsid w:val="00666BF2"/>
    <w:rsid w:val="00666D11"/>
    <w:rsid w:val="00666F63"/>
    <w:rsid w:val="006715BE"/>
    <w:rsid w:val="006763F5"/>
    <w:rsid w:val="006809BC"/>
    <w:rsid w:val="00681554"/>
    <w:rsid w:val="00681867"/>
    <w:rsid w:val="006821E4"/>
    <w:rsid w:val="00682F56"/>
    <w:rsid w:val="00685906"/>
    <w:rsid w:val="00687A0C"/>
    <w:rsid w:val="00693350"/>
    <w:rsid w:val="0069367E"/>
    <w:rsid w:val="00694164"/>
    <w:rsid w:val="006965DA"/>
    <w:rsid w:val="0069669B"/>
    <w:rsid w:val="00697984"/>
    <w:rsid w:val="006A2EAF"/>
    <w:rsid w:val="006A308F"/>
    <w:rsid w:val="006A4272"/>
    <w:rsid w:val="006B04D3"/>
    <w:rsid w:val="006B5BCD"/>
    <w:rsid w:val="006C10E7"/>
    <w:rsid w:val="006C3129"/>
    <w:rsid w:val="006C36F5"/>
    <w:rsid w:val="006C4227"/>
    <w:rsid w:val="006C6F89"/>
    <w:rsid w:val="006C78DD"/>
    <w:rsid w:val="006C7F5F"/>
    <w:rsid w:val="006D008A"/>
    <w:rsid w:val="006D0680"/>
    <w:rsid w:val="006D0A4C"/>
    <w:rsid w:val="006D4F4F"/>
    <w:rsid w:val="006E2FB9"/>
    <w:rsid w:val="006E3184"/>
    <w:rsid w:val="006E3190"/>
    <w:rsid w:val="006E3AAF"/>
    <w:rsid w:val="006E3ABF"/>
    <w:rsid w:val="006E688D"/>
    <w:rsid w:val="006F25C4"/>
    <w:rsid w:val="006F4B64"/>
    <w:rsid w:val="007009B4"/>
    <w:rsid w:val="007029A4"/>
    <w:rsid w:val="007043C9"/>
    <w:rsid w:val="007071F8"/>
    <w:rsid w:val="0071017A"/>
    <w:rsid w:val="00711772"/>
    <w:rsid w:val="00712FEB"/>
    <w:rsid w:val="00713B59"/>
    <w:rsid w:val="00714639"/>
    <w:rsid w:val="007149FE"/>
    <w:rsid w:val="00714AF6"/>
    <w:rsid w:val="00717294"/>
    <w:rsid w:val="00717A45"/>
    <w:rsid w:val="00717D48"/>
    <w:rsid w:val="00720B2E"/>
    <w:rsid w:val="00720FAA"/>
    <w:rsid w:val="00723442"/>
    <w:rsid w:val="00723A99"/>
    <w:rsid w:val="007272C3"/>
    <w:rsid w:val="00732325"/>
    <w:rsid w:val="007325FE"/>
    <w:rsid w:val="0073739D"/>
    <w:rsid w:val="00740B82"/>
    <w:rsid w:val="00746A17"/>
    <w:rsid w:val="007475B3"/>
    <w:rsid w:val="00753810"/>
    <w:rsid w:val="00756A51"/>
    <w:rsid w:val="0076023B"/>
    <w:rsid w:val="007610FC"/>
    <w:rsid w:val="00761761"/>
    <w:rsid w:val="00764F87"/>
    <w:rsid w:val="00771C15"/>
    <w:rsid w:val="00771F9B"/>
    <w:rsid w:val="007730A4"/>
    <w:rsid w:val="007745F5"/>
    <w:rsid w:val="00775686"/>
    <w:rsid w:val="007803EF"/>
    <w:rsid w:val="00780F5D"/>
    <w:rsid w:val="00781655"/>
    <w:rsid w:val="007846C7"/>
    <w:rsid w:val="007870B5"/>
    <w:rsid w:val="00787E8B"/>
    <w:rsid w:val="007903FD"/>
    <w:rsid w:val="00790CC6"/>
    <w:rsid w:val="00790FC4"/>
    <w:rsid w:val="007910D7"/>
    <w:rsid w:val="00791D69"/>
    <w:rsid w:val="007954DF"/>
    <w:rsid w:val="00795C4A"/>
    <w:rsid w:val="007A0683"/>
    <w:rsid w:val="007A2673"/>
    <w:rsid w:val="007A6E97"/>
    <w:rsid w:val="007A7258"/>
    <w:rsid w:val="007A7CF6"/>
    <w:rsid w:val="007B01B4"/>
    <w:rsid w:val="007B0AC7"/>
    <w:rsid w:val="007B35F9"/>
    <w:rsid w:val="007C144D"/>
    <w:rsid w:val="007C15B3"/>
    <w:rsid w:val="007C3F25"/>
    <w:rsid w:val="007D04DC"/>
    <w:rsid w:val="007D0955"/>
    <w:rsid w:val="007D5150"/>
    <w:rsid w:val="007D571D"/>
    <w:rsid w:val="007D6F09"/>
    <w:rsid w:val="007D7021"/>
    <w:rsid w:val="007E1114"/>
    <w:rsid w:val="007E1FF1"/>
    <w:rsid w:val="007E2F30"/>
    <w:rsid w:val="007E2F8C"/>
    <w:rsid w:val="007E35A1"/>
    <w:rsid w:val="007E72DF"/>
    <w:rsid w:val="007E7907"/>
    <w:rsid w:val="007F05C8"/>
    <w:rsid w:val="007F27C6"/>
    <w:rsid w:val="007F3D7A"/>
    <w:rsid w:val="007F40BA"/>
    <w:rsid w:val="007F4994"/>
    <w:rsid w:val="00801EC1"/>
    <w:rsid w:val="00803A43"/>
    <w:rsid w:val="00805E7D"/>
    <w:rsid w:val="00806238"/>
    <w:rsid w:val="00806BA4"/>
    <w:rsid w:val="008076CD"/>
    <w:rsid w:val="00810788"/>
    <w:rsid w:val="008122C2"/>
    <w:rsid w:val="00814F59"/>
    <w:rsid w:val="00815170"/>
    <w:rsid w:val="00815FF2"/>
    <w:rsid w:val="00816672"/>
    <w:rsid w:val="008171A4"/>
    <w:rsid w:val="00822C12"/>
    <w:rsid w:val="00830663"/>
    <w:rsid w:val="00830EE1"/>
    <w:rsid w:val="008310CD"/>
    <w:rsid w:val="00837869"/>
    <w:rsid w:val="00841516"/>
    <w:rsid w:val="00844EBC"/>
    <w:rsid w:val="00850461"/>
    <w:rsid w:val="0085157C"/>
    <w:rsid w:val="008524D9"/>
    <w:rsid w:val="008529BD"/>
    <w:rsid w:val="00852E85"/>
    <w:rsid w:val="008550CF"/>
    <w:rsid w:val="0085720B"/>
    <w:rsid w:val="00863167"/>
    <w:rsid w:val="00863239"/>
    <w:rsid w:val="00866D03"/>
    <w:rsid w:val="008705D9"/>
    <w:rsid w:val="00870C8C"/>
    <w:rsid w:val="008730BF"/>
    <w:rsid w:val="00875148"/>
    <w:rsid w:val="008759AF"/>
    <w:rsid w:val="00877CE2"/>
    <w:rsid w:val="00880A78"/>
    <w:rsid w:val="008819FF"/>
    <w:rsid w:val="00882F81"/>
    <w:rsid w:val="008840D6"/>
    <w:rsid w:val="008917ED"/>
    <w:rsid w:val="00894738"/>
    <w:rsid w:val="00896F1E"/>
    <w:rsid w:val="0089753A"/>
    <w:rsid w:val="008A1201"/>
    <w:rsid w:val="008A1B43"/>
    <w:rsid w:val="008A5666"/>
    <w:rsid w:val="008A63BE"/>
    <w:rsid w:val="008A6C89"/>
    <w:rsid w:val="008B0BD7"/>
    <w:rsid w:val="008B2D66"/>
    <w:rsid w:val="008B431C"/>
    <w:rsid w:val="008B6411"/>
    <w:rsid w:val="008B7C2F"/>
    <w:rsid w:val="008B7C75"/>
    <w:rsid w:val="008C05BD"/>
    <w:rsid w:val="008C108B"/>
    <w:rsid w:val="008C1E54"/>
    <w:rsid w:val="008C3DC1"/>
    <w:rsid w:val="008C514A"/>
    <w:rsid w:val="008C5BCD"/>
    <w:rsid w:val="008C5EEF"/>
    <w:rsid w:val="008C746D"/>
    <w:rsid w:val="008D081C"/>
    <w:rsid w:val="008D2183"/>
    <w:rsid w:val="008D2C05"/>
    <w:rsid w:val="008D39AA"/>
    <w:rsid w:val="008D437F"/>
    <w:rsid w:val="008D69AF"/>
    <w:rsid w:val="008D7075"/>
    <w:rsid w:val="008D75D9"/>
    <w:rsid w:val="008E1498"/>
    <w:rsid w:val="008E25FE"/>
    <w:rsid w:val="008E5C8A"/>
    <w:rsid w:val="008F07F3"/>
    <w:rsid w:val="008F2A07"/>
    <w:rsid w:val="008F3529"/>
    <w:rsid w:val="008F3F0E"/>
    <w:rsid w:val="008F5D3E"/>
    <w:rsid w:val="008F67AF"/>
    <w:rsid w:val="008F7E9D"/>
    <w:rsid w:val="00900CF1"/>
    <w:rsid w:val="00901836"/>
    <w:rsid w:val="00901D64"/>
    <w:rsid w:val="00902707"/>
    <w:rsid w:val="009029C6"/>
    <w:rsid w:val="00904DDA"/>
    <w:rsid w:val="00910241"/>
    <w:rsid w:val="00910A1E"/>
    <w:rsid w:val="00911565"/>
    <w:rsid w:val="009120ED"/>
    <w:rsid w:val="00912D17"/>
    <w:rsid w:val="00914316"/>
    <w:rsid w:val="00914487"/>
    <w:rsid w:val="009177A6"/>
    <w:rsid w:val="0092205B"/>
    <w:rsid w:val="00922B60"/>
    <w:rsid w:val="00925382"/>
    <w:rsid w:val="009257EE"/>
    <w:rsid w:val="009268F9"/>
    <w:rsid w:val="00927A6F"/>
    <w:rsid w:val="009312E5"/>
    <w:rsid w:val="009318A5"/>
    <w:rsid w:val="00932739"/>
    <w:rsid w:val="00940CF9"/>
    <w:rsid w:val="009417EF"/>
    <w:rsid w:val="009449C3"/>
    <w:rsid w:val="00945280"/>
    <w:rsid w:val="00947353"/>
    <w:rsid w:val="00947470"/>
    <w:rsid w:val="00951609"/>
    <w:rsid w:val="00953F0B"/>
    <w:rsid w:val="009550A2"/>
    <w:rsid w:val="00957CF9"/>
    <w:rsid w:val="00960102"/>
    <w:rsid w:val="009606EB"/>
    <w:rsid w:val="00960A85"/>
    <w:rsid w:val="00962DE9"/>
    <w:rsid w:val="00963B66"/>
    <w:rsid w:val="00963C9E"/>
    <w:rsid w:val="00970F10"/>
    <w:rsid w:val="00971053"/>
    <w:rsid w:val="009725B1"/>
    <w:rsid w:val="00972795"/>
    <w:rsid w:val="009808E8"/>
    <w:rsid w:val="00982A8A"/>
    <w:rsid w:val="009877F9"/>
    <w:rsid w:val="00990A5E"/>
    <w:rsid w:val="00996E70"/>
    <w:rsid w:val="009A16C5"/>
    <w:rsid w:val="009A4E39"/>
    <w:rsid w:val="009A5414"/>
    <w:rsid w:val="009A5C83"/>
    <w:rsid w:val="009A6A9A"/>
    <w:rsid w:val="009B0D7C"/>
    <w:rsid w:val="009B1C1C"/>
    <w:rsid w:val="009B209E"/>
    <w:rsid w:val="009B5C4E"/>
    <w:rsid w:val="009C0579"/>
    <w:rsid w:val="009C4D0F"/>
    <w:rsid w:val="009C578F"/>
    <w:rsid w:val="009C7903"/>
    <w:rsid w:val="009C7D95"/>
    <w:rsid w:val="009D1E5A"/>
    <w:rsid w:val="009D43D6"/>
    <w:rsid w:val="009D6050"/>
    <w:rsid w:val="009D63B1"/>
    <w:rsid w:val="009E0470"/>
    <w:rsid w:val="009E0E55"/>
    <w:rsid w:val="009E3787"/>
    <w:rsid w:val="009E6078"/>
    <w:rsid w:val="009E6E25"/>
    <w:rsid w:val="009E7E4F"/>
    <w:rsid w:val="009F04DA"/>
    <w:rsid w:val="009F3E0D"/>
    <w:rsid w:val="009F474E"/>
    <w:rsid w:val="00A007D0"/>
    <w:rsid w:val="00A00A7D"/>
    <w:rsid w:val="00A01650"/>
    <w:rsid w:val="00A045E4"/>
    <w:rsid w:val="00A05ABA"/>
    <w:rsid w:val="00A076BD"/>
    <w:rsid w:val="00A10AF5"/>
    <w:rsid w:val="00A120F8"/>
    <w:rsid w:val="00A14155"/>
    <w:rsid w:val="00A14A31"/>
    <w:rsid w:val="00A17396"/>
    <w:rsid w:val="00A20F04"/>
    <w:rsid w:val="00A21A65"/>
    <w:rsid w:val="00A220F1"/>
    <w:rsid w:val="00A24EE0"/>
    <w:rsid w:val="00A32315"/>
    <w:rsid w:val="00A32D05"/>
    <w:rsid w:val="00A32DA7"/>
    <w:rsid w:val="00A336C6"/>
    <w:rsid w:val="00A364D5"/>
    <w:rsid w:val="00A36D26"/>
    <w:rsid w:val="00A36E24"/>
    <w:rsid w:val="00A36EDD"/>
    <w:rsid w:val="00A37768"/>
    <w:rsid w:val="00A41019"/>
    <w:rsid w:val="00A466DF"/>
    <w:rsid w:val="00A5029C"/>
    <w:rsid w:val="00A52933"/>
    <w:rsid w:val="00A57859"/>
    <w:rsid w:val="00A60C32"/>
    <w:rsid w:val="00A613FB"/>
    <w:rsid w:val="00A61D80"/>
    <w:rsid w:val="00A62E94"/>
    <w:rsid w:val="00A65C3C"/>
    <w:rsid w:val="00A67B02"/>
    <w:rsid w:val="00A70E4D"/>
    <w:rsid w:val="00A72E22"/>
    <w:rsid w:val="00A7768F"/>
    <w:rsid w:val="00A847E0"/>
    <w:rsid w:val="00A850EB"/>
    <w:rsid w:val="00A850F1"/>
    <w:rsid w:val="00A91107"/>
    <w:rsid w:val="00A9184E"/>
    <w:rsid w:val="00A91E27"/>
    <w:rsid w:val="00A94106"/>
    <w:rsid w:val="00A963BA"/>
    <w:rsid w:val="00AA23C1"/>
    <w:rsid w:val="00AA30BF"/>
    <w:rsid w:val="00AB10CE"/>
    <w:rsid w:val="00AB11C0"/>
    <w:rsid w:val="00AB1A55"/>
    <w:rsid w:val="00AB3340"/>
    <w:rsid w:val="00AB479E"/>
    <w:rsid w:val="00AB5262"/>
    <w:rsid w:val="00AB544F"/>
    <w:rsid w:val="00AB743E"/>
    <w:rsid w:val="00AB761A"/>
    <w:rsid w:val="00AC09CC"/>
    <w:rsid w:val="00AC18B0"/>
    <w:rsid w:val="00AC477E"/>
    <w:rsid w:val="00AC56D4"/>
    <w:rsid w:val="00AC6C2E"/>
    <w:rsid w:val="00AC7667"/>
    <w:rsid w:val="00AD1139"/>
    <w:rsid w:val="00AD3424"/>
    <w:rsid w:val="00AE0747"/>
    <w:rsid w:val="00AE0F8A"/>
    <w:rsid w:val="00AE4629"/>
    <w:rsid w:val="00AF4A23"/>
    <w:rsid w:val="00AF5993"/>
    <w:rsid w:val="00AF6CA2"/>
    <w:rsid w:val="00B024B8"/>
    <w:rsid w:val="00B02DC2"/>
    <w:rsid w:val="00B02EBE"/>
    <w:rsid w:val="00B06089"/>
    <w:rsid w:val="00B114B5"/>
    <w:rsid w:val="00B14418"/>
    <w:rsid w:val="00B15920"/>
    <w:rsid w:val="00B16B4E"/>
    <w:rsid w:val="00B202BA"/>
    <w:rsid w:val="00B2476A"/>
    <w:rsid w:val="00B25A78"/>
    <w:rsid w:val="00B268FD"/>
    <w:rsid w:val="00B27830"/>
    <w:rsid w:val="00B30292"/>
    <w:rsid w:val="00B31E5E"/>
    <w:rsid w:val="00B35205"/>
    <w:rsid w:val="00B3555F"/>
    <w:rsid w:val="00B36BE2"/>
    <w:rsid w:val="00B40350"/>
    <w:rsid w:val="00B419E2"/>
    <w:rsid w:val="00B42F76"/>
    <w:rsid w:val="00B440F5"/>
    <w:rsid w:val="00B444DE"/>
    <w:rsid w:val="00B458AB"/>
    <w:rsid w:val="00B45C07"/>
    <w:rsid w:val="00B464AE"/>
    <w:rsid w:val="00B47C66"/>
    <w:rsid w:val="00B47CF7"/>
    <w:rsid w:val="00B50A2A"/>
    <w:rsid w:val="00B51732"/>
    <w:rsid w:val="00B51DEA"/>
    <w:rsid w:val="00B51E52"/>
    <w:rsid w:val="00B53899"/>
    <w:rsid w:val="00B55545"/>
    <w:rsid w:val="00B57EAA"/>
    <w:rsid w:val="00B61B3A"/>
    <w:rsid w:val="00B63A2F"/>
    <w:rsid w:val="00B63F11"/>
    <w:rsid w:val="00B64B35"/>
    <w:rsid w:val="00B64EB5"/>
    <w:rsid w:val="00B671CE"/>
    <w:rsid w:val="00B6736E"/>
    <w:rsid w:val="00B679EF"/>
    <w:rsid w:val="00B701BE"/>
    <w:rsid w:val="00B72282"/>
    <w:rsid w:val="00B729FD"/>
    <w:rsid w:val="00B74028"/>
    <w:rsid w:val="00B7472D"/>
    <w:rsid w:val="00B756DF"/>
    <w:rsid w:val="00B76353"/>
    <w:rsid w:val="00B76A7D"/>
    <w:rsid w:val="00B77564"/>
    <w:rsid w:val="00B81079"/>
    <w:rsid w:val="00B839D6"/>
    <w:rsid w:val="00B85484"/>
    <w:rsid w:val="00B86055"/>
    <w:rsid w:val="00B86411"/>
    <w:rsid w:val="00B86F75"/>
    <w:rsid w:val="00B874C0"/>
    <w:rsid w:val="00B90524"/>
    <w:rsid w:val="00B9147E"/>
    <w:rsid w:val="00B953A0"/>
    <w:rsid w:val="00BA09BB"/>
    <w:rsid w:val="00BA14E2"/>
    <w:rsid w:val="00BA1EE6"/>
    <w:rsid w:val="00BA2E5D"/>
    <w:rsid w:val="00BA3622"/>
    <w:rsid w:val="00BA451E"/>
    <w:rsid w:val="00BA4E16"/>
    <w:rsid w:val="00BA5D3B"/>
    <w:rsid w:val="00BA6DF2"/>
    <w:rsid w:val="00BB28E0"/>
    <w:rsid w:val="00BB6F76"/>
    <w:rsid w:val="00BC0205"/>
    <w:rsid w:val="00BC02C1"/>
    <w:rsid w:val="00BC293C"/>
    <w:rsid w:val="00BC298B"/>
    <w:rsid w:val="00BC324E"/>
    <w:rsid w:val="00BD0AFE"/>
    <w:rsid w:val="00BD3003"/>
    <w:rsid w:val="00BD315B"/>
    <w:rsid w:val="00BD3AF2"/>
    <w:rsid w:val="00BD4C59"/>
    <w:rsid w:val="00BD5532"/>
    <w:rsid w:val="00BD6F38"/>
    <w:rsid w:val="00BD7BD8"/>
    <w:rsid w:val="00BE1BB4"/>
    <w:rsid w:val="00BE26BD"/>
    <w:rsid w:val="00BE2E6D"/>
    <w:rsid w:val="00BE39EF"/>
    <w:rsid w:val="00BE4311"/>
    <w:rsid w:val="00BE4802"/>
    <w:rsid w:val="00BE558C"/>
    <w:rsid w:val="00BE77DF"/>
    <w:rsid w:val="00BE78D8"/>
    <w:rsid w:val="00BF0A82"/>
    <w:rsid w:val="00BF5EB6"/>
    <w:rsid w:val="00BF61B2"/>
    <w:rsid w:val="00C01063"/>
    <w:rsid w:val="00C0190D"/>
    <w:rsid w:val="00C04463"/>
    <w:rsid w:val="00C11F79"/>
    <w:rsid w:val="00C13380"/>
    <w:rsid w:val="00C1461F"/>
    <w:rsid w:val="00C20EB1"/>
    <w:rsid w:val="00C21B0D"/>
    <w:rsid w:val="00C232B9"/>
    <w:rsid w:val="00C23941"/>
    <w:rsid w:val="00C23C28"/>
    <w:rsid w:val="00C23CBE"/>
    <w:rsid w:val="00C25EFA"/>
    <w:rsid w:val="00C3011A"/>
    <w:rsid w:val="00C30ABC"/>
    <w:rsid w:val="00C31BFF"/>
    <w:rsid w:val="00C32265"/>
    <w:rsid w:val="00C33510"/>
    <w:rsid w:val="00C35CFA"/>
    <w:rsid w:val="00C364A5"/>
    <w:rsid w:val="00C40C3D"/>
    <w:rsid w:val="00C4303F"/>
    <w:rsid w:val="00C45B34"/>
    <w:rsid w:val="00C46F9A"/>
    <w:rsid w:val="00C477D4"/>
    <w:rsid w:val="00C51846"/>
    <w:rsid w:val="00C51BE2"/>
    <w:rsid w:val="00C56C1F"/>
    <w:rsid w:val="00C56EA4"/>
    <w:rsid w:val="00C61696"/>
    <w:rsid w:val="00C6318D"/>
    <w:rsid w:val="00C658C4"/>
    <w:rsid w:val="00C67058"/>
    <w:rsid w:val="00C6776A"/>
    <w:rsid w:val="00C717C9"/>
    <w:rsid w:val="00C7302C"/>
    <w:rsid w:val="00C75870"/>
    <w:rsid w:val="00C77B8B"/>
    <w:rsid w:val="00C80726"/>
    <w:rsid w:val="00C81299"/>
    <w:rsid w:val="00C8231A"/>
    <w:rsid w:val="00C83582"/>
    <w:rsid w:val="00C842D3"/>
    <w:rsid w:val="00C85006"/>
    <w:rsid w:val="00C91C70"/>
    <w:rsid w:val="00C91EA8"/>
    <w:rsid w:val="00C9642A"/>
    <w:rsid w:val="00CA0DED"/>
    <w:rsid w:val="00CA2763"/>
    <w:rsid w:val="00CA3CAF"/>
    <w:rsid w:val="00CA3D24"/>
    <w:rsid w:val="00CB04B1"/>
    <w:rsid w:val="00CB0EA4"/>
    <w:rsid w:val="00CB1C6F"/>
    <w:rsid w:val="00CB3277"/>
    <w:rsid w:val="00CB4783"/>
    <w:rsid w:val="00CB4A78"/>
    <w:rsid w:val="00CB4D20"/>
    <w:rsid w:val="00CB53C6"/>
    <w:rsid w:val="00CB564E"/>
    <w:rsid w:val="00CB6C68"/>
    <w:rsid w:val="00CC1DA6"/>
    <w:rsid w:val="00CC2F49"/>
    <w:rsid w:val="00CC39B0"/>
    <w:rsid w:val="00CC4010"/>
    <w:rsid w:val="00CC4736"/>
    <w:rsid w:val="00CC4C66"/>
    <w:rsid w:val="00CC5F3D"/>
    <w:rsid w:val="00CC6E67"/>
    <w:rsid w:val="00CD362B"/>
    <w:rsid w:val="00CD590E"/>
    <w:rsid w:val="00CD63DE"/>
    <w:rsid w:val="00CD6A8B"/>
    <w:rsid w:val="00CD74FA"/>
    <w:rsid w:val="00CE072D"/>
    <w:rsid w:val="00CE3483"/>
    <w:rsid w:val="00CE351A"/>
    <w:rsid w:val="00CE3B5D"/>
    <w:rsid w:val="00CE4A5F"/>
    <w:rsid w:val="00CF24A0"/>
    <w:rsid w:val="00CF3D72"/>
    <w:rsid w:val="00D03A94"/>
    <w:rsid w:val="00D05E8B"/>
    <w:rsid w:val="00D06970"/>
    <w:rsid w:val="00D07978"/>
    <w:rsid w:val="00D105B9"/>
    <w:rsid w:val="00D1216F"/>
    <w:rsid w:val="00D122EE"/>
    <w:rsid w:val="00D12362"/>
    <w:rsid w:val="00D12816"/>
    <w:rsid w:val="00D136EA"/>
    <w:rsid w:val="00D13E09"/>
    <w:rsid w:val="00D16F23"/>
    <w:rsid w:val="00D2286F"/>
    <w:rsid w:val="00D22D0F"/>
    <w:rsid w:val="00D265F2"/>
    <w:rsid w:val="00D2679D"/>
    <w:rsid w:val="00D26948"/>
    <w:rsid w:val="00D4078F"/>
    <w:rsid w:val="00D4079E"/>
    <w:rsid w:val="00D455DD"/>
    <w:rsid w:val="00D521EE"/>
    <w:rsid w:val="00D560A7"/>
    <w:rsid w:val="00D61E4B"/>
    <w:rsid w:val="00D62EDA"/>
    <w:rsid w:val="00D638AF"/>
    <w:rsid w:val="00D63F31"/>
    <w:rsid w:val="00D643AF"/>
    <w:rsid w:val="00D647C3"/>
    <w:rsid w:val="00D7042D"/>
    <w:rsid w:val="00D70734"/>
    <w:rsid w:val="00D70F27"/>
    <w:rsid w:val="00D71318"/>
    <w:rsid w:val="00D72716"/>
    <w:rsid w:val="00D73A53"/>
    <w:rsid w:val="00D75A26"/>
    <w:rsid w:val="00D822AC"/>
    <w:rsid w:val="00D823B2"/>
    <w:rsid w:val="00D82E54"/>
    <w:rsid w:val="00D836C4"/>
    <w:rsid w:val="00D837BF"/>
    <w:rsid w:val="00D84337"/>
    <w:rsid w:val="00D855FD"/>
    <w:rsid w:val="00D85CA3"/>
    <w:rsid w:val="00D87E87"/>
    <w:rsid w:val="00D9159D"/>
    <w:rsid w:val="00D92400"/>
    <w:rsid w:val="00D97AA6"/>
    <w:rsid w:val="00DA60E4"/>
    <w:rsid w:val="00DB0A21"/>
    <w:rsid w:val="00DB1911"/>
    <w:rsid w:val="00DB33F4"/>
    <w:rsid w:val="00DB41CD"/>
    <w:rsid w:val="00DB58A4"/>
    <w:rsid w:val="00DB6B64"/>
    <w:rsid w:val="00DC0575"/>
    <w:rsid w:val="00DC1592"/>
    <w:rsid w:val="00DC3B27"/>
    <w:rsid w:val="00DC5E25"/>
    <w:rsid w:val="00DC5E8B"/>
    <w:rsid w:val="00DD7F61"/>
    <w:rsid w:val="00DE0292"/>
    <w:rsid w:val="00DE32D4"/>
    <w:rsid w:val="00DE46A3"/>
    <w:rsid w:val="00DE4861"/>
    <w:rsid w:val="00DE6945"/>
    <w:rsid w:val="00DF0785"/>
    <w:rsid w:val="00DF0AB4"/>
    <w:rsid w:val="00DF1CA7"/>
    <w:rsid w:val="00DF3A8D"/>
    <w:rsid w:val="00DF60C1"/>
    <w:rsid w:val="00DF73FB"/>
    <w:rsid w:val="00E01C7B"/>
    <w:rsid w:val="00E069B6"/>
    <w:rsid w:val="00E07071"/>
    <w:rsid w:val="00E10426"/>
    <w:rsid w:val="00E11918"/>
    <w:rsid w:val="00E14F23"/>
    <w:rsid w:val="00E15A74"/>
    <w:rsid w:val="00E15AD4"/>
    <w:rsid w:val="00E21835"/>
    <w:rsid w:val="00E228EE"/>
    <w:rsid w:val="00E2509E"/>
    <w:rsid w:val="00E2545F"/>
    <w:rsid w:val="00E26D1E"/>
    <w:rsid w:val="00E2716E"/>
    <w:rsid w:val="00E27D12"/>
    <w:rsid w:val="00E3205A"/>
    <w:rsid w:val="00E339E3"/>
    <w:rsid w:val="00E339FA"/>
    <w:rsid w:val="00E37B65"/>
    <w:rsid w:val="00E40581"/>
    <w:rsid w:val="00E4148D"/>
    <w:rsid w:val="00E43DC0"/>
    <w:rsid w:val="00E44865"/>
    <w:rsid w:val="00E45CBD"/>
    <w:rsid w:val="00E46305"/>
    <w:rsid w:val="00E464F1"/>
    <w:rsid w:val="00E500C3"/>
    <w:rsid w:val="00E51A1A"/>
    <w:rsid w:val="00E53BD3"/>
    <w:rsid w:val="00E56F8B"/>
    <w:rsid w:val="00E57590"/>
    <w:rsid w:val="00E577C3"/>
    <w:rsid w:val="00E6163B"/>
    <w:rsid w:val="00E61FB2"/>
    <w:rsid w:val="00E6454A"/>
    <w:rsid w:val="00E675C2"/>
    <w:rsid w:val="00E70053"/>
    <w:rsid w:val="00E71DD0"/>
    <w:rsid w:val="00E7344E"/>
    <w:rsid w:val="00E74C8D"/>
    <w:rsid w:val="00E75494"/>
    <w:rsid w:val="00E773FB"/>
    <w:rsid w:val="00E7751E"/>
    <w:rsid w:val="00E7769F"/>
    <w:rsid w:val="00E80585"/>
    <w:rsid w:val="00E8153B"/>
    <w:rsid w:val="00E84A5D"/>
    <w:rsid w:val="00E877B9"/>
    <w:rsid w:val="00E87BD7"/>
    <w:rsid w:val="00E90849"/>
    <w:rsid w:val="00E911CA"/>
    <w:rsid w:val="00E91E6B"/>
    <w:rsid w:val="00E95F6A"/>
    <w:rsid w:val="00EA00C0"/>
    <w:rsid w:val="00EA0B2F"/>
    <w:rsid w:val="00EA3919"/>
    <w:rsid w:val="00EA6F66"/>
    <w:rsid w:val="00EA789B"/>
    <w:rsid w:val="00EB03A2"/>
    <w:rsid w:val="00EB6884"/>
    <w:rsid w:val="00EC3521"/>
    <w:rsid w:val="00EC460C"/>
    <w:rsid w:val="00EC5ED4"/>
    <w:rsid w:val="00ED1509"/>
    <w:rsid w:val="00ED26FC"/>
    <w:rsid w:val="00ED3146"/>
    <w:rsid w:val="00ED3E1C"/>
    <w:rsid w:val="00ED4692"/>
    <w:rsid w:val="00ED5236"/>
    <w:rsid w:val="00ED6899"/>
    <w:rsid w:val="00ED7216"/>
    <w:rsid w:val="00ED7641"/>
    <w:rsid w:val="00EE527B"/>
    <w:rsid w:val="00EF2056"/>
    <w:rsid w:val="00EF2C62"/>
    <w:rsid w:val="00F0149E"/>
    <w:rsid w:val="00F01526"/>
    <w:rsid w:val="00F01FA4"/>
    <w:rsid w:val="00F02657"/>
    <w:rsid w:val="00F029D1"/>
    <w:rsid w:val="00F0735C"/>
    <w:rsid w:val="00F076BF"/>
    <w:rsid w:val="00F07AB8"/>
    <w:rsid w:val="00F11727"/>
    <w:rsid w:val="00F1270F"/>
    <w:rsid w:val="00F15422"/>
    <w:rsid w:val="00F16880"/>
    <w:rsid w:val="00F16DCA"/>
    <w:rsid w:val="00F20DF1"/>
    <w:rsid w:val="00F22F2C"/>
    <w:rsid w:val="00F23876"/>
    <w:rsid w:val="00F238D2"/>
    <w:rsid w:val="00F242EA"/>
    <w:rsid w:val="00F25130"/>
    <w:rsid w:val="00F300D8"/>
    <w:rsid w:val="00F3303B"/>
    <w:rsid w:val="00F34703"/>
    <w:rsid w:val="00F360C2"/>
    <w:rsid w:val="00F376B2"/>
    <w:rsid w:val="00F401C6"/>
    <w:rsid w:val="00F4282C"/>
    <w:rsid w:val="00F43163"/>
    <w:rsid w:val="00F44D6B"/>
    <w:rsid w:val="00F463D9"/>
    <w:rsid w:val="00F46F69"/>
    <w:rsid w:val="00F47DEE"/>
    <w:rsid w:val="00F52B9F"/>
    <w:rsid w:val="00F53A7D"/>
    <w:rsid w:val="00F5569A"/>
    <w:rsid w:val="00F5758C"/>
    <w:rsid w:val="00F60E5C"/>
    <w:rsid w:val="00F6133C"/>
    <w:rsid w:val="00F651A3"/>
    <w:rsid w:val="00F66B6B"/>
    <w:rsid w:val="00F67111"/>
    <w:rsid w:val="00F73187"/>
    <w:rsid w:val="00F731B6"/>
    <w:rsid w:val="00F75F0E"/>
    <w:rsid w:val="00F77619"/>
    <w:rsid w:val="00F829E3"/>
    <w:rsid w:val="00F87F63"/>
    <w:rsid w:val="00F908CA"/>
    <w:rsid w:val="00F90E0D"/>
    <w:rsid w:val="00F92450"/>
    <w:rsid w:val="00F950ED"/>
    <w:rsid w:val="00F95F21"/>
    <w:rsid w:val="00F96672"/>
    <w:rsid w:val="00F96DAD"/>
    <w:rsid w:val="00FA12D8"/>
    <w:rsid w:val="00FA3744"/>
    <w:rsid w:val="00FB2AB3"/>
    <w:rsid w:val="00FB2B02"/>
    <w:rsid w:val="00FB2C13"/>
    <w:rsid w:val="00FB41AF"/>
    <w:rsid w:val="00FB496F"/>
    <w:rsid w:val="00FB76B4"/>
    <w:rsid w:val="00FC11EF"/>
    <w:rsid w:val="00FC1974"/>
    <w:rsid w:val="00FC6959"/>
    <w:rsid w:val="00FC73BE"/>
    <w:rsid w:val="00FD1F39"/>
    <w:rsid w:val="00FD3E01"/>
    <w:rsid w:val="00FD433F"/>
    <w:rsid w:val="00FE12CE"/>
    <w:rsid w:val="00FE260E"/>
    <w:rsid w:val="00FE26A2"/>
    <w:rsid w:val="00FE270E"/>
    <w:rsid w:val="00FE3796"/>
    <w:rsid w:val="00FE7419"/>
    <w:rsid w:val="00FF0174"/>
    <w:rsid w:val="00FF0D70"/>
    <w:rsid w:val="00FF13F4"/>
    <w:rsid w:val="00FF250F"/>
    <w:rsid w:val="00FF3FA2"/>
    <w:rsid w:val="00FF4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4ECD"/>
  <w15:chartTrackingRefBased/>
  <w15:docId w15:val="{B8FD9568-A8C8-43F7-A94F-73D411A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EC"/>
    <w:rPr>
      <w:rFonts w:ascii="Times New Roman" w:hAnsi="Times New Roman"/>
      <w:color w:val="000000" w:themeColor="text1"/>
      <w:sz w:val="24"/>
      <w:lang w:val="es-DO"/>
    </w:rPr>
  </w:style>
  <w:style w:type="paragraph" w:styleId="Ttulo1">
    <w:name w:val="heading 1"/>
    <w:basedOn w:val="Normal"/>
    <w:next w:val="Normal"/>
    <w:link w:val="Ttulo1Car"/>
    <w:qFormat/>
    <w:rsid w:val="002D1C59"/>
    <w:pPr>
      <w:keepNext/>
      <w:spacing w:after="0" w:line="240" w:lineRule="auto"/>
      <w:jc w:val="center"/>
      <w:outlineLvl w:val="0"/>
    </w:pPr>
    <w:rPr>
      <w:rFonts w:ascii="Book Antiqua" w:eastAsia="Times New Roman" w:hAnsi="Book Antiqua" w:cs="Times New Roman"/>
      <w:b/>
      <w:sz w:val="32"/>
      <w:szCs w:val="20"/>
      <w:lang w:val="es-ES" w:eastAsia="es-ES"/>
    </w:rPr>
  </w:style>
  <w:style w:type="paragraph" w:styleId="Ttulo2">
    <w:name w:val="heading 2"/>
    <w:basedOn w:val="Normal"/>
    <w:next w:val="Normal"/>
    <w:link w:val="Ttulo2Car"/>
    <w:uiPriority w:val="9"/>
    <w:unhideWhenUsed/>
    <w:qFormat/>
    <w:rsid w:val="002D1C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D1C59"/>
    <w:pPr>
      <w:keepNext/>
      <w:spacing w:before="240" w:after="60" w:line="360" w:lineRule="auto"/>
      <w:outlineLvl w:val="2"/>
    </w:pPr>
    <w:rPr>
      <w:rFonts w:ascii="Arial" w:eastAsia="MS Mincho" w:hAnsi="Arial" w:cs="Arial"/>
      <w:bCs/>
      <w:sz w:val="28"/>
      <w:szCs w:val="26"/>
      <w:lang w:eastAsia="es-ES"/>
    </w:rPr>
  </w:style>
  <w:style w:type="paragraph" w:styleId="Ttulo4">
    <w:name w:val="heading 4"/>
    <w:basedOn w:val="Normal"/>
    <w:next w:val="Normal"/>
    <w:link w:val="Ttulo4Car"/>
    <w:qFormat/>
    <w:rsid w:val="002D1C59"/>
    <w:pPr>
      <w:keepNext/>
      <w:spacing w:before="240" w:after="60" w:line="240" w:lineRule="auto"/>
      <w:outlineLvl w:val="3"/>
    </w:pPr>
    <w:rPr>
      <w:rFonts w:ascii="Arial" w:eastAsia="MS Mincho" w:hAnsi="Arial" w:cs="Times New Roman"/>
      <w:bCs/>
      <w:sz w:val="28"/>
      <w:szCs w:val="28"/>
      <w:lang w:eastAsia="es-ES"/>
    </w:rPr>
  </w:style>
  <w:style w:type="paragraph" w:styleId="Ttulo5">
    <w:name w:val="heading 5"/>
    <w:basedOn w:val="Normal"/>
    <w:next w:val="Normal"/>
    <w:link w:val="Ttulo5Car"/>
    <w:qFormat/>
    <w:rsid w:val="002D1C59"/>
    <w:pPr>
      <w:tabs>
        <w:tab w:val="num" w:pos="1008"/>
      </w:tabs>
      <w:spacing w:before="240" w:after="60" w:line="240" w:lineRule="auto"/>
      <w:ind w:left="1008" w:hanging="1008"/>
      <w:outlineLvl w:val="4"/>
    </w:pPr>
    <w:rPr>
      <w:rFonts w:ascii="Arial" w:eastAsia="MS Mincho" w:hAnsi="Arial" w:cs="Times New Roman"/>
      <w:bCs/>
      <w:i/>
      <w:iCs/>
      <w:sz w:val="26"/>
      <w:szCs w:val="26"/>
      <w:lang w:eastAsia="es-ES"/>
    </w:rPr>
  </w:style>
  <w:style w:type="paragraph" w:styleId="Ttulo6">
    <w:name w:val="heading 6"/>
    <w:basedOn w:val="Normal"/>
    <w:next w:val="Normal"/>
    <w:link w:val="Ttulo6Car"/>
    <w:qFormat/>
    <w:rsid w:val="002D1C59"/>
    <w:pPr>
      <w:keepNext/>
      <w:tabs>
        <w:tab w:val="num" w:pos="1152"/>
        <w:tab w:val="left" w:pos="1500"/>
      </w:tabs>
      <w:spacing w:after="0" w:line="360" w:lineRule="auto"/>
      <w:ind w:left="1152" w:right="-180" w:hanging="1152"/>
      <w:jc w:val="both"/>
      <w:outlineLvl w:val="5"/>
    </w:pPr>
    <w:rPr>
      <w:rFonts w:ascii="Tahoma" w:eastAsia="MS Mincho" w:hAnsi="Tahoma" w:cs="Tahoma"/>
      <w:b/>
      <w:bCs/>
      <w:sz w:val="28"/>
      <w:szCs w:val="28"/>
      <w:u w:val="single"/>
      <w:lang w:eastAsia="es-ES"/>
    </w:rPr>
  </w:style>
  <w:style w:type="paragraph" w:styleId="Ttulo7">
    <w:name w:val="heading 7"/>
    <w:basedOn w:val="Normal"/>
    <w:next w:val="Normal"/>
    <w:link w:val="Ttulo7Car"/>
    <w:qFormat/>
    <w:rsid w:val="002D1C59"/>
    <w:pPr>
      <w:tabs>
        <w:tab w:val="num" w:pos="1296"/>
      </w:tabs>
      <w:spacing w:before="240" w:after="60" w:line="240" w:lineRule="auto"/>
      <w:ind w:left="1296" w:hanging="1296"/>
      <w:outlineLvl w:val="6"/>
    </w:pPr>
    <w:rPr>
      <w:rFonts w:eastAsia="MS Mincho" w:cs="Times New Roman"/>
      <w:szCs w:val="24"/>
      <w:lang w:eastAsia="es-ES"/>
    </w:rPr>
  </w:style>
  <w:style w:type="paragraph" w:styleId="Ttulo8">
    <w:name w:val="heading 8"/>
    <w:basedOn w:val="Normal"/>
    <w:next w:val="Normal"/>
    <w:link w:val="Ttulo8Car"/>
    <w:qFormat/>
    <w:rsid w:val="002D1C59"/>
    <w:pPr>
      <w:tabs>
        <w:tab w:val="num" w:pos="1440"/>
      </w:tabs>
      <w:spacing w:before="240" w:after="60" w:line="240" w:lineRule="auto"/>
      <w:ind w:left="1440" w:hanging="1440"/>
      <w:outlineLvl w:val="7"/>
    </w:pPr>
    <w:rPr>
      <w:rFonts w:eastAsia="MS Mincho" w:cs="Times New Roman"/>
      <w:i/>
      <w:iCs/>
      <w:szCs w:val="24"/>
      <w:lang w:eastAsia="es-ES"/>
    </w:rPr>
  </w:style>
  <w:style w:type="paragraph" w:styleId="Ttulo9">
    <w:name w:val="heading 9"/>
    <w:basedOn w:val="Normal"/>
    <w:next w:val="Normal"/>
    <w:link w:val="Ttulo9Car"/>
    <w:qFormat/>
    <w:rsid w:val="002D1C59"/>
    <w:pPr>
      <w:tabs>
        <w:tab w:val="num" w:pos="1584"/>
      </w:tabs>
      <w:spacing w:before="240" w:after="60" w:line="240" w:lineRule="auto"/>
      <w:ind w:left="1584" w:hanging="1584"/>
      <w:outlineLvl w:val="8"/>
    </w:pPr>
    <w:rPr>
      <w:rFonts w:ascii="Arial" w:eastAsia="MS Mincho"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E1BB4"/>
    <w:pPr>
      <w:ind w:left="720"/>
      <w:contextualSpacing/>
    </w:pPr>
  </w:style>
  <w:style w:type="character" w:customStyle="1" w:styleId="TextonotapieCar">
    <w:name w:val="Texto nota pie Car"/>
    <w:basedOn w:val="Fuentedeprrafopredeter"/>
    <w:link w:val="Textonotapie"/>
    <w:uiPriority w:val="99"/>
    <w:rsid w:val="00BE1BB4"/>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rsid w:val="00BE1BB4"/>
    <w:pPr>
      <w:spacing w:after="0" w:line="240" w:lineRule="auto"/>
    </w:pPr>
    <w:rPr>
      <w:rFonts w:eastAsia="MS Mincho" w:cs="Times New Roman"/>
      <w:sz w:val="20"/>
      <w:szCs w:val="20"/>
      <w:lang w:val="es-ES" w:eastAsia="es-ES"/>
    </w:rPr>
  </w:style>
  <w:style w:type="character" w:customStyle="1" w:styleId="TextonotapieCar1">
    <w:name w:val="Texto nota pie Car1"/>
    <w:basedOn w:val="Fuentedeprrafopredeter"/>
    <w:uiPriority w:val="99"/>
    <w:semiHidden/>
    <w:rsid w:val="00BE1BB4"/>
    <w:rPr>
      <w:sz w:val="20"/>
      <w:szCs w:val="20"/>
      <w:lang w:val="es-DO"/>
    </w:rPr>
  </w:style>
  <w:style w:type="character" w:styleId="Refdenotaalpie">
    <w:name w:val="footnote reference"/>
    <w:uiPriority w:val="99"/>
    <w:semiHidden/>
    <w:rsid w:val="00BE1BB4"/>
    <w:rPr>
      <w:vertAlign w:val="superscript"/>
    </w:rPr>
  </w:style>
  <w:style w:type="paragraph" w:styleId="Sinespaciado">
    <w:name w:val="No Spacing"/>
    <w:link w:val="SinespaciadoCar"/>
    <w:uiPriority w:val="1"/>
    <w:qFormat/>
    <w:rsid w:val="00C13380"/>
    <w:pPr>
      <w:spacing w:after="0" w:line="240" w:lineRule="auto"/>
    </w:pPr>
    <w:rPr>
      <w:rFonts w:ascii="Calibri" w:eastAsia="MS Mincho" w:hAnsi="Calibri" w:cs="Times New Roman"/>
      <w:lang w:val="es-DO"/>
    </w:rPr>
  </w:style>
  <w:style w:type="character" w:customStyle="1" w:styleId="SinespaciadoCar">
    <w:name w:val="Sin espaciado Car"/>
    <w:basedOn w:val="Fuentedeprrafopredeter"/>
    <w:link w:val="Sinespaciado"/>
    <w:uiPriority w:val="1"/>
    <w:rsid w:val="00C13380"/>
    <w:rPr>
      <w:rFonts w:ascii="Calibri" w:eastAsia="MS Mincho" w:hAnsi="Calibri" w:cs="Times New Roman"/>
      <w:lang w:val="es-DO"/>
    </w:rPr>
  </w:style>
  <w:style w:type="character" w:customStyle="1" w:styleId="apple-converted-space">
    <w:name w:val="apple-converted-space"/>
    <w:basedOn w:val="Fuentedeprrafopredeter"/>
    <w:rsid w:val="00C13380"/>
  </w:style>
  <w:style w:type="paragraph" w:styleId="Piedepgina">
    <w:name w:val="footer"/>
    <w:basedOn w:val="Normal"/>
    <w:link w:val="PiedepginaCar"/>
    <w:uiPriority w:val="99"/>
    <w:unhideWhenUsed/>
    <w:rsid w:val="00E675C2"/>
    <w:pPr>
      <w:tabs>
        <w:tab w:val="center" w:pos="4419"/>
        <w:tab w:val="right" w:pos="8838"/>
      </w:tabs>
      <w:spacing w:after="0" w:line="240" w:lineRule="auto"/>
    </w:pPr>
    <w:rPr>
      <w:rFonts w:ascii="Calibri" w:eastAsia="MS Mincho" w:hAnsi="Calibri" w:cs="Times New Roman"/>
      <w:sz w:val="20"/>
      <w:szCs w:val="20"/>
    </w:rPr>
  </w:style>
  <w:style w:type="character" w:customStyle="1" w:styleId="PiedepginaCar">
    <w:name w:val="Pie de página Car"/>
    <w:basedOn w:val="Fuentedeprrafopredeter"/>
    <w:link w:val="Piedepgina"/>
    <w:uiPriority w:val="99"/>
    <w:rsid w:val="00E675C2"/>
    <w:rPr>
      <w:rFonts w:ascii="Calibri" w:eastAsia="MS Mincho" w:hAnsi="Calibri" w:cs="Times New Roman"/>
      <w:sz w:val="20"/>
      <w:szCs w:val="20"/>
      <w:lang w:val="es-DO"/>
    </w:rPr>
  </w:style>
  <w:style w:type="table" w:customStyle="1" w:styleId="Tablaconcuadrcula1">
    <w:name w:val="Tabla con cuadrícula1"/>
    <w:basedOn w:val="Tablanormal"/>
    <w:uiPriority w:val="59"/>
    <w:rsid w:val="00481200"/>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8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481200"/>
    <w:pPr>
      <w:spacing w:after="0" w:line="240" w:lineRule="auto"/>
    </w:pPr>
    <w:rPr>
      <w:rFonts w:asciiTheme="majorHAnsi" w:eastAsiaTheme="majorEastAsia" w:hAnsiTheme="majorHAnsi" w:cstheme="majorBidi"/>
      <w:color w:val="000000" w:themeColor="text1"/>
      <w:sz w:val="20"/>
      <w:szCs w:val="20"/>
      <w:lang w:val="es-DO" w:eastAsia="es-D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concuadrcula">
    <w:name w:val="Table Grid"/>
    <w:basedOn w:val="Tablanormal"/>
    <w:uiPriority w:val="39"/>
    <w:rsid w:val="0048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2D1C59"/>
    <w:rPr>
      <w:rFonts w:ascii="Book Antiqua" w:eastAsia="Times New Roman" w:hAnsi="Book Antiqua" w:cs="Times New Roman"/>
      <w:b/>
      <w:sz w:val="32"/>
      <w:szCs w:val="20"/>
      <w:lang w:eastAsia="es-ES"/>
    </w:rPr>
  </w:style>
  <w:style w:type="character" w:customStyle="1" w:styleId="Ttulo2Car">
    <w:name w:val="Título 2 Car"/>
    <w:basedOn w:val="Fuentedeprrafopredeter"/>
    <w:link w:val="Ttulo2"/>
    <w:uiPriority w:val="9"/>
    <w:rsid w:val="002D1C59"/>
    <w:rPr>
      <w:rFonts w:asciiTheme="majorHAnsi" w:eastAsiaTheme="majorEastAsia" w:hAnsiTheme="majorHAnsi" w:cstheme="majorBidi"/>
      <w:color w:val="2E74B5" w:themeColor="accent1" w:themeShade="BF"/>
      <w:sz w:val="26"/>
      <w:szCs w:val="26"/>
      <w:lang w:val="es-DO"/>
    </w:rPr>
  </w:style>
  <w:style w:type="character" w:customStyle="1" w:styleId="Ttulo3Car">
    <w:name w:val="Título 3 Car"/>
    <w:basedOn w:val="Fuentedeprrafopredeter"/>
    <w:link w:val="Ttulo3"/>
    <w:rsid w:val="002D1C59"/>
    <w:rPr>
      <w:rFonts w:ascii="Arial" w:eastAsia="MS Mincho" w:hAnsi="Arial" w:cs="Arial"/>
      <w:bCs/>
      <w:sz w:val="28"/>
      <w:szCs w:val="26"/>
      <w:lang w:val="es-DO" w:eastAsia="es-ES"/>
    </w:rPr>
  </w:style>
  <w:style w:type="character" w:customStyle="1" w:styleId="Ttulo4Car">
    <w:name w:val="Título 4 Car"/>
    <w:basedOn w:val="Fuentedeprrafopredeter"/>
    <w:link w:val="Ttulo4"/>
    <w:rsid w:val="002D1C59"/>
    <w:rPr>
      <w:rFonts w:ascii="Arial" w:eastAsia="MS Mincho" w:hAnsi="Arial" w:cs="Times New Roman"/>
      <w:bCs/>
      <w:sz w:val="28"/>
      <w:szCs w:val="28"/>
      <w:lang w:val="es-DO" w:eastAsia="es-ES"/>
    </w:rPr>
  </w:style>
  <w:style w:type="character" w:customStyle="1" w:styleId="Ttulo5Car">
    <w:name w:val="Título 5 Car"/>
    <w:basedOn w:val="Fuentedeprrafopredeter"/>
    <w:link w:val="Ttulo5"/>
    <w:rsid w:val="002D1C59"/>
    <w:rPr>
      <w:rFonts w:ascii="Arial" w:eastAsia="MS Mincho" w:hAnsi="Arial" w:cs="Times New Roman"/>
      <w:bCs/>
      <w:i/>
      <w:iCs/>
      <w:sz w:val="26"/>
      <w:szCs w:val="26"/>
      <w:lang w:val="es-DO" w:eastAsia="es-ES"/>
    </w:rPr>
  </w:style>
  <w:style w:type="character" w:customStyle="1" w:styleId="Ttulo6Car">
    <w:name w:val="Título 6 Car"/>
    <w:basedOn w:val="Fuentedeprrafopredeter"/>
    <w:link w:val="Ttulo6"/>
    <w:rsid w:val="002D1C59"/>
    <w:rPr>
      <w:rFonts w:ascii="Tahoma" w:eastAsia="MS Mincho" w:hAnsi="Tahoma" w:cs="Tahoma"/>
      <w:b/>
      <w:bCs/>
      <w:sz w:val="28"/>
      <w:szCs w:val="28"/>
      <w:u w:val="single"/>
      <w:lang w:val="es-DO" w:eastAsia="es-ES"/>
    </w:rPr>
  </w:style>
  <w:style w:type="character" w:customStyle="1" w:styleId="Ttulo7Car">
    <w:name w:val="Título 7 Car"/>
    <w:basedOn w:val="Fuentedeprrafopredeter"/>
    <w:link w:val="Ttulo7"/>
    <w:rsid w:val="002D1C59"/>
    <w:rPr>
      <w:rFonts w:ascii="Times New Roman" w:eastAsia="MS Mincho" w:hAnsi="Times New Roman" w:cs="Times New Roman"/>
      <w:sz w:val="24"/>
      <w:szCs w:val="24"/>
      <w:lang w:val="es-DO" w:eastAsia="es-ES"/>
    </w:rPr>
  </w:style>
  <w:style w:type="character" w:customStyle="1" w:styleId="Ttulo8Car">
    <w:name w:val="Título 8 Car"/>
    <w:basedOn w:val="Fuentedeprrafopredeter"/>
    <w:link w:val="Ttulo8"/>
    <w:rsid w:val="002D1C59"/>
    <w:rPr>
      <w:rFonts w:ascii="Times New Roman" w:eastAsia="MS Mincho" w:hAnsi="Times New Roman" w:cs="Times New Roman"/>
      <w:i/>
      <w:iCs/>
      <w:sz w:val="24"/>
      <w:szCs w:val="24"/>
      <w:lang w:val="es-DO" w:eastAsia="es-ES"/>
    </w:rPr>
  </w:style>
  <w:style w:type="character" w:customStyle="1" w:styleId="Ttulo9Car">
    <w:name w:val="Título 9 Car"/>
    <w:basedOn w:val="Fuentedeprrafopredeter"/>
    <w:link w:val="Ttulo9"/>
    <w:rsid w:val="002D1C59"/>
    <w:rPr>
      <w:rFonts w:ascii="Arial" w:eastAsia="MS Mincho" w:hAnsi="Arial" w:cs="Arial"/>
      <w:lang w:val="es-DO" w:eastAsia="es-ES"/>
    </w:rPr>
  </w:style>
  <w:style w:type="paragraph" w:styleId="Encabezado">
    <w:name w:val="header"/>
    <w:basedOn w:val="Normal"/>
    <w:link w:val="EncabezadoCar"/>
    <w:uiPriority w:val="99"/>
    <w:unhideWhenUsed/>
    <w:rsid w:val="002D1C59"/>
    <w:pPr>
      <w:tabs>
        <w:tab w:val="center" w:pos="4419"/>
        <w:tab w:val="right" w:pos="8838"/>
      </w:tabs>
      <w:spacing w:after="0" w:line="240" w:lineRule="auto"/>
    </w:pPr>
    <w:rPr>
      <w:rFonts w:ascii="Calibri" w:eastAsia="MS Mincho" w:hAnsi="Calibri" w:cs="Times New Roman"/>
      <w:sz w:val="20"/>
      <w:szCs w:val="20"/>
    </w:rPr>
  </w:style>
  <w:style w:type="character" w:customStyle="1" w:styleId="EncabezadoCar">
    <w:name w:val="Encabezado Car"/>
    <w:basedOn w:val="Fuentedeprrafopredeter"/>
    <w:link w:val="Encabezado"/>
    <w:uiPriority w:val="99"/>
    <w:rsid w:val="002D1C59"/>
    <w:rPr>
      <w:rFonts w:ascii="Calibri" w:eastAsia="MS Mincho" w:hAnsi="Calibri" w:cs="Times New Roman"/>
      <w:sz w:val="20"/>
      <w:szCs w:val="20"/>
      <w:lang w:val="es-DO"/>
    </w:rPr>
  </w:style>
  <w:style w:type="character" w:customStyle="1" w:styleId="TextodegloboCar">
    <w:name w:val="Texto de globo Car"/>
    <w:basedOn w:val="Fuentedeprrafopredeter"/>
    <w:link w:val="Textodeglobo"/>
    <w:rsid w:val="002D1C59"/>
    <w:rPr>
      <w:rFonts w:ascii="Tahoma" w:eastAsia="MS Mincho" w:hAnsi="Tahoma" w:cs="Times New Roman"/>
      <w:sz w:val="16"/>
      <w:szCs w:val="16"/>
    </w:rPr>
  </w:style>
  <w:style w:type="paragraph" w:styleId="Textodeglobo">
    <w:name w:val="Balloon Text"/>
    <w:basedOn w:val="Normal"/>
    <w:link w:val="TextodegloboCar"/>
    <w:unhideWhenUsed/>
    <w:rsid w:val="002D1C59"/>
    <w:pPr>
      <w:spacing w:after="0" w:line="240" w:lineRule="auto"/>
    </w:pPr>
    <w:rPr>
      <w:rFonts w:ascii="Tahoma" w:eastAsia="MS Mincho" w:hAnsi="Tahoma" w:cs="Times New Roman"/>
      <w:sz w:val="16"/>
      <w:szCs w:val="16"/>
      <w:lang w:val="es-ES"/>
    </w:rPr>
  </w:style>
  <w:style w:type="character" w:customStyle="1" w:styleId="TextodegloboCar1">
    <w:name w:val="Texto de globo Car1"/>
    <w:basedOn w:val="Fuentedeprrafopredeter"/>
    <w:uiPriority w:val="99"/>
    <w:semiHidden/>
    <w:rsid w:val="002D1C59"/>
    <w:rPr>
      <w:rFonts w:ascii="Segoe UI" w:hAnsi="Segoe UI" w:cs="Segoe UI"/>
      <w:sz w:val="18"/>
      <w:szCs w:val="18"/>
      <w:lang w:val="es-DO"/>
    </w:rPr>
  </w:style>
  <w:style w:type="character" w:customStyle="1" w:styleId="smallformelement">
    <w:name w:val="smallformelement"/>
    <w:basedOn w:val="Fuentedeprrafopredeter"/>
    <w:rsid w:val="002D1C59"/>
  </w:style>
  <w:style w:type="paragraph" w:styleId="Textosinformato">
    <w:name w:val="Plain Text"/>
    <w:basedOn w:val="Normal"/>
    <w:link w:val="TextosinformatoCar"/>
    <w:uiPriority w:val="99"/>
    <w:semiHidden/>
    <w:unhideWhenUsed/>
    <w:rsid w:val="002D1C59"/>
    <w:pPr>
      <w:spacing w:after="0" w:line="240" w:lineRule="auto"/>
    </w:pPr>
    <w:rPr>
      <w:rFonts w:ascii="Consolas" w:eastAsia="Calibri" w:hAnsi="Consolas" w:cs="Consolas"/>
      <w:sz w:val="21"/>
      <w:szCs w:val="21"/>
      <w:lang w:val="en-US"/>
    </w:rPr>
  </w:style>
  <w:style w:type="character" w:customStyle="1" w:styleId="TextosinformatoCar">
    <w:name w:val="Texto sin formato Car"/>
    <w:basedOn w:val="Fuentedeprrafopredeter"/>
    <w:link w:val="Textosinformato"/>
    <w:uiPriority w:val="99"/>
    <w:semiHidden/>
    <w:rsid w:val="002D1C59"/>
    <w:rPr>
      <w:rFonts w:ascii="Consolas" w:eastAsia="Calibri" w:hAnsi="Consolas" w:cs="Consolas"/>
      <w:sz w:val="21"/>
      <w:szCs w:val="21"/>
      <w:lang w:val="en-US"/>
    </w:rPr>
  </w:style>
  <w:style w:type="paragraph" w:styleId="TDC1">
    <w:name w:val="toc 1"/>
    <w:basedOn w:val="Normal"/>
    <w:next w:val="Normal"/>
    <w:autoRedefine/>
    <w:uiPriority w:val="39"/>
    <w:rsid w:val="000A162C"/>
    <w:pPr>
      <w:tabs>
        <w:tab w:val="left" w:pos="720"/>
        <w:tab w:val="right" w:leader="dot" w:pos="9180"/>
      </w:tabs>
      <w:spacing w:after="0" w:line="360" w:lineRule="auto"/>
    </w:pPr>
    <w:rPr>
      <w:rFonts w:ascii="Arial" w:eastAsia="MS Mincho" w:hAnsi="Arial" w:cs="Times New Roman"/>
      <w:szCs w:val="24"/>
      <w:lang w:eastAsia="es-ES"/>
    </w:rPr>
  </w:style>
  <w:style w:type="paragraph" w:styleId="TDC2">
    <w:name w:val="toc 2"/>
    <w:basedOn w:val="Normal"/>
    <w:next w:val="Normal"/>
    <w:autoRedefine/>
    <w:uiPriority w:val="39"/>
    <w:rsid w:val="002D1C59"/>
    <w:pPr>
      <w:spacing w:after="0" w:line="240" w:lineRule="auto"/>
      <w:ind w:left="240"/>
    </w:pPr>
    <w:rPr>
      <w:rFonts w:ascii="Arial" w:eastAsia="MS Mincho" w:hAnsi="Arial" w:cs="Times New Roman"/>
      <w:szCs w:val="24"/>
      <w:lang w:eastAsia="es-ES"/>
    </w:rPr>
  </w:style>
  <w:style w:type="paragraph" w:styleId="TDC3">
    <w:name w:val="toc 3"/>
    <w:basedOn w:val="Normal"/>
    <w:next w:val="Normal"/>
    <w:autoRedefine/>
    <w:uiPriority w:val="39"/>
    <w:rsid w:val="002D1C59"/>
    <w:pPr>
      <w:tabs>
        <w:tab w:val="left" w:pos="1320"/>
        <w:tab w:val="right" w:leader="dot" w:pos="9113"/>
      </w:tabs>
      <w:spacing w:after="0" w:line="240" w:lineRule="auto"/>
      <w:jc w:val="right"/>
    </w:pPr>
    <w:rPr>
      <w:rFonts w:ascii="Arial" w:eastAsia="MS Mincho" w:hAnsi="Arial" w:cs="Times New Roman"/>
      <w:szCs w:val="24"/>
      <w:lang w:eastAsia="es-ES"/>
    </w:rPr>
  </w:style>
  <w:style w:type="paragraph" w:customStyle="1" w:styleId="texto">
    <w:name w:val="texto"/>
    <w:basedOn w:val="Normal"/>
    <w:rsid w:val="002D1C59"/>
    <w:pPr>
      <w:spacing w:before="100" w:beforeAutospacing="1" w:after="100" w:afterAutospacing="1" w:line="240" w:lineRule="auto"/>
    </w:pPr>
    <w:rPr>
      <w:rFonts w:ascii="Arial" w:eastAsia="Times New Roman" w:hAnsi="Arial" w:cs="Arial"/>
      <w:color w:val="000000"/>
      <w:sz w:val="20"/>
      <w:szCs w:val="20"/>
      <w:lang w:val="es-ES" w:eastAsia="es-ES"/>
    </w:rPr>
  </w:style>
  <w:style w:type="character" w:customStyle="1" w:styleId="MapadeldocumentoCar">
    <w:name w:val="Mapa del documento Car"/>
    <w:basedOn w:val="Fuentedeprrafopredeter"/>
    <w:link w:val="Mapadeldocumento"/>
    <w:semiHidden/>
    <w:rsid w:val="002D1C59"/>
    <w:rPr>
      <w:rFonts w:ascii="Tahoma" w:eastAsia="MS Mincho" w:hAnsi="Tahoma" w:cs="Tahoma"/>
      <w:sz w:val="20"/>
      <w:szCs w:val="20"/>
      <w:shd w:val="clear" w:color="auto" w:fill="000080"/>
      <w:lang w:eastAsia="es-ES"/>
    </w:rPr>
  </w:style>
  <w:style w:type="paragraph" w:styleId="Mapadeldocumento">
    <w:name w:val="Document Map"/>
    <w:basedOn w:val="Normal"/>
    <w:link w:val="MapadeldocumentoCar"/>
    <w:semiHidden/>
    <w:rsid w:val="002D1C59"/>
    <w:pPr>
      <w:shd w:val="clear" w:color="auto" w:fill="000080"/>
      <w:spacing w:after="0" w:line="240" w:lineRule="auto"/>
    </w:pPr>
    <w:rPr>
      <w:rFonts w:ascii="Tahoma" w:eastAsia="MS Mincho" w:hAnsi="Tahoma" w:cs="Tahoma"/>
      <w:sz w:val="20"/>
      <w:szCs w:val="20"/>
      <w:lang w:val="es-ES" w:eastAsia="es-ES"/>
    </w:rPr>
  </w:style>
  <w:style w:type="character" w:customStyle="1" w:styleId="MapadeldocumentoCar1">
    <w:name w:val="Mapa del documento Car1"/>
    <w:basedOn w:val="Fuentedeprrafopredeter"/>
    <w:uiPriority w:val="99"/>
    <w:semiHidden/>
    <w:rsid w:val="002D1C59"/>
    <w:rPr>
      <w:rFonts w:ascii="Segoe UI" w:hAnsi="Segoe UI" w:cs="Segoe UI"/>
      <w:sz w:val="16"/>
      <w:szCs w:val="16"/>
      <w:lang w:val="es-DO"/>
    </w:rPr>
  </w:style>
  <w:style w:type="character" w:styleId="Hipervnculo">
    <w:name w:val="Hyperlink"/>
    <w:basedOn w:val="Fuentedeprrafopredeter"/>
    <w:uiPriority w:val="99"/>
    <w:rsid w:val="002D1C59"/>
    <w:rPr>
      <w:color w:val="0000FF"/>
      <w:u w:val="single"/>
    </w:rPr>
  </w:style>
  <w:style w:type="paragraph" w:styleId="TDC4">
    <w:name w:val="toc 4"/>
    <w:basedOn w:val="Normal"/>
    <w:next w:val="Normal"/>
    <w:autoRedefine/>
    <w:uiPriority w:val="39"/>
    <w:rsid w:val="002D1C59"/>
    <w:pPr>
      <w:spacing w:after="0" w:line="240" w:lineRule="auto"/>
      <w:ind w:left="720"/>
    </w:pPr>
    <w:rPr>
      <w:rFonts w:ascii="Arial" w:eastAsia="Times New Roman" w:hAnsi="Arial" w:cs="Times New Roman"/>
      <w:szCs w:val="24"/>
      <w:lang w:val="es-ES" w:eastAsia="es-ES"/>
    </w:rPr>
  </w:style>
  <w:style w:type="paragraph" w:customStyle="1" w:styleId="EstiloTtulo4Justificado">
    <w:name w:val="Estilo Título 4 + Justificado"/>
    <w:basedOn w:val="Ttulo4"/>
    <w:rsid w:val="002D1C59"/>
    <w:pPr>
      <w:tabs>
        <w:tab w:val="num" w:pos="864"/>
      </w:tabs>
      <w:spacing w:line="360" w:lineRule="auto"/>
      <w:ind w:left="864" w:hanging="864"/>
      <w:jc w:val="both"/>
    </w:pPr>
    <w:rPr>
      <w:rFonts w:eastAsia="Times New Roman"/>
      <w:bCs w:val="0"/>
      <w:i/>
      <w:color w:val="44546A" w:themeColor="text2"/>
      <w:szCs w:val="20"/>
    </w:rPr>
  </w:style>
  <w:style w:type="paragraph" w:customStyle="1" w:styleId="EstiloTtulo3Justificado">
    <w:name w:val="Estilo Título 3 + Justificado"/>
    <w:basedOn w:val="Ttulo3"/>
    <w:rsid w:val="002D1C59"/>
    <w:pPr>
      <w:tabs>
        <w:tab w:val="num" w:pos="720"/>
      </w:tabs>
      <w:ind w:left="720" w:hanging="720"/>
      <w:jc w:val="both"/>
    </w:pPr>
    <w:rPr>
      <w:rFonts w:eastAsia="Times New Roman" w:cs="Times New Roman"/>
      <w:bCs w:val="0"/>
      <w:color w:val="44546A" w:themeColor="text2"/>
      <w:szCs w:val="20"/>
    </w:rPr>
  </w:style>
  <w:style w:type="character" w:customStyle="1" w:styleId="noticia1">
    <w:name w:val="noticia1"/>
    <w:basedOn w:val="Fuentedeprrafopredeter"/>
    <w:rsid w:val="002D1C59"/>
    <w:rPr>
      <w:rFonts w:ascii="Verdana" w:hAnsi="Verdana" w:hint="default"/>
      <w:sz w:val="16"/>
      <w:szCs w:val="16"/>
    </w:rPr>
  </w:style>
  <w:style w:type="paragraph" w:styleId="NormalWeb">
    <w:name w:val="Normal (Web)"/>
    <w:basedOn w:val="Normal"/>
    <w:uiPriority w:val="99"/>
    <w:rsid w:val="002D1C59"/>
    <w:pPr>
      <w:spacing w:before="100" w:beforeAutospacing="1" w:after="100" w:afterAutospacing="1" w:line="240" w:lineRule="auto"/>
    </w:pPr>
    <w:rPr>
      <w:rFonts w:eastAsia="Times New Roman" w:cs="Times New Roman"/>
      <w:color w:val="003399"/>
      <w:szCs w:val="24"/>
      <w:lang w:val="en-US"/>
    </w:rPr>
  </w:style>
  <w:style w:type="paragraph" w:styleId="Descripcin">
    <w:name w:val="caption"/>
    <w:basedOn w:val="Normal"/>
    <w:next w:val="Normal"/>
    <w:qFormat/>
    <w:rsid w:val="002D1C59"/>
    <w:pPr>
      <w:spacing w:after="0" w:line="240" w:lineRule="auto"/>
      <w:jc w:val="center"/>
    </w:pPr>
    <w:rPr>
      <w:rFonts w:eastAsia="MS Mincho" w:cs="Times New Roman"/>
      <w:b/>
      <w:szCs w:val="20"/>
      <w:lang w:eastAsia="es-ES"/>
    </w:rPr>
  </w:style>
  <w:style w:type="paragraph" w:customStyle="1" w:styleId="Textoindependiente21">
    <w:name w:val="Texto independiente 21"/>
    <w:basedOn w:val="Normal"/>
    <w:rsid w:val="002D1C59"/>
    <w:pPr>
      <w:suppressAutoHyphens/>
      <w:spacing w:after="0" w:line="240" w:lineRule="auto"/>
      <w:jc w:val="both"/>
    </w:pPr>
    <w:rPr>
      <w:rFonts w:eastAsia="Times New Roman" w:cs="Times New Roman"/>
      <w:i/>
      <w:color w:val="000000"/>
      <w:szCs w:val="20"/>
      <w:lang w:val="es-ES_tradnl" w:eastAsia="ar-SA"/>
    </w:rPr>
  </w:style>
  <w:style w:type="paragraph" w:styleId="Puesto">
    <w:name w:val="Title"/>
    <w:basedOn w:val="Normal"/>
    <w:next w:val="Normal"/>
    <w:link w:val="PuestoCar"/>
    <w:qFormat/>
    <w:rsid w:val="002D1C59"/>
    <w:pPr>
      <w:pBdr>
        <w:bottom w:val="single" w:sz="8" w:space="4" w:color="5B9BD5" w:themeColor="accent1"/>
      </w:pBdr>
      <w:spacing w:after="300" w:line="240" w:lineRule="auto"/>
      <w:contextualSpacing/>
    </w:pPr>
    <w:rPr>
      <w:rFonts w:ascii="Arial" w:eastAsiaTheme="majorEastAsia" w:hAnsi="Arial" w:cstheme="majorBidi"/>
      <w:color w:val="323E4F" w:themeColor="text2" w:themeShade="BF"/>
      <w:spacing w:val="5"/>
      <w:kern w:val="28"/>
      <w:sz w:val="44"/>
      <w:szCs w:val="52"/>
      <w:lang w:eastAsia="es-ES"/>
    </w:rPr>
  </w:style>
  <w:style w:type="character" w:customStyle="1" w:styleId="PuestoCar">
    <w:name w:val="Puesto Car"/>
    <w:basedOn w:val="Fuentedeprrafopredeter"/>
    <w:link w:val="Puesto"/>
    <w:rsid w:val="002D1C59"/>
    <w:rPr>
      <w:rFonts w:ascii="Arial" w:eastAsiaTheme="majorEastAsia" w:hAnsi="Arial" w:cstheme="majorBidi"/>
      <w:color w:val="323E4F" w:themeColor="text2" w:themeShade="BF"/>
      <w:spacing w:val="5"/>
      <w:kern w:val="28"/>
      <w:sz w:val="44"/>
      <w:szCs w:val="52"/>
      <w:lang w:val="es-DO" w:eastAsia="es-ES"/>
    </w:rPr>
  </w:style>
  <w:style w:type="character" w:styleId="nfasisintenso">
    <w:name w:val="Intense Emphasis"/>
    <w:basedOn w:val="Fuentedeprrafopredeter"/>
    <w:uiPriority w:val="21"/>
    <w:qFormat/>
    <w:rsid w:val="002D1C59"/>
    <w:rPr>
      <w:b/>
      <w:bCs/>
      <w:i/>
      <w:iCs/>
      <w:color w:val="5B9BD5" w:themeColor="accent1"/>
    </w:rPr>
  </w:style>
  <w:style w:type="paragraph" w:styleId="Textoindependiente">
    <w:name w:val="Body Text"/>
    <w:basedOn w:val="Normal"/>
    <w:link w:val="TextoindependienteCar"/>
    <w:rsid w:val="002D1C59"/>
    <w:pPr>
      <w:spacing w:after="120" w:line="240" w:lineRule="auto"/>
    </w:pPr>
    <w:rPr>
      <w:rFonts w:eastAsia="Times New Roman" w:cs="Times New Roman"/>
      <w:szCs w:val="24"/>
      <w:lang w:val="es-ES" w:eastAsia="es-ES"/>
    </w:rPr>
  </w:style>
  <w:style w:type="character" w:customStyle="1" w:styleId="TextoindependienteCar">
    <w:name w:val="Texto independiente Car"/>
    <w:basedOn w:val="Fuentedeprrafopredeter"/>
    <w:link w:val="Textoindependiente"/>
    <w:rsid w:val="002D1C59"/>
    <w:rPr>
      <w:rFonts w:ascii="Times New Roman" w:eastAsia="Times New Roman" w:hAnsi="Times New Roman" w:cs="Times New Roman"/>
      <w:sz w:val="24"/>
      <w:szCs w:val="24"/>
      <w:lang w:eastAsia="es-ES"/>
    </w:rPr>
  </w:style>
  <w:style w:type="paragraph" w:customStyle="1" w:styleId="Normalindependiente">
    <w:name w:val="Normal independiente"/>
    <w:basedOn w:val="Normal"/>
    <w:rsid w:val="002D1C59"/>
    <w:pPr>
      <w:spacing w:after="0" w:line="240" w:lineRule="auto"/>
    </w:pPr>
    <w:rPr>
      <w:rFonts w:eastAsia="Times New Roman" w:cs="Times New Roman"/>
      <w:szCs w:val="24"/>
      <w:lang w:val="es-ES_tradnl" w:eastAsia="es-ES_tradnl"/>
    </w:rPr>
  </w:style>
  <w:style w:type="paragraph" w:styleId="Textoindependiente3">
    <w:name w:val="Body Text 3"/>
    <w:basedOn w:val="Normal"/>
    <w:link w:val="Textoindependiente3Car"/>
    <w:unhideWhenUsed/>
    <w:rsid w:val="002D1C59"/>
    <w:pPr>
      <w:spacing w:after="120" w:line="240" w:lineRule="auto"/>
    </w:pPr>
    <w:rPr>
      <w:rFonts w:eastAsia="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D1C59"/>
    <w:rPr>
      <w:rFonts w:ascii="Times New Roman" w:eastAsia="Times New Roman" w:hAnsi="Times New Roman" w:cs="Times New Roman"/>
      <w:sz w:val="16"/>
      <w:szCs w:val="16"/>
      <w:lang w:eastAsia="es-ES"/>
    </w:rPr>
  </w:style>
  <w:style w:type="character" w:styleId="nfasis">
    <w:name w:val="Emphasis"/>
    <w:basedOn w:val="Fuentedeprrafopredeter"/>
    <w:qFormat/>
    <w:rsid w:val="002D1C59"/>
    <w:rPr>
      <w:i/>
      <w:iCs/>
    </w:rPr>
  </w:style>
  <w:style w:type="character" w:customStyle="1" w:styleId="cntviewertitle1">
    <w:name w:val="cntviewer_title1"/>
    <w:basedOn w:val="Fuentedeprrafopredeter"/>
    <w:rsid w:val="002D1C59"/>
    <w:rPr>
      <w:rFonts w:ascii="Georgia" w:hAnsi="Georgia" w:hint="default"/>
      <w:b/>
      <w:bCs/>
      <w:color w:val="021C3C"/>
      <w:sz w:val="24"/>
      <w:szCs w:val="24"/>
    </w:rPr>
  </w:style>
  <w:style w:type="paragraph" w:styleId="Textoindependiente2">
    <w:name w:val="Body Text 2"/>
    <w:basedOn w:val="Normal"/>
    <w:link w:val="Textoindependiente2Car"/>
    <w:rsid w:val="002D1C59"/>
    <w:pPr>
      <w:spacing w:after="120" w:line="480" w:lineRule="auto"/>
    </w:pPr>
    <w:rPr>
      <w:rFonts w:eastAsia="Times New Roman" w:cs="Times New Roman"/>
      <w:szCs w:val="24"/>
      <w:lang w:val="es-ES_tradnl" w:eastAsia="es-ES_tradnl"/>
    </w:rPr>
  </w:style>
  <w:style w:type="character" w:customStyle="1" w:styleId="Textoindependiente2Car">
    <w:name w:val="Texto independiente 2 Car"/>
    <w:basedOn w:val="Fuentedeprrafopredeter"/>
    <w:link w:val="Textoindependiente2"/>
    <w:rsid w:val="002D1C59"/>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2D1C59"/>
    <w:rPr>
      <w:rFonts w:ascii="Times New Roman" w:eastAsia="MS Mincho" w:hAnsi="Times New Roman" w:cs="Times New Roman"/>
      <w:sz w:val="20"/>
      <w:szCs w:val="20"/>
      <w:lang w:eastAsia="es-ES"/>
    </w:rPr>
  </w:style>
  <w:style w:type="paragraph" w:styleId="Textocomentario">
    <w:name w:val="annotation text"/>
    <w:basedOn w:val="Normal"/>
    <w:link w:val="TextocomentarioCar"/>
    <w:uiPriority w:val="99"/>
    <w:unhideWhenUsed/>
    <w:rsid w:val="002D1C59"/>
    <w:pPr>
      <w:spacing w:after="0" w:line="240" w:lineRule="auto"/>
    </w:pPr>
    <w:rPr>
      <w:rFonts w:eastAsia="MS Mincho" w:cs="Times New Roman"/>
      <w:sz w:val="20"/>
      <w:szCs w:val="20"/>
      <w:lang w:val="es-ES" w:eastAsia="es-ES"/>
    </w:rPr>
  </w:style>
  <w:style w:type="character" w:customStyle="1" w:styleId="TextocomentarioCar1">
    <w:name w:val="Texto comentario Car1"/>
    <w:basedOn w:val="Fuentedeprrafopredeter"/>
    <w:uiPriority w:val="99"/>
    <w:semiHidden/>
    <w:rsid w:val="002D1C59"/>
    <w:rPr>
      <w:sz w:val="20"/>
      <w:szCs w:val="20"/>
      <w:lang w:val="es-DO"/>
    </w:rPr>
  </w:style>
  <w:style w:type="character" w:customStyle="1" w:styleId="AsuntodelcomentarioCar">
    <w:name w:val="Asunto del comentario Car"/>
    <w:basedOn w:val="TextocomentarioCar"/>
    <w:link w:val="Asuntodelcomentario"/>
    <w:rsid w:val="002D1C59"/>
    <w:rPr>
      <w:rFonts w:ascii="Times New Roman" w:eastAsia="MS Mincho" w:hAnsi="Times New Roman" w:cs="Times New Roman"/>
      <w:b/>
      <w:bCs/>
      <w:sz w:val="20"/>
      <w:szCs w:val="20"/>
      <w:lang w:eastAsia="es-ES"/>
    </w:rPr>
  </w:style>
  <w:style w:type="paragraph" w:styleId="Asuntodelcomentario">
    <w:name w:val="annotation subject"/>
    <w:basedOn w:val="Textocomentario"/>
    <w:next w:val="Textocomentario"/>
    <w:link w:val="AsuntodelcomentarioCar"/>
    <w:unhideWhenUsed/>
    <w:rsid w:val="002D1C59"/>
    <w:rPr>
      <w:b/>
      <w:bCs/>
    </w:rPr>
  </w:style>
  <w:style w:type="character" w:customStyle="1" w:styleId="AsuntodelcomentarioCar1">
    <w:name w:val="Asunto del comentario Car1"/>
    <w:basedOn w:val="TextocomentarioCar1"/>
    <w:uiPriority w:val="99"/>
    <w:semiHidden/>
    <w:rsid w:val="002D1C59"/>
    <w:rPr>
      <w:b/>
      <w:bCs/>
      <w:sz w:val="20"/>
      <w:szCs w:val="20"/>
      <w:lang w:val="es-DO"/>
    </w:rPr>
  </w:style>
  <w:style w:type="paragraph" w:customStyle="1" w:styleId="xl63">
    <w:name w:val="xl63"/>
    <w:basedOn w:val="Normal"/>
    <w:rsid w:val="002D1C5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Cs w:val="24"/>
      <w:lang w:eastAsia="es-DO"/>
    </w:rPr>
  </w:style>
  <w:style w:type="paragraph" w:customStyle="1" w:styleId="xl64">
    <w:name w:val="xl64"/>
    <w:basedOn w:val="Normal"/>
    <w:rsid w:val="002D1C5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Cs w:val="24"/>
      <w:lang w:eastAsia="es-DO"/>
    </w:rPr>
  </w:style>
  <w:style w:type="paragraph" w:customStyle="1" w:styleId="xl65">
    <w:name w:val="xl65"/>
    <w:basedOn w:val="Normal"/>
    <w:rsid w:val="002D1C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es-DO"/>
    </w:rPr>
  </w:style>
  <w:style w:type="paragraph" w:customStyle="1" w:styleId="xl66">
    <w:name w:val="xl66"/>
    <w:basedOn w:val="Normal"/>
    <w:rsid w:val="002D1C59"/>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es-DO"/>
    </w:rPr>
  </w:style>
  <w:style w:type="paragraph" w:customStyle="1" w:styleId="xl67">
    <w:name w:val="xl67"/>
    <w:basedOn w:val="Normal"/>
    <w:rsid w:val="002D1C59"/>
    <w:pPr>
      <w:spacing w:before="100" w:beforeAutospacing="1" w:after="100" w:afterAutospacing="1" w:line="240" w:lineRule="auto"/>
      <w:textAlignment w:val="center"/>
    </w:pPr>
    <w:rPr>
      <w:rFonts w:eastAsia="Times New Roman" w:cs="Times New Roman"/>
      <w:szCs w:val="24"/>
      <w:lang w:eastAsia="es-DO"/>
    </w:rPr>
  </w:style>
  <w:style w:type="paragraph" w:customStyle="1" w:styleId="xl68">
    <w:name w:val="xl68"/>
    <w:basedOn w:val="Normal"/>
    <w:rsid w:val="002D1C5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es-DO"/>
    </w:rPr>
  </w:style>
  <w:style w:type="character" w:styleId="Textoennegrita">
    <w:name w:val="Strong"/>
    <w:basedOn w:val="Fuentedeprrafopredeter"/>
    <w:uiPriority w:val="22"/>
    <w:qFormat/>
    <w:rsid w:val="002D1C59"/>
    <w:rPr>
      <w:b/>
      <w:bCs/>
    </w:rPr>
  </w:style>
  <w:style w:type="paragraph" w:styleId="ndice1">
    <w:name w:val="index 1"/>
    <w:basedOn w:val="Normal"/>
    <w:next w:val="Normal"/>
    <w:autoRedefine/>
    <w:semiHidden/>
    <w:rsid w:val="002D1C59"/>
    <w:pPr>
      <w:spacing w:after="0" w:line="240" w:lineRule="auto"/>
      <w:ind w:left="240" w:hanging="240"/>
    </w:pPr>
    <w:rPr>
      <w:rFonts w:ascii="Arial" w:eastAsia="MS Mincho" w:hAnsi="Arial" w:cs="Times New Roman"/>
      <w:szCs w:val="24"/>
      <w:lang w:eastAsia="es-ES"/>
    </w:rPr>
  </w:style>
  <w:style w:type="numbering" w:customStyle="1" w:styleId="Estilo1">
    <w:name w:val="Estilo1"/>
    <w:uiPriority w:val="99"/>
    <w:rsid w:val="002D1C59"/>
    <w:pPr>
      <w:numPr>
        <w:numId w:val="2"/>
      </w:numPr>
    </w:pPr>
  </w:style>
  <w:style w:type="paragraph" w:customStyle="1" w:styleId="Default">
    <w:name w:val="Default"/>
    <w:rsid w:val="002D1C59"/>
    <w:pPr>
      <w:autoSpaceDE w:val="0"/>
      <w:autoSpaceDN w:val="0"/>
      <w:adjustRightInd w:val="0"/>
      <w:spacing w:after="0" w:line="240" w:lineRule="auto"/>
    </w:pPr>
    <w:rPr>
      <w:rFonts w:ascii="Times New Roman" w:hAnsi="Times New Roman" w:cs="Times New Roman"/>
      <w:color w:val="000000"/>
      <w:sz w:val="24"/>
      <w:szCs w:val="24"/>
      <w:lang w:val="es-DO"/>
    </w:rPr>
  </w:style>
  <w:style w:type="table" w:styleId="Sombreadoclaro-nfasis1">
    <w:name w:val="Light Shading Accent 1"/>
    <w:basedOn w:val="Tablanormal"/>
    <w:uiPriority w:val="60"/>
    <w:rsid w:val="002D1C59"/>
    <w:pPr>
      <w:spacing w:after="0" w:line="240" w:lineRule="auto"/>
    </w:pPr>
    <w:rPr>
      <w:color w:val="2E74B5" w:themeColor="accent1" w:themeShade="BF"/>
      <w:lang w:val="es-D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3">
    <w:name w:val="Light Shading Accent 3"/>
    <w:basedOn w:val="Tablanormal"/>
    <w:uiPriority w:val="60"/>
    <w:rsid w:val="002D1C59"/>
    <w:pPr>
      <w:spacing w:after="0" w:line="240" w:lineRule="auto"/>
    </w:pPr>
    <w:rPr>
      <w:color w:val="7B7B7B" w:themeColor="accent3" w:themeShade="BF"/>
      <w:lang w:val="es-DO"/>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xl69">
    <w:name w:val="xl69"/>
    <w:basedOn w:val="Normal"/>
    <w:rsid w:val="002D1C59"/>
    <w:pPr>
      <w:shd w:val="clear" w:color="000000" w:fill="FFFFFF"/>
      <w:spacing w:before="100" w:beforeAutospacing="1" w:after="100" w:afterAutospacing="1" w:line="240" w:lineRule="auto"/>
      <w:jc w:val="center"/>
    </w:pPr>
    <w:rPr>
      <w:rFonts w:eastAsia="Times New Roman" w:cs="Times New Roman"/>
      <w:b/>
      <w:bCs/>
      <w:szCs w:val="24"/>
      <w:lang w:eastAsia="es-DO"/>
    </w:rPr>
  </w:style>
  <w:style w:type="paragraph" w:customStyle="1" w:styleId="xl70">
    <w:name w:val="xl70"/>
    <w:basedOn w:val="Normal"/>
    <w:rsid w:val="002D1C59"/>
    <w:pPr>
      <w:spacing w:before="100" w:beforeAutospacing="1" w:after="100" w:afterAutospacing="1" w:line="240" w:lineRule="auto"/>
      <w:jc w:val="center"/>
    </w:pPr>
    <w:rPr>
      <w:rFonts w:eastAsia="Times New Roman" w:cs="Times New Roman"/>
      <w:szCs w:val="24"/>
      <w:lang w:eastAsia="es-DO"/>
    </w:rPr>
  </w:style>
  <w:style w:type="paragraph" w:customStyle="1" w:styleId="xl71">
    <w:name w:val="xl71"/>
    <w:basedOn w:val="Normal"/>
    <w:rsid w:val="002D1C59"/>
    <w:pPr>
      <w:pBdr>
        <w:bottom w:val="single" w:sz="4" w:space="0" w:color="auto"/>
      </w:pBdr>
      <w:spacing w:before="100" w:beforeAutospacing="1" w:after="100" w:afterAutospacing="1" w:line="240" w:lineRule="auto"/>
      <w:jc w:val="center"/>
    </w:pPr>
    <w:rPr>
      <w:rFonts w:eastAsia="Times New Roman" w:cs="Times New Roman"/>
      <w:szCs w:val="24"/>
      <w:lang w:eastAsia="es-DO"/>
    </w:rPr>
  </w:style>
  <w:style w:type="paragraph" w:customStyle="1" w:styleId="xl72">
    <w:name w:val="xl72"/>
    <w:basedOn w:val="Normal"/>
    <w:rsid w:val="002D1C59"/>
    <w:pPr>
      <w:spacing w:before="100" w:beforeAutospacing="1" w:after="100" w:afterAutospacing="1" w:line="240" w:lineRule="auto"/>
      <w:jc w:val="center"/>
    </w:pPr>
    <w:rPr>
      <w:rFonts w:eastAsia="Times New Roman" w:cs="Times New Roman"/>
      <w:szCs w:val="24"/>
      <w:lang w:eastAsia="es-DO"/>
    </w:rPr>
  </w:style>
  <w:style w:type="paragraph" w:customStyle="1" w:styleId="xl73">
    <w:name w:val="xl73"/>
    <w:basedOn w:val="Normal"/>
    <w:rsid w:val="002D1C59"/>
    <w:pPr>
      <w:spacing w:before="100" w:beforeAutospacing="1" w:after="100" w:afterAutospacing="1" w:line="240" w:lineRule="auto"/>
      <w:jc w:val="center"/>
    </w:pPr>
    <w:rPr>
      <w:rFonts w:eastAsia="Times New Roman" w:cs="Times New Roman"/>
      <w:b/>
      <w:bCs/>
      <w:szCs w:val="24"/>
      <w:lang w:eastAsia="es-DO"/>
    </w:rPr>
  </w:style>
  <w:style w:type="paragraph" w:customStyle="1" w:styleId="xl74">
    <w:name w:val="xl74"/>
    <w:basedOn w:val="Normal"/>
    <w:rsid w:val="002D1C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lang w:eastAsia="es-DO"/>
    </w:rPr>
  </w:style>
  <w:style w:type="paragraph" w:customStyle="1" w:styleId="xl75">
    <w:name w:val="xl75"/>
    <w:basedOn w:val="Normal"/>
    <w:rsid w:val="002D1C59"/>
    <w:pPr>
      <w:shd w:val="clear" w:color="000000" w:fill="FFFFFF"/>
      <w:spacing w:before="100" w:beforeAutospacing="1" w:after="100" w:afterAutospacing="1" w:line="240" w:lineRule="auto"/>
    </w:pPr>
    <w:rPr>
      <w:rFonts w:eastAsia="Times New Roman" w:cs="Times New Roman"/>
      <w:b/>
      <w:bCs/>
      <w:sz w:val="28"/>
      <w:szCs w:val="28"/>
      <w:lang w:eastAsia="es-DO"/>
    </w:rPr>
  </w:style>
  <w:style w:type="paragraph" w:customStyle="1" w:styleId="xl76">
    <w:name w:val="xl76"/>
    <w:basedOn w:val="Normal"/>
    <w:rsid w:val="002D1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es-DO"/>
    </w:rPr>
  </w:style>
  <w:style w:type="paragraph" w:customStyle="1" w:styleId="xl77">
    <w:name w:val="xl77"/>
    <w:basedOn w:val="Normal"/>
    <w:rsid w:val="002D1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es-DO"/>
    </w:rPr>
  </w:style>
  <w:style w:type="paragraph" w:customStyle="1" w:styleId="xl78">
    <w:name w:val="xl78"/>
    <w:basedOn w:val="Normal"/>
    <w:rsid w:val="002D1C59"/>
    <w:pPr>
      <w:spacing w:before="100" w:beforeAutospacing="1" w:after="100" w:afterAutospacing="1" w:line="240" w:lineRule="auto"/>
      <w:jc w:val="center"/>
    </w:pPr>
    <w:rPr>
      <w:rFonts w:eastAsia="Times New Roman" w:cs="Times New Roman"/>
      <w:b/>
      <w:bCs/>
      <w:szCs w:val="24"/>
      <w:lang w:eastAsia="es-DO"/>
    </w:rPr>
  </w:style>
  <w:style w:type="paragraph" w:customStyle="1" w:styleId="xl79">
    <w:name w:val="xl79"/>
    <w:basedOn w:val="Normal"/>
    <w:rsid w:val="002D1C59"/>
    <w:pPr>
      <w:pBdr>
        <w:bottom w:val="single" w:sz="4" w:space="0" w:color="auto"/>
      </w:pBdr>
      <w:spacing w:before="100" w:beforeAutospacing="1" w:after="100" w:afterAutospacing="1" w:line="240" w:lineRule="auto"/>
      <w:jc w:val="center"/>
    </w:pPr>
    <w:rPr>
      <w:rFonts w:eastAsia="Times New Roman" w:cs="Times New Roman"/>
      <w:b/>
      <w:bCs/>
      <w:szCs w:val="24"/>
      <w:lang w:eastAsia="es-DO"/>
    </w:rPr>
  </w:style>
  <w:style w:type="paragraph" w:customStyle="1" w:styleId="xl80">
    <w:name w:val="xl80"/>
    <w:basedOn w:val="Normal"/>
    <w:rsid w:val="002D1C59"/>
    <w:pPr>
      <w:spacing w:before="100" w:beforeAutospacing="1" w:after="100" w:afterAutospacing="1" w:line="240" w:lineRule="auto"/>
      <w:jc w:val="center"/>
    </w:pPr>
    <w:rPr>
      <w:rFonts w:eastAsia="Times New Roman" w:cs="Times New Roman"/>
      <w:b/>
      <w:bCs/>
      <w:szCs w:val="24"/>
      <w:lang w:eastAsia="es-DO"/>
    </w:rPr>
  </w:style>
  <w:style w:type="paragraph" w:customStyle="1" w:styleId="xl81">
    <w:name w:val="xl81"/>
    <w:basedOn w:val="Normal"/>
    <w:rsid w:val="002D1C59"/>
    <w:pPr>
      <w:shd w:val="clear" w:color="000000" w:fill="FFFFFF"/>
      <w:spacing w:before="100" w:beforeAutospacing="1" w:after="100" w:afterAutospacing="1" w:line="240" w:lineRule="auto"/>
      <w:jc w:val="center"/>
    </w:pPr>
    <w:rPr>
      <w:rFonts w:eastAsia="Times New Roman" w:cs="Times New Roman"/>
      <w:b/>
      <w:bCs/>
      <w:sz w:val="28"/>
      <w:szCs w:val="28"/>
      <w:lang w:eastAsia="es-DO"/>
    </w:rPr>
  </w:style>
  <w:style w:type="paragraph" w:customStyle="1" w:styleId="xl82">
    <w:name w:val="xl82"/>
    <w:basedOn w:val="Normal"/>
    <w:rsid w:val="002D1C59"/>
    <w:pPr>
      <w:spacing w:before="100" w:beforeAutospacing="1" w:after="100" w:afterAutospacing="1" w:line="240" w:lineRule="auto"/>
      <w:jc w:val="center"/>
    </w:pPr>
    <w:rPr>
      <w:rFonts w:eastAsia="Times New Roman" w:cs="Times New Roman"/>
      <w:b/>
      <w:bCs/>
      <w:sz w:val="26"/>
      <w:szCs w:val="26"/>
      <w:lang w:eastAsia="es-DO"/>
    </w:rPr>
  </w:style>
  <w:style w:type="paragraph" w:customStyle="1" w:styleId="xl83">
    <w:name w:val="xl83"/>
    <w:basedOn w:val="Normal"/>
    <w:rsid w:val="002D1C59"/>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Cs w:val="24"/>
      <w:lang w:eastAsia="es-DO"/>
    </w:rPr>
  </w:style>
  <w:style w:type="paragraph" w:customStyle="1" w:styleId="xl84">
    <w:name w:val="xl84"/>
    <w:basedOn w:val="Normal"/>
    <w:rsid w:val="002D1C59"/>
    <w:pPr>
      <w:pBdr>
        <w:top w:val="single" w:sz="4" w:space="0" w:color="auto"/>
      </w:pBdr>
      <w:spacing w:before="100" w:beforeAutospacing="1" w:after="100" w:afterAutospacing="1" w:line="240" w:lineRule="auto"/>
      <w:jc w:val="center"/>
    </w:pPr>
    <w:rPr>
      <w:rFonts w:eastAsia="Times New Roman" w:cs="Times New Roman"/>
      <w:b/>
      <w:bCs/>
      <w:szCs w:val="24"/>
      <w:lang w:eastAsia="es-DO"/>
    </w:rPr>
  </w:style>
  <w:style w:type="paragraph" w:customStyle="1" w:styleId="xl85">
    <w:name w:val="xl85"/>
    <w:basedOn w:val="Normal"/>
    <w:rsid w:val="002D1C59"/>
    <w:pPr>
      <w:pBdr>
        <w:bottom w:val="single" w:sz="4" w:space="0" w:color="auto"/>
      </w:pBdr>
      <w:spacing w:before="100" w:beforeAutospacing="1" w:after="100" w:afterAutospacing="1" w:line="240" w:lineRule="auto"/>
    </w:pPr>
    <w:rPr>
      <w:rFonts w:eastAsia="Times New Roman" w:cs="Times New Roman"/>
      <w:b/>
      <w:bCs/>
      <w:szCs w:val="24"/>
      <w:lang w:eastAsia="es-DO"/>
    </w:rPr>
  </w:style>
  <w:style w:type="paragraph" w:customStyle="1" w:styleId="xl86">
    <w:name w:val="xl86"/>
    <w:basedOn w:val="Normal"/>
    <w:rsid w:val="002D1C59"/>
    <w:pPr>
      <w:pBdr>
        <w:top w:val="single" w:sz="4" w:space="0" w:color="auto"/>
        <w:bottom w:val="single" w:sz="4" w:space="0" w:color="auto"/>
      </w:pBdr>
      <w:spacing w:before="100" w:beforeAutospacing="1" w:after="100" w:afterAutospacing="1" w:line="240" w:lineRule="auto"/>
    </w:pPr>
    <w:rPr>
      <w:rFonts w:eastAsia="Times New Roman" w:cs="Times New Roman"/>
      <w:b/>
      <w:bCs/>
      <w:szCs w:val="24"/>
      <w:lang w:eastAsia="es-DO"/>
    </w:rPr>
  </w:style>
  <w:style w:type="paragraph" w:customStyle="1" w:styleId="xl87">
    <w:name w:val="xl87"/>
    <w:basedOn w:val="Normal"/>
    <w:rsid w:val="002D1C59"/>
    <w:pPr>
      <w:spacing w:before="100" w:beforeAutospacing="1" w:after="100" w:afterAutospacing="1" w:line="240" w:lineRule="auto"/>
      <w:jc w:val="center"/>
    </w:pPr>
    <w:rPr>
      <w:rFonts w:eastAsia="Times New Roman" w:cs="Times New Roman"/>
      <w:b/>
      <w:bCs/>
      <w:sz w:val="36"/>
      <w:szCs w:val="36"/>
      <w:lang w:eastAsia="es-DO"/>
    </w:rPr>
  </w:style>
  <w:style w:type="paragraph" w:customStyle="1" w:styleId="xl88">
    <w:name w:val="xl88"/>
    <w:basedOn w:val="Normal"/>
    <w:rsid w:val="002D1C5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pPr>
    <w:rPr>
      <w:rFonts w:eastAsia="Times New Roman" w:cs="Times New Roman"/>
      <w:b/>
      <w:bCs/>
      <w:szCs w:val="24"/>
      <w:lang w:eastAsia="es-DO"/>
    </w:rPr>
  </w:style>
  <w:style w:type="paragraph" w:styleId="TtulodeTDC">
    <w:name w:val="TOC Heading"/>
    <w:basedOn w:val="Ttulo1"/>
    <w:next w:val="Normal"/>
    <w:uiPriority w:val="39"/>
    <w:unhideWhenUsed/>
    <w:qFormat/>
    <w:rsid w:val="002D1C59"/>
    <w:pPr>
      <w:keepLines/>
      <w:spacing w:before="240" w:line="259" w:lineRule="auto"/>
      <w:jc w:val="left"/>
      <w:outlineLvl w:val="9"/>
    </w:pPr>
    <w:rPr>
      <w:rFonts w:asciiTheme="majorHAnsi" w:eastAsiaTheme="majorEastAsia" w:hAnsiTheme="majorHAnsi" w:cstheme="majorBidi"/>
      <w:b w:val="0"/>
      <w:color w:val="2E74B5" w:themeColor="accent1" w:themeShade="BF"/>
      <w:szCs w:val="32"/>
      <w:lang w:val="es-DO" w:eastAsia="en-US"/>
    </w:rPr>
  </w:style>
  <w:style w:type="character" w:customStyle="1" w:styleId="TtuloCar">
    <w:name w:val="Título Car"/>
    <w:uiPriority w:val="10"/>
    <w:rsid w:val="002D1C59"/>
    <w:rPr>
      <w:rFonts w:ascii="Cambria" w:eastAsia="Times New Roman" w:hAnsi="Cambria" w:cs="Times New Roman"/>
      <w:color w:val="17365D"/>
      <w:spacing w:val="5"/>
      <w:kern w:val="28"/>
      <w:sz w:val="52"/>
      <w:szCs w:val="52"/>
      <w:lang w:val="es-DO" w:eastAsia="es-DO"/>
    </w:rPr>
  </w:style>
  <w:style w:type="paragraph" w:styleId="Subttulo">
    <w:name w:val="Subtitle"/>
    <w:basedOn w:val="Normal"/>
    <w:link w:val="SubttuloCar"/>
    <w:qFormat/>
    <w:rsid w:val="002D1C59"/>
    <w:pPr>
      <w:spacing w:after="720" w:line="240" w:lineRule="auto"/>
    </w:pPr>
    <w:rPr>
      <w:rFonts w:ascii="Tw Cen MT" w:eastAsia="Tw Cen MT" w:hAnsi="Tw Cen MT" w:cs="Times New Roman"/>
      <w:b/>
      <w:caps/>
      <w:color w:val="DD8047"/>
      <w:spacing w:val="50"/>
      <w:kern w:val="24"/>
      <w:szCs w:val="24"/>
      <w:lang w:eastAsia="es-DO"/>
    </w:rPr>
  </w:style>
  <w:style w:type="character" w:customStyle="1" w:styleId="SubttuloCar">
    <w:name w:val="Subtítulo Car"/>
    <w:basedOn w:val="Fuentedeprrafopredeter"/>
    <w:link w:val="Subttulo"/>
    <w:rsid w:val="002D1C59"/>
    <w:rPr>
      <w:rFonts w:ascii="Tw Cen MT" w:eastAsia="Tw Cen MT" w:hAnsi="Tw Cen MT" w:cs="Times New Roman"/>
      <w:b/>
      <w:caps/>
      <w:color w:val="DD8047"/>
      <w:spacing w:val="50"/>
      <w:kern w:val="24"/>
      <w:sz w:val="24"/>
      <w:szCs w:val="24"/>
      <w:lang w:val="es-DO" w:eastAsia="es-DO"/>
    </w:rPr>
  </w:style>
  <w:style w:type="paragraph" w:customStyle="1" w:styleId="Encabezadoimpar">
    <w:name w:val="Encabezado impar"/>
    <w:basedOn w:val="Normal"/>
    <w:unhideWhenUsed/>
    <w:qFormat/>
    <w:rsid w:val="002D1C59"/>
    <w:pPr>
      <w:pBdr>
        <w:bottom w:val="single" w:sz="4" w:space="1" w:color="94B6D2"/>
      </w:pBdr>
      <w:spacing w:after="0" w:line="240" w:lineRule="auto"/>
      <w:jc w:val="right"/>
    </w:pPr>
    <w:rPr>
      <w:rFonts w:ascii="Tw Cen MT" w:eastAsia="Times New Roman" w:hAnsi="Tw Cen MT" w:cs="Times New Roman"/>
      <w:b/>
      <w:color w:val="775F55"/>
      <w:kern w:val="24"/>
      <w:sz w:val="20"/>
      <w:szCs w:val="20"/>
      <w:lang w:eastAsia="es-DO"/>
    </w:rPr>
  </w:style>
  <w:style w:type="table" w:customStyle="1" w:styleId="Tabladecuadrcula5oscura-nfasis11">
    <w:name w:val="Tabla de cuadrícula 5 oscura - Énfasis 11"/>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Cuadrculavistosa-nfasis11">
    <w:name w:val="Cuadrícula vistosa - Énfasis 11"/>
    <w:basedOn w:val="Tablanormal"/>
    <w:uiPriority w:val="73"/>
    <w:rsid w:val="002D1C59"/>
    <w:pPr>
      <w:spacing w:after="0" w:line="240" w:lineRule="auto"/>
    </w:pPr>
    <w:rPr>
      <w:rFonts w:ascii="Calibri" w:eastAsia="Calibri" w:hAnsi="Calibri" w:cs="Times New Roman"/>
      <w:color w:val="000000"/>
      <w:lang w:val="es-DO"/>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clara-nfasis11">
    <w:name w:val="Cuadrícula clara - Énfasis 11"/>
    <w:basedOn w:val="Tablanormal"/>
    <w:uiPriority w:val="62"/>
    <w:rsid w:val="002D1C59"/>
    <w:pPr>
      <w:spacing w:after="0" w:line="240" w:lineRule="auto"/>
    </w:pPr>
    <w:rPr>
      <w:rFonts w:ascii="Calibri" w:eastAsia="Calibri" w:hAnsi="Calibri" w:cs="Times New Roman"/>
      <w:lang w:val="es-D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Tw Cen MT" w:eastAsia="Times New Roman" w:hAnsi="Tw Cen M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Tw Cen MT" w:eastAsia="Times New Roman" w:hAnsi="Tw Cen M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w Cen MT" w:eastAsia="Times New Roman" w:hAnsi="Tw Cen MT" w:cs="Times New Roman" w:hint="default"/>
        <w:b/>
        <w:bCs/>
      </w:rPr>
    </w:tblStylePr>
    <w:tblStylePr w:type="lastCol">
      <w:rPr>
        <w:rFonts w:ascii="Tw Cen MT" w:eastAsia="Times New Roman" w:hAnsi="Tw Cen M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11">
    <w:name w:val="Cuadrícula clara - Énfasis 111"/>
    <w:basedOn w:val="Tablanormal"/>
    <w:uiPriority w:val="62"/>
    <w:rsid w:val="002D1C59"/>
    <w:pPr>
      <w:spacing w:after="0" w:line="240" w:lineRule="auto"/>
    </w:pPr>
    <w:rPr>
      <w:rFonts w:ascii="Calibri" w:eastAsia="Calibri" w:hAnsi="Calibri" w:cs="Times New Roman"/>
      <w:lang w:val="es-D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1" w:afterLines="0" w:afterAutospacing="1" w:line="240" w:lineRule="auto"/>
      </w:pPr>
      <w:rPr>
        <w:rFonts w:ascii="Tw Cen MT" w:eastAsia="Times New Roman" w:hAnsi="Tw Cen M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1" w:afterLines="0" w:afterAutospacing="1" w:line="240" w:lineRule="auto"/>
      </w:pPr>
      <w:rPr>
        <w:rFonts w:ascii="Tw Cen MT" w:eastAsia="Times New Roman" w:hAnsi="Tw Cen M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w Cen MT" w:eastAsia="Times New Roman" w:hAnsi="Tw Cen MT" w:cs="Times New Roman" w:hint="default"/>
        <w:b/>
        <w:bCs/>
      </w:rPr>
    </w:tblStylePr>
    <w:tblStylePr w:type="lastCol">
      <w:rPr>
        <w:rFonts w:ascii="Tw Cen MT" w:eastAsia="Times New Roman" w:hAnsi="Tw Cen M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5DarkAccent11">
    <w:name w:val="Grid Table 5 Dark Accent 11"/>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2">
    <w:name w:val="Grid Table 5 Dark Accent 12"/>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3">
    <w:name w:val="Grid Table 5 Dark Accent 13"/>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4">
    <w:name w:val="Grid Table 5 Dark Accent 14"/>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5">
    <w:name w:val="Grid Table 5 Dark Accent 15"/>
    <w:basedOn w:val="Tablanormal"/>
    <w:uiPriority w:val="50"/>
    <w:rsid w:val="002D1C59"/>
    <w:pPr>
      <w:spacing w:after="0" w:line="240" w:lineRule="auto"/>
    </w:pPr>
    <w:rPr>
      <w:rFonts w:ascii="Calibri" w:eastAsia="Calibri" w:hAnsi="Calibri" w:cs="Times New Roman"/>
      <w:lang w:val="es-D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Cuadrculaclara-nfasis112">
    <w:name w:val="Cuadrícula clara - Énfasis 112"/>
    <w:basedOn w:val="Tablanormal"/>
    <w:uiPriority w:val="62"/>
    <w:rsid w:val="002D1C59"/>
    <w:pPr>
      <w:spacing w:after="0" w:line="240" w:lineRule="auto"/>
    </w:pPr>
    <w:rPr>
      <w:rFonts w:ascii="Calibri" w:eastAsia="Calibri" w:hAnsi="Calibri" w:cs="Times New Roman"/>
      <w:lang w:val="es-D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Tw Cen MT" w:eastAsia="Times New Roman" w:hAnsi="Tw Cen M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w Cen MT" w:eastAsia="Times New Roman" w:hAnsi="Tw Cen M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w Cen MT" w:eastAsia="Times New Roman" w:hAnsi="Tw Cen MT" w:cs="Times New Roman" w:hint="default"/>
        <w:b/>
        <w:bCs/>
      </w:rPr>
    </w:tblStylePr>
    <w:tblStylePr w:type="lastCol">
      <w:rPr>
        <w:rFonts w:ascii="Tw Cen MT" w:eastAsia="Times New Roman" w:hAnsi="Tw Cen M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nfasis1">
    <w:name w:val="Light List Accent 1"/>
    <w:basedOn w:val="Tablanormal"/>
    <w:uiPriority w:val="61"/>
    <w:rsid w:val="002D1C59"/>
    <w:pPr>
      <w:spacing w:after="0" w:line="240" w:lineRule="auto"/>
    </w:pPr>
    <w:rPr>
      <w:rFonts w:ascii="Calibri" w:eastAsia="Calibri" w:hAnsi="Calibri" w:cs="Times New Roman"/>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7">
    <w:name w:val="A7"/>
    <w:uiPriority w:val="99"/>
    <w:rsid w:val="002D1C59"/>
    <w:rPr>
      <w:rFonts w:cs="FrizQuadrata BT"/>
      <w:color w:val="000000"/>
      <w:sz w:val="16"/>
      <w:szCs w:val="16"/>
    </w:rPr>
  </w:style>
  <w:style w:type="numbering" w:customStyle="1" w:styleId="Sinlista1">
    <w:name w:val="Sin lista1"/>
    <w:next w:val="Sinlista"/>
    <w:uiPriority w:val="99"/>
    <w:semiHidden/>
    <w:unhideWhenUsed/>
    <w:rsid w:val="002D1C59"/>
  </w:style>
  <w:style w:type="table" w:customStyle="1" w:styleId="Tabladecuadrcula4-nfasis51">
    <w:name w:val="Tabla de cuadrícula 4 - Énfasis 51"/>
    <w:basedOn w:val="Tablanormal"/>
    <w:uiPriority w:val="49"/>
    <w:rsid w:val="002D1C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11">
    <w:name w:val="Tabla normal 11"/>
    <w:basedOn w:val="Tablanormal"/>
    <w:uiPriority w:val="41"/>
    <w:rsid w:val="002D1C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6concolores-nfasis21">
    <w:name w:val="Tabla de cuadrícula 6 con colores - Énfasis 21"/>
    <w:basedOn w:val="Tablanormal"/>
    <w:uiPriority w:val="51"/>
    <w:rsid w:val="002D1C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a2">
    <w:name w:val="List 2"/>
    <w:basedOn w:val="Normal"/>
    <w:rsid w:val="002D1C59"/>
    <w:pPr>
      <w:spacing w:after="0" w:line="240" w:lineRule="auto"/>
      <w:ind w:left="566" w:hanging="283"/>
    </w:pPr>
    <w:rPr>
      <w:rFonts w:eastAsia="Times New Roman" w:cs="Times New Roman"/>
      <w:szCs w:val="24"/>
      <w:lang w:val="en-US"/>
    </w:rPr>
  </w:style>
  <w:style w:type="character" w:styleId="Nmerodepgina">
    <w:name w:val="page number"/>
    <w:basedOn w:val="Fuentedeprrafopredeter"/>
    <w:rsid w:val="002D1C59"/>
  </w:style>
  <w:style w:type="table" w:customStyle="1" w:styleId="Sombreadoclaro1">
    <w:name w:val="Sombreado claro1"/>
    <w:basedOn w:val="Tablanormal"/>
    <w:uiPriority w:val="60"/>
    <w:rsid w:val="002D1C59"/>
    <w:pPr>
      <w:spacing w:after="0" w:line="240" w:lineRule="auto"/>
    </w:pPr>
    <w:rPr>
      <w:rFonts w:ascii="Calibri" w:eastAsia="Calibri" w:hAnsi="Calibri" w:cs="Times New Roman"/>
      <w:color w:val="000000"/>
      <w:lang w:val="es-D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
    <w:name w:val="List"/>
    <w:basedOn w:val="Normal"/>
    <w:rsid w:val="002D1C59"/>
    <w:pPr>
      <w:tabs>
        <w:tab w:val="left" w:pos="1080"/>
        <w:tab w:val="left" w:pos="1260"/>
        <w:tab w:val="left" w:pos="1800"/>
      </w:tabs>
      <w:suppressAutoHyphens/>
      <w:spacing w:after="0" w:line="240" w:lineRule="auto"/>
      <w:jc w:val="both"/>
    </w:pPr>
    <w:rPr>
      <w:rFonts w:ascii="Garamond" w:eastAsia="Batang" w:hAnsi="Garamond" w:cs="Tahoma"/>
      <w:sz w:val="28"/>
      <w:szCs w:val="24"/>
      <w:lang w:val="es-ES" w:eastAsia="ar-SA"/>
    </w:rPr>
  </w:style>
  <w:style w:type="table" w:styleId="Tablaconlista2">
    <w:name w:val="Table List 2"/>
    <w:basedOn w:val="Tablanormal"/>
    <w:rsid w:val="002D1C59"/>
    <w:pPr>
      <w:spacing w:after="0" w:line="240" w:lineRule="auto"/>
    </w:pPr>
    <w:rPr>
      <w:rFonts w:ascii="Times New Roman" w:eastAsia="Batang" w:hAnsi="Times New Roman" w:cs="Times New Roman"/>
      <w:sz w:val="20"/>
      <w:szCs w:val="20"/>
      <w:lang w:val="es-DO" w:eastAsia="es-D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2">
    <w:name w:val="Table Simple 2"/>
    <w:basedOn w:val="Tablanormal"/>
    <w:rsid w:val="002D1C59"/>
    <w:pPr>
      <w:spacing w:after="0" w:line="240" w:lineRule="auto"/>
    </w:pPr>
    <w:rPr>
      <w:rFonts w:ascii="Times New Roman" w:eastAsia="Batang" w:hAnsi="Times New Roman" w:cs="Times New Roman"/>
      <w:sz w:val="20"/>
      <w:szCs w:val="20"/>
      <w:lang w:val="es-DO" w:eastAsia="es-D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lista6">
    <w:name w:val="Table List 6"/>
    <w:basedOn w:val="Tablanormal"/>
    <w:rsid w:val="002D1C59"/>
    <w:pPr>
      <w:spacing w:after="0" w:line="240" w:lineRule="auto"/>
    </w:pPr>
    <w:rPr>
      <w:rFonts w:ascii="Times New Roman" w:eastAsia="Batang" w:hAnsi="Times New Roman" w:cs="Times New Roman"/>
      <w:sz w:val="20"/>
      <w:szCs w:val="20"/>
      <w:lang w:val="es-DO" w:eastAsia="es-D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web3">
    <w:name w:val="Table Web 3"/>
    <w:basedOn w:val="Tablanormal"/>
    <w:rsid w:val="002D1C59"/>
    <w:pPr>
      <w:spacing w:after="0" w:line="240" w:lineRule="auto"/>
    </w:pPr>
    <w:rPr>
      <w:rFonts w:ascii="Times New Roman" w:eastAsia="Batang" w:hAnsi="Times New Roman" w:cs="Times New Roman"/>
      <w:sz w:val="20"/>
      <w:szCs w:val="20"/>
      <w:lang w:val="es-DO" w:eastAsia="es-D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vistosa1">
    <w:name w:val="Table Colorful 1"/>
    <w:basedOn w:val="Tablanormal"/>
    <w:rsid w:val="002D1C59"/>
    <w:pPr>
      <w:spacing w:after="0" w:line="240" w:lineRule="auto"/>
    </w:pPr>
    <w:rPr>
      <w:rFonts w:ascii="Times New Roman" w:eastAsia="Batang" w:hAnsi="Times New Roman" w:cs="Times New Roman"/>
      <w:color w:val="FFFFFF"/>
      <w:sz w:val="20"/>
      <w:szCs w:val="20"/>
      <w:lang w:val="es-DO" w:eastAsia="es-D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cuadrcula8">
    <w:name w:val="Table Grid 8"/>
    <w:basedOn w:val="Tablanormal"/>
    <w:rsid w:val="002D1C59"/>
    <w:pPr>
      <w:spacing w:after="0" w:line="240" w:lineRule="auto"/>
    </w:pPr>
    <w:rPr>
      <w:rFonts w:ascii="Times New Roman" w:eastAsia="Batang" w:hAnsi="Times New Roman" w:cs="Times New Roman"/>
      <w:sz w:val="20"/>
      <w:szCs w:val="20"/>
      <w:lang w:val="es-DO" w:eastAsia="es-D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2D1C59"/>
    <w:pPr>
      <w:spacing w:after="0" w:line="240" w:lineRule="auto"/>
    </w:pPr>
    <w:rPr>
      <w:rFonts w:ascii="Times New Roman" w:eastAsia="Batang" w:hAnsi="Times New Roman" w:cs="Times New Roman"/>
      <w:color w:val="365F91"/>
      <w:sz w:val="20"/>
      <w:szCs w:val="20"/>
      <w:lang w:val="es-DO" w:eastAsia="es-D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1">
    <w:name w:val="Table Classic 1"/>
    <w:basedOn w:val="Tablanormal"/>
    <w:rsid w:val="002D1C59"/>
    <w:pPr>
      <w:spacing w:after="0" w:line="240" w:lineRule="auto"/>
    </w:pPr>
    <w:rPr>
      <w:rFonts w:ascii="Times New Roman" w:eastAsia="Batang" w:hAnsi="Times New Roman" w:cs="Times New Roman"/>
      <w:sz w:val="20"/>
      <w:szCs w:val="20"/>
      <w:lang w:val="es-DO" w:eastAsia="es-D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2D1C59"/>
    <w:pPr>
      <w:spacing w:after="0" w:line="240" w:lineRule="auto"/>
    </w:pPr>
    <w:rPr>
      <w:rFonts w:ascii="Times New Roman" w:eastAsia="Batang" w:hAnsi="Times New Roman" w:cs="Times New Roman"/>
      <w:sz w:val="20"/>
      <w:szCs w:val="20"/>
      <w:lang w:val="es-DO" w:eastAsia="es-D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1">
    <w:name w:val="Lista clara - Énfasis 11"/>
    <w:basedOn w:val="Tablanormal"/>
    <w:uiPriority w:val="61"/>
    <w:rsid w:val="002D1C59"/>
    <w:pPr>
      <w:spacing w:after="0" w:line="240" w:lineRule="auto"/>
    </w:pPr>
    <w:rPr>
      <w:rFonts w:ascii="Calibri" w:eastAsia="Calibri" w:hAnsi="Calibri" w:cs="Times New Roman"/>
      <w:lang w:val="es-D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5">
    <w:name w:val="Light List Accent 5"/>
    <w:basedOn w:val="Tablanormal"/>
    <w:uiPriority w:val="61"/>
    <w:rsid w:val="002D1C59"/>
    <w:pPr>
      <w:spacing w:after="0" w:line="240" w:lineRule="auto"/>
    </w:pPr>
    <w:rPr>
      <w:rFonts w:ascii="Times New Roman" w:eastAsia="Batang" w:hAnsi="Times New Roman" w:cs="Times New Roman"/>
      <w:sz w:val="20"/>
      <w:szCs w:val="20"/>
      <w:lang w:val="es-DO" w:eastAsia="es-D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Ttulodellibro">
    <w:name w:val="Book Title"/>
    <w:basedOn w:val="Fuentedeprrafopredeter"/>
    <w:uiPriority w:val="33"/>
    <w:qFormat/>
    <w:rsid w:val="002D1C59"/>
    <w:rPr>
      <w:b/>
      <w:bCs/>
      <w:smallCaps/>
      <w:spacing w:val="5"/>
    </w:rPr>
  </w:style>
  <w:style w:type="character" w:styleId="Refdecomentario">
    <w:name w:val="annotation reference"/>
    <w:basedOn w:val="Fuentedeprrafopredeter"/>
    <w:uiPriority w:val="99"/>
    <w:rsid w:val="002D1C59"/>
    <w:rPr>
      <w:sz w:val="16"/>
      <w:szCs w:val="16"/>
    </w:rPr>
  </w:style>
  <w:style w:type="table" w:styleId="Tablaweb2">
    <w:name w:val="Table Web 2"/>
    <w:basedOn w:val="Tablanormal"/>
    <w:rsid w:val="002D1C59"/>
    <w:pPr>
      <w:spacing w:after="0" w:line="240" w:lineRule="auto"/>
    </w:pPr>
    <w:rPr>
      <w:rFonts w:ascii="Times New Roman" w:eastAsia="Batang" w:hAnsi="Times New Roman" w:cs="Times New Roman"/>
      <w:sz w:val="20"/>
      <w:szCs w:val="20"/>
      <w:lang w:val="es-DO" w:eastAsia="es-D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media1-nfasis1">
    <w:name w:val="Medium Grid 1 Accent 1"/>
    <w:basedOn w:val="Tablanormal"/>
    <w:uiPriority w:val="67"/>
    <w:rsid w:val="002D1C59"/>
    <w:pPr>
      <w:spacing w:after="0" w:line="240" w:lineRule="auto"/>
    </w:pPr>
    <w:rPr>
      <w:lang w:val="es-DO"/>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Textodelmarcadordeposicin">
    <w:name w:val="Placeholder Text"/>
    <w:basedOn w:val="Fuentedeprrafopredeter"/>
    <w:uiPriority w:val="99"/>
    <w:semiHidden/>
    <w:rsid w:val="002D1C59"/>
    <w:rPr>
      <w:color w:val="808080"/>
    </w:rPr>
  </w:style>
  <w:style w:type="table" w:customStyle="1" w:styleId="Cuadrculadetablaclara1">
    <w:name w:val="Cuadrícula de tabla clara1"/>
    <w:basedOn w:val="Tablanormal"/>
    <w:uiPriority w:val="40"/>
    <w:rsid w:val="002D1C59"/>
    <w:pPr>
      <w:spacing w:after="0" w:line="240" w:lineRule="auto"/>
    </w:pPr>
    <w:rPr>
      <w:rFonts w:ascii="Times New Roman" w:eastAsia="Batang" w:hAnsi="Times New Roman" w:cs="Times New Roman"/>
      <w:sz w:val="20"/>
      <w:szCs w:val="20"/>
      <w:lang w:val="es-DO" w:eastAsia="es-D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2D1C59"/>
    <w:pPr>
      <w:spacing w:after="0" w:line="240" w:lineRule="auto"/>
    </w:pPr>
    <w:rPr>
      <w:rFonts w:ascii="Times New Roman" w:eastAsia="Batang" w:hAnsi="Times New Roman" w:cs="Times New Roman"/>
      <w:sz w:val="20"/>
      <w:szCs w:val="20"/>
      <w:lang w:val="es-DO" w:eastAsia="es-D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phighlightallclass">
    <w:name w:val="rphighlightallclass"/>
    <w:basedOn w:val="Fuentedeprrafopredeter"/>
    <w:rsid w:val="002D1C59"/>
  </w:style>
  <w:style w:type="table" w:styleId="Sombreadoclaro-nfasis5">
    <w:name w:val="Light Shading Accent 5"/>
    <w:basedOn w:val="Tablanormal"/>
    <w:uiPriority w:val="60"/>
    <w:rsid w:val="002D1C59"/>
    <w:pPr>
      <w:spacing w:after="0" w:line="240" w:lineRule="auto"/>
    </w:pPr>
    <w:rPr>
      <w:rFonts w:ascii="Times New Roman" w:eastAsia="Batang" w:hAnsi="Times New Roman" w:cs="Times New Roman"/>
      <w:color w:val="2F5496" w:themeColor="accent5" w:themeShade="BF"/>
      <w:sz w:val="20"/>
      <w:szCs w:val="20"/>
      <w:lang w:val="es-DO" w:eastAsia="es-DO"/>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staclara-nfasis12">
    <w:name w:val="Lista clara - Énfasis 12"/>
    <w:basedOn w:val="Tablanormal"/>
    <w:uiPriority w:val="61"/>
    <w:rsid w:val="002D1C59"/>
    <w:pPr>
      <w:spacing w:after="0" w:line="240" w:lineRule="auto"/>
    </w:pPr>
    <w:rPr>
      <w:rFonts w:ascii="Times New Roman" w:eastAsia="Batang" w:hAnsi="Times New Roman" w:cs="Times New Roman"/>
      <w:sz w:val="20"/>
      <w:szCs w:val="20"/>
      <w:lang w:val="es-DO" w:eastAsia="es-D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1">
    <w:name w:val="Medium Shading 1 Accent 1"/>
    <w:basedOn w:val="Tablanormal"/>
    <w:uiPriority w:val="63"/>
    <w:rsid w:val="002D1C59"/>
    <w:pPr>
      <w:spacing w:after="0" w:line="240" w:lineRule="auto"/>
    </w:pPr>
    <w:rPr>
      <w:lang w:val="es-DO"/>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adelista7concolores-nfasis51">
    <w:name w:val="Tabla de lista 7 con colores - Énfasis 51"/>
    <w:basedOn w:val="Tablanormal"/>
    <w:uiPriority w:val="52"/>
    <w:rsid w:val="002D1C5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programadelcurso">
    <w:name w:val="Tabla del programa del curso"/>
    <w:basedOn w:val="Tablanormal"/>
    <w:uiPriority w:val="99"/>
    <w:rsid w:val="002D1C59"/>
    <w:pPr>
      <w:spacing w:before="100" w:after="100" w:line="240" w:lineRule="auto"/>
      <w:ind w:left="115" w:right="302"/>
    </w:pPr>
    <w:rPr>
      <w:rFonts w:asciiTheme="majorHAnsi" w:eastAsiaTheme="majorEastAsia" w:hAnsiTheme="majorHAnsi" w:cstheme="majorBidi"/>
      <w:color w:val="595959" w:themeColor="text1" w:themeTint="A6"/>
      <w:sz w:val="20"/>
      <w:szCs w:val="20"/>
      <w:lang w:val="lv-LV" w:eastAsia="lv-LV"/>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Autospacing="0" w:afterLines="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customStyle="1" w:styleId="Estilo7">
    <w:name w:val="Estilo7"/>
    <w:basedOn w:val="Ttulo1"/>
    <w:link w:val="Estilo7Car"/>
    <w:qFormat/>
    <w:rsid w:val="00247A37"/>
    <w:pPr>
      <w:keepLines/>
      <w:numPr>
        <w:numId w:val="14"/>
      </w:numPr>
      <w:ind w:right="302"/>
      <w:jc w:val="left"/>
    </w:pPr>
    <w:rPr>
      <w:rFonts w:ascii="Times New Roman" w:eastAsiaTheme="majorEastAsia" w:hAnsi="Times New Roman" w:cstheme="majorBidi"/>
      <w:bCs/>
      <w:noProof/>
      <w:color w:val="262626" w:themeColor="text1" w:themeTint="D9"/>
      <w:spacing w:val="-4"/>
      <w:lang w:eastAsia="lv-LV"/>
    </w:rPr>
  </w:style>
  <w:style w:type="character" w:customStyle="1" w:styleId="Estilo7Car">
    <w:name w:val="Estilo7 Car"/>
    <w:basedOn w:val="Ttulo1Car"/>
    <w:link w:val="Estilo7"/>
    <w:rsid w:val="00247A37"/>
    <w:rPr>
      <w:rFonts w:ascii="Times New Roman" w:eastAsiaTheme="majorEastAsia" w:hAnsi="Times New Roman" w:cstheme="majorBidi"/>
      <w:b/>
      <w:bCs/>
      <w:noProof/>
      <w:color w:val="262626" w:themeColor="text1" w:themeTint="D9"/>
      <w:spacing w:val="-4"/>
      <w:sz w:val="32"/>
      <w:szCs w:val="20"/>
      <w:lang w:eastAsia="lv-LV"/>
    </w:rPr>
  </w:style>
  <w:style w:type="table" w:customStyle="1" w:styleId="Tablanormal51">
    <w:name w:val="Tabla normal 51"/>
    <w:basedOn w:val="Tablanormal"/>
    <w:uiPriority w:val="45"/>
    <w:rsid w:val="002D1C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2D1C59"/>
    <w:pPr>
      <w:spacing w:after="0" w:line="240" w:lineRule="auto"/>
    </w:pPr>
    <w:rPr>
      <w:lang w:val="es-DO"/>
    </w:rPr>
  </w:style>
  <w:style w:type="character" w:customStyle="1" w:styleId="PrrafodelistaCar">
    <w:name w:val="Párrafo de lista Car"/>
    <w:link w:val="Prrafodelista"/>
    <w:uiPriority w:val="34"/>
    <w:rsid w:val="00F67111"/>
    <w:rPr>
      <w:lang w:val="es-DO"/>
    </w:rPr>
  </w:style>
  <w:style w:type="paragraph" w:customStyle="1" w:styleId="text">
    <w:name w:val="text"/>
    <w:basedOn w:val="Normal"/>
    <w:qFormat/>
    <w:rsid w:val="00764F87"/>
    <w:pPr>
      <w:suppressAutoHyphens/>
      <w:spacing w:after="0" w:line="480" w:lineRule="auto"/>
      <w:ind w:firstLine="720"/>
      <w:jc w:val="both"/>
    </w:pPr>
    <w:rPr>
      <w:rFonts w:eastAsia="MS Mincho" w:cs="Times New Roman"/>
      <w:szCs w:val="24"/>
      <w:lang w:val="es-ES_tradnl"/>
    </w:rPr>
  </w:style>
  <w:style w:type="table" w:styleId="Tabladecuadrcula5oscura-nfasis5">
    <w:name w:val="Grid Table 5 Dark Accent 5"/>
    <w:basedOn w:val="Tablanormal"/>
    <w:uiPriority w:val="50"/>
    <w:rsid w:val="007903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author">
    <w:name w:val="author"/>
    <w:basedOn w:val="Normal"/>
    <w:rsid w:val="00A41019"/>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469">
      <w:bodyDiv w:val="1"/>
      <w:marLeft w:val="0"/>
      <w:marRight w:val="0"/>
      <w:marTop w:val="0"/>
      <w:marBottom w:val="0"/>
      <w:divBdr>
        <w:top w:val="none" w:sz="0" w:space="0" w:color="auto"/>
        <w:left w:val="none" w:sz="0" w:space="0" w:color="auto"/>
        <w:bottom w:val="none" w:sz="0" w:space="0" w:color="auto"/>
        <w:right w:val="none" w:sz="0" w:space="0" w:color="auto"/>
      </w:divBdr>
    </w:div>
    <w:div w:id="437795264">
      <w:bodyDiv w:val="1"/>
      <w:marLeft w:val="0"/>
      <w:marRight w:val="0"/>
      <w:marTop w:val="0"/>
      <w:marBottom w:val="0"/>
      <w:divBdr>
        <w:top w:val="none" w:sz="0" w:space="0" w:color="auto"/>
        <w:left w:val="none" w:sz="0" w:space="0" w:color="auto"/>
        <w:bottom w:val="none" w:sz="0" w:space="0" w:color="auto"/>
        <w:right w:val="none" w:sz="0" w:space="0" w:color="auto"/>
      </w:divBdr>
    </w:div>
    <w:div w:id="443312660">
      <w:bodyDiv w:val="1"/>
      <w:marLeft w:val="0"/>
      <w:marRight w:val="0"/>
      <w:marTop w:val="0"/>
      <w:marBottom w:val="0"/>
      <w:divBdr>
        <w:top w:val="none" w:sz="0" w:space="0" w:color="auto"/>
        <w:left w:val="none" w:sz="0" w:space="0" w:color="auto"/>
        <w:bottom w:val="none" w:sz="0" w:space="0" w:color="auto"/>
        <w:right w:val="none" w:sz="0" w:space="0" w:color="auto"/>
      </w:divBdr>
    </w:div>
    <w:div w:id="506408118">
      <w:bodyDiv w:val="1"/>
      <w:marLeft w:val="0"/>
      <w:marRight w:val="0"/>
      <w:marTop w:val="0"/>
      <w:marBottom w:val="0"/>
      <w:divBdr>
        <w:top w:val="none" w:sz="0" w:space="0" w:color="auto"/>
        <w:left w:val="none" w:sz="0" w:space="0" w:color="auto"/>
        <w:bottom w:val="none" w:sz="0" w:space="0" w:color="auto"/>
        <w:right w:val="none" w:sz="0" w:space="0" w:color="auto"/>
      </w:divBdr>
      <w:divsChild>
        <w:div w:id="2119644898">
          <w:marLeft w:val="0"/>
          <w:marRight w:val="0"/>
          <w:marTop w:val="0"/>
          <w:marBottom w:val="300"/>
          <w:divBdr>
            <w:top w:val="none" w:sz="0" w:space="0" w:color="auto"/>
            <w:left w:val="none" w:sz="0" w:space="0" w:color="auto"/>
            <w:bottom w:val="none" w:sz="0" w:space="0" w:color="auto"/>
            <w:right w:val="none" w:sz="0" w:space="0" w:color="auto"/>
          </w:divBdr>
          <w:divsChild>
            <w:div w:id="2146383292">
              <w:blockQuote w:val="1"/>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 w:id="726997207">
      <w:bodyDiv w:val="1"/>
      <w:marLeft w:val="0"/>
      <w:marRight w:val="0"/>
      <w:marTop w:val="0"/>
      <w:marBottom w:val="0"/>
      <w:divBdr>
        <w:top w:val="none" w:sz="0" w:space="0" w:color="auto"/>
        <w:left w:val="none" w:sz="0" w:space="0" w:color="auto"/>
        <w:bottom w:val="none" w:sz="0" w:space="0" w:color="auto"/>
        <w:right w:val="none" w:sz="0" w:space="0" w:color="auto"/>
      </w:divBdr>
    </w:div>
    <w:div w:id="1263032764">
      <w:bodyDiv w:val="1"/>
      <w:marLeft w:val="0"/>
      <w:marRight w:val="0"/>
      <w:marTop w:val="0"/>
      <w:marBottom w:val="0"/>
      <w:divBdr>
        <w:top w:val="none" w:sz="0" w:space="0" w:color="auto"/>
        <w:left w:val="none" w:sz="0" w:space="0" w:color="auto"/>
        <w:bottom w:val="none" w:sz="0" w:space="0" w:color="auto"/>
        <w:right w:val="none" w:sz="0" w:space="0" w:color="auto"/>
      </w:divBdr>
    </w:div>
    <w:div w:id="1387531069">
      <w:bodyDiv w:val="1"/>
      <w:marLeft w:val="0"/>
      <w:marRight w:val="0"/>
      <w:marTop w:val="0"/>
      <w:marBottom w:val="0"/>
      <w:divBdr>
        <w:top w:val="none" w:sz="0" w:space="0" w:color="auto"/>
        <w:left w:val="none" w:sz="0" w:space="0" w:color="auto"/>
        <w:bottom w:val="none" w:sz="0" w:space="0" w:color="auto"/>
        <w:right w:val="none" w:sz="0" w:space="0" w:color="auto"/>
      </w:divBdr>
    </w:div>
    <w:div w:id="1662809977">
      <w:bodyDiv w:val="1"/>
      <w:marLeft w:val="0"/>
      <w:marRight w:val="0"/>
      <w:marTop w:val="0"/>
      <w:marBottom w:val="0"/>
      <w:divBdr>
        <w:top w:val="none" w:sz="0" w:space="0" w:color="auto"/>
        <w:left w:val="none" w:sz="0" w:space="0" w:color="auto"/>
        <w:bottom w:val="none" w:sz="0" w:space="0" w:color="auto"/>
        <w:right w:val="none" w:sz="0" w:space="0" w:color="auto"/>
      </w:divBdr>
    </w:div>
    <w:div w:id="1714304581">
      <w:bodyDiv w:val="1"/>
      <w:marLeft w:val="0"/>
      <w:marRight w:val="0"/>
      <w:marTop w:val="0"/>
      <w:marBottom w:val="0"/>
      <w:divBdr>
        <w:top w:val="none" w:sz="0" w:space="0" w:color="auto"/>
        <w:left w:val="none" w:sz="0" w:space="0" w:color="auto"/>
        <w:bottom w:val="none" w:sz="0" w:space="0" w:color="auto"/>
        <w:right w:val="none" w:sz="0" w:space="0" w:color="auto"/>
      </w:divBdr>
    </w:div>
    <w:div w:id="1814133830">
      <w:bodyDiv w:val="1"/>
      <w:marLeft w:val="0"/>
      <w:marRight w:val="0"/>
      <w:marTop w:val="0"/>
      <w:marBottom w:val="0"/>
      <w:divBdr>
        <w:top w:val="none" w:sz="0" w:space="0" w:color="auto"/>
        <w:left w:val="none" w:sz="0" w:space="0" w:color="auto"/>
        <w:bottom w:val="none" w:sz="0" w:space="0" w:color="auto"/>
        <w:right w:val="none" w:sz="0" w:space="0" w:color="auto"/>
      </w:divBdr>
    </w:div>
    <w:div w:id="1912622196">
      <w:bodyDiv w:val="1"/>
      <w:marLeft w:val="0"/>
      <w:marRight w:val="0"/>
      <w:marTop w:val="0"/>
      <w:marBottom w:val="0"/>
      <w:divBdr>
        <w:top w:val="none" w:sz="0" w:space="0" w:color="auto"/>
        <w:left w:val="none" w:sz="0" w:space="0" w:color="auto"/>
        <w:bottom w:val="none" w:sz="0" w:space="0" w:color="auto"/>
        <w:right w:val="none" w:sz="0" w:space="0" w:color="auto"/>
      </w:divBdr>
      <w:divsChild>
        <w:div w:id="1378046101">
          <w:marLeft w:val="0"/>
          <w:marRight w:val="0"/>
          <w:marTop w:val="0"/>
          <w:marBottom w:val="300"/>
          <w:divBdr>
            <w:top w:val="none" w:sz="0" w:space="0" w:color="auto"/>
            <w:left w:val="none" w:sz="0" w:space="0" w:color="auto"/>
            <w:bottom w:val="none" w:sz="0" w:space="0" w:color="auto"/>
            <w:right w:val="none" w:sz="0" w:space="0" w:color="auto"/>
          </w:divBdr>
          <w:divsChild>
            <w:div w:id="1085959114">
              <w:blockQuote w:val="1"/>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gr.gob.do/transpare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a:latin typeface="Times New Roman" panose="02020603050405020304" pitchFamily="18" charset="0"/>
                <a:cs typeface="Times New Roman" panose="02020603050405020304" pitchFamily="18" charset="0"/>
              </a:rPr>
              <a:t>Registros: Denuncias, Querellas y Conocimientos Directos</a:t>
            </a:r>
          </a:p>
          <a:p>
            <a:pPr>
              <a:defRPr/>
            </a:pPr>
            <a:r>
              <a:rPr lang="en-US" sz="1300">
                <a:latin typeface="Times New Roman" panose="02020603050405020304" pitchFamily="18" charset="0"/>
                <a:cs typeface="Times New Roman" panose="02020603050405020304" pitchFamily="18" charset="0"/>
              </a:rPr>
              <a:t>Comparativo Enero-Octubre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rAngAx val="1"/>
    </c:view3D>
    <c:floor>
      <c:thickness val="0"/>
      <c:spPr>
        <a:pattFill prst="pct5">
          <a:fgClr>
            <a:sysClr val="windowText" lastClr="000000"/>
          </a:fgClr>
          <a:bgClr>
            <a:schemeClr val="bg1"/>
          </a:bgClr>
        </a:pattFill>
        <a:ln>
          <a:noFill/>
        </a:ln>
        <a:effectLst/>
        <a:sp3d/>
      </c:spPr>
    </c:floor>
    <c:sideWall>
      <c:thickness val="0"/>
      <c:spPr>
        <a:noFill/>
        <a:ln>
          <a:noFill/>
        </a:ln>
        <a:effectLst/>
        <a:scene3d>
          <a:camera prst="orthographicFront"/>
          <a:lightRig rig="threePt" dir="t"/>
        </a:scene3d>
        <a:sp3d prstMaterial="matte"/>
      </c:spPr>
    </c:sideWall>
    <c:backWall>
      <c:thickness val="0"/>
      <c:spPr>
        <a:noFill/>
        <a:ln>
          <a:noFill/>
        </a:ln>
        <a:effectLst/>
        <a:scene3d>
          <a:camera prst="orthographicFront"/>
          <a:lightRig rig="threePt" dir="t"/>
        </a:scene3d>
        <a:sp3d prstMaterial="matte"/>
      </c:spPr>
    </c:backWall>
    <c:plotArea>
      <c:layout/>
      <c:bar3DChart>
        <c:barDir val="col"/>
        <c:grouping val="stacked"/>
        <c:varyColors val="0"/>
        <c:ser>
          <c:idx val="0"/>
          <c:order val="0"/>
          <c:tx>
            <c:strRef>
              <c:f>Hoja1!$C$4</c:f>
              <c:strCache>
                <c:ptCount val="1"/>
                <c:pt idx="0">
                  <c:v>Registros: Denuncias, Querellas y Conocimientos Directos</c:v>
                </c:pt>
              </c:strCache>
            </c:strRef>
          </c:tx>
          <c:spPr>
            <a:solidFill>
              <a:schemeClr val="accent1"/>
            </a:solidFill>
            <a:ln>
              <a:noFill/>
            </a:ln>
            <a:effectLst/>
            <a:sp3d/>
          </c:spPr>
          <c:invertIfNegative val="0"/>
          <c:dPt>
            <c:idx val="0"/>
            <c:invertIfNegative val="0"/>
            <c:bubble3D val="0"/>
            <c:spPr>
              <a:solidFill>
                <a:schemeClr val="accent1">
                  <a:lumMod val="50000"/>
                </a:schemeClr>
              </a:solidFill>
              <a:ln>
                <a:noFill/>
              </a:ln>
              <a:effectLst/>
              <a:sp3d/>
            </c:spPr>
            <c:extLst xmlns:c16r2="http://schemas.microsoft.com/office/drawing/2015/06/chart">
              <c:ext xmlns:c16="http://schemas.microsoft.com/office/drawing/2014/chart" uri="{C3380CC4-5D6E-409C-BE32-E72D297353CC}">
                <c16:uniqueId val="{00000001-1C85-4D20-AE12-1F16117611C7}"/>
              </c:ext>
            </c:extLst>
          </c:dPt>
          <c:dPt>
            <c:idx val="1"/>
            <c:invertIfNegative val="0"/>
            <c:bubble3D val="0"/>
            <c:spPr>
              <a:solidFill>
                <a:schemeClr val="accent1">
                  <a:lumMod val="50000"/>
                </a:schemeClr>
              </a:solidFill>
              <a:ln>
                <a:noFill/>
              </a:ln>
              <a:effectLst/>
              <a:sp3d/>
            </c:spPr>
            <c:extLst xmlns:c16r2="http://schemas.microsoft.com/office/drawing/2015/06/chart">
              <c:ext xmlns:c16="http://schemas.microsoft.com/office/drawing/2014/chart" uri="{C3380CC4-5D6E-409C-BE32-E72D297353CC}">
                <c16:uniqueId val="{00000002-1C85-4D20-AE12-1F16117611C7}"/>
              </c:ext>
            </c:extLst>
          </c:dPt>
          <c:dLbls>
            <c:dLbl>
              <c:idx val="0"/>
              <c:layout>
                <c:manualLayout>
                  <c:x val="8.7843137254901962E-2"/>
                  <c:y val="-0.282527881040892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C85-4D20-AE12-1F16117611C7}"/>
                </c:ext>
                <c:ext xmlns:c15="http://schemas.microsoft.com/office/drawing/2012/chart" uri="{CE6537A1-D6FC-4f65-9D91-7224C49458BB}"/>
              </c:extLst>
            </c:dLbl>
            <c:dLbl>
              <c:idx val="1"/>
              <c:layout>
                <c:manualLayout>
                  <c:x val="0.1160784313725489"/>
                  <c:y val="-0.3172242874845105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C85-4D20-AE12-1F16117611C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Hoja1!$D$3:$E$3</c:f>
              <c:numCache>
                <c:formatCode>General</c:formatCode>
                <c:ptCount val="2"/>
                <c:pt idx="0">
                  <c:v>2018</c:v>
                </c:pt>
                <c:pt idx="1">
                  <c:v>2019</c:v>
                </c:pt>
              </c:numCache>
            </c:numRef>
          </c:cat>
          <c:val>
            <c:numRef>
              <c:f>Hoja1!$D$4:$E$4</c:f>
              <c:numCache>
                <c:formatCode>#,##0</c:formatCode>
                <c:ptCount val="2"/>
                <c:pt idx="0">
                  <c:v>117899</c:v>
                </c:pt>
                <c:pt idx="1">
                  <c:v>147301</c:v>
                </c:pt>
              </c:numCache>
            </c:numRef>
          </c:val>
          <c:extLst xmlns:c16r2="http://schemas.microsoft.com/office/drawing/2015/06/chart">
            <c:ext xmlns:c16="http://schemas.microsoft.com/office/drawing/2014/chart" uri="{C3380CC4-5D6E-409C-BE32-E72D297353CC}">
              <c16:uniqueId val="{00000000-1C85-4D20-AE12-1F16117611C7}"/>
            </c:ext>
          </c:extLst>
        </c:ser>
        <c:dLbls>
          <c:showLegendKey val="0"/>
          <c:showVal val="0"/>
          <c:showCatName val="0"/>
          <c:showSerName val="0"/>
          <c:showPercent val="0"/>
          <c:showBubbleSize val="0"/>
        </c:dLbls>
        <c:gapWidth val="219"/>
        <c:shape val="box"/>
        <c:axId val="438274008"/>
        <c:axId val="438270872"/>
        <c:axId val="0"/>
      </c:bar3DChart>
      <c:catAx>
        <c:axId val="43827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38270872"/>
        <c:crosses val="autoZero"/>
        <c:auto val="1"/>
        <c:lblAlgn val="ctr"/>
        <c:lblOffset val="100"/>
        <c:noMultiLvlLbl val="0"/>
      </c:catAx>
      <c:valAx>
        <c:axId val="438270872"/>
        <c:scaling>
          <c:orientation val="minMax"/>
        </c:scaling>
        <c:delete val="1"/>
        <c:axPos val="l"/>
        <c:numFmt formatCode="#,##0" sourceLinked="1"/>
        <c:majorTickMark val="none"/>
        <c:minorTickMark val="none"/>
        <c:tickLblPos val="nextTo"/>
        <c:crossAx val="438274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300" b="1">
                <a:latin typeface="Times New Roman" panose="02020603050405020304" pitchFamily="18" charset="0"/>
                <a:cs typeface="Times New Roman" panose="02020603050405020304" pitchFamily="18" charset="0"/>
              </a:rPr>
              <a:t>Casos Judicializados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300" b="0" i="0" baseline="0">
                <a:effectLst/>
                <a:latin typeface="Times New Roman" panose="02020603050405020304" pitchFamily="18" charset="0"/>
                <a:cs typeface="Times New Roman" panose="02020603050405020304" pitchFamily="18" charset="0"/>
              </a:rPr>
              <a:t>Comparativo Enero-Octubre</a:t>
            </a:r>
            <a:endParaRPr lang="es-DO" sz="13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ES"/>
        </a:p>
      </c:txPr>
    </c:title>
    <c:autoTitleDeleted val="0"/>
    <c:view3D>
      <c:rotX val="15"/>
      <c:rotY val="20"/>
      <c:depthPercent val="100"/>
      <c:rAngAx val="1"/>
    </c:view3D>
    <c:floor>
      <c:thickness val="0"/>
      <c:spPr>
        <a:pattFill prst="pct5">
          <a:fgClr>
            <a:schemeClr val="accent1"/>
          </a:fgClr>
          <a:bgClr>
            <a:schemeClr val="bg1"/>
          </a:bgClr>
        </a:patt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4428794992175271E-2"/>
          <c:y val="0.24795865633074932"/>
          <c:w val="0.93114241001564946"/>
          <c:h val="0.54112840546094532"/>
        </c:manualLayout>
      </c:layout>
      <c:bar3DChart>
        <c:barDir val="col"/>
        <c:grouping val="stacked"/>
        <c:varyColors val="0"/>
        <c:ser>
          <c:idx val="0"/>
          <c:order val="0"/>
          <c:tx>
            <c:strRef>
              <c:f>Hoja1!$C$16</c:f>
              <c:strCache>
                <c:ptCount val="1"/>
                <c:pt idx="0">
                  <c:v>Casos Judicializados</c:v>
                </c:pt>
              </c:strCache>
            </c:strRef>
          </c:tx>
          <c:spPr>
            <a:solidFill>
              <a:schemeClr val="accent1">
                <a:lumMod val="50000"/>
              </a:schemeClr>
            </a:solidFill>
            <a:ln>
              <a:noFill/>
            </a:ln>
            <a:effectLst/>
            <a:sp3d/>
          </c:spPr>
          <c:invertIfNegative val="0"/>
          <c:dLbls>
            <c:dLbl>
              <c:idx val="0"/>
              <c:layout>
                <c:manualLayout>
                  <c:x val="0.1"/>
                  <c:y val="-0.2273901808785530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E15-49D4-B537-9629FB993A23}"/>
                </c:ext>
                <c:ext xmlns:c15="http://schemas.microsoft.com/office/drawing/2012/chart" uri="{CE6537A1-D6FC-4f65-9D91-7224C49458BB}"/>
              </c:extLst>
            </c:dLbl>
            <c:dLbl>
              <c:idx val="1"/>
              <c:layout>
                <c:manualLayout>
                  <c:x val="0.15833333333333324"/>
                  <c:y val="-0.3720930232558139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E15-49D4-B537-9629FB993A2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Hoja1!$D$15:$E$15</c:f>
              <c:numCache>
                <c:formatCode>General</c:formatCode>
                <c:ptCount val="2"/>
                <c:pt idx="0">
                  <c:v>2018</c:v>
                </c:pt>
                <c:pt idx="1">
                  <c:v>2019</c:v>
                </c:pt>
              </c:numCache>
            </c:numRef>
          </c:cat>
          <c:val>
            <c:numRef>
              <c:f>Hoja1!$D$16:$E$16</c:f>
              <c:numCache>
                <c:formatCode>#,##0</c:formatCode>
                <c:ptCount val="2"/>
                <c:pt idx="0">
                  <c:v>16923</c:v>
                </c:pt>
                <c:pt idx="1">
                  <c:v>19205</c:v>
                </c:pt>
              </c:numCache>
            </c:numRef>
          </c:val>
          <c:extLst xmlns:c16r2="http://schemas.microsoft.com/office/drawing/2015/06/chart">
            <c:ext xmlns:c16="http://schemas.microsoft.com/office/drawing/2014/chart" uri="{C3380CC4-5D6E-409C-BE32-E72D297353CC}">
              <c16:uniqueId val="{00000000-9E15-49D4-B537-9629FB993A23}"/>
            </c:ext>
          </c:extLst>
        </c:ser>
        <c:dLbls>
          <c:showLegendKey val="0"/>
          <c:showVal val="0"/>
          <c:showCatName val="0"/>
          <c:showSerName val="0"/>
          <c:showPercent val="0"/>
          <c:showBubbleSize val="0"/>
        </c:dLbls>
        <c:gapWidth val="150"/>
        <c:shape val="box"/>
        <c:axId val="438271264"/>
        <c:axId val="438272440"/>
        <c:axId val="0"/>
      </c:bar3DChart>
      <c:catAx>
        <c:axId val="43827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38272440"/>
        <c:crosses val="autoZero"/>
        <c:auto val="1"/>
        <c:lblAlgn val="ctr"/>
        <c:lblOffset val="100"/>
        <c:noMultiLvlLbl val="0"/>
      </c:catAx>
      <c:valAx>
        <c:axId val="438272440"/>
        <c:scaling>
          <c:orientation val="minMax"/>
        </c:scaling>
        <c:delete val="1"/>
        <c:axPos val="l"/>
        <c:numFmt formatCode="#,##0" sourceLinked="1"/>
        <c:majorTickMark val="none"/>
        <c:minorTickMark val="none"/>
        <c:tickLblPos val="nextTo"/>
        <c:crossAx val="43827126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85000"/>
                    <a:lumOff val="15000"/>
                  </a:schemeClr>
                </a:solidFill>
                <a:latin typeface="+mn-lt"/>
                <a:ea typeface="+mn-ea"/>
                <a:cs typeface="+mn-cs"/>
              </a:defRPr>
            </a:pPr>
            <a:r>
              <a:rPr lang="es-DO" sz="1300" b="1">
                <a:solidFill>
                  <a:schemeClr val="tx1">
                    <a:lumMod val="85000"/>
                    <a:lumOff val="15000"/>
                  </a:schemeClr>
                </a:solidFill>
                <a:latin typeface="Times New Roman" panose="02020603050405020304" pitchFamily="18" charset="0"/>
                <a:cs typeface="Times New Roman" panose="02020603050405020304" pitchFamily="18" charset="0"/>
              </a:rPr>
              <a:t>Principales Infracciones</a:t>
            </a:r>
          </a:p>
          <a:p>
            <a:pPr>
              <a:defRPr>
                <a:solidFill>
                  <a:schemeClr val="tx1">
                    <a:lumMod val="85000"/>
                    <a:lumOff val="15000"/>
                  </a:schemeClr>
                </a:solidFill>
              </a:defRPr>
            </a:pPr>
            <a:r>
              <a:rPr lang="es-DO" sz="1300">
                <a:solidFill>
                  <a:schemeClr val="tx1">
                    <a:lumMod val="85000"/>
                    <a:lumOff val="15000"/>
                  </a:schemeClr>
                </a:solidFill>
                <a:latin typeface="Times New Roman" panose="02020603050405020304" pitchFamily="18" charset="0"/>
                <a:cs typeface="Times New Roman" panose="02020603050405020304" pitchFamily="18" charset="0"/>
              </a:rPr>
              <a:t>Enero-Octubre</a:t>
            </a:r>
            <a:r>
              <a:rPr lang="es-DO" sz="1300" baseline="0">
                <a:solidFill>
                  <a:schemeClr val="tx1">
                    <a:lumMod val="85000"/>
                    <a:lumOff val="15000"/>
                  </a:schemeClr>
                </a:solidFill>
                <a:latin typeface="Times New Roman" panose="02020603050405020304" pitchFamily="18" charset="0"/>
                <a:cs typeface="Times New Roman" panose="02020603050405020304" pitchFamily="18" charset="0"/>
              </a:rPr>
              <a:t> 2019</a:t>
            </a:r>
            <a:endParaRPr lang="es-DO" sz="1300">
              <a:solidFill>
                <a:schemeClr val="tx1">
                  <a:lumMod val="85000"/>
                  <a:lumOff val="15000"/>
                </a:schemeClr>
              </a:solidFill>
              <a:latin typeface="Times New Roman" panose="02020603050405020304" pitchFamily="18" charset="0"/>
              <a:cs typeface="Times New Roman" panose="02020603050405020304" pitchFamily="18" charset="0"/>
            </a:endParaRPr>
          </a:p>
        </c:rich>
      </c:tx>
      <c:layout>
        <c:manualLayout>
          <c:xMode val="edge"/>
          <c:yMode val="edge"/>
          <c:x val="0.2802508396127903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85000"/>
                  <a:lumOff val="1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746417181723254"/>
          <c:y val="0.24518226888305628"/>
          <c:w val="0.63440860215053763"/>
          <c:h val="0.51931138815981348"/>
        </c:manualLayout>
      </c:layout>
      <c:pie3DChart>
        <c:varyColors val="1"/>
        <c:ser>
          <c:idx val="0"/>
          <c:order val="0"/>
          <c:dPt>
            <c:idx val="0"/>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FE-458C-B45F-2B98FE71A398}"/>
              </c:ext>
            </c:extLst>
          </c:dPt>
          <c:dPt>
            <c:idx val="1"/>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FE-458C-B45F-2B98FE71A398}"/>
              </c:ext>
            </c:extLst>
          </c:dPt>
          <c:dPt>
            <c:idx val="2"/>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6FE-458C-B45F-2B98FE71A398}"/>
              </c:ext>
            </c:extLst>
          </c:dPt>
          <c:dPt>
            <c:idx val="3"/>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6FE-458C-B45F-2B98FE71A398}"/>
              </c:ext>
            </c:extLst>
          </c:dPt>
          <c:dPt>
            <c:idx val="4"/>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6FE-458C-B45F-2B98FE71A398}"/>
              </c:ext>
            </c:extLst>
          </c:dPt>
          <c:dPt>
            <c:idx val="5"/>
            <c:bubble3D val="0"/>
            <c:spPr>
              <a:solidFill>
                <a:schemeClr val="bg1">
                  <a:lumMod val="8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6FE-458C-B45F-2B98FE71A398}"/>
              </c:ext>
            </c:extLst>
          </c:dPt>
          <c:dLbls>
            <c:dLbl>
              <c:idx val="0"/>
              <c:layout>
                <c:manualLayout>
                  <c:x val="7.3524228826235424E-2"/>
                  <c:y val="-7.77506197142024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6FE-458C-B45F-2B98FE71A398}"/>
                </c:ext>
                <c:ext xmlns:c15="http://schemas.microsoft.com/office/drawing/2012/chart" uri="{CE6537A1-D6FC-4f65-9D91-7224C49458BB}">
                  <c15:layout>
                    <c:manualLayout>
                      <c:w val="0.19575000000000001"/>
                      <c:h val="0.15756962671332747"/>
                    </c:manualLayout>
                  </c15:layout>
                </c:ext>
              </c:extLst>
            </c:dLbl>
            <c:dLbl>
              <c:idx val="1"/>
              <c:layout>
                <c:manualLayout>
                  <c:x val="8.2239042700307519E-2"/>
                  <c:y val="0.1178937007874015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F6FE-458C-B45F-2B98FE71A398}"/>
                </c:ext>
                <c:ext xmlns:c15="http://schemas.microsoft.com/office/drawing/2012/chart" uri="{CE6537A1-D6FC-4f65-9D91-7224C49458BB}"/>
              </c:extLst>
            </c:dLbl>
            <c:dLbl>
              <c:idx val="2"/>
              <c:layout>
                <c:manualLayout>
                  <c:x val="2.0061298789264246E-2"/>
                  <c:y val="7.739537766112569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F6FE-458C-B45F-2B98FE71A398}"/>
                </c:ext>
                <c:ext xmlns:c15="http://schemas.microsoft.com/office/drawing/2012/chart" uri="{CE6537A1-D6FC-4f65-9D91-7224C49458BB}"/>
              </c:extLst>
            </c:dLbl>
            <c:dLbl>
              <c:idx val="3"/>
              <c:layout>
                <c:manualLayout>
                  <c:x val="6.0570541585527618E-2"/>
                  <c:y val="3.82022820064158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F6FE-458C-B45F-2B98FE71A398}"/>
                </c:ext>
                <c:ext xmlns:c15="http://schemas.microsoft.com/office/drawing/2012/chart" uri="{CE6537A1-D6FC-4f65-9D91-7224C49458BB}">
                  <c15:layout>
                    <c:manualLayout>
                      <c:w val="0.29506933508311461"/>
                      <c:h val="0.15756962671332747"/>
                    </c:manualLayout>
                  </c15:layout>
                </c:ext>
              </c:extLst>
            </c:dLbl>
            <c:dLbl>
              <c:idx val="4"/>
              <c:layout>
                <c:manualLayout>
                  <c:x val="-1.1322178477690289E-2"/>
                  <c:y val="4.00083843686205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F6FE-458C-B45F-2B98FE71A398}"/>
                </c:ext>
                <c:ext xmlns:c15="http://schemas.microsoft.com/office/drawing/2012/chart" uri="{CE6537A1-D6FC-4f65-9D91-7224C49458BB}"/>
              </c:extLst>
            </c:dLbl>
            <c:dLbl>
              <c:idx val="5"/>
              <c:layout>
                <c:manualLayout>
                  <c:x val="-0.10313955916800724"/>
                  <c:y val="-7.1398366870807813E-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F6FE-458C-B45F-2B98FE71A39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multiLvlStrRef>
              <c:f>Hoja1!$C$21:$D$26</c:f>
              <c:multiLvlStrCache>
                <c:ptCount val="6"/>
                <c:lvl>
                  <c:pt idx="0">
                    <c:v>Violencia intrafamiliar</c:v>
                  </c:pt>
                  <c:pt idx="1">
                    <c:v>Robo calificado</c:v>
                  </c:pt>
                  <c:pt idx="2">
                    <c:v>Amenazas</c:v>
                  </c:pt>
                  <c:pt idx="3">
                    <c:v>Drogas y sus diferentes delitos </c:v>
                  </c:pt>
                  <c:pt idx="4">
                    <c:v>Violencia de género</c:v>
                  </c:pt>
                  <c:pt idx="5">
                    <c:v>Otros</c:v>
                  </c:pt>
                </c:lvl>
                <c:lvl>
                  <c:pt idx="0">
                    <c:v>1</c:v>
                  </c:pt>
                  <c:pt idx="1">
                    <c:v>2</c:v>
                  </c:pt>
                  <c:pt idx="2">
                    <c:v>3</c:v>
                  </c:pt>
                  <c:pt idx="3">
                    <c:v>4</c:v>
                  </c:pt>
                  <c:pt idx="4">
                    <c:v>5</c:v>
                  </c:pt>
                  <c:pt idx="5">
                    <c:v>6</c:v>
                  </c:pt>
                </c:lvl>
              </c:multiLvlStrCache>
            </c:multiLvlStrRef>
          </c:cat>
          <c:val>
            <c:numRef>
              <c:f>Hoja1!$E$21:$E$26</c:f>
              <c:numCache>
                <c:formatCode>0.00%</c:formatCode>
                <c:ptCount val="6"/>
                <c:pt idx="0">
                  <c:v>0.22589999999999999</c:v>
                </c:pt>
                <c:pt idx="1">
                  <c:v>0.1318</c:v>
                </c:pt>
                <c:pt idx="2">
                  <c:v>0.1014</c:v>
                </c:pt>
                <c:pt idx="3">
                  <c:v>9.7799999999999998E-2</c:v>
                </c:pt>
                <c:pt idx="4">
                  <c:v>9.2899999999999996E-2</c:v>
                </c:pt>
                <c:pt idx="5">
                  <c:v>0.35020000000000001</c:v>
                </c:pt>
              </c:numCache>
            </c:numRef>
          </c:val>
          <c:extLst xmlns:c16r2="http://schemas.microsoft.com/office/drawing/2015/06/chart">
            <c:ext xmlns:c16="http://schemas.microsoft.com/office/drawing/2014/chart" uri="{C3380CC4-5D6E-409C-BE32-E72D297353CC}">
              <c16:uniqueId val="{0000000C-F6FE-458C-B45F-2B98FE71A39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0.41784</cdr:x>
      <cdr:y>0.53357</cdr:y>
    </cdr:from>
    <cdr:to>
      <cdr:x>0.69953</cdr:x>
      <cdr:y>0.54132</cdr:y>
    </cdr:to>
    <cdr:cxnSp macro="">
      <cdr:nvCxnSpPr>
        <cdr:cNvPr id="3" name="Conector recto 2"/>
        <cdr:cNvCxnSpPr/>
      </cdr:nvCxnSpPr>
      <cdr:spPr>
        <a:xfrm xmlns:a="http://schemas.openxmlformats.org/drawingml/2006/main">
          <a:off x="1695450" y="1285806"/>
          <a:ext cx="1143000" cy="18680"/>
        </a:xfrm>
        <a:prstGeom xmlns:a="http://schemas.openxmlformats.org/drawingml/2006/main" prst="line">
          <a:avLst/>
        </a:prstGeom>
        <a:ln xmlns:a="http://schemas.openxmlformats.org/drawingml/2006/main" w="9525" cap="flat" cmpd="sng" algn="ctr">
          <a:solidFill>
            <a:schemeClr val="accent2"/>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0.55634</cdr:x>
      <cdr:y>0.41107</cdr:y>
    </cdr:from>
    <cdr:to>
      <cdr:x>0.56808</cdr:x>
      <cdr:y>0.53755</cdr:y>
    </cdr:to>
    <cdr:sp macro="" textlink="">
      <cdr:nvSpPr>
        <cdr:cNvPr id="9" name="Abrir llave 8"/>
        <cdr:cNvSpPr/>
      </cdr:nvSpPr>
      <cdr:spPr>
        <a:xfrm xmlns:a="http://schemas.openxmlformats.org/drawingml/2006/main">
          <a:off x="2257425" y="990600"/>
          <a:ext cx="47625" cy="304800"/>
        </a:xfrm>
        <a:prstGeom xmlns:a="http://schemas.openxmlformats.org/drawingml/2006/main" prst="leftBrace">
          <a:avLst/>
        </a:prstGeom>
        <a:ln xmlns:a="http://schemas.openxmlformats.org/drawingml/2006/main" w="19050">
          <a:solidFill>
            <a:schemeClr val="accent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s-DO"/>
        </a:p>
      </cdr:txBody>
    </cdr:sp>
  </cdr:relSizeAnchor>
</c:userShapes>
</file>

<file path=word/drawings/drawing2.xml><?xml version="1.0" encoding="utf-8"?>
<c:userShapes xmlns:c="http://schemas.openxmlformats.org/drawingml/2006/chart">
  <cdr:relSizeAnchor xmlns:cdr="http://schemas.openxmlformats.org/drawingml/2006/chartDrawing">
    <cdr:from>
      <cdr:x>0.17849</cdr:x>
      <cdr:y>0.23264</cdr:y>
    </cdr:from>
    <cdr:to>
      <cdr:x>0.96344</cdr:x>
      <cdr:y>0.62847</cdr:y>
    </cdr:to>
    <cdr:sp macro="" textlink="">
      <cdr:nvSpPr>
        <cdr:cNvPr id="2" name="Arco 1"/>
        <cdr:cNvSpPr/>
      </cdr:nvSpPr>
      <cdr:spPr>
        <a:xfrm xmlns:a="http://schemas.openxmlformats.org/drawingml/2006/main">
          <a:off x="790574" y="638175"/>
          <a:ext cx="3476625" cy="1085850"/>
        </a:xfrm>
        <a:prstGeom xmlns:a="http://schemas.openxmlformats.org/drawingml/2006/main" prst="arc">
          <a:avLst>
            <a:gd name="adj1" fmla="val 14224078"/>
            <a:gd name="adj2" fmla="val 9913036"/>
          </a:avLst>
        </a:prstGeom>
        <a:ln xmlns:a="http://schemas.openxmlformats.org/drawingml/2006/main">
          <a:solidFill>
            <a:schemeClr val="accent2">
              <a:lumMod val="7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wrap="square">
          <a:noAutofit/>
        </a:bodyPr>
        <a:lstStyle xmlns:a="http://schemas.openxmlformats.org/drawingml/2006/main"/>
        <a:p xmlns:a="http://schemas.openxmlformats.org/drawingml/2006/main">
          <a:endParaRPr lang="es-DO"/>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4B26-DDB7-45C0-B1A5-07A76A72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13622</Words>
  <Characters>74925</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Procuraduria General De La Republica Dominicana</Company>
  <LinksUpToDate>false</LinksUpToDate>
  <CharactersWithSpaces>88371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Fernandez</dc:creator>
  <cp:keywords/>
  <dc:description/>
  <cp:lastModifiedBy>Hamlet Rafael Duran Sanchez</cp:lastModifiedBy>
  <cp:revision>5</cp:revision>
  <cp:lastPrinted>2019-02-04T20:50:00Z</cp:lastPrinted>
  <dcterms:created xsi:type="dcterms:W3CDTF">2020-01-14T13:51:00Z</dcterms:created>
  <dcterms:modified xsi:type="dcterms:W3CDTF">2020-01-14T14:54:00Z</dcterms:modified>
</cp:coreProperties>
</file>