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991" w:rsidRDefault="000B0991" w:rsidP="000B0991">
      <w:pPr>
        <w:spacing w:after="0" w:line="240" w:lineRule="auto"/>
        <w:jc w:val="center"/>
        <w:rPr>
          <w:rFonts w:ascii="Californian FB" w:hAnsi="Californian FB"/>
          <w:b/>
          <w:sz w:val="40"/>
          <w:szCs w:val="40"/>
        </w:rPr>
      </w:pPr>
      <w:bookmarkStart w:id="0" w:name="_GoBack"/>
      <w:bookmarkEnd w:id="0"/>
    </w:p>
    <w:p w:rsidR="000B0991" w:rsidRDefault="000B0991" w:rsidP="000B0991">
      <w:pPr>
        <w:spacing w:after="0" w:line="240" w:lineRule="auto"/>
        <w:jc w:val="center"/>
        <w:rPr>
          <w:noProof/>
          <w:lang w:eastAsia="es-DO"/>
        </w:rPr>
      </w:pPr>
      <w:r>
        <w:rPr>
          <w:noProof/>
          <w:lang w:eastAsia="es-DO"/>
        </w:rPr>
        <w:drawing>
          <wp:inline distT="0" distB="0" distL="0" distR="0" wp14:anchorId="1CE6A743" wp14:editId="57AB72B4">
            <wp:extent cx="2382576" cy="1211334"/>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7299" t="31382" r="62057" b="40917"/>
                    <a:stretch/>
                  </pic:blipFill>
                  <pic:spPr bwMode="auto">
                    <a:xfrm>
                      <a:off x="0" y="0"/>
                      <a:ext cx="2445238" cy="1243192"/>
                    </a:xfrm>
                    <a:prstGeom prst="rect">
                      <a:avLst/>
                    </a:prstGeom>
                    <a:ln>
                      <a:noFill/>
                    </a:ln>
                    <a:extLst>
                      <a:ext uri="{53640926-AAD7-44D8-BBD7-CCE9431645EC}">
                        <a14:shadowObscured xmlns:a14="http://schemas.microsoft.com/office/drawing/2010/main"/>
                      </a:ext>
                    </a:extLst>
                  </pic:spPr>
                </pic:pic>
              </a:graphicData>
            </a:graphic>
          </wp:inline>
        </w:drawing>
      </w:r>
    </w:p>
    <w:p w:rsidR="000B0991" w:rsidRDefault="000B0991" w:rsidP="000B0991">
      <w:pPr>
        <w:spacing w:after="0" w:line="240" w:lineRule="auto"/>
        <w:jc w:val="center"/>
        <w:rPr>
          <w:noProof/>
          <w:lang w:eastAsia="es-DO"/>
        </w:rPr>
      </w:pPr>
    </w:p>
    <w:p w:rsidR="000B0991" w:rsidRDefault="000B0991" w:rsidP="000B0991">
      <w:pPr>
        <w:spacing w:after="0" w:line="240" w:lineRule="auto"/>
        <w:jc w:val="center"/>
        <w:rPr>
          <w:noProof/>
          <w:lang w:eastAsia="es-DO"/>
        </w:rPr>
      </w:pPr>
      <w:r>
        <w:rPr>
          <w:rFonts w:ascii="Times New Roman" w:hAnsi="Times New Roman"/>
          <w:b/>
          <w:noProof/>
          <w:sz w:val="32"/>
          <w:szCs w:val="32"/>
          <w:lang w:eastAsia="es-DO"/>
        </w:rPr>
        <mc:AlternateContent>
          <mc:Choice Requires="wps">
            <w:drawing>
              <wp:anchor distT="0" distB="0" distL="114300" distR="114300" simplePos="0" relativeHeight="251818496" behindDoc="0" locked="0" layoutInCell="1" allowOverlap="1" wp14:anchorId="675C5A86" wp14:editId="5D09BF8A">
                <wp:simplePos x="0" y="0"/>
                <wp:positionH relativeFrom="margin">
                  <wp:align>center</wp:align>
                </wp:positionH>
                <wp:positionV relativeFrom="paragraph">
                  <wp:posOffset>2540</wp:posOffset>
                </wp:positionV>
                <wp:extent cx="4052570" cy="40195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052570" cy="401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3784" w:rsidRPr="00234266" w:rsidRDefault="00A53784" w:rsidP="000B0991">
                            <w:pPr>
                              <w:jc w:val="center"/>
                              <w:rPr>
                                <w:rFonts w:ascii="Artifex CF Extra Bold" w:hAnsi="Artifex CF Extra Bold"/>
                                <w:color w:val="D2B786"/>
                                <w:sz w:val="20"/>
                                <w:szCs w:val="20"/>
                                <w:lang w:val="es-ES"/>
                              </w:rPr>
                            </w:pPr>
                            <w:r w:rsidRPr="00234266">
                              <w:rPr>
                                <w:rFonts w:ascii="Artifex CF Extra Bold" w:hAnsi="Artifex CF Extra Bold"/>
                                <w:color w:val="D2B786"/>
                                <w:sz w:val="20"/>
                                <w:szCs w:val="20"/>
                                <w:lang w:val="es-ES"/>
                              </w:rPr>
                              <w:t>REPÚBLICA DOMINICANA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5C5A86" id="_x0000_t202" coordsize="21600,21600" o:spt="202" path="m,l,21600r21600,l21600,xe">
                <v:stroke joinstyle="miter"/>
                <v:path gradientshapeok="t" o:connecttype="rect"/>
              </v:shapetype>
              <v:shape id="Text Box 20" o:spid="_x0000_s1026" type="#_x0000_t202" style="position:absolute;left:0;text-align:left;margin-left:0;margin-top:.2pt;width:319.1pt;height:31.65pt;z-index:2518184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" filled="f" stroked="f" strokeweight=".5pt">
                <v:textbox>
                  <w:txbxContent>
                    <w:p w:rsidR="00A53784" w:rsidRPr="00234266" w:rsidRDefault="00A53784" w:rsidP="000B0991">
                      <w:pPr>
                        <w:jc w:val="center"/>
                        <w:rPr>
                          <w:rFonts w:ascii="Artifex CF Extra Bold" w:hAnsi="Artifex CF Extra Bold"/>
                          <w:color w:val="D2B786"/>
                          <w:sz w:val="20"/>
                          <w:szCs w:val="20"/>
                          <w:lang w:val="es-ES"/>
                        </w:rPr>
                      </w:pPr>
                      <w:r w:rsidRPr="00234266">
                        <w:rPr>
                          <w:rFonts w:ascii="Artifex CF Extra Bold" w:hAnsi="Artifex CF Extra Bold"/>
                          <w:color w:val="D2B786"/>
                          <w:sz w:val="20"/>
                          <w:szCs w:val="20"/>
                          <w:lang w:val="es-ES"/>
                        </w:rPr>
                        <w:t>REPÚBLICA DOMINICANA</w:t>
                      </w:r>
                    </w:p>
                  </w:txbxContent>
                </v:textbox>
                <w10:wrap anchorx="margin"/>
              </v:shape>
            </w:pict>
          </mc:Fallback>
        </mc:AlternateContent>
      </w:r>
    </w:p>
    <w:p w:rsidR="000B0991" w:rsidRDefault="000B0991" w:rsidP="000B0991">
      <w:pPr>
        <w:spacing w:after="0" w:line="240" w:lineRule="auto"/>
        <w:jc w:val="center"/>
        <w:rPr>
          <w:noProof/>
          <w:lang w:eastAsia="es-DO"/>
        </w:rPr>
      </w:pPr>
    </w:p>
    <w:p w:rsidR="000B0991" w:rsidRDefault="000B0991" w:rsidP="000B0991">
      <w:pPr>
        <w:spacing w:after="0" w:line="240" w:lineRule="auto"/>
        <w:jc w:val="center"/>
        <w:rPr>
          <w:noProof/>
          <w:lang w:eastAsia="es-DO"/>
        </w:rPr>
      </w:pPr>
    </w:p>
    <w:p w:rsidR="000B0991" w:rsidRDefault="000B0991" w:rsidP="000B0991">
      <w:pPr>
        <w:spacing w:after="0" w:line="240" w:lineRule="auto"/>
        <w:jc w:val="center"/>
        <w:rPr>
          <w:noProof/>
          <w:lang w:eastAsia="es-DO"/>
        </w:rPr>
      </w:pPr>
    </w:p>
    <w:p w:rsidR="000B0991" w:rsidRDefault="000B0991" w:rsidP="000B0991">
      <w:pPr>
        <w:spacing w:after="0" w:line="240" w:lineRule="auto"/>
        <w:jc w:val="center"/>
        <w:rPr>
          <w:noProof/>
          <w:lang w:eastAsia="es-DO"/>
        </w:rPr>
      </w:pPr>
    </w:p>
    <w:p w:rsidR="000B0991" w:rsidRDefault="000B0991" w:rsidP="000B0991">
      <w:pPr>
        <w:spacing w:after="0" w:line="240" w:lineRule="auto"/>
        <w:jc w:val="center"/>
        <w:rPr>
          <w:noProof/>
          <w:lang w:eastAsia="es-DO"/>
        </w:rPr>
      </w:pPr>
    </w:p>
    <w:p w:rsidR="000B0991" w:rsidRDefault="000B0991" w:rsidP="000B0991">
      <w:pPr>
        <w:spacing w:after="0" w:line="240" w:lineRule="auto"/>
        <w:jc w:val="center"/>
        <w:rPr>
          <w:noProof/>
          <w:lang w:eastAsia="es-DO"/>
        </w:rPr>
      </w:pPr>
    </w:p>
    <w:p w:rsidR="000B0991" w:rsidRDefault="000B0991" w:rsidP="000B0991">
      <w:pPr>
        <w:spacing w:after="0" w:line="240" w:lineRule="auto"/>
        <w:jc w:val="center"/>
        <w:rPr>
          <w:noProof/>
          <w:lang w:eastAsia="es-DO"/>
        </w:rPr>
      </w:pPr>
    </w:p>
    <w:p w:rsidR="000B0991" w:rsidRDefault="000B0991" w:rsidP="000B0991">
      <w:pPr>
        <w:spacing w:after="0" w:line="240" w:lineRule="auto"/>
        <w:jc w:val="center"/>
        <w:rPr>
          <w:noProof/>
          <w:lang w:eastAsia="es-DO"/>
        </w:rPr>
      </w:pPr>
    </w:p>
    <w:p w:rsidR="000B0991" w:rsidRDefault="000B0991" w:rsidP="000B0991">
      <w:pPr>
        <w:spacing w:after="0" w:line="240" w:lineRule="auto"/>
        <w:jc w:val="center"/>
        <w:rPr>
          <w:noProof/>
          <w:lang w:eastAsia="es-DO"/>
        </w:rPr>
      </w:pPr>
    </w:p>
    <w:p w:rsidR="000B0991" w:rsidRDefault="000B0991" w:rsidP="000B0991">
      <w:pPr>
        <w:spacing w:after="0" w:line="240" w:lineRule="auto"/>
        <w:jc w:val="center"/>
        <w:rPr>
          <w:noProof/>
          <w:lang w:eastAsia="es-DO"/>
        </w:rPr>
      </w:pPr>
    </w:p>
    <w:p w:rsidR="000B0991" w:rsidRDefault="000B0991" w:rsidP="000B0991">
      <w:pPr>
        <w:spacing w:after="0" w:line="240" w:lineRule="auto"/>
        <w:jc w:val="center"/>
        <w:rPr>
          <w:noProof/>
          <w:lang w:eastAsia="es-DO"/>
        </w:rPr>
      </w:pPr>
    </w:p>
    <w:p w:rsidR="000B0991" w:rsidRDefault="000B0991" w:rsidP="000B0991">
      <w:pPr>
        <w:spacing w:after="0" w:line="240" w:lineRule="auto"/>
        <w:jc w:val="center"/>
        <w:rPr>
          <w:rFonts w:ascii="Californian FB" w:hAnsi="Californian FB"/>
          <w:b/>
          <w:sz w:val="40"/>
          <w:szCs w:val="40"/>
        </w:rPr>
      </w:pPr>
      <w:r>
        <w:rPr>
          <w:rFonts w:ascii="Times New Roman" w:hAnsi="Times New Roman"/>
          <w:b/>
          <w:noProof/>
          <w:sz w:val="32"/>
          <w:szCs w:val="32"/>
          <w:lang w:eastAsia="es-DO"/>
        </w:rPr>
        <mc:AlternateContent>
          <mc:Choice Requires="wps">
            <w:drawing>
              <wp:anchor distT="0" distB="0" distL="114300" distR="114300" simplePos="0" relativeHeight="251816448" behindDoc="0" locked="0" layoutInCell="1" allowOverlap="1" wp14:anchorId="5A05EA72" wp14:editId="30000509">
                <wp:simplePos x="0" y="0"/>
                <wp:positionH relativeFrom="margin">
                  <wp:align>center</wp:align>
                </wp:positionH>
                <wp:positionV relativeFrom="paragraph">
                  <wp:posOffset>37465</wp:posOffset>
                </wp:positionV>
                <wp:extent cx="4052570" cy="982639"/>
                <wp:effectExtent l="0" t="0" r="0" b="0"/>
                <wp:wrapNone/>
                <wp:docPr id="21" name="Text Box 21"/>
                <wp:cNvGraphicFramePr/>
                <a:graphic xmlns:a="http://schemas.openxmlformats.org/drawingml/2006/main">
                  <a:graphicData uri="http://schemas.microsoft.com/office/word/2010/wordprocessingShape">
                    <wps:wsp>
                      <wps:cNvSpPr txBox="1"/>
                      <wps:spPr>
                        <a:xfrm>
                          <a:off x="0" y="0"/>
                          <a:ext cx="4052570" cy="9826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3784" w:rsidRPr="00234266" w:rsidRDefault="00A53784" w:rsidP="000B0991">
                            <w:pPr>
                              <w:jc w:val="center"/>
                              <w:rPr>
                                <w:rFonts w:ascii="Artifex CF" w:hAnsi="Artifex CF"/>
                                <w:color w:val="D1B685"/>
                                <w:sz w:val="48"/>
                                <w:szCs w:val="32"/>
                                <w:lang w:val="es-ES"/>
                              </w:rPr>
                            </w:pPr>
                            <w:r w:rsidRPr="00234266">
                              <w:rPr>
                                <w:rFonts w:ascii="Artifex CF" w:hAnsi="Artifex CF"/>
                                <w:color w:val="D1B685"/>
                                <w:sz w:val="48"/>
                                <w:szCs w:val="32"/>
                                <w:lang w:val="es-ES"/>
                              </w:rPr>
                              <w:t>MEMORIA INSTITUCIONAL</w:t>
                            </w:r>
                          </w:p>
                          <w:p w:rsidR="00A53784" w:rsidRDefault="00A53784" w:rsidP="000B0991">
                            <w:pPr>
                              <w:jc w:val="center"/>
                              <w:rPr>
                                <w:color w:val="D2B786"/>
                                <w:sz w:val="48"/>
                                <w:szCs w:val="32"/>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05EA72" id="Text Box 21" o:spid="_x0000_s1027" type="#_x0000_t202" style="position:absolute;left:0;text-align:left;margin-left:0;margin-top:2.95pt;width:319.1pt;height:77.35pt;z-index:2518164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" filled="f" stroked="f" strokeweight=".5pt">
                <v:textbox>
                  <w:txbxContent>
                    <w:p w:rsidR="00A53784" w:rsidRPr="00234266" w:rsidRDefault="00A53784" w:rsidP="000B0991">
                      <w:pPr>
                        <w:jc w:val="center"/>
                        <w:rPr>
                          <w:rFonts w:ascii="Artifex CF" w:hAnsi="Artifex CF"/>
                          <w:color w:val="D1B685"/>
                          <w:sz w:val="48"/>
                          <w:szCs w:val="32"/>
                          <w:lang w:val="es-ES"/>
                        </w:rPr>
                      </w:pPr>
                      <w:r w:rsidRPr="00234266">
                        <w:rPr>
                          <w:rFonts w:ascii="Artifex CF" w:hAnsi="Artifex CF"/>
                          <w:color w:val="D1B685"/>
                          <w:sz w:val="48"/>
                          <w:szCs w:val="32"/>
                          <w:lang w:val="es-ES"/>
                        </w:rPr>
                        <w:t>MEMORIA INSTITUCIONAL</w:t>
                      </w:r>
                    </w:p>
                    <w:p w:rsidR="00A53784" w:rsidRDefault="00A53784" w:rsidP="000B0991">
                      <w:pPr>
                        <w:jc w:val="center"/>
                        <w:rPr>
                          <w:color w:val="D2B786"/>
                          <w:sz w:val="48"/>
                          <w:szCs w:val="32"/>
                          <w:lang w:val="es-ES"/>
                        </w:rPr>
                      </w:pPr>
                    </w:p>
                  </w:txbxContent>
                </v:textbox>
                <w10:wrap anchorx="margin"/>
              </v:shape>
            </w:pict>
          </mc:Fallback>
        </mc:AlternateContent>
      </w:r>
    </w:p>
    <w:p w:rsidR="000B0991" w:rsidRDefault="000B0991" w:rsidP="000B0991">
      <w:pPr>
        <w:spacing w:after="0" w:line="240" w:lineRule="auto"/>
        <w:rPr>
          <w:rFonts w:ascii="Times New Roman" w:hAnsi="Times New Roman"/>
          <w:b/>
          <w:sz w:val="32"/>
          <w:szCs w:val="32"/>
        </w:rPr>
      </w:pPr>
    </w:p>
    <w:p w:rsidR="000B0991" w:rsidRDefault="000B0991" w:rsidP="000B0991">
      <w:pPr>
        <w:spacing w:after="0" w:line="240" w:lineRule="auto"/>
        <w:rPr>
          <w:rFonts w:ascii="Times New Roman" w:hAnsi="Times New Roman"/>
          <w:b/>
          <w:sz w:val="32"/>
          <w:szCs w:val="32"/>
        </w:rPr>
      </w:pPr>
    </w:p>
    <w:p w:rsidR="000B0991" w:rsidRDefault="000B0991" w:rsidP="000B0991">
      <w:pPr>
        <w:spacing w:after="0" w:line="240" w:lineRule="auto"/>
        <w:rPr>
          <w:rFonts w:ascii="Times New Roman" w:hAnsi="Times New Roman"/>
          <w:b/>
          <w:sz w:val="32"/>
          <w:szCs w:val="32"/>
        </w:rPr>
      </w:pPr>
      <w:r>
        <w:rPr>
          <w:noProof/>
          <w:lang w:eastAsia="es-DO"/>
        </w:rPr>
        <w:drawing>
          <wp:anchor distT="0" distB="0" distL="114300" distR="114300" simplePos="0" relativeHeight="251813376" behindDoc="1" locked="0" layoutInCell="1" allowOverlap="1" wp14:anchorId="0BCDFA26" wp14:editId="7802290A">
            <wp:simplePos x="0" y="0"/>
            <wp:positionH relativeFrom="margin">
              <wp:posOffset>400413</wp:posOffset>
            </wp:positionH>
            <wp:positionV relativeFrom="paragraph">
              <wp:posOffset>111125</wp:posOffset>
            </wp:positionV>
            <wp:extent cx="4230370" cy="36576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42054" t="56181" r="40466" b="41132"/>
                    <a:stretch/>
                  </pic:blipFill>
                  <pic:spPr bwMode="auto">
                    <a:xfrm>
                      <a:off x="0" y="0"/>
                      <a:ext cx="4230370" cy="365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0991" w:rsidRDefault="000B0991" w:rsidP="000B0991">
      <w:pPr>
        <w:spacing w:after="0" w:line="240" w:lineRule="auto"/>
        <w:rPr>
          <w:rFonts w:ascii="Times New Roman" w:hAnsi="Times New Roman"/>
          <w:b/>
          <w:sz w:val="32"/>
          <w:szCs w:val="32"/>
        </w:rPr>
      </w:pPr>
    </w:p>
    <w:p w:rsidR="000B0991" w:rsidRDefault="000B0991" w:rsidP="000B0991">
      <w:pPr>
        <w:spacing w:after="0" w:line="240" w:lineRule="auto"/>
        <w:rPr>
          <w:rFonts w:ascii="Times New Roman" w:hAnsi="Times New Roman"/>
          <w:b/>
          <w:sz w:val="32"/>
          <w:szCs w:val="32"/>
        </w:rPr>
      </w:pPr>
      <w:r>
        <w:rPr>
          <w:rFonts w:ascii="Times New Roman" w:hAnsi="Times New Roman"/>
          <w:b/>
          <w:noProof/>
          <w:sz w:val="32"/>
          <w:szCs w:val="32"/>
          <w:lang w:eastAsia="es-DO"/>
        </w:rPr>
        <mc:AlternateContent>
          <mc:Choice Requires="wps">
            <w:drawing>
              <wp:anchor distT="0" distB="0" distL="114300" distR="114300" simplePos="0" relativeHeight="251817472" behindDoc="0" locked="0" layoutInCell="1" allowOverlap="1" wp14:anchorId="05ED6F67" wp14:editId="00D7852F">
                <wp:simplePos x="0" y="0"/>
                <wp:positionH relativeFrom="margin">
                  <wp:posOffset>461373</wp:posOffset>
                </wp:positionH>
                <wp:positionV relativeFrom="paragraph">
                  <wp:posOffset>21590</wp:posOffset>
                </wp:positionV>
                <wp:extent cx="4052570" cy="40195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4052570" cy="401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3784" w:rsidRPr="00234266" w:rsidRDefault="00A53784" w:rsidP="000B0991">
                            <w:pPr>
                              <w:jc w:val="center"/>
                              <w:rPr>
                                <w:rFonts w:ascii="iCiel Gotham Medium" w:hAnsi="iCiel Gotham Medium"/>
                                <w:color w:val="D1B685"/>
                                <w:sz w:val="20"/>
                                <w:szCs w:val="20"/>
                                <w:lang w:val="es-ES"/>
                              </w:rPr>
                            </w:pPr>
                            <w:r w:rsidRPr="00234266">
                              <w:rPr>
                                <w:rFonts w:ascii="iCiel Gotham Medium" w:hAnsi="iCiel Gotham Medium"/>
                                <w:color w:val="D1B685"/>
                                <w:sz w:val="20"/>
                                <w:szCs w:val="20"/>
                                <w:lang w:val="es-ES"/>
                              </w:rPr>
                              <w:t>AÑO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ED6F67" id="Text Box 25" o:spid="_x0000_s1028" type="#_x0000_t202" style="position:absolute;margin-left:36.35pt;margin-top:1.7pt;width:319.1pt;height:31.65pt;z-index:2518174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" filled="f" stroked="f" strokeweight=".5pt">
                <v:textbox>
                  <w:txbxContent>
                    <w:p w:rsidR="00A53784" w:rsidRPr="00234266" w:rsidRDefault="00A53784" w:rsidP="000B0991">
                      <w:pPr>
                        <w:jc w:val="center"/>
                        <w:rPr>
                          <w:rFonts w:ascii="iCiel Gotham Medium" w:hAnsi="iCiel Gotham Medium"/>
                          <w:color w:val="D1B685"/>
                          <w:sz w:val="20"/>
                          <w:szCs w:val="20"/>
                          <w:lang w:val="es-ES"/>
                        </w:rPr>
                      </w:pPr>
                      <w:r w:rsidRPr="00234266">
                        <w:rPr>
                          <w:rFonts w:ascii="iCiel Gotham Medium" w:hAnsi="iCiel Gotham Medium"/>
                          <w:color w:val="D1B685"/>
                          <w:sz w:val="20"/>
                          <w:szCs w:val="20"/>
                          <w:lang w:val="es-ES"/>
                        </w:rPr>
                        <w:t>AÑO 2020</w:t>
                      </w:r>
                    </w:p>
                  </w:txbxContent>
                </v:textbox>
                <w10:wrap anchorx="margin"/>
              </v:shape>
            </w:pict>
          </mc:Fallback>
        </mc:AlternateContent>
      </w:r>
    </w:p>
    <w:p w:rsidR="000B0991" w:rsidRDefault="000B0991" w:rsidP="000B0991">
      <w:pPr>
        <w:spacing w:after="0" w:line="240" w:lineRule="auto"/>
        <w:rPr>
          <w:rFonts w:ascii="Times New Roman" w:hAnsi="Times New Roman"/>
          <w:b/>
          <w:sz w:val="32"/>
          <w:szCs w:val="32"/>
        </w:rPr>
      </w:pPr>
      <w:r>
        <w:rPr>
          <w:noProof/>
          <w:lang w:eastAsia="es-DO"/>
        </w:rPr>
        <w:drawing>
          <wp:anchor distT="0" distB="0" distL="114300" distR="114300" simplePos="0" relativeHeight="251815424" behindDoc="0" locked="0" layoutInCell="1" allowOverlap="1" wp14:anchorId="671D097B" wp14:editId="6001905F">
            <wp:simplePos x="0" y="0"/>
            <wp:positionH relativeFrom="column">
              <wp:posOffset>3710940</wp:posOffset>
            </wp:positionH>
            <wp:positionV relativeFrom="paragraph">
              <wp:posOffset>2436495</wp:posOffset>
            </wp:positionV>
            <wp:extent cx="2037715" cy="861695"/>
            <wp:effectExtent l="0" t="0" r="63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rotWithShape="1">
                    <a:blip r:embed="rId10" cstate="print">
                      <a:duotone>
                        <a:schemeClr val="accent4">
                          <a:shade val="45000"/>
                          <a:satMod val="135000"/>
                        </a:schemeClr>
                        <a:prstClr val="white"/>
                      </a:duotone>
                      <a:extLst>
                        <a:ext uri="{28A0092B-C50C-407E-A947-70E740481C1C}">
                          <a14:useLocalDpi xmlns:a14="http://schemas.microsoft.com/office/drawing/2010/main" val="0"/>
                        </a:ext>
                      </a:extLst>
                    </a:blip>
                    <a:srcRect l="9379" t="17597" r="6868" b="19422"/>
                    <a:stretch/>
                  </pic:blipFill>
                  <pic:spPr bwMode="auto">
                    <a:xfrm>
                      <a:off x="0" y="0"/>
                      <a:ext cx="2037715" cy="861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DO"/>
        </w:rPr>
        <w:drawing>
          <wp:anchor distT="0" distB="0" distL="114300" distR="114300" simplePos="0" relativeHeight="251814400" behindDoc="0" locked="0" layoutInCell="1" allowOverlap="1" wp14:anchorId="370C65E7" wp14:editId="71AE1D24">
            <wp:simplePos x="0" y="0"/>
            <wp:positionH relativeFrom="column">
              <wp:posOffset>-278130</wp:posOffset>
            </wp:positionH>
            <wp:positionV relativeFrom="paragraph">
              <wp:posOffset>2272343</wp:posOffset>
            </wp:positionV>
            <wp:extent cx="2284096" cy="1002384"/>
            <wp:effectExtent l="0" t="0" r="1905" b="762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963" t="11101" r="6997" b="18626"/>
                    <a:stretch/>
                  </pic:blipFill>
                  <pic:spPr bwMode="auto">
                    <a:xfrm>
                      <a:off x="0" y="0"/>
                      <a:ext cx="2284096" cy="10023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b/>
          <w:sz w:val="32"/>
          <w:szCs w:val="32"/>
        </w:rPr>
        <w:br w:type="page"/>
      </w:r>
    </w:p>
    <w:p w:rsidR="00012EEC" w:rsidRPr="000B0991" w:rsidRDefault="00012EEC" w:rsidP="00012EEC">
      <w:pPr>
        <w:spacing w:after="0" w:line="240" w:lineRule="auto"/>
        <w:jc w:val="center"/>
        <w:rPr>
          <w:rFonts w:ascii="Californian FB" w:hAnsi="Californian FB"/>
          <w:b/>
          <w:sz w:val="20"/>
          <w:szCs w:val="40"/>
        </w:rPr>
      </w:pPr>
    </w:p>
    <w:p w:rsidR="00012EEC" w:rsidRDefault="00012EEC" w:rsidP="00012EEC">
      <w:pPr>
        <w:spacing w:after="0" w:line="240" w:lineRule="auto"/>
        <w:jc w:val="center"/>
        <w:rPr>
          <w:noProof/>
          <w:lang w:eastAsia="es-DO"/>
        </w:rPr>
      </w:pPr>
    </w:p>
    <w:p w:rsidR="00012EEC" w:rsidRDefault="00012EEC" w:rsidP="00012EEC">
      <w:pPr>
        <w:spacing w:after="0" w:line="240" w:lineRule="auto"/>
        <w:jc w:val="center"/>
        <w:rPr>
          <w:noProof/>
          <w:lang w:eastAsia="es-DO"/>
        </w:rPr>
      </w:pPr>
    </w:p>
    <w:p w:rsidR="00012EEC" w:rsidRDefault="00012EEC" w:rsidP="00012EEC">
      <w:pPr>
        <w:spacing w:after="0" w:line="240" w:lineRule="auto"/>
        <w:jc w:val="center"/>
        <w:rPr>
          <w:noProof/>
          <w:lang w:eastAsia="es-DO"/>
        </w:rPr>
      </w:pPr>
    </w:p>
    <w:p w:rsidR="00012EEC" w:rsidRDefault="00012EEC" w:rsidP="00012EEC">
      <w:pPr>
        <w:spacing w:after="0" w:line="240" w:lineRule="auto"/>
        <w:jc w:val="center"/>
        <w:rPr>
          <w:noProof/>
          <w:lang w:eastAsia="es-DO"/>
        </w:rPr>
      </w:pPr>
    </w:p>
    <w:p w:rsidR="00012EEC" w:rsidRDefault="00012EEC" w:rsidP="00012EEC">
      <w:pPr>
        <w:spacing w:after="0" w:line="240" w:lineRule="auto"/>
        <w:jc w:val="center"/>
        <w:rPr>
          <w:noProof/>
          <w:lang w:eastAsia="es-DO"/>
        </w:rPr>
      </w:pPr>
    </w:p>
    <w:p w:rsidR="00012EEC" w:rsidRDefault="00012EEC" w:rsidP="00012EEC">
      <w:pPr>
        <w:spacing w:after="0" w:line="240" w:lineRule="auto"/>
        <w:jc w:val="center"/>
        <w:rPr>
          <w:noProof/>
          <w:lang w:eastAsia="es-DO"/>
        </w:rPr>
      </w:pPr>
    </w:p>
    <w:p w:rsidR="00012EEC" w:rsidRDefault="00012EEC" w:rsidP="00012EEC">
      <w:pPr>
        <w:spacing w:after="0" w:line="240" w:lineRule="auto"/>
        <w:jc w:val="center"/>
        <w:rPr>
          <w:noProof/>
          <w:lang w:eastAsia="es-DO"/>
        </w:rPr>
      </w:pPr>
    </w:p>
    <w:p w:rsidR="00012EEC" w:rsidRDefault="00012EEC" w:rsidP="00012EEC">
      <w:pPr>
        <w:spacing w:after="0" w:line="240" w:lineRule="auto"/>
        <w:jc w:val="center"/>
        <w:rPr>
          <w:noProof/>
          <w:lang w:eastAsia="es-DO"/>
        </w:rPr>
      </w:pPr>
    </w:p>
    <w:p w:rsidR="00012EEC" w:rsidRDefault="00012EEC" w:rsidP="00012EEC">
      <w:pPr>
        <w:spacing w:after="0" w:line="240" w:lineRule="auto"/>
        <w:jc w:val="center"/>
        <w:rPr>
          <w:noProof/>
          <w:lang w:eastAsia="es-DO"/>
        </w:rPr>
      </w:pPr>
    </w:p>
    <w:p w:rsidR="00012EEC" w:rsidRDefault="00012EEC" w:rsidP="00012EEC">
      <w:pPr>
        <w:spacing w:after="0" w:line="240" w:lineRule="auto"/>
        <w:jc w:val="center"/>
        <w:rPr>
          <w:noProof/>
          <w:lang w:eastAsia="es-DO"/>
        </w:rPr>
      </w:pPr>
    </w:p>
    <w:p w:rsidR="00012EEC" w:rsidRDefault="00012EEC" w:rsidP="00012EEC">
      <w:pPr>
        <w:spacing w:after="0" w:line="240" w:lineRule="auto"/>
        <w:jc w:val="center"/>
        <w:rPr>
          <w:rFonts w:ascii="Californian FB" w:hAnsi="Californian FB"/>
          <w:b/>
          <w:sz w:val="40"/>
          <w:szCs w:val="40"/>
        </w:rPr>
      </w:pPr>
    </w:p>
    <w:p w:rsidR="00012EEC" w:rsidRDefault="00012EEC" w:rsidP="00012EEC">
      <w:pPr>
        <w:spacing w:after="0" w:line="240" w:lineRule="auto"/>
        <w:rPr>
          <w:rFonts w:ascii="Times New Roman" w:hAnsi="Times New Roman"/>
          <w:b/>
          <w:sz w:val="32"/>
          <w:szCs w:val="32"/>
        </w:rPr>
      </w:pPr>
    </w:p>
    <w:p w:rsidR="00012EEC" w:rsidRDefault="00012EEC" w:rsidP="00012EEC">
      <w:pPr>
        <w:tabs>
          <w:tab w:val="left" w:pos="5927"/>
        </w:tabs>
        <w:spacing w:after="0" w:line="240" w:lineRule="auto"/>
        <w:rPr>
          <w:rFonts w:ascii="Times New Roman" w:hAnsi="Times New Roman"/>
          <w:b/>
          <w:sz w:val="32"/>
          <w:szCs w:val="32"/>
        </w:rPr>
      </w:pPr>
      <w:r>
        <w:rPr>
          <w:rFonts w:ascii="Times New Roman" w:hAnsi="Times New Roman"/>
          <w:b/>
          <w:sz w:val="32"/>
          <w:szCs w:val="32"/>
        </w:rPr>
        <w:tab/>
      </w:r>
    </w:p>
    <w:p w:rsidR="00012EEC" w:rsidRDefault="00012EEC" w:rsidP="00012EEC">
      <w:pPr>
        <w:spacing w:after="0" w:line="240" w:lineRule="auto"/>
        <w:rPr>
          <w:rFonts w:ascii="Times New Roman" w:hAnsi="Times New Roman"/>
          <w:b/>
          <w:sz w:val="32"/>
          <w:szCs w:val="32"/>
        </w:rPr>
      </w:pPr>
    </w:p>
    <w:p w:rsidR="00012EEC" w:rsidRDefault="00012EEC" w:rsidP="00012EEC">
      <w:pPr>
        <w:spacing w:after="0" w:line="240" w:lineRule="auto"/>
        <w:rPr>
          <w:rFonts w:ascii="Times New Roman" w:hAnsi="Times New Roman"/>
          <w:b/>
          <w:sz w:val="32"/>
          <w:szCs w:val="32"/>
        </w:rPr>
      </w:pPr>
    </w:p>
    <w:p w:rsidR="000B0991" w:rsidRDefault="000B0991" w:rsidP="000B0991">
      <w:pPr>
        <w:spacing w:after="0" w:line="240" w:lineRule="auto"/>
        <w:rPr>
          <w:rFonts w:ascii="Times New Roman" w:hAnsi="Times New Roman"/>
          <w:b/>
          <w:sz w:val="32"/>
          <w:szCs w:val="32"/>
        </w:rPr>
      </w:pPr>
    </w:p>
    <w:p w:rsidR="000B0991" w:rsidRDefault="000B0991" w:rsidP="000B0991">
      <w:pPr>
        <w:spacing w:after="0" w:line="240" w:lineRule="auto"/>
        <w:rPr>
          <w:rFonts w:ascii="Times New Roman" w:hAnsi="Times New Roman"/>
          <w:b/>
          <w:sz w:val="32"/>
          <w:szCs w:val="32"/>
        </w:rPr>
      </w:pPr>
    </w:p>
    <w:p w:rsidR="000B0991" w:rsidRDefault="004E4D0B" w:rsidP="000B0991">
      <w:pPr>
        <w:spacing w:after="0" w:line="240" w:lineRule="auto"/>
        <w:rPr>
          <w:rFonts w:ascii="Times New Roman" w:hAnsi="Times New Roman"/>
          <w:b/>
          <w:sz w:val="32"/>
          <w:szCs w:val="32"/>
        </w:rPr>
      </w:pPr>
      <w:r>
        <w:rPr>
          <w:rFonts w:ascii="Times New Roman" w:hAnsi="Times New Roman"/>
          <w:b/>
          <w:noProof/>
          <w:sz w:val="32"/>
          <w:szCs w:val="32"/>
          <w:lang w:eastAsia="es-DO"/>
        </w:rPr>
        <mc:AlternateContent>
          <mc:Choice Requires="wps">
            <w:drawing>
              <wp:anchor distT="0" distB="0" distL="114300" distR="114300" simplePos="0" relativeHeight="251798016" behindDoc="0" locked="0" layoutInCell="1" allowOverlap="1" wp14:anchorId="1001CE3C" wp14:editId="305185A0">
                <wp:simplePos x="0" y="0"/>
                <wp:positionH relativeFrom="margin">
                  <wp:align>center</wp:align>
                </wp:positionH>
                <wp:positionV relativeFrom="paragraph">
                  <wp:posOffset>148590</wp:posOffset>
                </wp:positionV>
                <wp:extent cx="4052570" cy="97980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052570" cy="979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3784" w:rsidRPr="002561B1" w:rsidRDefault="00A53784" w:rsidP="00012EEC">
                            <w:pPr>
                              <w:jc w:val="center"/>
                              <w:rPr>
                                <w:color w:val="D2B786"/>
                                <w:sz w:val="48"/>
                                <w:szCs w:val="32"/>
                                <w:lang w:val="es-ES"/>
                              </w:rPr>
                            </w:pPr>
                            <w:r w:rsidRPr="002561B1">
                              <w:rPr>
                                <w:color w:val="D2B786"/>
                                <w:sz w:val="48"/>
                                <w:szCs w:val="32"/>
                                <w:lang w:val="es-ES"/>
                              </w:rPr>
                              <w:t>MEMORIA INSTITUCIONAL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01CE3C" id="Text Box 14" o:spid="_x0000_s1029" type="#_x0000_t202" style="position:absolute;margin-left:0;margin-top:11.7pt;width:319.1pt;height:77.15pt;z-index:25179801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" filled="f" stroked="f" strokeweight=".5pt">
                <v:textbox>
                  <w:txbxContent>
                    <w:p w:rsidR="00A53784" w:rsidRPr="002561B1" w:rsidRDefault="00A53784" w:rsidP="00012EEC">
                      <w:pPr>
                        <w:jc w:val="center"/>
                        <w:rPr>
                          <w:color w:val="D2B786"/>
                          <w:sz w:val="48"/>
                          <w:szCs w:val="32"/>
                          <w:lang w:val="es-ES"/>
                        </w:rPr>
                      </w:pPr>
                      <w:r w:rsidRPr="002561B1">
                        <w:rPr>
                          <w:color w:val="D2B786"/>
                          <w:sz w:val="48"/>
                          <w:szCs w:val="32"/>
                          <w:lang w:val="es-ES"/>
                        </w:rPr>
                        <w:t>MEMORIA INSTITUCIONAL</w:t>
                      </w:r>
                    </w:p>
                  </w:txbxContent>
                </v:textbox>
                <w10:wrap anchorx="margin"/>
              </v:shape>
            </w:pict>
          </mc:Fallback>
        </mc:AlternateContent>
      </w:r>
    </w:p>
    <w:p w:rsidR="000B0991" w:rsidRDefault="000B0991" w:rsidP="000B0991">
      <w:pPr>
        <w:spacing w:after="0" w:line="240" w:lineRule="auto"/>
        <w:rPr>
          <w:rFonts w:ascii="Times New Roman" w:hAnsi="Times New Roman"/>
          <w:b/>
          <w:sz w:val="32"/>
          <w:szCs w:val="32"/>
        </w:rPr>
      </w:pPr>
    </w:p>
    <w:p w:rsidR="000B0991" w:rsidRDefault="000B0991" w:rsidP="000B0991">
      <w:pPr>
        <w:spacing w:after="0" w:line="240" w:lineRule="auto"/>
        <w:rPr>
          <w:rFonts w:ascii="Times New Roman" w:hAnsi="Times New Roman"/>
          <w:b/>
          <w:sz w:val="32"/>
          <w:szCs w:val="32"/>
        </w:rPr>
      </w:pPr>
    </w:p>
    <w:p w:rsidR="00012EEC" w:rsidRDefault="00194EF7" w:rsidP="00012EEC">
      <w:pPr>
        <w:spacing w:after="0" w:line="240" w:lineRule="auto"/>
        <w:rPr>
          <w:rFonts w:ascii="Times New Roman" w:hAnsi="Times New Roman"/>
          <w:b/>
          <w:sz w:val="32"/>
          <w:szCs w:val="32"/>
        </w:rPr>
      </w:pPr>
      <w:r>
        <w:rPr>
          <w:rFonts w:ascii="Times New Roman" w:hAnsi="Times New Roman"/>
          <w:b/>
          <w:noProof/>
          <w:sz w:val="32"/>
          <w:szCs w:val="32"/>
          <w:lang w:eastAsia="es-DO"/>
        </w:rPr>
        <mc:AlternateContent>
          <mc:Choice Requires="wps">
            <w:drawing>
              <wp:anchor distT="0" distB="0" distL="114300" distR="114300" simplePos="0" relativeHeight="251821568" behindDoc="0" locked="0" layoutInCell="1" allowOverlap="1" wp14:anchorId="76F7D8F1" wp14:editId="1D4A7A8E">
                <wp:simplePos x="0" y="0"/>
                <wp:positionH relativeFrom="margin">
                  <wp:posOffset>516890</wp:posOffset>
                </wp:positionH>
                <wp:positionV relativeFrom="paragraph">
                  <wp:posOffset>581660</wp:posOffset>
                </wp:positionV>
                <wp:extent cx="4052570" cy="40195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4052570" cy="4019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3784" w:rsidRPr="00234266" w:rsidRDefault="00A53784" w:rsidP="000B0991">
                            <w:pPr>
                              <w:jc w:val="center"/>
                              <w:rPr>
                                <w:rFonts w:ascii="iCiel Gotham Medium" w:hAnsi="iCiel Gotham Medium"/>
                                <w:color w:val="D1B685"/>
                                <w:sz w:val="20"/>
                                <w:szCs w:val="20"/>
                                <w:lang w:val="es-ES"/>
                              </w:rPr>
                            </w:pPr>
                            <w:r w:rsidRPr="00234266">
                              <w:rPr>
                                <w:rFonts w:ascii="iCiel Gotham Medium" w:hAnsi="iCiel Gotham Medium"/>
                                <w:color w:val="D1B685"/>
                                <w:sz w:val="20"/>
                                <w:szCs w:val="20"/>
                                <w:lang w:val="es-ES"/>
                              </w:rPr>
                              <w:t>AÑO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F7D8F1" id="Text Box 30" o:spid="_x0000_s1030" type="#_x0000_t202" style="position:absolute;margin-left:40.7pt;margin-top:45.8pt;width:319.1pt;height:31.65pt;z-index:2518215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" filled="f" stroked="f" strokeweight=".5pt">
                <v:textbox>
                  <w:txbxContent>
                    <w:p w:rsidR="00A53784" w:rsidRPr="00234266" w:rsidRDefault="00A53784" w:rsidP="000B0991">
                      <w:pPr>
                        <w:jc w:val="center"/>
                        <w:rPr>
                          <w:rFonts w:ascii="iCiel Gotham Medium" w:hAnsi="iCiel Gotham Medium"/>
                          <w:color w:val="D1B685"/>
                          <w:sz w:val="20"/>
                          <w:szCs w:val="20"/>
                          <w:lang w:val="es-ES"/>
                        </w:rPr>
                      </w:pPr>
                      <w:r w:rsidRPr="00234266">
                        <w:rPr>
                          <w:rFonts w:ascii="iCiel Gotham Medium" w:hAnsi="iCiel Gotham Medium"/>
                          <w:color w:val="D1B685"/>
                          <w:sz w:val="20"/>
                          <w:szCs w:val="20"/>
                          <w:lang w:val="es-ES"/>
                        </w:rPr>
                        <w:t>AÑO 2020</w:t>
                      </w:r>
                    </w:p>
                  </w:txbxContent>
                </v:textbox>
                <w10:wrap anchorx="margin"/>
              </v:shape>
            </w:pict>
          </mc:Fallback>
        </mc:AlternateContent>
      </w:r>
      <w:r>
        <w:rPr>
          <w:noProof/>
          <w:lang w:eastAsia="es-DO"/>
        </w:rPr>
        <w:drawing>
          <wp:anchor distT="0" distB="0" distL="114300" distR="114300" simplePos="0" relativeHeight="251820544" behindDoc="1" locked="0" layoutInCell="1" allowOverlap="1" wp14:anchorId="4D4C6DBB" wp14:editId="081A781A">
            <wp:simplePos x="0" y="0"/>
            <wp:positionH relativeFrom="margin">
              <wp:posOffset>478790</wp:posOffset>
            </wp:positionH>
            <wp:positionV relativeFrom="paragraph">
              <wp:posOffset>203835</wp:posOffset>
            </wp:positionV>
            <wp:extent cx="4230370" cy="36576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42054" t="56181" r="40466" b="41132"/>
                    <a:stretch/>
                  </pic:blipFill>
                  <pic:spPr bwMode="auto">
                    <a:xfrm>
                      <a:off x="0" y="0"/>
                      <a:ext cx="4230370" cy="365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2EEC">
        <w:rPr>
          <w:noProof/>
          <w:lang w:eastAsia="es-DO"/>
        </w:rPr>
        <w:drawing>
          <wp:anchor distT="0" distB="0" distL="114300" distR="114300" simplePos="0" relativeHeight="251796992" behindDoc="0" locked="0" layoutInCell="1" allowOverlap="1" wp14:anchorId="5F455FD2" wp14:editId="0379F2E1">
            <wp:simplePos x="0" y="0"/>
            <wp:positionH relativeFrom="column">
              <wp:posOffset>3523763</wp:posOffset>
            </wp:positionH>
            <wp:positionV relativeFrom="paragraph">
              <wp:posOffset>2877346</wp:posOffset>
            </wp:positionV>
            <wp:extent cx="2420457" cy="1023431"/>
            <wp:effectExtent l="0" t="0" r="0" b="571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rotWithShape="1">
                    <a:blip r:embed="rId12" cstate="print">
                      <a:duotone>
                        <a:schemeClr val="accent4">
                          <a:shade val="45000"/>
                          <a:satMod val="135000"/>
                        </a:schemeClr>
                        <a:prstClr val="white"/>
                      </a:duotone>
                      <a:extLst>
                        <a:ext uri="{28A0092B-C50C-407E-A947-70E740481C1C}">
                          <a14:useLocalDpi xmlns:a14="http://schemas.microsoft.com/office/drawing/2010/main" val="0"/>
                        </a:ext>
                      </a:extLst>
                    </a:blip>
                    <a:srcRect l="9379" t="17597" r="6868" b="19422"/>
                    <a:stretch/>
                  </pic:blipFill>
                  <pic:spPr bwMode="auto">
                    <a:xfrm>
                      <a:off x="0" y="0"/>
                      <a:ext cx="2436314" cy="10301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2EEC">
        <w:rPr>
          <w:noProof/>
          <w:lang w:eastAsia="es-DO"/>
        </w:rPr>
        <w:drawing>
          <wp:anchor distT="0" distB="0" distL="114300" distR="114300" simplePos="0" relativeHeight="251795968" behindDoc="0" locked="0" layoutInCell="1" allowOverlap="1" wp14:anchorId="78675151" wp14:editId="2EA77761">
            <wp:simplePos x="0" y="0"/>
            <wp:positionH relativeFrom="column">
              <wp:posOffset>-461807</wp:posOffset>
            </wp:positionH>
            <wp:positionV relativeFrom="paragraph">
              <wp:posOffset>2691765</wp:posOffset>
            </wp:positionV>
            <wp:extent cx="2726143" cy="1196694"/>
            <wp:effectExtent l="0" t="0" r="0" b="381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963" t="11101" r="6997" b="18626"/>
                    <a:stretch/>
                  </pic:blipFill>
                  <pic:spPr bwMode="auto">
                    <a:xfrm>
                      <a:off x="0" y="0"/>
                      <a:ext cx="2726143" cy="11966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2EEC">
        <w:rPr>
          <w:rFonts w:ascii="Times New Roman" w:hAnsi="Times New Roman"/>
          <w:b/>
          <w:sz w:val="32"/>
          <w:szCs w:val="32"/>
        </w:rPr>
        <w:br w:type="page"/>
      </w:r>
    </w:p>
    <w:p w:rsidR="003728AA" w:rsidRDefault="00355DE4" w:rsidP="00355DE4">
      <w:pPr>
        <w:pStyle w:val="NoSpacing"/>
        <w:jc w:val="center"/>
        <w:rPr>
          <w:rFonts w:ascii="Artifex CF Light" w:hAnsi="Artifex CF Light"/>
          <w:color w:val="1F4E79"/>
          <w:sz w:val="26"/>
          <w:szCs w:val="26"/>
          <w:lang w:val="es-DO"/>
        </w:rPr>
      </w:pPr>
      <w:r w:rsidRPr="00355DE4">
        <w:rPr>
          <w:rFonts w:ascii="Artifex CF Light" w:hAnsi="Artifex CF Light"/>
          <w:color w:val="1F4E79"/>
          <w:sz w:val="26"/>
          <w:szCs w:val="26"/>
          <w:lang w:val="es-DO"/>
        </w:rPr>
        <w:lastRenderedPageBreak/>
        <w:t>TABLA DE CONTENIDOS</w:t>
      </w:r>
    </w:p>
    <w:p w:rsidR="0067133C" w:rsidRDefault="004F5725" w:rsidP="00355DE4">
      <w:pPr>
        <w:pStyle w:val="NoSpacing"/>
        <w:jc w:val="center"/>
        <w:rPr>
          <w:rFonts w:ascii="Artifex CF Light" w:hAnsi="Artifex CF Light"/>
          <w:color w:val="1F4E79"/>
          <w:sz w:val="26"/>
          <w:szCs w:val="26"/>
          <w:lang w:val="es-DO"/>
        </w:rPr>
      </w:pPr>
      <w:r>
        <w:rPr>
          <w:rFonts w:ascii="Artifex CF Light" w:hAnsi="Artifex CF Light"/>
          <w:noProof/>
          <w:color w:val="1F4E79"/>
          <w:sz w:val="26"/>
          <w:szCs w:val="26"/>
          <w:lang w:val="es-DO" w:eastAsia="es-DO"/>
        </w:rPr>
        <mc:AlternateContent>
          <mc:Choice Requires="wps">
            <w:drawing>
              <wp:anchor distT="0" distB="0" distL="114300" distR="114300" simplePos="0" relativeHeight="251824640" behindDoc="0" locked="0" layoutInCell="1" allowOverlap="1" wp14:anchorId="4E4DB44B" wp14:editId="160A78C4">
                <wp:simplePos x="0" y="0"/>
                <wp:positionH relativeFrom="margin">
                  <wp:align>center</wp:align>
                </wp:positionH>
                <wp:positionV relativeFrom="paragraph">
                  <wp:posOffset>203200</wp:posOffset>
                </wp:positionV>
                <wp:extent cx="487345" cy="45719"/>
                <wp:effectExtent l="0" t="0" r="8255" b="0"/>
                <wp:wrapNone/>
                <wp:docPr id="65" name="Rectangle 65"/>
                <wp:cNvGraphicFramePr/>
                <a:graphic xmlns:a="http://schemas.openxmlformats.org/drawingml/2006/main">
                  <a:graphicData uri="http://schemas.microsoft.com/office/word/2010/wordprocessingShape">
                    <wps:wsp>
                      <wps:cNvSpPr/>
                      <wps:spPr>
                        <a:xfrm>
                          <a:off x="0" y="0"/>
                          <a:ext cx="487345" cy="45719"/>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3065AC" id="Rectangle 65" o:spid="_x0000_s1026" style="position:absolute;margin-left:0;margin-top:16pt;width:38.35pt;height:3.6pt;z-index:25182464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" fillcolor="red" stroked="f" strokeweight="1pt">
                <w10:wrap anchorx="margin"/>
              </v:rect>
            </w:pict>
          </mc:Fallback>
        </mc:AlternateContent>
      </w:r>
    </w:p>
    <w:p w:rsidR="00355DE4" w:rsidRDefault="00355DE4" w:rsidP="00355DE4">
      <w:pPr>
        <w:pStyle w:val="NoSpacing"/>
        <w:jc w:val="center"/>
        <w:rPr>
          <w:rFonts w:ascii="Artifex CF Light" w:hAnsi="Artifex CF Light"/>
          <w:color w:val="1F4E79"/>
          <w:sz w:val="26"/>
          <w:szCs w:val="26"/>
          <w:lang w:val="es-DO"/>
        </w:rPr>
      </w:pPr>
    </w:p>
    <w:p w:rsidR="00355DE4" w:rsidRPr="0067133C" w:rsidRDefault="00BD0A61" w:rsidP="00BD0A61">
      <w:pPr>
        <w:pStyle w:val="NoSpacing"/>
        <w:tabs>
          <w:tab w:val="center" w:pos="3965"/>
          <w:tab w:val="left" w:pos="6353"/>
        </w:tabs>
        <w:rPr>
          <w:rFonts w:ascii="iCiel Gotham Medium" w:hAnsi="iCiel Gotham Medium"/>
          <w:color w:val="1F4E79"/>
          <w:sz w:val="16"/>
          <w:szCs w:val="16"/>
          <w:lang w:val="es-DO"/>
        </w:rPr>
      </w:pPr>
      <w:r>
        <w:rPr>
          <w:rFonts w:ascii="iCiel Gotham Medium" w:hAnsi="iCiel Gotham Medium"/>
          <w:color w:val="1F4E79"/>
          <w:sz w:val="16"/>
          <w:szCs w:val="16"/>
          <w:lang w:val="es-DO"/>
        </w:rPr>
        <w:tab/>
      </w:r>
      <w:r w:rsidR="00355DE4" w:rsidRPr="0067133C">
        <w:rPr>
          <w:rFonts w:ascii="iCiel Gotham Medium" w:hAnsi="iCiel Gotham Medium"/>
          <w:color w:val="1F4E79"/>
          <w:sz w:val="16"/>
          <w:szCs w:val="16"/>
          <w:lang w:val="es-DO"/>
        </w:rPr>
        <w:t>MEMORIAS 2020</w:t>
      </w:r>
      <w:r>
        <w:rPr>
          <w:rFonts w:ascii="iCiel Gotham Medium" w:hAnsi="iCiel Gotham Medium"/>
          <w:color w:val="1F4E79"/>
          <w:sz w:val="16"/>
          <w:szCs w:val="16"/>
          <w:lang w:val="es-DO"/>
        </w:rPr>
        <w:tab/>
      </w:r>
    </w:p>
    <w:p w:rsidR="003256ED" w:rsidRDefault="0012718D" w:rsidP="003728AA">
      <w:pPr>
        <w:pStyle w:val="NoSpacing"/>
        <w:rPr>
          <w:rFonts w:ascii="Times New Roman" w:hAnsi="Times New Roman"/>
          <w:sz w:val="28"/>
          <w:szCs w:val="28"/>
          <w:lang w:val="es-DO"/>
        </w:rPr>
      </w:pPr>
      <w:r>
        <w:rPr>
          <w:rFonts w:ascii="Times New Roman" w:hAnsi="Times New Roman"/>
          <w:sz w:val="28"/>
          <w:szCs w:val="28"/>
          <w:lang w:val="es-DO"/>
        </w:rPr>
        <w:t xml:space="preserve">  </w:t>
      </w:r>
    </w:p>
    <w:p w:rsidR="003E27E4" w:rsidRDefault="00616B97">
      <w:pPr>
        <w:pStyle w:val="TOC2"/>
        <w:rPr>
          <w:rFonts w:asciiTheme="minorHAnsi" w:eastAsiaTheme="minorEastAsia" w:hAnsiTheme="minorHAnsi" w:cstheme="minorBidi"/>
          <w:color w:val="auto"/>
          <w:sz w:val="22"/>
          <w:szCs w:val="22"/>
          <w:lang w:eastAsia="es-DO"/>
        </w:rPr>
      </w:pPr>
      <w:r w:rsidRPr="0067133C">
        <w:rPr>
          <w:rFonts w:ascii="Artifex CF Extra Light" w:hAnsi="Artifex CF Extra Light"/>
          <w:szCs w:val="18"/>
        </w:rPr>
        <w:fldChar w:fldCharType="begin"/>
      </w:r>
      <w:r w:rsidRPr="0067133C">
        <w:rPr>
          <w:rFonts w:ascii="Artifex CF Extra Light" w:hAnsi="Artifex CF Extra Light"/>
          <w:szCs w:val="18"/>
        </w:rPr>
        <w:instrText xml:space="preserve"> TOC \o "1-3" \h \z \u </w:instrText>
      </w:r>
      <w:r w:rsidRPr="0067133C">
        <w:rPr>
          <w:rFonts w:ascii="Artifex CF Extra Light" w:hAnsi="Artifex CF Extra Light"/>
          <w:szCs w:val="18"/>
        </w:rPr>
        <w:fldChar w:fldCharType="separate"/>
      </w:r>
      <w:hyperlink w:anchor="_Toc58597544" w:history="1">
        <w:r w:rsidR="003E27E4" w:rsidRPr="004D4D1A">
          <w:rPr>
            <w:rStyle w:val="Hyperlink"/>
          </w:rPr>
          <w:t>1.1</w:t>
        </w:r>
        <w:r w:rsidR="003E27E4">
          <w:rPr>
            <w:rFonts w:asciiTheme="minorHAnsi" w:eastAsiaTheme="minorEastAsia" w:hAnsiTheme="minorHAnsi" w:cstheme="minorBidi"/>
            <w:color w:val="auto"/>
            <w:sz w:val="22"/>
            <w:szCs w:val="22"/>
            <w:lang w:eastAsia="es-DO"/>
          </w:rPr>
          <w:tab/>
        </w:r>
        <w:r w:rsidR="003E27E4" w:rsidRPr="004D4D1A">
          <w:rPr>
            <w:rStyle w:val="Hyperlink"/>
          </w:rPr>
          <w:t>RESUMEN EJECUTIVO</w:t>
        </w:r>
        <w:r w:rsidR="003E27E4">
          <w:rPr>
            <w:webHidden/>
          </w:rPr>
          <w:tab/>
        </w:r>
        <w:r w:rsidR="003E27E4">
          <w:rPr>
            <w:webHidden/>
          </w:rPr>
          <w:fldChar w:fldCharType="begin"/>
        </w:r>
        <w:r w:rsidR="003E27E4">
          <w:rPr>
            <w:webHidden/>
          </w:rPr>
          <w:instrText xml:space="preserve"> PAGEREF _Toc58597544 \h </w:instrText>
        </w:r>
        <w:r w:rsidR="003E27E4">
          <w:rPr>
            <w:webHidden/>
          </w:rPr>
        </w:r>
        <w:r w:rsidR="003E27E4">
          <w:rPr>
            <w:webHidden/>
          </w:rPr>
          <w:fldChar w:fldCharType="separate"/>
        </w:r>
        <w:r w:rsidR="00886FFB">
          <w:rPr>
            <w:webHidden/>
          </w:rPr>
          <w:t>1</w:t>
        </w:r>
        <w:r w:rsidR="003E27E4">
          <w:rPr>
            <w:webHidden/>
          </w:rPr>
          <w:fldChar w:fldCharType="end"/>
        </w:r>
      </w:hyperlink>
    </w:p>
    <w:p w:rsidR="003E27E4" w:rsidRDefault="005C4A6B">
      <w:pPr>
        <w:pStyle w:val="TOC3"/>
        <w:tabs>
          <w:tab w:val="right" w:leader="dot" w:pos="7920"/>
        </w:tabs>
        <w:rPr>
          <w:rFonts w:asciiTheme="minorHAnsi" w:eastAsiaTheme="minorEastAsia" w:hAnsiTheme="minorHAnsi" w:cstheme="minorBidi"/>
          <w:noProof/>
          <w:color w:val="auto"/>
          <w:sz w:val="22"/>
          <w:lang w:eastAsia="es-DO"/>
        </w:rPr>
      </w:pPr>
      <w:hyperlink w:anchor="_Toc58597545" w:history="1">
        <w:r w:rsidR="003E27E4" w:rsidRPr="004D4D1A">
          <w:rPr>
            <w:rStyle w:val="Hyperlink"/>
            <w:noProof/>
          </w:rPr>
          <w:t>Contexto frente a la pandemia covid-19</w:t>
        </w:r>
        <w:r w:rsidR="003E27E4">
          <w:rPr>
            <w:noProof/>
            <w:webHidden/>
          </w:rPr>
          <w:tab/>
        </w:r>
        <w:r w:rsidR="003E27E4">
          <w:rPr>
            <w:noProof/>
            <w:webHidden/>
          </w:rPr>
          <w:fldChar w:fldCharType="begin"/>
        </w:r>
        <w:r w:rsidR="003E27E4">
          <w:rPr>
            <w:noProof/>
            <w:webHidden/>
          </w:rPr>
          <w:instrText xml:space="preserve"> PAGEREF _Toc58597545 \h </w:instrText>
        </w:r>
        <w:r w:rsidR="003E27E4">
          <w:rPr>
            <w:noProof/>
            <w:webHidden/>
          </w:rPr>
        </w:r>
        <w:r w:rsidR="003E27E4">
          <w:rPr>
            <w:noProof/>
            <w:webHidden/>
          </w:rPr>
          <w:fldChar w:fldCharType="separate"/>
        </w:r>
        <w:r w:rsidR="00886FFB">
          <w:rPr>
            <w:noProof/>
            <w:webHidden/>
          </w:rPr>
          <w:t>1</w:t>
        </w:r>
        <w:r w:rsidR="003E27E4">
          <w:rPr>
            <w:noProof/>
            <w:webHidden/>
          </w:rPr>
          <w:fldChar w:fldCharType="end"/>
        </w:r>
      </w:hyperlink>
    </w:p>
    <w:p w:rsidR="003E27E4" w:rsidRDefault="005C4A6B">
      <w:pPr>
        <w:pStyle w:val="TOC3"/>
        <w:tabs>
          <w:tab w:val="right" w:leader="dot" w:pos="7920"/>
        </w:tabs>
        <w:rPr>
          <w:rFonts w:asciiTheme="minorHAnsi" w:eastAsiaTheme="minorEastAsia" w:hAnsiTheme="minorHAnsi" w:cstheme="minorBidi"/>
          <w:noProof/>
          <w:color w:val="auto"/>
          <w:sz w:val="22"/>
          <w:lang w:eastAsia="es-DO"/>
        </w:rPr>
      </w:pPr>
      <w:hyperlink w:anchor="_Toc58597546" w:history="1">
        <w:r w:rsidR="003E27E4" w:rsidRPr="004D4D1A">
          <w:rPr>
            <w:rStyle w:val="Hyperlink"/>
            <w:noProof/>
          </w:rPr>
          <w:t>Alimentación y nutrición escolar.</w:t>
        </w:r>
        <w:r w:rsidR="003E27E4">
          <w:rPr>
            <w:noProof/>
            <w:webHidden/>
          </w:rPr>
          <w:tab/>
        </w:r>
        <w:r w:rsidR="003E27E4">
          <w:rPr>
            <w:noProof/>
            <w:webHidden/>
          </w:rPr>
          <w:fldChar w:fldCharType="begin"/>
        </w:r>
        <w:r w:rsidR="003E27E4">
          <w:rPr>
            <w:noProof/>
            <w:webHidden/>
          </w:rPr>
          <w:instrText xml:space="preserve"> PAGEREF _Toc58597546 \h </w:instrText>
        </w:r>
        <w:r w:rsidR="003E27E4">
          <w:rPr>
            <w:noProof/>
            <w:webHidden/>
          </w:rPr>
        </w:r>
        <w:r w:rsidR="003E27E4">
          <w:rPr>
            <w:noProof/>
            <w:webHidden/>
          </w:rPr>
          <w:fldChar w:fldCharType="separate"/>
        </w:r>
        <w:r w:rsidR="00886FFB">
          <w:rPr>
            <w:noProof/>
            <w:webHidden/>
          </w:rPr>
          <w:t>2</w:t>
        </w:r>
        <w:r w:rsidR="003E27E4">
          <w:rPr>
            <w:noProof/>
            <w:webHidden/>
          </w:rPr>
          <w:fldChar w:fldCharType="end"/>
        </w:r>
      </w:hyperlink>
    </w:p>
    <w:p w:rsidR="003E27E4" w:rsidRDefault="005C4A6B">
      <w:pPr>
        <w:pStyle w:val="TOC3"/>
        <w:tabs>
          <w:tab w:val="right" w:leader="dot" w:pos="7920"/>
        </w:tabs>
        <w:rPr>
          <w:rFonts w:asciiTheme="minorHAnsi" w:eastAsiaTheme="minorEastAsia" w:hAnsiTheme="minorHAnsi" w:cstheme="minorBidi"/>
          <w:noProof/>
          <w:color w:val="auto"/>
          <w:sz w:val="22"/>
          <w:lang w:eastAsia="es-DO"/>
        </w:rPr>
      </w:pPr>
      <w:hyperlink w:anchor="_Toc58597547" w:history="1">
        <w:r w:rsidR="003E27E4" w:rsidRPr="004D4D1A">
          <w:rPr>
            <w:rStyle w:val="Hyperlink"/>
            <w:noProof/>
          </w:rPr>
          <w:t>Salud escolar.</w:t>
        </w:r>
        <w:r w:rsidR="003E27E4">
          <w:rPr>
            <w:noProof/>
            <w:webHidden/>
          </w:rPr>
          <w:tab/>
        </w:r>
        <w:r w:rsidR="003E27E4">
          <w:rPr>
            <w:noProof/>
            <w:webHidden/>
          </w:rPr>
          <w:fldChar w:fldCharType="begin"/>
        </w:r>
        <w:r w:rsidR="003E27E4">
          <w:rPr>
            <w:noProof/>
            <w:webHidden/>
          </w:rPr>
          <w:instrText xml:space="preserve"> PAGEREF _Toc58597547 \h </w:instrText>
        </w:r>
        <w:r w:rsidR="003E27E4">
          <w:rPr>
            <w:noProof/>
            <w:webHidden/>
          </w:rPr>
        </w:r>
        <w:r w:rsidR="003E27E4">
          <w:rPr>
            <w:noProof/>
            <w:webHidden/>
          </w:rPr>
          <w:fldChar w:fldCharType="separate"/>
        </w:r>
        <w:r w:rsidR="00886FFB">
          <w:rPr>
            <w:noProof/>
            <w:webHidden/>
          </w:rPr>
          <w:t>4</w:t>
        </w:r>
        <w:r w:rsidR="003E27E4">
          <w:rPr>
            <w:noProof/>
            <w:webHidden/>
          </w:rPr>
          <w:fldChar w:fldCharType="end"/>
        </w:r>
      </w:hyperlink>
    </w:p>
    <w:p w:rsidR="003E27E4" w:rsidRDefault="005C4A6B">
      <w:pPr>
        <w:pStyle w:val="TOC3"/>
        <w:tabs>
          <w:tab w:val="right" w:leader="dot" w:pos="7920"/>
        </w:tabs>
        <w:rPr>
          <w:rFonts w:asciiTheme="minorHAnsi" w:eastAsiaTheme="minorEastAsia" w:hAnsiTheme="minorHAnsi" w:cstheme="minorBidi"/>
          <w:noProof/>
          <w:color w:val="auto"/>
          <w:sz w:val="22"/>
          <w:lang w:eastAsia="es-DO"/>
        </w:rPr>
      </w:pPr>
      <w:hyperlink w:anchor="_Toc58597548" w:history="1">
        <w:r w:rsidR="003E27E4" w:rsidRPr="004D4D1A">
          <w:rPr>
            <w:rStyle w:val="Hyperlink"/>
            <w:noProof/>
          </w:rPr>
          <w:t>Servicios De Apoyo Y Participación Estudiantil</w:t>
        </w:r>
        <w:r w:rsidR="003E27E4">
          <w:rPr>
            <w:noProof/>
            <w:webHidden/>
          </w:rPr>
          <w:tab/>
        </w:r>
        <w:r w:rsidR="003E27E4">
          <w:rPr>
            <w:noProof/>
            <w:webHidden/>
          </w:rPr>
          <w:fldChar w:fldCharType="begin"/>
        </w:r>
        <w:r w:rsidR="003E27E4">
          <w:rPr>
            <w:noProof/>
            <w:webHidden/>
          </w:rPr>
          <w:instrText xml:space="preserve"> PAGEREF _Toc58597548 \h </w:instrText>
        </w:r>
        <w:r w:rsidR="003E27E4">
          <w:rPr>
            <w:noProof/>
            <w:webHidden/>
          </w:rPr>
        </w:r>
        <w:r w:rsidR="003E27E4">
          <w:rPr>
            <w:noProof/>
            <w:webHidden/>
          </w:rPr>
          <w:fldChar w:fldCharType="separate"/>
        </w:r>
        <w:r w:rsidR="00886FFB">
          <w:rPr>
            <w:noProof/>
            <w:webHidden/>
          </w:rPr>
          <w:t>4</w:t>
        </w:r>
        <w:r w:rsidR="003E27E4">
          <w:rPr>
            <w:noProof/>
            <w:webHidden/>
          </w:rPr>
          <w:fldChar w:fldCharType="end"/>
        </w:r>
      </w:hyperlink>
    </w:p>
    <w:p w:rsidR="003E27E4" w:rsidRDefault="005C4A6B">
      <w:pPr>
        <w:pStyle w:val="TOC3"/>
        <w:tabs>
          <w:tab w:val="right" w:leader="dot" w:pos="7920"/>
        </w:tabs>
        <w:rPr>
          <w:rFonts w:asciiTheme="minorHAnsi" w:eastAsiaTheme="minorEastAsia" w:hAnsiTheme="minorHAnsi" w:cstheme="minorBidi"/>
          <w:noProof/>
          <w:color w:val="auto"/>
          <w:sz w:val="22"/>
          <w:lang w:eastAsia="es-DO"/>
        </w:rPr>
      </w:pPr>
      <w:hyperlink w:anchor="_Toc58597549" w:history="1">
        <w:r w:rsidR="003E27E4" w:rsidRPr="004D4D1A">
          <w:rPr>
            <w:rStyle w:val="Hyperlink"/>
            <w:noProof/>
          </w:rPr>
          <w:t>Logros Gestión de Gobierno Sr. Luis Rodolfo Abinader Corona</w:t>
        </w:r>
        <w:r w:rsidR="003E27E4">
          <w:rPr>
            <w:noProof/>
            <w:webHidden/>
          </w:rPr>
          <w:tab/>
        </w:r>
        <w:r w:rsidR="003E27E4">
          <w:rPr>
            <w:noProof/>
            <w:webHidden/>
          </w:rPr>
          <w:fldChar w:fldCharType="begin"/>
        </w:r>
        <w:r w:rsidR="003E27E4">
          <w:rPr>
            <w:noProof/>
            <w:webHidden/>
          </w:rPr>
          <w:instrText xml:space="preserve"> PAGEREF _Toc58597549 \h </w:instrText>
        </w:r>
        <w:r w:rsidR="003E27E4">
          <w:rPr>
            <w:noProof/>
            <w:webHidden/>
          </w:rPr>
        </w:r>
        <w:r w:rsidR="003E27E4">
          <w:rPr>
            <w:noProof/>
            <w:webHidden/>
          </w:rPr>
          <w:fldChar w:fldCharType="separate"/>
        </w:r>
        <w:r w:rsidR="00886FFB">
          <w:rPr>
            <w:noProof/>
            <w:webHidden/>
          </w:rPr>
          <w:t>4</w:t>
        </w:r>
        <w:r w:rsidR="003E27E4">
          <w:rPr>
            <w:noProof/>
            <w:webHidden/>
          </w:rPr>
          <w:fldChar w:fldCharType="end"/>
        </w:r>
      </w:hyperlink>
    </w:p>
    <w:p w:rsidR="003E27E4" w:rsidRDefault="005C4A6B">
      <w:pPr>
        <w:pStyle w:val="TOC2"/>
        <w:rPr>
          <w:rFonts w:asciiTheme="minorHAnsi" w:eastAsiaTheme="minorEastAsia" w:hAnsiTheme="minorHAnsi" w:cstheme="minorBidi"/>
          <w:color w:val="auto"/>
          <w:sz w:val="22"/>
          <w:szCs w:val="22"/>
          <w:lang w:eastAsia="es-DO"/>
        </w:rPr>
      </w:pPr>
      <w:hyperlink w:anchor="_Toc58597550" w:history="1">
        <w:r w:rsidR="003E27E4" w:rsidRPr="004D4D1A">
          <w:rPr>
            <w:rStyle w:val="Hyperlink"/>
          </w:rPr>
          <w:t>1.2</w:t>
        </w:r>
        <w:r w:rsidR="003E27E4">
          <w:rPr>
            <w:rFonts w:asciiTheme="minorHAnsi" w:eastAsiaTheme="minorEastAsia" w:hAnsiTheme="minorHAnsi" w:cstheme="minorBidi"/>
            <w:color w:val="auto"/>
            <w:sz w:val="22"/>
            <w:szCs w:val="22"/>
            <w:lang w:eastAsia="es-DO"/>
          </w:rPr>
          <w:tab/>
        </w:r>
        <w:r w:rsidR="003E27E4" w:rsidRPr="004D4D1A">
          <w:rPr>
            <w:rStyle w:val="Hyperlink"/>
          </w:rPr>
          <w:t>BASE LEGAL DEL INABIE</w:t>
        </w:r>
        <w:r w:rsidR="003E27E4">
          <w:rPr>
            <w:webHidden/>
          </w:rPr>
          <w:tab/>
        </w:r>
        <w:r w:rsidR="003E27E4">
          <w:rPr>
            <w:webHidden/>
          </w:rPr>
          <w:fldChar w:fldCharType="begin"/>
        </w:r>
        <w:r w:rsidR="003E27E4">
          <w:rPr>
            <w:webHidden/>
          </w:rPr>
          <w:instrText xml:space="preserve"> PAGEREF _Toc58597550 \h </w:instrText>
        </w:r>
        <w:r w:rsidR="003E27E4">
          <w:rPr>
            <w:webHidden/>
          </w:rPr>
        </w:r>
        <w:r w:rsidR="003E27E4">
          <w:rPr>
            <w:webHidden/>
          </w:rPr>
          <w:fldChar w:fldCharType="separate"/>
        </w:r>
        <w:r w:rsidR="00886FFB">
          <w:rPr>
            <w:webHidden/>
          </w:rPr>
          <w:t>6</w:t>
        </w:r>
        <w:r w:rsidR="003E27E4">
          <w:rPr>
            <w:webHidden/>
          </w:rPr>
          <w:fldChar w:fldCharType="end"/>
        </w:r>
      </w:hyperlink>
    </w:p>
    <w:p w:rsidR="003E27E4" w:rsidRDefault="005C4A6B">
      <w:pPr>
        <w:pStyle w:val="TOC2"/>
        <w:rPr>
          <w:rFonts w:asciiTheme="minorHAnsi" w:eastAsiaTheme="minorEastAsia" w:hAnsiTheme="minorHAnsi" w:cstheme="minorBidi"/>
          <w:color w:val="auto"/>
          <w:sz w:val="22"/>
          <w:szCs w:val="22"/>
          <w:lang w:eastAsia="es-DO"/>
        </w:rPr>
      </w:pPr>
      <w:hyperlink w:anchor="_Toc58597551" w:history="1">
        <w:r w:rsidR="003E27E4" w:rsidRPr="004D4D1A">
          <w:rPr>
            <w:rStyle w:val="Hyperlink"/>
          </w:rPr>
          <w:t>1.3</w:t>
        </w:r>
        <w:r w:rsidR="003E27E4">
          <w:rPr>
            <w:rFonts w:asciiTheme="minorHAnsi" w:eastAsiaTheme="minorEastAsia" w:hAnsiTheme="minorHAnsi" w:cstheme="minorBidi"/>
            <w:color w:val="auto"/>
            <w:sz w:val="22"/>
            <w:szCs w:val="22"/>
            <w:lang w:eastAsia="es-DO"/>
          </w:rPr>
          <w:tab/>
        </w:r>
        <w:r w:rsidR="003E27E4" w:rsidRPr="004D4D1A">
          <w:rPr>
            <w:rStyle w:val="Hyperlink"/>
          </w:rPr>
          <w:t>FILOSOFÍA INSTITUCIONAL</w:t>
        </w:r>
        <w:r w:rsidR="003E27E4">
          <w:rPr>
            <w:webHidden/>
          </w:rPr>
          <w:tab/>
        </w:r>
        <w:r w:rsidR="003E27E4">
          <w:rPr>
            <w:webHidden/>
          </w:rPr>
          <w:fldChar w:fldCharType="begin"/>
        </w:r>
        <w:r w:rsidR="003E27E4">
          <w:rPr>
            <w:webHidden/>
          </w:rPr>
          <w:instrText xml:space="preserve"> PAGEREF _Toc58597551 \h </w:instrText>
        </w:r>
        <w:r w:rsidR="003E27E4">
          <w:rPr>
            <w:webHidden/>
          </w:rPr>
        </w:r>
        <w:r w:rsidR="003E27E4">
          <w:rPr>
            <w:webHidden/>
          </w:rPr>
          <w:fldChar w:fldCharType="separate"/>
        </w:r>
        <w:r w:rsidR="00886FFB">
          <w:rPr>
            <w:webHidden/>
          </w:rPr>
          <w:t>6</w:t>
        </w:r>
        <w:r w:rsidR="003E27E4">
          <w:rPr>
            <w:webHidden/>
          </w:rPr>
          <w:fldChar w:fldCharType="end"/>
        </w:r>
      </w:hyperlink>
    </w:p>
    <w:p w:rsidR="003E27E4" w:rsidRDefault="005C4A6B">
      <w:pPr>
        <w:pStyle w:val="TOC2"/>
        <w:rPr>
          <w:rFonts w:asciiTheme="minorHAnsi" w:eastAsiaTheme="minorEastAsia" w:hAnsiTheme="minorHAnsi" w:cstheme="minorBidi"/>
          <w:color w:val="auto"/>
          <w:sz w:val="22"/>
          <w:szCs w:val="22"/>
          <w:lang w:eastAsia="es-DO"/>
        </w:rPr>
      </w:pPr>
      <w:hyperlink w:anchor="_Toc58597552" w:history="1">
        <w:r w:rsidR="003E27E4" w:rsidRPr="004D4D1A">
          <w:rPr>
            <w:rStyle w:val="Hyperlink"/>
          </w:rPr>
          <w:t>1.4</w:t>
        </w:r>
        <w:r w:rsidR="003E27E4">
          <w:rPr>
            <w:rFonts w:asciiTheme="minorHAnsi" w:eastAsiaTheme="minorEastAsia" w:hAnsiTheme="minorHAnsi" w:cstheme="minorBidi"/>
            <w:color w:val="auto"/>
            <w:sz w:val="22"/>
            <w:szCs w:val="22"/>
            <w:lang w:eastAsia="es-DO"/>
          </w:rPr>
          <w:tab/>
        </w:r>
        <w:r w:rsidR="003E27E4" w:rsidRPr="004D4D1A">
          <w:rPr>
            <w:rStyle w:val="Hyperlink"/>
          </w:rPr>
          <w:t>PROGRAMA DE ALIMENTACIÓN ESCOLAR (PAE)</w:t>
        </w:r>
        <w:r w:rsidR="003E27E4">
          <w:rPr>
            <w:webHidden/>
          </w:rPr>
          <w:tab/>
        </w:r>
        <w:r w:rsidR="003E27E4">
          <w:rPr>
            <w:webHidden/>
          </w:rPr>
          <w:fldChar w:fldCharType="begin"/>
        </w:r>
        <w:r w:rsidR="003E27E4">
          <w:rPr>
            <w:webHidden/>
          </w:rPr>
          <w:instrText xml:space="preserve"> PAGEREF _Toc58597552 \h </w:instrText>
        </w:r>
        <w:r w:rsidR="003E27E4">
          <w:rPr>
            <w:webHidden/>
          </w:rPr>
        </w:r>
        <w:r w:rsidR="003E27E4">
          <w:rPr>
            <w:webHidden/>
          </w:rPr>
          <w:fldChar w:fldCharType="separate"/>
        </w:r>
        <w:r w:rsidR="00886FFB">
          <w:rPr>
            <w:webHidden/>
          </w:rPr>
          <w:t>8</w:t>
        </w:r>
        <w:r w:rsidR="003E27E4">
          <w:rPr>
            <w:webHidden/>
          </w:rPr>
          <w:fldChar w:fldCharType="end"/>
        </w:r>
      </w:hyperlink>
    </w:p>
    <w:p w:rsidR="003E27E4" w:rsidRDefault="005C4A6B">
      <w:pPr>
        <w:pStyle w:val="TOC2"/>
        <w:rPr>
          <w:rFonts w:asciiTheme="minorHAnsi" w:eastAsiaTheme="minorEastAsia" w:hAnsiTheme="minorHAnsi" w:cstheme="minorBidi"/>
          <w:color w:val="auto"/>
          <w:sz w:val="22"/>
          <w:szCs w:val="22"/>
          <w:lang w:eastAsia="es-DO"/>
        </w:rPr>
      </w:pPr>
      <w:hyperlink w:anchor="_Toc58597553" w:history="1">
        <w:r w:rsidR="003E27E4" w:rsidRPr="004D4D1A">
          <w:rPr>
            <w:rStyle w:val="Hyperlink"/>
          </w:rPr>
          <w:t>1.5</w:t>
        </w:r>
        <w:r w:rsidR="003E27E4">
          <w:rPr>
            <w:rFonts w:asciiTheme="minorHAnsi" w:eastAsiaTheme="minorEastAsia" w:hAnsiTheme="minorHAnsi" w:cstheme="minorBidi"/>
            <w:color w:val="auto"/>
            <w:sz w:val="22"/>
            <w:szCs w:val="22"/>
            <w:lang w:eastAsia="es-DO"/>
          </w:rPr>
          <w:tab/>
        </w:r>
        <w:r w:rsidR="003E27E4" w:rsidRPr="004D4D1A">
          <w:rPr>
            <w:rStyle w:val="Hyperlink"/>
          </w:rPr>
          <w:t>PROGRAMA DE SALUD ESCOLAR</w:t>
        </w:r>
        <w:r w:rsidR="003E27E4">
          <w:rPr>
            <w:webHidden/>
          </w:rPr>
          <w:tab/>
        </w:r>
        <w:r w:rsidR="003E27E4">
          <w:rPr>
            <w:webHidden/>
          </w:rPr>
          <w:fldChar w:fldCharType="begin"/>
        </w:r>
        <w:r w:rsidR="003E27E4">
          <w:rPr>
            <w:webHidden/>
          </w:rPr>
          <w:instrText xml:space="preserve"> PAGEREF _Toc58597553 \h </w:instrText>
        </w:r>
        <w:r w:rsidR="003E27E4">
          <w:rPr>
            <w:webHidden/>
          </w:rPr>
        </w:r>
        <w:r w:rsidR="003E27E4">
          <w:rPr>
            <w:webHidden/>
          </w:rPr>
          <w:fldChar w:fldCharType="separate"/>
        </w:r>
        <w:r w:rsidR="00886FFB">
          <w:rPr>
            <w:webHidden/>
          </w:rPr>
          <w:t>17</w:t>
        </w:r>
        <w:r w:rsidR="003E27E4">
          <w:rPr>
            <w:webHidden/>
          </w:rPr>
          <w:fldChar w:fldCharType="end"/>
        </w:r>
      </w:hyperlink>
    </w:p>
    <w:p w:rsidR="003E27E4" w:rsidRDefault="005C4A6B">
      <w:pPr>
        <w:pStyle w:val="TOC2"/>
        <w:rPr>
          <w:rFonts w:asciiTheme="minorHAnsi" w:eastAsiaTheme="minorEastAsia" w:hAnsiTheme="minorHAnsi" w:cstheme="minorBidi"/>
          <w:color w:val="auto"/>
          <w:sz w:val="22"/>
          <w:szCs w:val="22"/>
          <w:lang w:eastAsia="es-DO"/>
        </w:rPr>
      </w:pPr>
      <w:hyperlink w:anchor="_Toc58597554" w:history="1">
        <w:r w:rsidR="003E27E4" w:rsidRPr="004D4D1A">
          <w:rPr>
            <w:rStyle w:val="Hyperlink"/>
          </w:rPr>
          <w:t>1.6</w:t>
        </w:r>
        <w:r w:rsidR="003E27E4">
          <w:rPr>
            <w:rFonts w:asciiTheme="minorHAnsi" w:eastAsiaTheme="minorEastAsia" w:hAnsiTheme="minorHAnsi" w:cstheme="minorBidi"/>
            <w:color w:val="auto"/>
            <w:sz w:val="22"/>
            <w:szCs w:val="22"/>
            <w:lang w:eastAsia="es-DO"/>
          </w:rPr>
          <w:tab/>
        </w:r>
        <w:r w:rsidR="003E27E4" w:rsidRPr="004D4D1A">
          <w:rPr>
            <w:rStyle w:val="Hyperlink"/>
          </w:rPr>
          <w:t>PROGRAMA DE SERVICIOS SOCIALES ESTUDIANTILES</w:t>
        </w:r>
        <w:r w:rsidR="003E27E4">
          <w:rPr>
            <w:webHidden/>
          </w:rPr>
          <w:tab/>
        </w:r>
        <w:r w:rsidR="003E27E4">
          <w:rPr>
            <w:webHidden/>
          </w:rPr>
          <w:fldChar w:fldCharType="begin"/>
        </w:r>
        <w:r w:rsidR="003E27E4">
          <w:rPr>
            <w:webHidden/>
          </w:rPr>
          <w:instrText xml:space="preserve"> PAGEREF _Toc58597554 \h </w:instrText>
        </w:r>
        <w:r w:rsidR="003E27E4">
          <w:rPr>
            <w:webHidden/>
          </w:rPr>
        </w:r>
        <w:r w:rsidR="003E27E4">
          <w:rPr>
            <w:webHidden/>
          </w:rPr>
          <w:fldChar w:fldCharType="separate"/>
        </w:r>
        <w:r w:rsidR="00886FFB">
          <w:rPr>
            <w:webHidden/>
          </w:rPr>
          <w:t>19</w:t>
        </w:r>
        <w:r w:rsidR="003E27E4">
          <w:rPr>
            <w:webHidden/>
          </w:rPr>
          <w:fldChar w:fldCharType="end"/>
        </w:r>
      </w:hyperlink>
    </w:p>
    <w:p w:rsidR="003E27E4" w:rsidRDefault="005C4A6B">
      <w:pPr>
        <w:pStyle w:val="TOC2"/>
        <w:rPr>
          <w:rFonts w:asciiTheme="minorHAnsi" w:eastAsiaTheme="minorEastAsia" w:hAnsiTheme="minorHAnsi" w:cstheme="minorBidi"/>
          <w:color w:val="auto"/>
          <w:sz w:val="22"/>
          <w:szCs w:val="22"/>
          <w:lang w:eastAsia="es-DO"/>
        </w:rPr>
      </w:pPr>
      <w:hyperlink w:anchor="_Toc58597555" w:history="1">
        <w:r w:rsidR="003E27E4" w:rsidRPr="004D4D1A">
          <w:rPr>
            <w:rStyle w:val="Hyperlink"/>
          </w:rPr>
          <w:t>1.7</w:t>
        </w:r>
        <w:r w:rsidR="003E27E4">
          <w:rPr>
            <w:rFonts w:asciiTheme="minorHAnsi" w:eastAsiaTheme="minorEastAsia" w:hAnsiTheme="minorHAnsi" w:cstheme="minorBidi"/>
            <w:color w:val="auto"/>
            <w:sz w:val="22"/>
            <w:szCs w:val="22"/>
            <w:lang w:eastAsia="es-DO"/>
          </w:rPr>
          <w:tab/>
        </w:r>
        <w:r w:rsidR="003E27E4" w:rsidRPr="004D4D1A">
          <w:rPr>
            <w:rStyle w:val="Hyperlink"/>
          </w:rPr>
          <w:t>FORTALECIMIENTO INSTITUCIONAL</w:t>
        </w:r>
        <w:r w:rsidR="003E27E4">
          <w:rPr>
            <w:webHidden/>
          </w:rPr>
          <w:tab/>
        </w:r>
        <w:r w:rsidR="003E27E4">
          <w:rPr>
            <w:webHidden/>
          </w:rPr>
          <w:fldChar w:fldCharType="begin"/>
        </w:r>
        <w:r w:rsidR="003E27E4">
          <w:rPr>
            <w:webHidden/>
          </w:rPr>
          <w:instrText xml:space="preserve"> PAGEREF _Toc58597555 \h </w:instrText>
        </w:r>
        <w:r w:rsidR="003E27E4">
          <w:rPr>
            <w:webHidden/>
          </w:rPr>
        </w:r>
        <w:r w:rsidR="003E27E4">
          <w:rPr>
            <w:webHidden/>
          </w:rPr>
          <w:fldChar w:fldCharType="separate"/>
        </w:r>
        <w:r w:rsidR="00886FFB">
          <w:rPr>
            <w:webHidden/>
          </w:rPr>
          <w:t>21</w:t>
        </w:r>
        <w:r w:rsidR="003E27E4">
          <w:rPr>
            <w:webHidden/>
          </w:rPr>
          <w:fldChar w:fldCharType="end"/>
        </w:r>
      </w:hyperlink>
    </w:p>
    <w:p w:rsidR="003E27E4" w:rsidRDefault="005C4A6B">
      <w:pPr>
        <w:pStyle w:val="TOC3"/>
        <w:tabs>
          <w:tab w:val="right" w:leader="dot" w:pos="7920"/>
        </w:tabs>
        <w:rPr>
          <w:rFonts w:asciiTheme="minorHAnsi" w:eastAsiaTheme="minorEastAsia" w:hAnsiTheme="minorHAnsi" w:cstheme="minorBidi"/>
          <w:noProof/>
          <w:color w:val="auto"/>
          <w:sz w:val="22"/>
          <w:lang w:eastAsia="es-DO"/>
        </w:rPr>
      </w:pPr>
      <w:hyperlink w:anchor="_Toc58597556" w:history="1">
        <w:r w:rsidR="003E27E4" w:rsidRPr="004D4D1A">
          <w:rPr>
            <w:rStyle w:val="Hyperlink"/>
            <w:noProof/>
          </w:rPr>
          <w:t>DIRECCIÓN EJECUTIVA</w:t>
        </w:r>
        <w:r w:rsidR="003E27E4">
          <w:rPr>
            <w:noProof/>
            <w:webHidden/>
          </w:rPr>
          <w:tab/>
        </w:r>
        <w:r w:rsidR="003E27E4">
          <w:rPr>
            <w:noProof/>
            <w:webHidden/>
          </w:rPr>
          <w:fldChar w:fldCharType="begin"/>
        </w:r>
        <w:r w:rsidR="003E27E4">
          <w:rPr>
            <w:noProof/>
            <w:webHidden/>
          </w:rPr>
          <w:instrText xml:space="preserve"> PAGEREF _Toc58597556 \h </w:instrText>
        </w:r>
        <w:r w:rsidR="003E27E4">
          <w:rPr>
            <w:noProof/>
            <w:webHidden/>
          </w:rPr>
        </w:r>
        <w:r w:rsidR="003E27E4">
          <w:rPr>
            <w:noProof/>
            <w:webHidden/>
          </w:rPr>
          <w:fldChar w:fldCharType="separate"/>
        </w:r>
        <w:r w:rsidR="00886FFB">
          <w:rPr>
            <w:noProof/>
            <w:webHidden/>
          </w:rPr>
          <w:t>21</w:t>
        </w:r>
        <w:r w:rsidR="003E27E4">
          <w:rPr>
            <w:noProof/>
            <w:webHidden/>
          </w:rPr>
          <w:fldChar w:fldCharType="end"/>
        </w:r>
      </w:hyperlink>
    </w:p>
    <w:p w:rsidR="003E27E4" w:rsidRDefault="005C4A6B">
      <w:pPr>
        <w:pStyle w:val="TOC3"/>
        <w:tabs>
          <w:tab w:val="right" w:leader="dot" w:pos="7920"/>
        </w:tabs>
        <w:rPr>
          <w:rFonts w:asciiTheme="minorHAnsi" w:eastAsiaTheme="minorEastAsia" w:hAnsiTheme="minorHAnsi" w:cstheme="minorBidi"/>
          <w:noProof/>
          <w:color w:val="auto"/>
          <w:sz w:val="22"/>
          <w:lang w:eastAsia="es-DO"/>
        </w:rPr>
      </w:pPr>
      <w:hyperlink w:anchor="_Toc58597557" w:history="1">
        <w:r w:rsidR="003E27E4" w:rsidRPr="004D4D1A">
          <w:rPr>
            <w:rStyle w:val="Hyperlink"/>
            <w:noProof/>
          </w:rPr>
          <w:t>DIRECCIÓN ADMINISTRATIVA Y FINANCIERA</w:t>
        </w:r>
        <w:r w:rsidR="003E27E4">
          <w:rPr>
            <w:noProof/>
            <w:webHidden/>
          </w:rPr>
          <w:tab/>
        </w:r>
        <w:r w:rsidR="003E27E4">
          <w:rPr>
            <w:noProof/>
            <w:webHidden/>
          </w:rPr>
          <w:fldChar w:fldCharType="begin"/>
        </w:r>
        <w:r w:rsidR="003E27E4">
          <w:rPr>
            <w:noProof/>
            <w:webHidden/>
          </w:rPr>
          <w:instrText xml:space="preserve"> PAGEREF _Toc58597557 \h </w:instrText>
        </w:r>
        <w:r w:rsidR="003E27E4">
          <w:rPr>
            <w:noProof/>
            <w:webHidden/>
          </w:rPr>
        </w:r>
        <w:r w:rsidR="003E27E4">
          <w:rPr>
            <w:noProof/>
            <w:webHidden/>
          </w:rPr>
          <w:fldChar w:fldCharType="separate"/>
        </w:r>
        <w:r w:rsidR="00886FFB">
          <w:rPr>
            <w:noProof/>
            <w:webHidden/>
          </w:rPr>
          <w:t>24</w:t>
        </w:r>
        <w:r w:rsidR="003E27E4">
          <w:rPr>
            <w:noProof/>
            <w:webHidden/>
          </w:rPr>
          <w:fldChar w:fldCharType="end"/>
        </w:r>
      </w:hyperlink>
    </w:p>
    <w:p w:rsidR="003E27E4" w:rsidRDefault="005C4A6B">
      <w:pPr>
        <w:pStyle w:val="TOC3"/>
        <w:tabs>
          <w:tab w:val="right" w:leader="dot" w:pos="7920"/>
        </w:tabs>
        <w:rPr>
          <w:rFonts w:asciiTheme="minorHAnsi" w:eastAsiaTheme="minorEastAsia" w:hAnsiTheme="minorHAnsi" w:cstheme="minorBidi"/>
          <w:noProof/>
          <w:color w:val="auto"/>
          <w:sz w:val="22"/>
          <w:lang w:eastAsia="es-DO"/>
        </w:rPr>
      </w:pPr>
      <w:hyperlink w:anchor="_Toc58597558" w:history="1">
        <w:r w:rsidR="003E27E4" w:rsidRPr="004D4D1A">
          <w:rPr>
            <w:rStyle w:val="Hyperlink"/>
            <w:noProof/>
          </w:rPr>
          <w:t>DIRECCIÓN DE PLANIFICACIÓN Y DESARROLLO</w:t>
        </w:r>
        <w:r w:rsidR="003E27E4">
          <w:rPr>
            <w:noProof/>
            <w:webHidden/>
          </w:rPr>
          <w:tab/>
        </w:r>
        <w:r w:rsidR="003E27E4">
          <w:rPr>
            <w:noProof/>
            <w:webHidden/>
          </w:rPr>
          <w:fldChar w:fldCharType="begin"/>
        </w:r>
        <w:r w:rsidR="003E27E4">
          <w:rPr>
            <w:noProof/>
            <w:webHidden/>
          </w:rPr>
          <w:instrText xml:space="preserve"> PAGEREF _Toc58597558 \h </w:instrText>
        </w:r>
        <w:r w:rsidR="003E27E4">
          <w:rPr>
            <w:noProof/>
            <w:webHidden/>
          </w:rPr>
        </w:r>
        <w:r w:rsidR="003E27E4">
          <w:rPr>
            <w:noProof/>
            <w:webHidden/>
          </w:rPr>
          <w:fldChar w:fldCharType="separate"/>
        </w:r>
        <w:r w:rsidR="00886FFB">
          <w:rPr>
            <w:noProof/>
            <w:webHidden/>
          </w:rPr>
          <w:t>25</w:t>
        </w:r>
        <w:r w:rsidR="003E27E4">
          <w:rPr>
            <w:noProof/>
            <w:webHidden/>
          </w:rPr>
          <w:fldChar w:fldCharType="end"/>
        </w:r>
      </w:hyperlink>
    </w:p>
    <w:p w:rsidR="003E27E4" w:rsidRDefault="005C4A6B">
      <w:pPr>
        <w:pStyle w:val="TOC3"/>
        <w:tabs>
          <w:tab w:val="right" w:leader="dot" w:pos="7920"/>
        </w:tabs>
        <w:rPr>
          <w:rFonts w:asciiTheme="minorHAnsi" w:eastAsiaTheme="minorEastAsia" w:hAnsiTheme="minorHAnsi" w:cstheme="minorBidi"/>
          <w:noProof/>
          <w:color w:val="auto"/>
          <w:sz w:val="22"/>
          <w:lang w:eastAsia="es-DO"/>
        </w:rPr>
      </w:pPr>
      <w:hyperlink w:anchor="_Toc58597559" w:history="1">
        <w:r w:rsidR="003E27E4" w:rsidRPr="004D4D1A">
          <w:rPr>
            <w:rStyle w:val="Hyperlink"/>
            <w:noProof/>
          </w:rPr>
          <w:t>DIRECCIONES REGIONALES</w:t>
        </w:r>
        <w:r w:rsidR="003E27E4">
          <w:rPr>
            <w:noProof/>
            <w:webHidden/>
          </w:rPr>
          <w:tab/>
        </w:r>
        <w:r w:rsidR="003E27E4">
          <w:rPr>
            <w:noProof/>
            <w:webHidden/>
          </w:rPr>
          <w:fldChar w:fldCharType="begin"/>
        </w:r>
        <w:r w:rsidR="003E27E4">
          <w:rPr>
            <w:noProof/>
            <w:webHidden/>
          </w:rPr>
          <w:instrText xml:space="preserve"> PAGEREF _Toc58597559 \h </w:instrText>
        </w:r>
        <w:r w:rsidR="003E27E4">
          <w:rPr>
            <w:noProof/>
            <w:webHidden/>
          </w:rPr>
        </w:r>
        <w:r w:rsidR="003E27E4">
          <w:rPr>
            <w:noProof/>
            <w:webHidden/>
          </w:rPr>
          <w:fldChar w:fldCharType="separate"/>
        </w:r>
        <w:r w:rsidR="00886FFB">
          <w:rPr>
            <w:noProof/>
            <w:webHidden/>
          </w:rPr>
          <w:t>28</w:t>
        </w:r>
        <w:r w:rsidR="003E27E4">
          <w:rPr>
            <w:noProof/>
            <w:webHidden/>
          </w:rPr>
          <w:fldChar w:fldCharType="end"/>
        </w:r>
      </w:hyperlink>
    </w:p>
    <w:p w:rsidR="003E27E4" w:rsidRDefault="005C4A6B">
      <w:pPr>
        <w:pStyle w:val="TOC2"/>
        <w:rPr>
          <w:rFonts w:asciiTheme="minorHAnsi" w:eastAsiaTheme="minorEastAsia" w:hAnsiTheme="minorHAnsi" w:cstheme="minorBidi"/>
          <w:color w:val="auto"/>
          <w:sz w:val="22"/>
          <w:szCs w:val="22"/>
          <w:lang w:eastAsia="es-DO"/>
        </w:rPr>
      </w:pPr>
      <w:hyperlink w:anchor="_Toc58597560" w:history="1">
        <w:r w:rsidR="003E27E4" w:rsidRPr="004D4D1A">
          <w:rPr>
            <w:rStyle w:val="Hyperlink"/>
          </w:rPr>
          <w:t>1.8</w:t>
        </w:r>
        <w:r w:rsidR="003E27E4">
          <w:rPr>
            <w:rFonts w:asciiTheme="minorHAnsi" w:eastAsiaTheme="minorEastAsia" w:hAnsiTheme="minorHAnsi" w:cstheme="minorBidi"/>
            <w:color w:val="auto"/>
            <w:sz w:val="22"/>
            <w:szCs w:val="22"/>
            <w:lang w:eastAsia="es-DO"/>
          </w:rPr>
          <w:tab/>
        </w:r>
        <w:r w:rsidR="003E27E4" w:rsidRPr="004D4D1A">
          <w:rPr>
            <w:rStyle w:val="Hyperlink"/>
          </w:rPr>
          <w:t>PROYECTO PAE SOSTENIBLE</w:t>
        </w:r>
        <w:r w:rsidR="003E27E4">
          <w:rPr>
            <w:webHidden/>
          </w:rPr>
          <w:tab/>
        </w:r>
        <w:r w:rsidR="003E27E4">
          <w:rPr>
            <w:webHidden/>
          </w:rPr>
          <w:fldChar w:fldCharType="begin"/>
        </w:r>
        <w:r w:rsidR="003E27E4">
          <w:rPr>
            <w:webHidden/>
          </w:rPr>
          <w:instrText xml:space="preserve"> PAGEREF _Toc58597560 \h </w:instrText>
        </w:r>
        <w:r w:rsidR="003E27E4">
          <w:rPr>
            <w:webHidden/>
          </w:rPr>
        </w:r>
        <w:r w:rsidR="003E27E4">
          <w:rPr>
            <w:webHidden/>
          </w:rPr>
          <w:fldChar w:fldCharType="separate"/>
        </w:r>
        <w:r w:rsidR="00886FFB">
          <w:rPr>
            <w:webHidden/>
          </w:rPr>
          <w:t>28</w:t>
        </w:r>
        <w:r w:rsidR="003E27E4">
          <w:rPr>
            <w:webHidden/>
          </w:rPr>
          <w:fldChar w:fldCharType="end"/>
        </w:r>
      </w:hyperlink>
    </w:p>
    <w:p w:rsidR="007A2E12" w:rsidRDefault="00616B97" w:rsidP="00BD0A61">
      <w:pPr>
        <w:spacing w:after="0" w:line="360" w:lineRule="auto"/>
        <w:rPr>
          <w:rFonts w:ascii="Times New Roman" w:hAnsi="Times New Roman"/>
          <w:b/>
          <w:noProof/>
        </w:rPr>
      </w:pPr>
      <w:r w:rsidRPr="0067133C">
        <w:rPr>
          <w:b/>
          <w:noProof/>
          <w:szCs w:val="18"/>
        </w:rPr>
        <w:fldChar w:fldCharType="end"/>
      </w:r>
      <w:r w:rsidR="007A2E12">
        <w:rPr>
          <w:rFonts w:ascii="Times New Roman" w:hAnsi="Times New Roman"/>
          <w:b/>
          <w:noProof/>
        </w:rPr>
        <w:br w:type="page"/>
      </w:r>
    </w:p>
    <w:p w:rsidR="0021598B" w:rsidRDefault="0021598B">
      <w:pPr>
        <w:spacing w:after="0" w:line="240" w:lineRule="auto"/>
        <w:rPr>
          <w:rFonts w:ascii="Times New Roman" w:hAnsi="Times New Roman"/>
          <w:b/>
          <w:noProof/>
        </w:rPr>
        <w:sectPr w:rsidR="0021598B" w:rsidSect="00F9227E">
          <w:footerReference w:type="default" r:id="rId14"/>
          <w:footerReference w:type="first" r:id="rId15"/>
          <w:pgSz w:w="12240" w:h="15840" w:code="1"/>
          <w:pgMar w:top="1418" w:right="2155" w:bottom="1843" w:left="2155" w:header="709" w:footer="709" w:gutter="0"/>
          <w:pgNumType w:start="1"/>
          <w:cols w:space="708"/>
          <w:docGrid w:linePitch="360"/>
        </w:sectPr>
      </w:pPr>
    </w:p>
    <w:p w:rsidR="00F9227E" w:rsidRDefault="00F9227E">
      <w:pPr>
        <w:spacing w:after="0" w:line="240" w:lineRule="auto"/>
        <w:rPr>
          <w:rFonts w:ascii="Times New Roman" w:hAnsi="Times New Roman"/>
          <w:b/>
          <w:noProof/>
        </w:rPr>
      </w:pPr>
    </w:p>
    <w:p w:rsidR="002209AD" w:rsidRPr="00CA2B43" w:rsidRDefault="002209AD" w:rsidP="002209AD">
      <w:pPr>
        <w:pStyle w:val="Heading2"/>
        <w:numPr>
          <w:ilvl w:val="1"/>
          <w:numId w:val="18"/>
        </w:numPr>
      </w:pPr>
      <w:bookmarkStart w:id="1" w:name="_Toc58597544"/>
      <w:r>
        <w:t>RESUMEN EJECUTIVO</w:t>
      </w:r>
      <w:bookmarkEnd w:id="1"/>
    </w:p>
    <w:p w:rsidR="00690383" w:rsidRPr="00362436" w:rsidRDefault="00690383" w:rsidP="00362436">
      <w:pPr>
        <w:spacing w:after="380" w:line="360" w:lineRule="auto"/>
        <w:jc w:val="both"/>
        <w:rPr>
          <w:szCs w:val="18"/>
        </w:rPr>
      </w:pPr>
      <w:r w:rsidRPr="00362436">
        <w:rPr>
          <w:szCs w:val="18"/>
        </w:rPr>
        <w:t xml:space="preserve">El Instituto Nacional de Bienestar Estudiantil (INABIE) fue creado en el marco de la Ley General de Educación 66-97, como una institución adscrita el Ministerio de Educación, con el propósito de ofrecer servicios de apoyo a los estudiantes del sistema escolar público, especialmente a los vulnerables. Manteniéndose hasta el 2012 operando bajo el estatus de Dirección de Bienestar Estudiantil, a partir de enero del 2013 se pone en funcionamiento el Instituto como una </w:t>
      </w:r>
      <w:r w:rsidR="00000D61" w:rsidRPr="00362436">
        <w:rPr>
          <w:szCs w:val="18"/>
        </w:rPr>
        <w:t>e</w:t>
      </w:r>
      <w:r w:rsidRPr="00362436">
        <w:rPr>
          <w:szCs w:val="18"/>
        </w:rPr>
        <w:t>ntidad descentralizada del Ministerio.</w:t>
      </w:r>
    </w:p>
    <w:p w:rsidR="00690383" w:rsidRPr="00362436" w:rsidRDefault="00690383" w:rsidP="00362436">
      <w:pPr>
        <w:spacing w:after="380" w:line="360" w:lineRule="auto"/>
        <w:jc w:val="both"/>
        <w:rPr>
          <w:szCs w:val="18"/>
        </w:rPr>
      </w:pPr>
      <w:r w:rsidRPr="00362436">
        <w:rPr>
          <w:szCs w:val="18"/>
        </w:rPr>
        <w:t xml:space="preserve">El INABIE ofrece a los estudiantes tres tipos de servicios: </w:t>
      </w:r>
      <w:r w:rsidR="00000D61" w:rsidRPr="00362436">
        <w:rPr>
          <w:i/>
          <w:szCs w:val="18"/>
        </w:rPr>
        <w:t xml:space="preserve">Alimentación </w:t>
      </w:r>
      <w:r w:rsidRPr="00362436">
        <w:rPr>
          <w:i/>
          <w:szCs w:val="18"/>
        </w:rPr>
        <w:t xml:space="preserve">y </w:t>
      </w:r>
      <w:r w:rsidR="00000D61" w:rsidRPr="00362436">
        <w:rPr>
          <w:i/>
          <w:szCs w:val="18"/>
        </w:rPr>
        <w:t>Nutrición Escolar</w:t>
      </w:r>
      <w:r w:rsidRPr="00362436">
        <w:rPr>
          <w:i/>
          <w:szCs w:val="18"/>
        </w:rPr>
        <w:t xml:space="preserve">; </w:t>
      </w:r>
      <w:r w:rsidR="00000D61" w:rsidRPr="00362436">
        <w:rPr>
          <w:i/>
          <w:szCs w:val="18"/>
        </w:rPr>
        <w:t xml:space="preserve">Salud Escolar </w:t>
      </w:r>
      <w:r w:rsidRPr="00362436">
        <w:rPr>
          <w:i/>
          <w:szCs w:val="18"/>
        </w:rPr>
        <w:t xml:space="preserve">y </w:t>
      </w:r>
      <w:r w:rsidR="00000D61" w:rsidRPr="00362436">
        <w:rPr>
          <w:i/>
          <w:szCs w:val="18"/>
        </w:rPr>
        <w:t xml:space="preserve">Servicios </w:t>
      </w:r>
      <w:r w:rsidRPr="00362436">
        <w:rPr>
          <w:i/>
          <w:szCs w:val="18"/>
        </w:rPr>
        <w:t xml:space="preserve">de </w:t>
      </w:r>
      <w:r w:rsidR="00000D61" w:rsidRPr="00362436">
        <w:rPr>
          <w:i/>
          <w:szCs w:val="18"/>
        </w:rPr>
        <w:t xml:space="preserve">Apoyo </w:t>
      </w:r>
      <w:r w:rsidRPr="00362436">
        <w:rPr>
          <w:i/>
          <w:szCs w:val="18"/>
        </w:rPr>
        <w:t xml:space="preserve">y </w:t>
      </w:r>
      <w:r w:rsidR="00000D61" w:rsidRPr="00362436">
        <w:rPr>
          <w:i/>
          <w:szCs w:val="18"/>
        </w:rPr>
        <w:t>Participación Estudiantil</w:t>
      </w:r>
      <w:r w:rsidRPr="00362436">
        <w:rPr>
          <w:szCs w:val="18"/>
        </w:rPr>
        <w:t>; los cuales se entregan a través de programas, tendentes a crear un escenario favorable para el aprendizaje y desarrollo integral del estudiante, que faciliten su entrada y garanticen su permanencia en el Sistema Educativo Dominicano formal.</w:t>
      </w:r>
    </w:p>
    <w:p w:rsidR="00690383" w:rsidRPr="00362436" w:rsidRDefault="00000D61" w:rsidP="00362436">
      <w:pPr>
        <w:spacing w:after="380" w:line="360" w:lineRule="auto"/>
        <w:jc w:val="both"/>
        <w:rPr>
          <w:szCs w:val="18"/>
        </w:rPr>
      </w:pPr>
      <w:r w:rsidRPr="00362436">
        <w:rPr>
          <w:szCs w:val="18"/>
        </w:rPr>
        <w:t xml:space="preserve">Según la Resolución 01-2017 del Ministerio de Administración Pública, organizacionalmente </w:t>
      </w:r>
      <w:r w:rsidR="00690383" w:rsidRPr="00362436">
        <w:rPr>
          <w:szCs w:val="18"/>
        </w:rPr>
        <w:t xml:space="preserve">la institución cuenta con </w:t>
      </w:r>
      <w:r w:rsidRPr="00362436">
        <w:rPr>
          <w:szCs w:val="18"/>
        </w:rPr>
        <w:t>Unidades Sustantivas, Misionales u Operativas</w:t>
      </w:r>
      <w:r w:rsidR="00690383" w:rsidRPr="00362436">
        <w:rPr>
          <w:szCs w:val="18"/>
        </w:rPr>
        <w:t xml:space="preserve">, a cargo de la ejecución de estos programas, específicamente la </w:t>
      </w:r>
      <w:r w:rsidR="00690383" w:rsidRPr="00362436">
        <w:rPr>
          <w:i/>
          <w:szCs w:val="18"/>
        </w:rPr>
        <w:t>Dirección de Alimentación y Nutrición</w:t>
      </w:r>
      <w:r w:rsidR="00690383" w:rsidRPr="00362436">
        <w:rPr>
          <w:szCs w:val="18"/>
        </w:rPr>
        <w:t xml:space="preserve"> y la </w:t>
      </w:r>
      <w:r w:rsidR="00690383" w:rsidRPr="00362436">
        <w:rPr>
          <w:i/>
          <w:szCs w:val="18"/>
        </w:rPr>
        <w:t>Dirección de Salud y Servicios Sociales</w:t>
      </w:r>
      <w:r w:rsidR="00690383" w:rsidRPr="00362436">
        <w:rPr>
          <w:szCs w:val="18"/>
        </w:rPr>
        <w:t xml:space="preserve">. Las </w:t>
      </w:r>
      <w:r w:rsidRPr="00362436">
        <w:rPr>
          <w:szCs w:val="18"/>
        </w:rPr>
        <w:t xml:space="preserve">Unidades Normativas o de Máxima Autoridad son el Consejo Directivo y la Dirección Ejecutiva rigen la institución y las Unidades Consultivas o </w:t>
      </w:r>
      <w:r w:rsidR="00690383" w:rsidRPr="00362436">
        <w:rPr>
          <w:szCs w:val="18"/>
        </w:rPr>
        <w:t xml:space="preserve">Asesoras, </w:t>
      </w:r>
      <w:r w:rsidRPr="00362436">
        <w:rPr>
          <w:szCs w:val="18"/>
        </w:rPr>
        <w:t xml:space="preserve">así como las Auxiliares o de Apoyo </w:t>
      </w:r>
      <w:r w:rsidR="00690383" w:rsidRPr="00362436">
        <w:rPr>
          <w:szCs w:val="18"/>
        </w:rPr>
        <w:t xml:space="preserve">son las unidades institucionales que hacen posible el fortalecimiento institucional en la gestión y entrega de estos servicios. Corresponde a la </w:t>
      </w:r>
      <w:r w:rsidR="00690383" w:rsidRPr="00362436">
        <w:rPr>
          <w:i/>
          <w:szCs w:val="18"/>
        </w:rPr>
        <w:t>Dirección Ejecutiva</w:t>
      </w:r>
      <w:r w:rsidR="00690383" w:rsidRPr="00362436">
        <w:rPr>
          <w:szCs w:val="18"/>
        </w:rPr>
        <w:t xml:space="preserve">, la </w:t>
      </w:r>
      <w:r w:rsidR="00690383" w:rsidRPr="00362436">
        <w:rPr>
          <w:i/>
          <w:szCs w:val="18"/>
        </w:rPr>
        <w:t>Dirección de Planificación y Desarrollo</w:t>
      </w:r>
      <w:r w:rsidR="00690383" w:rsidRPr="00362436">
        <w:rPr>
          <w:szCs w:val="18"/>
        </w:rPr>
        <w:t xml:space="preserve"> y la </w:t>
      </w:r>
      <w:r w:rsidR="00690383" w:rsidRPr="00362436">
        <w:rPr>
          <w:i/>
          <w:szCs w:val="18"/>
        </w:rPr>
        <w:t>Dirección Administrativa y Financiera.</w:t>
      </w:r>
      <w:r w:rsidR="00690383" w:rsidRPr="00362436">
        <w:rPr>
          <w:szCs w:val="18"/>
        </w:rPr>
        <w:t xml:space="preserve"> </w:t>
      </w:r>
    </w:p>
    <w:p w:rsidR="00690383" w:rsidRPr="005553FF" w:rsidRDefault="002209AD" w:rsidP="002209AD">
      <w:pPr>
        <w:pStyle w:val="Heading3"/>
      </w:pPr>
      <w:bookmarkStart w:id="2" w:name="_Toc58597545"/>
      <w:r>
        <w:t>C</w:t>
      </w:r>
      <w:r w:rsidRPr="005A3982">
        <w:t>ontexto frente a</w:t>
      </w:r>
      <w:r>
        <w:t xml:space="preserve"> </w:t>
      </w:r>
      <w:r w:rsidRPr="005A3982">
        <w:t>l</w:t>
      </w:r>
      <w:r>
        <w:t>a</w:t>
      </w:r>
      <w:r w:rsidRPr="005A3982">
        <w:t xml:space="preserve"> </w:t>
      </w:r>
      <w:r>
        <w:t xml:space="preserve">pandemia </w:t>
      </w:r>
      <w:r w:rsidRPr="005A3982">
        <w:t>covid-19</w:t>
      </w:r>
      <w:bookmarkEnd w:id="2"/>
    </w:p>
    <w:p w:rsidR="00690383" w:rsidRPr="008B3DFB" w:rsidRDefault="00690383" w:rsidP="00F03025">
      <w:pPr>
        <w:spacing w:before="240" w:line="360" w:lineRule="auto"/>
        <w:jc w:val="both"/>
        <w:rPr>
          <w:szCs w:val="18"/>
          <w:shd w:val="clear" w:color="auto" w:fill="FFFFFF"/>
        </w:rPr>
      </w:pPr>
      <w:r w:rsidRPr="008B3DFB">
        <w:rPr>
          <w:szCs w:val="18"/>
          <w:shd w:val="clear" w:color="auto" w:fill="FFFFFF"/>
        </w:rPr>
        <w:t>El 31 de diciembre de 2019, la Comisión de Salud de</w:t>
      </w:r>
      <w:r w:rsidRPr="008B3DFB">
        <w:rPr>
          <w:rFonts w:ascii="Calibri" w:hAnsi="Calibri" w:cs="Calibri"/>
          <w:szCs w:val="18"/>
          <w:shd w:val="clear" w:color="auto" w:fill="FFFFFF"/>
        </w:rPr>
        <w:t> </w:t>
      </w:r>
      <w:r w:rsidRPr="008B3DFB">
        <w:rPr>
          <w:szCs w:val="18"/>
          <w:shd w:val="clear" w:color="auto" w:fill="FFFFFF"/>
        </w:rPr>
        <w:t>Wuhan,</w:t>
      </w:r>
      <w:r w:rsidRPr="008B3DFB">
        <w:rPr>
          <w:rFonts w:ascii="Calibri" w:hAnsi="Calibri" w:cs="Calibri"/>
          <w:szCs w:val="18"/>
          <w:shd w:val="clear" w:color="auto" w:fill="FFFFFF"/>
        </w:rPr>
        <w:t> </w:t>
      </w:r>
      <w:r w:rsidRPr="008B3DFB">
        <w:rPr>
          <w:szCs w:val="18"/>
          <w:shd w:val="clear" w:color="auto" w:fill="FFFFFF"/>
        </w:rPr>
        <w:t>Provincia Hubei,</w:t>
      </w:r>
      <w:r w:rsidRPr="008B3DFB">
        <w:rPr>
          <w:rFonts w:ascii="Calibri" w:hAnsi="Calibri" w:cs="Calibri"/>
          <w:szCs w:val="18"/>
          <w:shd w:val="clear" w:color="auto" w:fill="FFFFFF"/>
        </w:rPr>
        <w:t> </w:t>
      </w:r>
      <w:r w:rsidRPr="008B3DFB">
        <w:rPr>
          <w:szCs w:val="18"/>
          <w:shd w:val="clear" w:color="auto" w:fill="FFFFFF"/>
        </w:rPr>
        <w:t>China, informó a la</w:t>
      </w:r>
      <w:r w:rsidRPr="008B3DFB">
        <w:rPr>
          <w:rFonts w:ascii="Calibri" w:hAnsi="Calibri" w:cs="Calibri"/>
          <w:szCs w:val="18"/>
          <w:shd w:val="clear" w:color="auto" w:fill="FFFFFF"/>
        </w:rPr>
        <w:t> </w:t>
      </w:r>
      <w:r w:rsidRPr="008B3DFB">
        <w:rPr>
          <w:szCs w:val="18"/>
          <w:shd w:val="clear" w:color="auto" w:fill="FFFFFF"/>
        </w:rPr>
        <w:t>Organización Mundial de la Salud</w:t>
      </w:r>
      <w:r w:rsidR="00000D61" w:rsidRPr="008B3DFB">
        <w:rPr>
          <w:szCs w:val="18"/>
          <w:shd w:val="clear" w:color="auto" w:fill="FFFFFF"/>
        </w:rPr>
        <w:t xml:space="preserve"> (OMS)</w:t>
      </w:r>
      <w:r w:rsidRPr="008B3DFB">
        <w:rPr>
          <w:rFonts w:ascii="Calibri" w:hAnsi="Calibri" w:cs="Calibri"/>
          <w:szCs w:val="18"/>
          <w:shd w:val="clear" w:color="auto" w:fill="FFFFFF"/>
        </w:rPr>
        <w:t> </w:t>
      </w:r>
      <w:r w:rsidR="00000D61" w:rsidRPr="008B3DFB">
        <w:rPr>
          <w:szCs w:val="18"/>
          <w:shd w:val="clear" w:color="auto" w:fill="FFFFFF"/>
        </w:rPr>
        <w:t xml:space="preserve">sobre </w:t>
      </w:r>
      <w:r w:rsidRPr="008B3DFB">
        <w:rPr>
          <w:szCs w:val="18"/>
          <w:shd w:val="clear" w:color="auto" w:fill="FFFFFF"/>
        </w:rPr>
        <w:t>el descubrimiento de una neumonía aguda de origen desconocido, reportado oficialmente por el Centro de Control y Prevención de Enfermedades</w:t>
      </w:r>
      <w:r w:rsidRPr="008B3DFB">
        <w:rPr>
          <w:rFonts w:ascii="Calibri" w:hAnsi="Calibri" w:cs="Calibri"/>
          <w:szCs w:val="18"/>
          <w:shd w:val="clear" w:color="auto" w:fill="FFFFFF"/>
        </w:rPr>
        <w:t> </w:t>
      </w:r>
      <w:r w:rsidRPr="008B3DFB">
        <w:rPr>
          <w:szCs w:val="18"/>
          <w:shd w:val="clear" w:color="auto" w:fill="FFFFFF"/>
        </w:rPr>
        <w:t xml:space="preserve">como </w:t>
      </w:r>
      <w:r w:rsidRPr="008B3DFB">
        <w:rPr>
          <w:i/>
          <w:szCs w:val="18"/>
          <w:shd w:val="clear" w:color="auto" w:fill="FFFFFF"/>
        </w:rPr>
        <w:t>Coronavirus</w:t>
      </w:r>
      <w:r w:rsidRPr="008B3DFB">
        <w:rPr>
          <w:rFonts w:ascii="Calibri" w:hAnsi="Calibri" w:cs="Calibri"/>
          <w:i/>
          <w:szCs w:val="18"/>
          <w:shd w:val="clear" w:color="auto" w:fill="FFFFFF"/>
        </w:rPr>
        <w:t> </w:t>
      </w:r>
      <w:r w:rsidRPr="008B3DFB">
        <w:rPr>
          <w:i/>
          <w:szCs w:val="18"/>
          <w:shd w:val="clear" w:color="auto" w:fill="FFFFFF"/>
        </w:rPr>
        <w:t xml:space="preserve">SARS-CoV-2. </w:t>
      </w:r>
      <w:r w:rsidRPr="008B3DFB">
        <w:rPr>
          <w:szCs w:val="18"/>
          <w:shd w:val="clear" w:color="auto" w:fill="FFFFFF"/>
        </w:rPr>
        <w:t xml:space="preserve">El mismo es causante de una enfermedad infecciosa denominada </w:t>
      </w:r>
      <w:r w:rsidRPr="008B3DFB">
        <w:rPr>
          <w:i/>
          <w:szCs w:val="18"/>
        </w:rPr>
        <w:t>COVID-19</w:t>
      </w:r>
      <w:r w:rsidRPr="008B3DFB">
        <w:rPr>
          <w:szCs w:val="18"/>
        </w:rPr>
        <w:t xml:space="preserve">. </w:t>
      </w:r>
      <w:r w:rsidRPr="008B3DFB">
        <w:rPr>
          <w:szCs w:val="18"/>
          <w:shd w:val="clear" w:color="auto" w:fill="FFFFFF"/>
        </w:rPr>
        <w:t>El primer caso de</w:t>
      </w:r>
      <w:r w:rsidRPr="008B3DFB">
        <w:rPr>
          <w:rFonts w:ascii="Calibri" w:hAnsi="Calibri" w:cs="Calibri"/>
          <w:szCs w:val="18"/>
          <w:shd w:val="clear" w:color="auto" w:fill="FFFFFF"/>
        </w:rPr>
        <w:t> </w:t>
      </w:r>
      <w:r w:rsidRPr="008B3DFB">
        <w:rPr>
          <w:bCs/>
          <w:szCs w:val="18"/>
          <w:shd w:val="clear" w:color="auto" w:fill="FFFFFF"/>
        </w:rPr>
        <w:t>enfermedad por coronavirus en República Dominicana</w:t>
      </w:r>
      <w:r w:rsidRPr="008B3DFB">
        <w:rPr>
          <w:rFonts w:ascii="Calibri" w:hAnsi="Calibri" w:cs="Calibri"/>
          <w:szCs w:val="18"/>
          <w:shd w:val="clear" w:color="auto" w:fill="FFFFFF"/>
        </w:rPr>
        <w:t> </w:t>
      </w:r>
      <w:r w:rsidRPr="008B3DFB">
        <w:rPr>
          <w:szCs w:val="18"/>
          <w:shd w:val="clear" w:color="auto" w:fill="FFFFFF"/>
        </w:rPr>
        <w:t>se confirm</w:t>
      </w:r>
      <w:r w:rsidRPr="008B3DFB">
        <w:rPr>
          <w:rFonts w:cs="Artifex CF Extra Light"/>
          <w:szCs w:val="18"/>
          <w:shd w:val="clear" w:color="auto" w:fill="FFFFFF"/>
        </w:rPr>
        <w:t>ó</w:t>
      </w:r>
      <w:r w:rsidRPr="008B3DFB">
        <w:rPr>
          <w:szCs w:val="18"/>
          <w:shd w:val="clear" w:color="auto" w:fill="FFFFFF"/>
        </w:rPr>
        <w:t xml:space="preserve"> el 1 de marzo de 2020, y debido al avance mundial de la enfermedad, el 19 de marzo el Congreso Dominicano decretó el Estado de Emergencia, el Ejecutivo un toque de queda nocturno y el cierre total de las fronteras del país por tierra, mar y aire; instruyendo a la población reglas de distanciamiento social y seguridad ciudadana.</w:t>
      </w:r>
      <w:r w:rsidRPr="008B3DFB">
        <w:rPr>
          <w:rFonts w:ascii="Calibri" w:hAnsi="Calibri" w:cs="Calibri"/>
          <w:szCs w:val="18"/>
          <w:shd w:val="clear" w:color="auto" w:fill="FFFFFF"/>
        </w:rPr>
        <w:t> </w:t>
      </w:r>
      <w:r w:rsidRPr="008B3DFB">
        <w:rPr>
          <w:szCs w:val="18"/>
          <w:shd w:val="clear" w:color="auto" w:fill="FFFFFF"/>
        </w:rPr>
        <w:t xml:space="preserve">Estas medidas aún se mantienen </w:t>
      </w:r>
      <w:r w:rsidR="00000D61" w:rsidRPr="008B3DFB">
        <w:rPr>
          <w:szCs w:val="18"/>
          <w:shd w:val="clear" w:color="auto" w:fill="FFFFFF"/>
        </w:rPr>
        <w:t>en vigencia hasta el día de hoy.</w:t>
      </w:r>
    </w:p>
    <w:p w:rsidR="00690383" w:rsidRPr="008B3DFB" w:rsidRDefault="00690383" w:rsidP="00C34B2E">
      <w:pPr>
        <w:spacing w:before="240" w:line="360" w:lineRule="auto"/>
        <w:jc w:val="both"/>
        <w:rPr>
          <w:szCs w:val="18"/>
          <w:shd w:val="clear" w:color="auto" w:fill="FFFFFF"/>
        </w:rPr>
      </w:pPr>
      <w:r w:rsidRPr="008B3DFB">
        <w:rPr>
          <w:szCs w:val="18"/>
          <w:shd w:val="clear" w:color="auto" w:fill="FFFFFF"/>
        </w:rPr>
        <w:t xml:space="preserve">Asimismo, se dispuso que los empleados públicos con más de 60 años de edad y alguna condición especial de salud deberán permanecer en sus hogares, aplicando el teletrabajo, se suspende la </w:t>
      </w:r>
      <w:r w:rsidRPr="008B3DFB">
        <w:rPr>
          <w:szCs w:val="18"/>
          <w:shd w:val="clear" w:color="auto" w:fill="FFFFFF"/>
        </w:rPr>
        <w:lastRenderedPageBreak/>
        <w:t>realización de eventos y concentraciones de toda índole, y se implementa la asistencia alternada al 50% por semana para los empleados públicos.</w:t>
      </w:r>
    </w:p>
    <w:p w:rsidR="00690383" w:rsidRPr="008B3DFB" w:rsidRDefault="00690383" w:rsidP="00F03025">
      <w:pPr>
        <w:spacing w:before="240" w:line="360" w:lineRule="auto"/>
        <w:jc w:val="both"/>
        <w:rPr>
          <w:szCs w:val="18"/>
          <w:shd w:val="clear" w:color="auto" w:fill="FFFFFF"/>
        </w:rPr>
      </w:pPr>
      <w:r w:rsidRPr="008B3DFB">
        <w:rPr>
          <w:szCs w:val="18"/>
          <w:shd w:val="clear" w:color="auto" w:fill="FFFFFF"/>
        </w:rPr>
        <w:t>Dentro del Sistema Educativo, el 17 de marzo, se suspende la docencia en todos los Centros Escolares y universitarios, así como la implementación de la docencia virtual por parte del Ministerio de Educación. El 18 de marzo, el Instituto Nacional de Bienestar Estudiantil (INABIE) garantiza la alimentación para los alumnos de escuelas públicas a través del Programa de Alimentación Escolar.</w:t>
      </w:r>
    </w:p>
    <w:p w:rsidR="00690383" w:rsidRPr="008B3DFB" w:rsidRDefault="00690383" w:rsidP="00C34B2E">
      <w:pPr>
        <w:spacing w:before="240" w:line="360" w:lineRule="auto"/>
        <w:jc w:val="both"/>
        <w:rPr>
          <w:szCs w:val="18"/>
          <w:shd w:val="clear" w:color="auto" w:fill="FFFFFF"/>
        </w:rPr>
      </w:pPr>
      <w:r w:rsidRPr="008B3DFB">
        <w:rPr>
          <w:szCs w:val="18"/>
          <w:shd w:val="clear" w:color="auto" w:fill="FFFFFF"/>
        </w:rPr>
        <w:t>Todas estas medidas impactaron fuertemente en el desempeño institucional, debido a que el INABIE tuvo que:</w:t>
      </w:r>
    </w:p>
    <w:p w:rsidR="00690383" w:rsidRPr="008B3DFB" w:rsidRDefault="00690383" w:rsidP="00C34B2E">
      <w:pPr>
        <w:pStyle w:val="ListParagraph"/>
        <w:numPr>
          <w:ilvl w:val="0"/>
          <w:numId w:val="27"/>
        </w:numPr>
        <w:spacing w:before="240" w:line="360" w:lineRule="auto"/>
        <w:jc w:val="both"/>
        <w:rPr>
          <w:i/>
          <w:szCs w:val="18"/>
          <w:shd w:val="clear" w:color="auto" w:fill="FFFFFF"/>
          <w:lang w:val="es-DO"/>
        </w:rPr>
      </w:pPr>
      <w:r w:rsidRPr="008B3DFB">
        <w:rPr>
          <w:i/>
          <w:szCs w:val="18"/>
          <w:shd w:val="clear" w:color="auto" w:fill="FFFFFF"/>
          <w:lang w:val="es-DO"/>
        </w:rPr>
        <w:t>Cancelar todas las actividades que requieren los Centros Educativos operando;</w:t>
      </w:r>
    </w:p>
    <w:p w:rsidR="00690383" w:rsidRPr="008B3DFB" w:rsidRDefault="00690383" w:rsidP="00C34B2E">
      <w:pPr>
        <w:pStyle w:val="ListParagraph"/>
        <w:numPr>
          <w:ilvl w:val="0"/>
          <w:numId w:val="27"/>
        </w:numPr>
        <w:spacing w:before="240" w:line="360" w:lineRule="auto"/>
        <w:jc w:val="both"/>
        <w:rPr>
          <w:i/>
          <w:szCs w:val="18"/>
          <w:shd w:val="clear" w:color="auto" w:fill="FFFFFF"/>
          <w:lang w:val="es-DO"/>
        </w:rPr>
      </w:pPr>
      <w:r w:rsidRPr="008B3DFB">
        <w:rPr>
          <w:i/>
          <w:szCs w:val="18"/>
          <w:shd w:val="clear" w:color="auto" w:fill="FFFFFF"/>
          <w:lang w:val="es-DO"/>
        </w:rPr>
        <w:t xml:space="preserve">Trabajar con menos del 50% de su personal. </w:t>
      </w:r>
    </w:p>
    <w:p w:rsidR="00690383" w:rsidRPr="008B3DFB" w:rsidRDefault="00690383" w:rsidP="00C34B2E">
      <w:pPr>
        <w:pStyle w:val="ListParagraph"/>
        <w:numPr>
          <w:ilvl w:val="0"/>
          <w:numId w:val="27"/>
        </w:numPr>
        <w:spacing w:before="240" w:line="360" w:lineRule="auto"/>
        <w:jc w:val="both"/>
        <w:rPr>
          <w:i/>
          <w:szCs w:val="18"/>
          <w:shd w:val="clear" w:color="auto" w:fill="FFFFFF"/>
          <w:lang w:val="es-DO"/>
        </w:rPr>
      </w:pPr>
      <w:r w:rsidRPr="008B3DFB">
        <w:rPr>
          <w:i/>
          <w:szCs w:val="18"/>
          <w:shd w:val="clear" w:color="auto" w:fill="FFFFFF"/>
          <w:lang w:val="es-DO"/>
        </w:rPr>
        <w:t>Cancelar las actividades misionales y de apoyo que implican contacto presencial;</w:t>
      </w:r>
    </w:p>
    <w:p w:rsidR="008628E9" w:rsidRDefault="008628E9" w:rsidP="00C34B2E">
      <w:pPr>
        <w:spacing w:after="0" w:line="360" w:lineRule="auto"/>
        <w:rPr>
          <w:rFonts w:ascii="Times New Roman" w:hAnsi="Times New Roman"/>
          <w:b/>
          <w:sz w:val="24"/>
          <w:szCs w:val="24"/>
        </w:rPr>
      </w:pPr>
    </w:p>
    <w:p w:rsidR="00762288" w:rsidRPr="008B3DFB" w:rsidRDefault="00762288" w:rsidP="00C34B2E">
      <w:pPr>
        <w:spacing w:line="360" w:lineRule="auto"/>
        <w:jc w:val="both"/>
        <w:rPr>
          <w:bCs/>
          <w:szCs w:val="18"/>
        </w:rPr>
      </w:pPr>
      <w:r w:rsidRPr="008B3DFB">
        <w:rPr>
          <w:bCs/>
          <w:szCs w:val="18"/>
        </w:rPr>
        <w:t xml:space="preserve">El Instituto Nacional de Bienestar Estudiantil fue creado en el marco de la Ley General de Educación 66-97, como un organismo descentralizado, adscrito al Ministerio de Educación MINERD, para promover la participación de los estudiantes en las diversas actividades, curriculares y extracurriculares y promover la organización de servicios como transporte, nutrición escolar y servicios de salud, apoyo estudiantil en materiales y útiles escolares, clubes científicos, tecnológicos y de artes, becas e intercambios de trabajo social, de turismo estudiantil, trabajo remunerado en vacaciones y de gobierno estudiantil». </w:t>
      </w:r>
    </w:p>
    <w:p w:rsidR="00E374E4" w:rsidRPr="00B3246C" w:rsidRDefault="00BE1578" w:rsidP="00BE1578">
      <w:pPr>
        <w:pStyle w:val="Heading3"/>
      </w:pPr>
      <w:bookmarkStart w:id="3" w:name="_Toc56413702"/>
      <w:bookmarkStart w:id="4" w:name="_Toc58597546"/>
      <w:r w:rsidRPr="00B3246C">
        <w:t>Alimentación y nutrición escolar.</w:t>
      </w:r>
      <w:bookmarkEnd w:id="3"/>
      <w:bookmarkEnd w:id="4"/>
    </w:p>
    <w:p w:rsidR="00E374E4" w:rsidRPr="008B3DFB" w:rsidRDefault="00762288" w:rsidP="000D1641">
      <w:pPr>
        <w:spacing w:line="360" w:lineRule="auto"/>
        <w:jc w:val="both"/>
        <w:rPr>
          <w:bCs/>
          <w:szCs w:val="18"/>
        </w:rPr>
      </w:pPr>
      <w:r w:rsidRPr="008B3DFB">
        <w:rPr>
          <w:bCs/>
          <w:szCs w:val="18"/>
        </w:rPr>
        <w:t xml:space="preserve">Es un servicio </w:t>
      </w:r>
      <w:r w:rsidR="00E374E4" w:rsidRPr="008B3DFB">
        <w:rPr>
          <w:bCs/>
          <w:szCs w:val="18"/>
        </w:rPr>
        <w:t xml:space="preserve">que </w:t>
      </w:r>
      <w:r w:rsidRPr="008B3DFB">
        <w:rPr>
          <w:bCs/>
          <w:szCs w:val="18"/>
        </w:rPr>
        <w:t xml:space="preserve">se </w:t>
      </w:r>
      <w:r w:rsidR="00E374E4" w:rsidRPr="008B3DFB">
        <w:rPr>
          <w:bCs/>
          <w:szCs w:val="18"/>
        </w:rPr>
        <w:t xml:space="preserve">brinda a través del Programa Alimentación Escolar (PAE), </w:t>
      </w:r>
      <w:r w:rsidRPr="008B3DFB">
        <w:rPr>
          <w:bCs/>
          <w:szCs w:val="18"/>
        </w:rPr>
        <w:t xml:space="preserve">y </w:t>
      </w:r>
      <w:r w:rsidR="00E374E4" w:rsidRPr="008B3DFB">
        <w:rPr>
          <w:bCs/>
          <w:szCs w:val="18"/>
        </w:rPr>
        <w:t xml:space="preserve">constituye la política pública de mayor impacto social que el Gobierno </w:t>
      </w:r>
      <w:r w:rsidRPr="008B3DFB">
        <w:rPr>
          <w:bCs/>
          <w:szCs w:val="18"/>
        </w:rPr>
        <w:t xml:space="preserve">Dominicano </w:t>
      </w:r>
      <w:r w:rsidR="00E374E4" w:rsidRPr="008B3DFB">
        <w:rPr>
          <w:bCs/>
          <w:szCs w:val="18"/>
        </w:rPr>
        <w:t xml:space="preserve">ejecuta a través del Instituto Nacional de Bienestar Estudiantil del Ministerio de Educación de la República Dominicana. </w:t>
      </w:r>
      <w:r w:rsidRPr="008B3DFB">
        <w:rPr>
          <w:bCs/>
          <w:szCs w:val="18"/>
        </w:rPr>
        <w:t xml:space="preserve">En la presente época de la Pandemia COVID-19 ha tenido un rol de extraordinaria importancia entre las medidas gubernamentales para </w:t>
      </w:r>
      <w:r w:rsidR="000328C5" w:rsidRPr="008B3DFB">
        <w:rPr>
          <w:bCs/>
          <w:szCs w:val="18"/>
        </w:rPr>
        <w:t>contrarrestar</w:t>
      </w:r>
      <w:r w:rsidRPr="008B3DFB">
        <w:rPr>
          <w:bCs/>
          <w:szCs w:val="18"/>
        </w:rPr>
        <w:t xml:space="preserve"> los efectos de la pandemia. </w:t>
      </w:r>
      <w:r w:rsidR="00E374E4" w:rsidRPr="008B3DFB">
        <w:rPr>
          <w:bCs/>
          <w:szCs w:val="18"/>
        </w:rPr>
        <w:t>Tiene por finalidad garantizar una alimentación diaria a todos los estudiantes del sector público y semioficial; la cual deberá ser variada, balanceada, de calidad y adecuada a los requerimientos nutricionales, a través de un menú contextualizado, en congruencia con los parámetros socio-culturales y económicos del entorno, así como la disponibilidad de los productos e insumos alimenticios característicos de las regiones. Al mismo tiempo el programa persigue promover una acción pedagógica o cultural que permita una formación de hábitos alimentarios saludables en la población escolar atendida por el Sistema Educativo y el desarrollo de los componentes en materia de seguridad alimentaria, con la participación de los docentes, la familia y la comunidad.</w:t>
      </w:r>
    </w:p>
    <w:p w:rsidR="000D1641" w:rsidRPr="008B3DFB" w:rsidRDefault="00E374E4" w:rsidP="00C34B2E">
      <w:pPr>
        <w:spacing w:line="360" w:lineRule="auto"/>
        <w:jc w:val="both"/>
        <w:rPr>
          <w:bCs/>
          <w:szCs w:val="18"/>
        </w:rPr>
      </w:pPr>
      <w:r w:rsidRPr="008B3DFB">
        <w:rPr>
          <w:bCs/>
          <w:szCs w:val="18"/>
        </w:rPr>
        <w:t xml:space="preserve">En el caso del </w:t>
      </w:r>
      <w:r w:rsidR="000D1641" w:rsidRPr="008B3DFB">
        <w:rPr>
          <w:bCs/>
          <w:szCs w:val="18"/>
        </w:rPr>
        <w:t>PAE</w:t>
      </w:r>
      <w:r w:rsidRPr="008B3DFB">
        <w:rPr>
          <w:bCs/>
          <w:szCs w:val="18"/>
        </w:rPr>
        <w:t xml:space="preserve">, a pesar de ajustarse a los nuevos requerimientos en términos de seguridad sanitaria con la sustitución de raciones alimenticias cocidas diarias por Canastas de Alimentación Escolar semanales, sólo logró una ejecución de 55% sobre lo programado en el período entre marzo </w:t>
      </w:r>
      <w:r w:rsidRPr="008B3DFB">
        <w:rPr>
          <w:bCs/>
          <w:szCs w:val="18"/>
        </w:rPr>
        <w:lastRenderedPageBreak/>
        <w:t>y junio 2020</w:t>
      </w:r>
      <w:r w:rsidRPr="008B3DFB">
        <w:rPr>
          <w:bCs/>
          <w:szCs w:val="18"/>
        </w:rPr>
        <w:footnoteReference w:id="1"/>
      </w:r>
      <w:r w:rsidRPr="008B3DFB">
        <w:rPr>
          <w:bCs/>
          <w:szCs w:val="18"/>
        </w:rPr>
        <w:t xml:space="preserve">. El PAE en 2020 benefició a un total de </w:t>
      </w:r>
      <w:r w:rsidR="00907F3C" w:rsidRPr="008B3DFB">
        <w:rPr>
          <w:bCs/>
          <w:szCs w:val="18"/>
        </w:rPr>
        <w:t>a</w:t>
      </w:r>
      <w:r w:rsidR="00907F3C" w:rsidRPr="008B3DFB">
        <w:rPr>
          <w:rFonts w:ascii="Calibri" w:hAnsi="Calibri" w:cs="Calibri"/>
          <w:bCs/>
          <w:szCs w:val="18"/>
        </w:rPr>
        <w:t> </w:t>
      </w:r>
      <w:r w:rsidR="00907F3C" w:rsidRPr="008B3DFB">
        <w:rPr>
          <w:bCs/>
          <w:szCs w:val="18"/>
        </w:rPr>
        <w:t>1</w:t>
      </w:r>
      <w:proofErr w:type="gramStart"/>
      <w:r w:rsidR="00907F3C" w:rsidRPr="008B3DFB">
        <w:rPr>
          <w:bCs/>
          <w:szCs w:val="18"/>
        </w:rPr>
        <w:t>,569,799</w:t>
      </w:r>
      <w:proofErr w:type="gramEnd"/>
      <w:r w:rsidRPr="008B3DFB">
        <w:rPr>
          <w:bCs/>
          <w:szCs w:val="18"/>
        </w:rPr>
        <w:t xml:space="preserve"> escolares; distribuidos en 5,944 Centros Educativos públicos y semioficiales correspondientes a las 18 regionales y los 122 distritos escolares del País. Además de unos 174,422 docentes y empleados administrativos de los centros; Con lo cual los beneficiarios totales del PAE sumaron </w:t>
      </w:r>
      <w:r w:rsidR="00907F3C" w:rsidRPr="008B3DFB">
        <w:rPr>
          <w:bCs/>
          <w:szCs w:val="18"/>
        </w:rPr>
        <w:t>1</w:t>
      </w:r>
      <w:proofErr w:type="gramStart"/>
      <w:r w:rsidR="00907F3C" w:rsidRPr="008B3DFB">
        <w:rPr>
          <w:bCs/>
          <w:szCs w:val="18"/>
        </w:rPr>
        <w:t>,744,222</w:t>
      </w:r>
      <w:proofErr w:type="gramEnd"/>
      <w:r w:rsidR="00907F3C" w:rsidRPr="008B3DFB">
        <w:rPr>
          <w:bCs/>
          <w:szCs w:val="18"/>
        </w:rPr>
        <w:t xml:space="preserve"> personas</w:t>
      </w:r>
      <w:r w:rsidRPr="008B3DFB">
        <w:rPr>
          <w:bCs/>
          <w:szCs w:val="18"/>
        </w:rPr>
        <w:t xml:space="preserve"> entre estudiantes, profesores y empleados administrativos. Estos estudiantes representan el 86.89% de la matricula estudiantil pública; el 65% del total de estudiantes del Sistema Educativo Dominicano; así como el 60 % de la población total del país en los rangos de edad escolar, es decir, de los niños, niñas y jóvenes que se encuentran en los rangos de 5 a 18 años.  </w:t>
      </w:r>
    </w:p>
    <w:p w:rsidR="00E374E4" w:rsidRPr="008B3DFB" w:rsidRDefault="00E374E4" w:rsidP="00C34B2E">
      <w:pPr>
        <w:spacing w:line="360" w:lineRule="auto"/>
        <w:jc w:val="both"/>
        <w:rPr>
          <w:b/>
          <w:szCs w:val="18"/>
          <w:lang w:val="es-ES"/>
        </w:rPr>
      </w:pPr>
      <w:r w:rsidRPr="008B3DFB">
        <w:rPr>
          <w:bCs/>
          <w:szCs w:val="18"/>
        </w:rPr>
        <w:t>La entrega de Canastas de Alimentación Escolar inició</w:t>
      </w:r>
      <w:r w:rsidRPr="008B3DFB">
        <w:rPr>
          <w:bCs/>
          <w:szCs w:val="18"/>
        </w:rPr>
        <w:footnoteReference w:id="2"/>
      </w:r>
      <w:r w:rsidR="0089385E" w:rsidRPr="008B3DFB">
        <w:rPr>
          <w:bCs/>
          <w:szCs w:val="18"/>
        </w:rPr>
        <w:t xml:space="preserve"> </w:t>
      </w:r>
      <w:r w:rsidR="008730B3" w:rsidRPr="008B3DFB">
        <w:rPr>
          <w:bCs/>
          <w:szCs w:val="18"/>
        </w:rPr>
        <w:t>el 23 de marzo 2020</w:t>
      </w:r>
      <w:r w:rsidR="0089385E" w:rsidRPr="008B3DFB">
        <w:rPr>
          <w:bCs/>
          <w:szCs w:val="18"/>
        </w:rPr>
        <w:t xml:space="preserve"> y desde esa fecha</w:t>
      </w:r>
      <w:r w:rsidR="008730B3" w:rsidRPr="008B3DFB">
        <w:rPr>
          <w:bCs/>
          <w:szCs w:val="18"/>
        </w:rPr>
        <w:t xml:space="preserve"> al 12 de noviembre de 2020</w:t>
      </w:r>
      <w:r w:rsidRPr="008B3DFB">
        <w:rPr>
          <w:bCs/>
          <w:szCs w:val="18"/>
        </w:rPr>
        <w:t xml:space="preserve"> se entregaron </w:t>
      </w:r>
      <w:r w:rsidR="00CE2980" w:rsidRPr="008B3DFB">
        <w:rPr>
          <w:bCs/>
          <w:szCs w:val="18"/>
        </w:rPr>
        <w:t>10</w:t>
      </w:r>
      <w:proofErr w:type="gramStart"/>
      <w:r w:rsidR="00CE2980" w:rsidRPr="008B3DFB">
        <w:rPr>
          <w:bCs/>
          <w:szCs w:val="18"/>
        </w:rPr>
        <w:t>,029,083</w:t>
      </w:r>
      <w:proofErr w:type="gramEnd"/>
      <w:r w:rsidR="00CE2980" w:rsidRPr="008B3DFB">
        <w:rPr>
          <w:bCs/>
          <w:szCs w:val="18"/>
        </w:rPr>
        <w:t xml:space="preserve"> </w:t>
      </w:r>
      <w:r w:rsidRPr="008B3DFB">
        <w:rPr>
          <w:bCs/>
          <w:szCs w:val="18"/>
        </w:rPr>
        <w:t xml:space="preserve">Canastas de Alimentación Escolar a un total de </w:t>
      </w:r>
      <w:r w:rsidR="00CE2980" w:rsidRPr="008B3DFB">
        <w:rPr>
          <w:bCs/>
          <w:szCs w:val="18"/>
        </w:rPr>
        <w:t>975,609</w:t>
      </w:r>
      <w:r w:rsidRPr="008B3DFB">
        <w:rPr>
          <w:b/>
          <w:szCs w:val="18"/>
          <w:lang w:val="es-ES"/>
        </w:rPr>
        <w:t xml:space="preserve"> e</w:t>
      </w:r>
      <w:r w:rsidR="00CE2980" w:rsidRPr="008B3DFB">
        <w:rPr>
          <w:b/>
          <w:szCs w:val="18"/>
          <w:lang w:val="es-ES"/>
        </w:rPr>
        <w:t>studiantes que representan el 56</w:t>
      </w:r>
      <w:r w:rsidRPr="008B3DFB">
        <w:rPr>
          <w:b/>
          <w:szCs w:val="18"/>
          <w:lang w:val="es-ES"/>
        </w:rPr>
        <w:t>% de la matrícula atendida por el PAE de 1,744,222 escolares. En relación a los Centros Educativos,</w:t>
      </w:r>
      <w:r w:rsidR="00CE2980" w:rsidRPr="008B3DFB">
        <w:rPr>
          <w:b/>
          <w:szCs w:val="18"/>
          <w:lang w:val="es-ES"/>
        </w:rPr>
        <w:t xml:space="preserve"> el PAE cubrió un total de 3,562</w:t>
      </w:r>
      <w:r w:rsidRPr="008B3DFB">
        <w:rPr>
          <w:b/>
          <w:szCs w:val="18"/>
          <w:lang w:val="es-ES"/>
        </w:rPr>
        <w:t xml:space="preserve"> </w:t>
      </w:r>
      <w:r w:rsidR="00CE2980" w:rsidRPr="008B3DFB">
        <w:rPr>
          <w:b/>
          <w:szCs w:val="18"/>
          <w:lang w:val="es-ES"/>
        </w:rPr>
        <w:t>Centros, lo que representa el 60</w:t>
      </w:r>
      <w:r w:rsidRPr="008B3DFB">
        <w:rPr>
          <w:b/>
          <w:szCs w:val="18"/>
          <w:lang w:val="es-ES"/>
        </w:rPr>
        <w:t>% de los 5,944 Centros Educativos a nivel nacional.</w:t>
      </w:r>
      <w:r w:rsidR="00CE2980" w:rsidRPr="008B3DFB">
        <w:rPr>
          <w:b/>
          <w:szCs w:val="18"/>
          <w:lang w:val="es-ES"/>
        </w:rPr>
        <w:t xml:space="preserve"> </w:t>
      </w:r>
      <w:r w:rsidRPr="008B3DFB">
        <w:rPr>
          <w:b/>
          <w:szCs w:val="18"/>
          <w:vertAlign w:val="superscript"/>
          <w:lang w:val="es-ES"/>
        </w:rPr>
        <w:footnoteReference w:id="3"/>
      </w:r>
      <w:r w:rsidRPr="008B3DFB">
        <w:rPr>
          <w:b/>
          <w:szCs w:val="18"/>
          <w:lang w:val="es-ES"/>
        </w:rPr>
        <w:t xml:space="preserve">En términos de raciones alimenticias, desde </w:t>
      </w:r>
      <w:r w:rsidR="0089385E" w:rsidRPr="008B3DFB">
        <w:rPr>
          <w:b/>
          <w:szCs w:val="18"/>
          <w:lang w:val="es-ES"/>
        </w:rPr>
        <w:t xml:space="preserve">el mes de </w:t>
      </w:r>
      <w:r w:rsidRPr="008B3DFB">
        <w:rPr>
          <w:b/>
          <w:szCs w:val="18"/>
          <w:lang w:val="es-ES"/>
        </w:rPr>
        <w:t>ener</w:t>
      </w:r>
      <w:r w:rsidR="008730B3" w:rsidRPr="008B3DFB">
        <w:rPr>
          <w:b/>
          <w:szCs w:val="18"/>
          <w:lang w:val="es-ES"/>
        </w:rPr>
        <w:t xml:space="preserve">o al 12 noviembre </w:t>
      </w:r>
      <w:r w:rsidR="00031716" w:rsidRPr="008B3DFB">
        <w:rPr>
          <w:b/>
          <w:szCs w:val="18"/>
          <w:lang w:val="es-ES"/>
        </w:rPr>
        <w:t>2020 se distribuyeron unas 257</w:t>
      </w:r>
      <w:proofErr w:type="gramStart"/>
      <w:r w:rsidR="00031716" w:rsidRPr="008B3DFB">
        <w:rPr>
          <w:b/>
          <w:szCs w:val="18"/>
          <w:lang w:val="es-ES"/>
        </w:rPr>
        <w:t>,099,509</w:t>
      </w:r>
      <w:proofErr w:type="gramEnd"/>
      <w:r w:rsidRPr="008B3DFB">
        <w:rPr>
          <w:b/>
          <w:szCs w:val="18"/>
          <w:lang w:val="es-ES"/>
        </w:rPr>
        <w:t xml:space="preserve"> raciones, para una ejecución de un 50% sobre lo programado, debido a la suspensión de las clases por la cuarentena a partir de la última semana de marzo. </w:t>
      </w:r>
      <w:r w:rsidR="00031716" w:rsidRPr="008B3DFB">
        <w:rPr>
          <w:b/>
          <w:szCs w:val="18"/>
          <w:lang w:val="es-ES"/>
        </w:rPr>
        <w:t>Durante el 1er. trimestre de 2020 se contabilizaron: e</w:t>
      </w:r>
      <w:r w:rsidRPr="008B3DFB">
        <w:rPr>
          <w:b/>
          <w:szCs w:val="18"/>
          <w:lang w:val="es-ES"/>
        </w:rPr>
        <w:t>n Tanda Extendida se distribuyeron en total 221</w:t>
      </w:r>
      <w:proofErr w:type="gramStart"/>
      <w:r w:rsidRPr="008B3DFB">
        <w:rPr>
          <w:b/>
          <w:szCs w:val="18"/>
          <w:lang w:val="es-ES"/>
        </w:rPr>
        <w:t>,279,835</w:t>
      </w:r>
      <w:proofErr w:type="gramEnd"/>
      <w:r w:rsidRPr="008B3DFB">
        <w:rPr>
          <w:b/>
          <w:szCs w:val="18"/>
          <w:lang w:val="es-ES"/>
        </w:rPr>
        <w:t xml:space="preserve"> a estudiantes, maestros y personal de apoyo de los centros educativos; desagregada en los siguientes servicios: Desayuno 60,417,371; Almuerzo 100,445,093; Merienda 60,417,323. Mientras en las escuelas de Media Tanda se distribuyeron en total 21</w:t>
      </w:r>
      <w:proofErr w:type="gramStart"/>
      <w:r w:rsidRPr="008B3DFB">
        <w:rPr>
          <w:b/>
          <w:szCs w:val="18"/>
          <w:lang w:val="es-ES"/>
        </w:rPr>
        <w:t>,450,029</w:t>
      </w:r>
      <w:proofErr w:type="gramEnd"/>
      <w:r w:rsidRPr="008B3DFB">
        <w:rPr>
          <w:b/>
          <w:szCs w:val="18"/>
          <w:lang w:val="es-ES"/>
        </w:rPr>
        <w:t xml:space="preserve"> raciones, desagregadas en los siguientes servicios: Desayuno 16,237,353; Merienda 5,212,676.  </w:t>
      </w:r>
    </w:p>
    <w:p w:rsidR="00E374E4" w:rsidRPr="008B3DFB" w:rsidRDefault="00E374E4" w:rsidP="00C34B2E">
      <w:pPr>
        <w:spacing w:line="360" w:lineRule="auto"/>
        <w:jc w:val="both"/>
        <w:rPr>
          <w:lang w:val="es-ES"/>
        </w:rPr>
      </w:pPr>
      <w:r w:rsidRPr="008B3DFB">
        <w:rPr>
          <w:lang w:val="es-ES"/>
        </w:rPr>
        <w:t xml:space="preserve">Para 2020 el INABIE dispone de 1,696 suplidores. De éstos 1,366 (81%) suplieron el almuerzo a la Jornada Escolar Extendida, haciendo de esta manera una contribución directa al desarrollo de las economías locales, las MIPYMES y la equidad de género, ya que el 100% son MIPYMES y el 50% son mujeres, donde segmentos de los mismo fueron orientados, inspeccionados y asesorados por el INABIE. La inversión en el PAE aumentó a RD$ </w:t>
      </w:r>
      <w:r w:rsidR="006323D1" w:rsidRPr="008B3DFB">
        <w:rPr>
          <w:lang w:val="es-ES"/>
        </w:rPr>
        <w:t>22</w:t>
      </w:r>
      <w:proofErr w:type="gramStart"/>
      <w:r w:rsidR="006323D1" w:rsidRPr="008B3DFB">
        <w:rPr>
          <w:lang w:val="es-ES"/>
        </w:rPr>
        <w:t>,647,911,975.18</w:t>
      </w:r>
      <w:proofErr w:type="gramEnd"/>
      <w:r w:rsidR="006323D1" w:rsidRPr="008B3DFB">
        <w:rPr>
          <w:lang w:val="es-ES"/>
        </w:rPr>
        <w:t xml:space="preserve"> </w:t>
      </w:r>
      <w:r w:rsidRPr="008B3DFB">
        <w:rPr>
          <w:lang w:val="es-ES"/>
        </w:rPr>
        <w:t xml:space="preserve">MM en </w:t>
      </w:r>
      <w:r w:rsidR="006323D1" w:rsidRPr="008B3DFB">
        <w:rPr>
          <w:lang w:val="es-ES"/>
        </w:rPr>
        <w:t xml:space="preserve">la programación para </w:t>
      </w:r>
      <w:r w:rsidRPr="008B3DFB">
        <w:rPr>
          <w:lang w:val="es-ES"/>
        </w:rPr>
        <w:t xml:space="preserve">2020. </w:t>
      </w:r>
      <w:r w:rsidR="006323D1" w:rsidRPr="008B3DFB">
        <w:rPr>
          <w:lang w:val="es-ES"/>
        </w:rPr>
        <w:t xml:space="preserve">Este se vio limitado por </w:t>
      </w:r>
      <w:r w:rsidRPr="008B3DFB">
        <w:rPr>
          <w:lang w:val="es-ES"/>
        </w:rPr>
        <w:t xml:space="preserve">la incorporación de </w:t>
      </w:r>
      <w:r w:rsidR="006323D1" w:rsidRPr="008B3DFB">
        <w:rPr>
          <w:lang w:val="es-ES"/>
        </w:rPr>
        <w:t xml:space="preserve">los </w:t>
      </w:r>
      <w:r w:rsidRPr="008B3DFB">
        <w:rPr>
          <w:lang w:val="es-ES"/>
        </w:rPr>
        <w:t>servicios de almuerzo y la merienda escolar, pero también con el cambio de formato de raciones con productos cocidos a Canastas con productos crudos, el costo de la ración aumentó.</w:t>
      </w:r>
    </w:p>
    <w:p w:rsidR="00E374E4" w:rsidRPr="008B3DFB" w:rsidRDefault="00907F3C" w:rsidP="00C34B2E">
      <w:pPr>
        <w:spacing w:line="360" w:lineRule="auto"/>
        <w:jc w:val="both"/>
        <w:rPr>
          <w:lang w:val="es-ES"/>
        </w:rPr>
      </w:pPr>
      <w:r w:rsidRPr="008B3DFB">
        <w:rPr>
          <w:lang w:val="es-ES"/>
        </w:rPr>
        <w:t>Asimismo,</w:t>
      </w:r>
      <w:r w:rsidR="006323D1" w:rsidRPr="008B3DFB">
        <w:rPr>
          <w:lang w:val="es-ES"/>
        </w:rPr>
        <w:t xml:space="preserve"> las </w:t>
      </w:r>
      <w:r w:rsidR="00E374E4" w:rsidRPr="008B3DFB">
        <w:rPr>
          <w:lang w:val="es-ES"/>
        </w:rPr>
        <w:t xml:space="preserve">actividades de </w:t>
      </w:r>
      <w:r w:rsidR="006323D1" w:rsidRPr="008B3DFB">
        <w:rPr>
          <w:lang w:val="es-ES"/>
        </w:rPr>
        <w:t xml:space="preserve">Educación </w:t>
      </w:r>
      <w:r w:rsidR="00E374E4" w:rsidRPr="008B3DFB">
        <w:rPr>
          <w:lang w:val="es-ES"/>
        </w:rPr>
        <w:t xml:space="preserve">Alimentaria y Nutricional </w:t>
      </w:r>
      <w:r w:rsidR="006323D1" w:rsidRPr="008B3DFB">
        <w:rPr>
          <w:lang w:val="es-ES"/>
        </w:rPr>
        <w:t xml:space="preserve">(EAN) </w:t>
      </w:r>
      <w:r w:rsidR="00E374E4" w:rsidRPr="008B3DFB">
        <w:rPr>
          <w:lang w:val="es-ES"/>
        </w:rPr>
        <w:t xml:space="preserve">y apoyo a la Gestión del PAE, </w:t>
      </w:r>
      <w:r w:rsidR="006323D1" w:rsidRPr="008B3DFB">
        <w:rPr>
          <w:lang w:val="es-ES"/>
        </w:rPr>
        <w:t xml:space="preserve">aunque </w:t>
      </w:r>
      <w:r w:rsidR="00E374E4" w:rsidRPr="008B3DFB">
        <w:rPr>
          <w:lang w:val="es-ES"/>
        </w:rPr>
        <w:t xml:space="preserve">pudieron desarrollarse </w:t>
      </w:r>
      <w:r w:rsidR="006323D1" w:rsidRPr="008B3DFB">
        <w:rPr>
          <w:lang w:val="es-ES"/>
        </w:rPr>
        <w:t xml:space="preserve">de forma regular </w:t>
      </w:r>
      <w:r w:rsidR="00E374E4" w:rsidRPr="008B3DFB">
        <w:rPr>
          <w:lang w:val="es-ES"/>
        </w:rPr>
        <w:t xml:space="preserve">en el primer trimestre de 2020, pero con el cese de la docencia, se vieron altamente impactadas. </w:t>
      </w:r>
    </w:p>
    <w:p w:rsidR="00E374E4" w:rsidRPr="00B3246C" w:rsidRDefault="00BE1578" w:rsidP="00BE1578">
      <w:pPr>
        <w:pStyle w:val="Heading3"/>
      </w:pPr>
      <w:bookmarkStart w:id="5" w:name="_Toc56413703"/>
      <w:bookmarkStart w:id="6" w:name="_Toc58597547"/>
      <w:r>
        <w:lastRenderedPageBreak/>
        <w:t xml:space="preserve">Salud </w:t>
      </w:r>
      <w:r w:rsidRPr="00B3246C">
        <w:t>escolar.</w:t>
      </w:r>
      <w:bookmarkEnd w:id="5"/>
      <w:bookmarkEnd w:id="6"/>
      <w:r w:rsidRPr="00B3246C">
        <w:t xml:space="preserve"> </w:t>
      </w:r>
    </w:p>
    <w:p w:rsidR="00E374E4" w:rsidRPr="000D1641" w:rsidRDefault="00E374E4" w:rsidP="00C34B2E">
      <w:pPr>
        <w:spacing w:line="360" w:lineRule="auto"/>
        <w:jc w:val="both"/>
        <w:rPr>
          <w:lang w:val="es-ES"/>
        </w:rPr>
      </w:pPr>
      <w:r w:rsidRPr="008B3DFB">
        <w:rPr>
          <w:lang w:val="es-ES"/>
        </w:rPr>
        <w:t>En los programas de salud escolar, para el 2020 la inversión en Salud Escolar aumentó a RD$ 1</w:t>
      </w:r>
      <w:proofErr w:type="gramStart"/>
      <w:r w:rsidRPr="008B3DFB">
        <w:rPr>
          <w:lang w:val="es-ES"/>
        </w:rPr>
        <w:t>,173,484,832.98</w:t>
      </w:r>
      <w:proofErr w:type="gramEnd"/>
      <w:r w:rsidRPr="008B3DFB">
        <w:rPr>
          <w:lang w:val="es-ES"/>
        </w:rPr>
        <w:t>. Con estos recursos se atendieron 1</w:t>
      </w:r>
      <w:proofErr w:type="gramStart"/>
      <w:r w:rsidRPr="008B3DFB">
        <w:rPr>
          <w:lang w:val="es-ES"/>
        </w:rPr>
        <w:t>,512,564</w:t>
      </w:r>
      <w:proofErr w:type="gramEnd"/>
      <w:r w:rsidRPr="008B3DFB">
        <w:rPr>
          <w:lang w:val="es-ES"/>
        </w:rPr>
        <w:t xml:space="preserve"> niños y niñas con servicios de epidemiologia, nutrición, salud bucal, visual y auditiva; con lo cual se complementa y dimensiona el impacto del PAE en la disminución de la malnutrición en los escolares y la vulnerabilidad educativa en general.</w:t>
      </w:r>
      <w:r w:rsidR="000D1641" w:rsidRPr="008B3DFB">
        <w:rPr>
          <w:lang w:val="es-ES"/>
        </w:rPr>
        <w:t xml:space="preserve"> </w:t>
      </w:r>
      <w:r w:rsidRPr="008B3DFB">
        <w:rPr>
          <w:lang w:val="es-ES"/>
        </w:rPr>
        <w:t xml:space="preserve">Se realizaron hasta marzo 2020, Jornadas de salud integral y atención a enfermedades desatendidas en centros educativos, capacitación e Investigaciones sobre enfermedades transmitidas por alimentos en el ámbito escolar (ETA), </w:t>
      </w:r>
      <w:r w:rsidRPr="00362436">
        <w:rPr>
          <w:lang w:val="es-ES"/>
        </w:rPr>
        <w:t xml:space="preserve">jornadas de instrucción de higiene oral, espacios Cero Caries y cepillado supervisado, evaluaciones visuales y audiológicas, prescripciones de lentes donados por el INABIE, actividades de prevención, promoción de la salud auditiva y atención a escolares que requerían ser diagnosticados por padecimientos que afectaban su audición, y entrega de auxiliares auditivos. </w:t>
      </w:r>
    </w:p>
    <w:p w:rsidR="00E374E4" w:rsidRPr="00A4252B" w:rsidRDefault="00BE1578" w:rsidP="00BE1578">
      <w:pPr>
        <w:pStyle w:val="Heading3"/>
      </w:pPr>
      <w:bookmarkStart w:id="7" w:name="_Toc56413704"/>
      <w:bookmarkStart w:id="8" w:name="_Toc58597548"/>
      <w:r w:rsidRPr="00A4252B">
        <w:t xml:space="preserve">Servicios </w:t>
      </w:r>
      <w:bookmarkEnd w:id="7"/>
      <w:r w:rsidRPr="00B32AF8">
        <w:t xml:space="preserve">De Apoyo </w:t>
      </w:r>
      <w:r w:rsidR="003E27E4">
        <w:t>y</w:t>
      </w:r>
      <w:r w:rsidRPr="00B32AF8">
        <w:t xml:space="preserve"> Participación Estudiantil</w:t>
      </w:r>
      <w:bookmarkEnd w:id="8"/>
    </w:p>
    <w:p w:rsidR="00E374E4" w:rsidRPr="00362436" w:rsidRDefault="008E2004" w:rsidP="00C34B2E">
      <w:pPr>
        <w:spacing w:line="360" w:lineRule="auto"/>
        <w:jc w:val="both"/>
        <w:rPr>
          <w:lang w:val="es-ES"/>
        </w:rPr>
      </w:pPr>
      <w:r w:rsidRPr="00362436">
        <w:rPr>
          <w:lang w:val="es-ES"/>
        </w:rPr>
        <w:t>S</w:t>
      </w:r>
      <w:r w:rsidR="00E374E4" w:rsidRPr="00362436">
        <w:rPr>
          <w:lang w:val="es-ES"/>
        </w:rPr>
        <w:t>e ofrecieron servicios de asistencia a estudiantes en situación de vulnerabilidad, becas, Utilería Escolar, actividades de extensión cultural y fomento de la cultura cooperativista en los centros educativos a través de la creación de las cooperativas escolares.</w:t>
      </w:r>
      <w:r w:rsidR="000D1641">
        <w:rPr>
          <w:lang w:val="es-ES"/>
        </w:rPr>
        <w:t xml:space="preserve"> </w:t>
      </w:r>
      <w:r w:rsidR="00E374E4" w:rsidRPr="00362436">
        <w:rPr>
          <w:lang w:val="es-ES"/>
        </w:rPr>
        <w:t xml:space="preserve">En 2020, la inversión programada en Utilería Escolar ascendió a RD$ 1, 064, 057,204.21, monto que fue destinado para la atención de aquellos estudiantes que se encuentran en las peores condiciones de vulnerabilidad en el sistema de educativo. A pesar de las limitaciones por la Pandemia COVID19 se ha logrado distribuir a los estudiantes vulnerables: 234,074 </w:t>
      </w:r>
      <w:proofErr w:type="spellStart"/>
      <w:r w:rsidR="00E374E4" w:rsidRPr="00362436">
        <w:rPr>
          <w:lang w:val="es-ES"/>
        </w:rPr>
        <w:t>poloshirts</w:t>
      </w:r>
      <w:proofErr w:type="spellEnd"/>
      <w:r w:rsidR="00E374E4" w:rsidRPr="00362436">
        <w:rPr>
          <w:lang w:val="es-ES"/>
        </w:rPr>
        <w:t>, pantalones, kits que contenían medias y mochilas, zapatos, con las adjudicaciones realizadas para llevar esta cifra a 750 mil.</w:t>
      </w:r>
      <w:r w:rsidR="000D1641">
        <w:rPr>
          <w:lang w:val="es-ES"/>
        </w:rPr>
        <w:t xml:space="preserve"> </w:t>
      </w:r>
      <w:r w:rsidR="00E374E4" w:rsidRPr="00362436">
        <w:rPr>
          <w:lang w:val="es-ES"/>
        </w:rPr>
        <w:t>Se realizó seguimiento a los estudiantes que se mantienen becados y se brindó apoyo a la participación estudiantil en actividades socioeducativas.</w:t>
      </w:r>
    </w:p>
    <w:p w:rsidR="00E374E4" w:rsidRPr="00A4252B" w:rsidRDefault="002209AD" w:rsidP="00BE1578">
      <w:pPr>
        <w:pStyle w:val="Heading3"/>
      </w:pPr>
      <w:bookmarkStart w:id="9" w:name="_Toc58597549"/>
      <w:r>
        <w:t xml:space="preserve">Logros Gestión de Gobierno Sr. Luis Rodolfo </w:t>
      </w:r>
      <w:proofErr w:type="spellStart"/>
      <w:r>
        <w:t>Abinader</w:t>
      </w:r>
      <w:proofErr w:type="spellEnd"/>
      <w:r>
        <w:t xml:space="preserve"> Corona</w:t>
      </w:r>
      <w:bookmarkEnd w:id="9"/>
    </w:p>
    <w:p w:rsidR="00E374E4" w:rsidRPr="00362436" w:rsidRDefault="00E374E4" w:rsidP="00C34B2E">
      <w:pPr>
        <w:spacing w:line="360" w:lineRule="auto"/>
        <w:jc w:val="both"/>
        <w:rPr>
          <w:lang w:val="es-ES"/>
        </w:rPr>
      </w:pPr>
      <w:r w:rsidRPr="00362436">
        <w:rPr>
          <w:lang w:val="es-ES"/>
        </w:rPr>
        <w:t xml:space="preserve">En el año 2020, </w:t>
      </w:r>
      <w:r w:rsidR="002209AD">
        <w:rPr>
          <w:lang w:val="es-ES"/>
        </w:rPr>
        <w:t xml:space="preserve">a partir de la transición del Gobierno </w:t>
      </w:r>
      <w:r w:rsidR="005E468F">
        <w:rPr>
          <w:lang w:val="es-ES"/>
        </w:rPr>
        <w:t xml:space="preserve">al excelentísimo Sr. Presidente, </w:t>
      </w:r>
      <w:r w:rsidRPr="00362436">
        <w:rPr>
          <w:lang w:val="es-ES"/>
        </w:rPr>
        <w:t xml:space="preserve">el INABIE ha obtenido importantes avances </w:t>
      </w:r>
      <w:r w:rsidR="005E468F">
        <w:rPr>
          <w:lang w:val="es-ES"/>
        </w:rPr>
        <w:t>entre los que destacan:</w:t>
      </w:r>
    </w:p>
    <w:p w:rsidR="005E468F" w:rsidRPr="00C34B2E" w:rsidRDefault="005E468F" w:rsidP="005E468F">
      <w:pPr>
        <w:pStyle w:val="ListParagraph"/>
        <w:numPr>
          <w:ilvl w:val="0"/>
          <w:numId w:val="28"/>
        </w:numPr>
        <w:spacing w:line="360" w:lineRule="auto"/>
        <w:jc w:val="both"/>
        <w:rPr>
          <w:lang w:val="es-ES"/>
        </w:rPr>
      </w:pPr>
      <w:r w:rsidRPr="00C34B2E">
        <w:rPr>
          <w:lang w:val="es-ES"/>
        </w:rPr>
        <w:t>Reducción en un 90%, deuda institucional con proveedores, llevándola de $7, 702, 054,229.00, a $764, 423,234.21, gracias al fortalecimiento del área financiera con la contratación de 25 nuevos empleados para los proces</w:t>
      </w:r>
      <w:r>
        <w:rPr>
          <w:lang w:val="es-ES"/>
        </w:rPr>
        <w:t>os del área;</w:t>
      </w:r>
    </w:p>
    <w:p w:rsidR="005E468F" w:rsidRDefault="005E468F" w:rsidP="005E468F">
      <w:pPr>
        <w:pStyle w:val="ListParagraph"/>
        <w:numPr>
          <w:ilvl w:val="0"/>
          <w:numId w:val="28"/>
        </w:numPr>
        <w:spacing w:line="360" w:lineRule="auto"/>
        <w:jc w:val="both"/>
        <w:rPr>
          <w:lang w:val="es-DO"/>
        </w:rPr>
      </w:pPr>
      <w:r w:rsidRPr="005E468F">
        <w:rPr>
          <w:lang w:val="es-DO"/>
        </w:rPr>
        <w:t>Aumento de la cobertura en 48.2% en la gestión pasada (964,100 Canastas de Alimentación Escolar)</w:t>
      </w:r>
      <w:r>
        <w:rPr>
          <w:lang w:val="es-DO"/>
        </w:rPr>
        <w:t>;</w:t>
      </w:r>
    </w:p>
    <w:p w:rsidR="00135428" w:rsidRPr="005E468F" w:rsidRDefault="000D608D" w:rsidP="005E468F">
      <w:pPr>
        <w:pStyle w:val="ListParagraph"/>
        <w:numPr>
          <w:ilvl w:val="0"/>
          <w:numId w:val="28"/>
        </w:numPr>
        <w:spacing w:line="360" w:lineRule="auto"/>
        <w:jc w:val="both"/>
        <w:rPr>
          <w:lang w:val="es-DO"/>
        </w:rPr>
      </w:pPr>
      <w:r w:rsidRPr="005E468F">
        <w:rPr>
          <w:b/>
          <w:bCs/>
          <w:lang w:val="es-ES"/>
        </w:rPr>
        <w:t>Ampliada la variedad de productos alimenticios incluidos en el PAE: Sardinas</w:t>
      </w:r>
      <w:r w:rsidR="005E468F">
        <w:rPr>
          <w:b/>
          <w:bCs/>
          <w:lang w:val="es-ES"/>
        </w:rPr>
        <w:t>;</w:t>
      </w:r>
      <w:r w:rsidRPr="005E468F">
        <w:rPr>
          <w:b/>
          <w:bCs/>
          <w:lang w:val="es-ES"/>
        </w:rPr>
        <w:t xml:space="preserve"> </w:t>
      </w:r>
    </w:p>
    <w:p w:rsidR="005E468F" w:rsidRDefault="005E468F" w:rsidP="005E468F">
      <w:pPr>
        <w:pStyle w:val="ListParagraph"/>
        <w:numPr>
          <w:ilvl w:val="0"/>
          <w:numId w:val="28"/>
        </w:numPr>
        <w:spacing w:line="360" w:lineRule="auto"/>
        <w:jc w:val="both"/>
        <w:rPr>
          <w:lang w:val="es-DO"/>
        </w:rPr>
      </w:pPr>
      <w:proofErr w:type="spellStart"/>
      <w:r w:rsidRPr="005E468F">
        <w:rPr>
          <w:lang w:val="es-DO"/>
        </w:rPr>
        <w:t>Eficientizar</w:t>
      </w:r>
      <w:proofErr w:type="spellEnd"/>
      <w:r w:rsidRPr="005E468F">
        <w:rPr>
          <w:lang w:val="es-DO"/>
        </w:rPr>
        <w:t xml:space="preserve"> Gestión Presupuesto Alimentación Escolar, con reducción en 9% del costo de adqu</w:t>
      </w:r>
      <w:r>
        <w:rPr>
          <w:lang w:val="es-DO"/>
        </w:rPr>
        <w:t>isición de canastas y se aumentó</w:t>
      </w:r>
      <w:r w:rsidRPr="005E468F">
        <w:rPr>
          <w:lang w:val="es-DO"/>
        </w:rPr>
        <w:t xml:space="preserve"> de artículos ofertados</w:t>
      </w:r>
      <w:r>
        <w:rPr>
          <w:lang w:val="es-DO"/>
        </w:rPr>
        <w:t>;</w:t>
      </w:r>
    </w:p>
    <w:p w:rsidR="005E468F" w:rsidRPr="005E468F" w:rsidRDefault="000D608D" w:rsidP="005E468F">
      <w:pPr>
        <w:pStyle w:val="ListParagraph"/>
        <w:numPr>
          <w:ilvl w:val="0"/>
          <w:numId w:val="28"/>
        </w:numPr>
        <w:spacing w:line="360" w:lineRule="auto"/>
        <w:jc w:val="both"/>
        <w:rPr>
          <w:lang w:val="es-DO"/>
        </w:rPr>
      </w:pPr>
      <w:r w:rsidRPr="005E468F">
        <w:rPr>
          <w:b/>
          <w:bCs/>
          <w:lang w:val="es-ES"/>
        </w:rPr>
        <w:t>3,799 Centros Educativos reciben Canastas Alimentación Escolar</w:t>
      </w:r>
      <w:r w:rsidR="005E468F" w:rsidRPr="005E468F">
        <w:rPr>
          <w:lang w:val="es-DO"/>
        </w:rPr>
        <w:t>;</w:t>
      </w:r>
    </w:p>
    <w:p w:rsidR="00135428" w:rsidRPr="005E468F" w:rsidRDefault="000D608D" w:rsidP="005E468F">
      <w:pPr>
        <w:pStyle w:val="ListParagraph"/>
        <w:numPr>
          <w:ilvl w:val="0"/>
          <w:numId w:val="28"/>
        </w:numPr>
        <w:spacing w:line="360" w:lineRule="auto"/>
        <w:jc w:val="both"/>
        <w:rPr>
          <w:lang w:val="es-DO"/>
        </w:rPr>
      </w:pPr>
      <w:r w:rsidRPr="005E468F">
        <w:rPr>
          <w:b/>
          <w:bCs/>
          <w:lang w:val="es-ES"/>
        </w:rPr>
        <w:t>964,100 Canastas entreg</w:t>
      </w:r>
      <w:r w:rsidR="005E468F">
        <w:rPr>
          <w:b/>
          <w:bCs/>
          <w:lang w:val="es-ES"/>
        </w:rPr>
        <w:t>adas desde el 02 noviembre 2020;</w:t>
      </w:r>
    </w:p>
    <w:p w:rsidR="005E468F" w:rsidRPr="005E468F" w:rsidRDefault="005E468F" w:rsidP="005E468F">
      <w:pPr>
        <w:pStyle w:val="ListParagraph"/>
        <w:numPr>
          <w:ilvl w:val="0"/>
          <w:numId w:val="28"/>
        </w:numPr>
        <w:spacing w:line="360" w:lineRule="auto"/>
        <w:jc w:val="both"/>
        <w:rPr>
          <w:lang w:val="es-DO"/>
        </w:rPr>
      </w:pPr>
      <w:r w:rsidRPr="005E468F">
        <w:rPr>
          <w:lang w:val="es-DO"/>
        </w:rPr>
        <w:t xml:space="preserve">Puesta en ejecución PAE con Canastas de Alimentación Escolar 2020 </w:t>
      </w:r>
    </w:p>
    <w:p w:rsidR="005E468F" w:rsidRPr="005E468F" w:rsidRDefault="005E468F" w:rsidP="005E468F">
      <w:pPr>
        <w:pStyle w:val="ListParagraph"/>
        <w:numPr>
          <w:ilvl w:val="0"/>
          <w:numId w:val="28"/>
        </w:numPr>
        <w:spacing w:line="360" w:lineRule="auto"/>
        <w:jc w:val="both"/>
        <w:rPr>
          <w:lang w:val="es-DO"/>
        </w:rPr>
      </w:pPr>
      <w:r w:rsidRPr="005E468F">
        <w:rPr>
          <w:lang w:val="es-DO"/>
        </w:rPr>
        <w:lastRenderedPageBreak/>
        <w:t>Diseño Canastas Alimentación Escolar 2020 articulando Organismos Internacionales Regionales y suplidores locales</w:t>
      </w:r>
    </w:p>
    <w:p w:rsidR="005E468F" w:rsidRPr="005E468F" w:rsidRDefault="005E468F" w:rsidP="005E468F">
      <w:pPr>
        <w:pStyle w:val="ListParagraph"/>
        <w:numPr>
          <w:ilvl w:val="0"/>
          <w:numId w:val="28"/>
        </w:numPr>
        <w:spacing w:line="360" w:lineRule="auto"/>
        <w:jc w:val="both"/>
        <w:rPr>
          <w:lang w:val="es-DO"/>
        </w:rPr>
      </w:pPr>
      <w:r w:rsidRPr="005E468F">
        <w:rPr>
          <w:lang w:val="es-ES"/>
        </w:rPr>
        <w:t>Inclusión de alimentos producción local incentivando agropecuaria</w:t>
      </w:r>
    </w:p>
    <w:p w:rsidR="00E374E4" w:rsidRPr="00C34B2E" w:rsidRDefault="00E374E4" w:rsidP="00C34B2E">
      <w:pPr>
        <w:pStyle w:val="ListParagraph"/>
        <w:numPr>
          <w:ilvl w:val="0"/>
          <w:numId w:val="28"/>
        </w:numPr>
        <w:spacing w:line="360" w:lineRule="auto"/>
        <w:jc w:val="both"/>
        <w:rPr>
          <w:lang w:val="es-ES"/>
        </w:rPr>
      </w:pPr>
      <w:r w:rsidRPr="00C34B2E">
        <w:rPr>
          <w:lang w:val="es-ES"/>
        </w:rPr>
        <w:t xml:space="preserve">Mantener al día en tiempo oportuno Datos abiertos  </w:t>
      </w:r>
    </w:p>
    <w:p w:rsidR="00BE1578" w:rsidRDefault="00BE1578">
      <w:pPr>
        <w:spacing w:after="0" w:line="240" w:lineRule="auto"/>
        <w:rPr>
          <w:rFonts w:ascii="Artifex CF Light" w:hAnsi="Artifex CF Light"/>
          <w:color w:val="193977"/>
          <w:sz w:val="26"/>
          <w:szCs w:val="26"/>
          <w:lang w:val="es-ES"/>
        </w:rPr>
      </w:pPr>
      <w:bookmarkStart w:id="10" w:name="_Toc533721005"/>
      <w:r>
        <w:br w:type="page"/>
      </w:r>
    </w:p>
    <w:p w:rsidR="006C29F1" w:rsidRPr="005553FF" w:rsidRDefault="006C29F1" w:rsidP="008B3C13">
      <w:pPr>
        <w:pStyle w:val="Heading2"/>
        <w:numPr>
          <w:ilvl w:val="1"/>
          <w:numId w:val="18"/>
        </w:numPr>
      </w:pPr>
      <w:bookmarkStart w:id="11" w:name="_Toc58597550"/>
      <w:r w:rsidRPr="005553FF">
        <w:lastRenderedPageBreak/>
        <w:t>BASE LEGAL DEL INABIE</w:t>
      </w:r>
      <w:bookmarkEnd w:id="11"/>
    </w:p>
    <w:bookmarkEnd w:id="10"/>
    <w:p w:rsidR="00052BDE" w:rsidRPr="00362436" w:rsidRDefault="00052BDE" w:rsidP="00C34B2E">
      <w:pPr>
        <w:spacing w:line="360" w:lineRule="auto"/>
        <w:jc w:val="both"/>
        <w:rPr>
          <w:lang w:val="es-ES"/>
        </w:rPr>
      </w:pPr>
      <w:r w:rsidRPr="00362436">
        <w:rPr>
          <w:lang w:val="es-ES"/>
        </w:rPr>
        <w:t>El Instituto Nacional de Biene</w:t>
      </w:r>
      <w:r w:rsidR="00C71CA6" w:rsidRPr="00362436">
        <w:rPr>
          <w:lang w:val="es-ES"/>
        </w:rPr>
        <w:t xml:space="preserve">star Estudiantil fue creado en </w:t>
      </w:r>
      <w:r w:rsidR="00811D31" w:rsidRPr="00362436">
        <w:rPr>
          <w:lang w:val="es-ES"/>
        </w:rPr>
        <w:t xml:space="preserve">el marco de la </w:t>
      </w:r>
      <w:r w:rsidRPr="00362436">
        <w:rPr>
          <w:lang w:val="es-ES"/>
        </w:rPr>
        <w:t xml:space="preserve">Ley General de </w:t>
      </w:r>
      <w:r w:rsidR="00C71CA6" w:rsidRPr="00362436">
        <w:rPr>
          <w:lang w:val="es-ES"/>
        </w:rPr>
        <w:t>Educación 66-97, la cual</w:t>
      </w:r>
      <w:r w:rsidRPr="00362436">
        <w:rPr>
          <w:lang w:val="es-ES"/>
        </w:rPr>
        <w:t xml:space="preserve"> establece en Art. 177 que el INABIE es</w:t>
      </w:r>
      <w:r w:rsidR="00A65EB8" w:rsidRPr="00362436">
        <w:rPr>
          <w:lang w:val="es-ES"/>
        </w:rPr>
        <w:t>… «</w:t>
      </w:r>
      <w:r w:rsidR="00C53061" w:rsidRPr="00362436">
        <w:rPr>
          <w:i/>
          <w:lang w:val="es-ES"/>
        </w:rPr>
        <w:t>Un</w:t>
      </w:r>
      <w:r w:rsidRPr="00362436">
        <w:rPr>
          <w:i/>
          <w:lang w:val="es-ES"/>
        </w:rPr>
        <w:t xml:space="preserve"> organismo descentralizado, adscrito a la Secretaría de Estado de Educación y Cultura. Este organismo tendrá por finalidad promover la participación de los estudiantes en las diversas actividades, curriculares y extracurriculares y promover la organización de servicios, tales como: transporte, nutrición escolar y servicios de salud, apoyo estudiantil en materiales y útiles escolares, clubes científicos, tecnológicos y de artes, becas e intercambios de trabajo social, de turismo estudiantil, trabajo remunerado en vacaciones y de gobierno estudiantil</w:t>
      </w:r>
      <w:r w:rsidR="007B4E17" w:rsidRPr="00362436">
        <w:rPr>
          <w:i/>
          <w:lang w:val="es-ES"/>
        </w:rPr>
        <w:t>»</w:t>
      </w:r>
      <w:r w:rsidRPr="00362436">
        <w:rPr>
          <w:i/>
          <w:lang w:val="es-ES"/>
        </w:rPr>
        <w:t>.</w:t>
      </w:r>
      <w:r w:rsidRPr="00362436">
        <w:rPr>
          <w:lang w:val="es-ES"/>
        </w:rPr>
        <w:t xml:space="preserve"> </w:t>
      </w:r>
    </w:p>
    <w:p w:rsidR="00052BDE" w:rsidRPr="00362436" w:rsidRDefault="00C71CA6" w:rsidP="00C34B2E">
      <w:pPr>
        <w:spacing w:line="360" w:lineRule="auto"/>
        <w:jc w:val="both"/>
        <w:rPr>
          <w:lang w:val="es-ES"/>
        </w:rPr>
      </w:pPr>
      <w:r w:rsidRPr="00362436">
        <w:rPr>
          <w:lang w:val="es-ES"/>
        </w:rPr>
        <w:t xml:space="preserve">En el </w:t>
      </w:r>
      <w:r w:rsidR="00052BDE" w:rsidRPr="00362436">
        <w:rPr>
          <w:lang w:val="es-ES"/>
        </w:rPr>
        <w:t xml:space="preserve">Art. 178, se crea el desayuno escolar como institución que asegura el suministro regular, eficiente y gratuito del desayuno escolar a todos los niños y niñas del sistema educativo que así lo necesiten.  El Art. </w:t>
      </w:r>
      <w:r w:rsidR="00907F3C" w:rsidRPr="00362436">
        <w:rPr>
          <w:lang w:val="es-ES"/>
        </w:rPr>
        <w:t>179 plantea la</w:t>
      </w:r>
      <w:r w:rsidR="00052BDE" w:rsidRPr="00362436">
        <w:rPr>
          <w:lang w:val="es-ES"/>
        </w:rPr>
        <w:t xml:space="preserve"> provisión de fondos propios </w:t>
      </w:r>
      <w:r w:rsidR="00907F3C" w:rsidRPr="00362436">
        <w:rPr>
          <w:lang w:val="es-ES"/>
        </w:rPr>
        <w:t>derivados del</w:t>
      </w:r>
      <w:r w:rsidR="00052BDE" w:rsidRPr="00362436">
        <w:rPr>
          <w:lang w:val="es-ES"/>
        </w:rPr>
        <w:t xml:space="preserve"> Estado, a través </w:t>
      </w:r>
      <w:r w:rsidR="00907F3C" w:rsidRPr="00362436">
        <w:rPr>
          <w:lang w:val="es-ES"/>
        </w:rPr>
        <w:t>del Ministerio</w:t>
      </w:r>
      <w:r w:rsidR="00052BDE" w:rsidRPr="00362436">
        <w:rPr>
          <w:lang w:val="es-ES"/>
        </w:rPr>
        <w:t xml:space="preserve"> de Educación y aportes a las asociaciones de padres, madres, tutores y amigos de la escuela.</w:t>
      </w:r>
    </w:p>
    <w:p w:rsidR="007B4E17" w:rsidRPr="00362436" w:rsidRDefault="00052BDE" w:rsidP="00C34B2E">
      <w:pPr>
        <w:spacing w:line="360" w:lineRule="auto"/>
        <w:jc w:val="both"/>
        <w:rPr>
          <w:lang w:val="es-ES"/>
        </w:rPr>
      </w:pPr>
      <w:r w:rsidRPr="00362436">
        <w:rPr>
          <w:lang w:val="es-ES"/>
        </w:rPr>
        <w:t>En Art. 180,  se establece que el Instituto Nacional de Bienestar Estudiantil</w:t>
      </w:r>
      <w:r w:rsidR="00E711E4" w:rsidRPr="00362436">
        <w:rPr>
          <w:lang w:val="es-ES"/>
        </w:rPr>
        <w:t>,</w:t>
      </w:r>
      <w:r w:rsidRPr="00362436">
        <w:rPr>
          <w:lang w:val="es-ES"/>
        </w:rPr>
        <w:t xml:space="preserve"> para la eficiencia de sus servicios</w:t>
      </w:r>
      <w:r w:rsidR="00E711E4" w:rsidRPr="00362436">
        <w:rPr>
          <w:lang w:val="es-ES"/>
        </w:rPr>
        <w:t>,</w:t>
      </w:r>
      <w:r w:rsidRPr="00362436">
        <w:rPr>
          <w:lang w:val="es-ES"/>
        </w:rPr>
        <w:t xml:space="preserve"> estará dirigido por un Consejo Directivo el cual estará conformado por: a) Un representante del Secretario de Estado de Educación y Cultura; b) Un representante del Secretario de Estado de Salud Pública y Asistencia Social; c) Un representante del Consejo Nacional para la Niñez (CONANI); d) Dos representantes estudiantiles; e) Un representante de organización magisterial mayoritaria; f) Un representante de las asociaciones de padres, madres, t</w:t>
      </w:r>
      <w:r w:rsidR="007B4E17" w:rsidRPr="00362436">
        <w:rPr>
          <w:lang w:val="es-ES"/>
        </w:rPr>
        <w:t xml:space="preserve">utores y amigos de la escuela. </w:t>
      </w:r>
    </w:p>
    <w:p w:rsidR="00052BDE" w:rsidRPr="00362436" w:rsidRDefault="00052BDE" w:rsidP="00C34B2E">
      <w:pPr>
        <w:spacing w:line="360" w:lineRule="auto"/>
        <w:jc w:val="both"/>
        <w:rPr>
          <w:lang w:val="es-ES"/>
        </w:rPr>
      </w:pPr>
      <w:r w:rsidRPr="00362436">
        <w:rPr>
          <w:lang w:val="es-ES"/>
        </w:rPr>
        <w:t xml:space="preserve">Es a partir  de enero del 2013 a través del decreto 468-12 del 17 de agosto del 2012, que el </w:t>
      </w:r>
      <w:r w:rsidR="00E711E4" w:rsidRPr="00362436">
        <w:rPr>
          <w:lang w:val="es-ES"/>
        </w:rPr>
        <w:t xml:space="preserve">INABIE </w:t>
      </w:r>
      <w:r w:rsidRPr="00362436">
        <w:rPr>
          <w:lang w:val="es-ES"/>
        </w:rPr>
        <w:t>inicia sus operaciones  como  una</w:t>
      </w:r>
      <w:r w:rsidR="00E711E4" w:rsidRPr="00362436">
        <w:rPr>
          <w:lang w:val="es-ES"/>
        </w:rPr>
        <w:t xml:space="preserve"> entidad descentralizada adscri</w:t>
      </w:r>
      <w:r w:rsidRPr="00362436">
        <w:rPr>
          <w:lang w:val="es-ES"/>
        </w:rPr>
        <w:t xml:space="preserve">ta al Ministerio de Educación, </w:t>
      </w:r>
      <w:r w:rsidR="00E711E4" w:rsidRPr="00362436">
        <w:rPr>
          <w:lang w:val="es-ES"/>
        </w:rPr>
        <w:t xml:space="preserve">sosteniendo </w:t>
      </w:r>
      <w:r w:rsidRPr="00362436">
        <w:rPr>
          <w:lang w:val="es-ES"/>
        </w:rPr>
        <w:t xml:space="preserve">desde entonces un crecimiento continuo para dar respuesta a la </w:t>
      </w:r>
      <w:r w:rsidR="00E711E4" w:rsidRPr="00362436">
        <w:rPr>
          <w:lang w:val="es-ES"/>
        </w:rPr>
        <w:t xml:space="preserve">creciente </w:t>
      </w:r>
      <w:r w:rsidRPr="00362436">
        <w:rPr>
          <w:lang w:val="es-ES"/>
        </w:rPr>
        <w:t>demanda generad</w:t>
      </w:r>
      <w:r w:rsidR="00E711E4" w:rsidRPr="00362436">
        <w:rPr>
          <w:lang w:val="es-ES"/>
        </w:rPr>
        <w:t>a</w:t>
      </w:r>
      <w:r w:rsidRPr="00362436">
        <w:rPr>
          <w:lang w:val="es-ES"/>
        </w:rPr>
        <w:t xml:space="preserve"> por la aplicación del programa de Jornada Escolar Extendida y </w:t>
      </w:r>
      <w:r w:rsidR="00E711E4" w:rsidRPr="00362436">
        <w:rPr>
          <w:lang w:val="es-ES"/>
        </w:rPr>
        <w:t xml:space="preserve">la </w:t>
      </w:r>
      <w:r w:rsidRPr="00362436">
        <w:rPr>
          <w:lang w:val="es-ES"/>
        </w:rPr>
        <w:t>ampliación de la cobertura de los programas de asistencia para garantizar la equidad, permanencia y mejora del rendimiento escolar del estudiantado dominicano.</w:t>
      </w:r>
    </w:p>
    <w:p w:rsidR="000328C5" w:rsidRPr="00362436" w:rsidRDefault="000328C5" w:rsidP="00C34B2E">
      <w:pPr>
        <w:spacing w:line="360" w:lineRule="auto"/>
        <w:jc w:val="both"/>
      </w:pPr>
      <w:r w:rsidRPr="00362436">
        <w:t>Organizacionalmente el INABIE cuenta con:</w:t>
      </w:r>
    </w:p>
    <w:p w:rsidR="000328C5" w:rsidRPr="00362436" w:rsidRDefault="000328C5" w:rsidP="00C34B2E">
      <w:pPr>
        <w:spacing w:line="360" w:lineRule="auto"/>
        <w:jc w:val="both"/>
        <w:rPr>
          <w:b/>
        </w:rPr>
      </w:pPr>
      <w:r w:rsidRPr="00362436">
        <w:rPr>
          <w:b/>
        </w:rPr>
        <w:t xml:space="preserve">Unidades Directivas o de Máxima Autoridad: Consejo Directivo y Dirección Ejecutiva; </w:t>
      </w:r>
    </w:p>
    <w:p w:rsidR="000328C5" w:rsidRPr="00362436" w:rsidRDefault="000328C5" w:rsidP="00C34B2E">
      <w:pPr>
        <w:spacing w:line="360" w:lineRule="auto"/>
        <w:jc w:val="both"/>
        <w:rPr>
          <w:b/>
        </w:rPr>
      </w:pPr>
      <w:r w:rsidRPr="00362436">
        <w:rPr>
          <w:b/>
        </w:rPr>
        <w:t>Unidades Sustantivas, Misionales u Operativas: Dirección de Alimentación y Nutrición; Dirección de Salud y Servicios Sociales, a cargo de la ejecución de estos programas;</w:t>
      </w:r>
    </w:p>
    <w:p w:rsidR="000328C5" w:rsidRPr="00362436" w:rsidRDefault="000328C5" w:rsidP="00C34B2E">
      <w:pPr>
        <w:spacing w:line="360" w:lineRule="auto"/>
        <w:jc w:val="both"/>
        <w:rPr>
          <w:b/>
        </w:rPr>
      </w:pPr>
      <w:r w:rsidRPr="00362436">
        <w:rPr>
          <w:b/>
        </w:rPr>
        <w:t>Unidades Consultivas o Asesoras y Unidades Auxiliares o de Apoyo: Dirección de Planificación y Desarrollo, Dirección Administrativa y Financiera; Áreas dependientes de la Dirección Ejecutiva.</w:t>
      </w:r>
    </w:p>
    <w:p w:rsidR="003F5E58" w:rsidRPr="006A41DD" w:rsidRDefault="003F5E58" w:rsidP="008B3C13">
      <w:pPr>
        <w:pStyle w:val="Heading2"/>
        <w:numPr>
          <w:ilvl w:val="1"/>
          <w:numId w:val="18"/>
        </w:numPr>
      </w:pPr>
      <w:bookmarkStart w:id="12" w:name="_Toc58597551"/>
      <w:r w:rsidRPr="006A41DD">
        <w:t>FILOSOFÍA INSTITUCIONAL</w:t>
      </w:r>
      <w:bookmarkEnd w:id="12"/>
      <w:r w:rsidRPr="006A41DD">
        <w:t xml:space="preserve"> </w:t>
      </w:r>
    </w:p>
    <w:p w:rsidR="003F5E58" w:rsidRPr="00A24917" w:rsidRDefault="003F5E58" w:rsidP="00BE1578">
      <w:pPr>
        <w:pStyle w:val="Heading4"/>
      </w:pPr>
      <w:r w:rsidRPr="00A24917">
        <w:lastRenderedPageBreak/>
        <w:t>Misión</w:t>
      </w:r>
    </w:p>
    <w:p w:rsidR="003F5E58" w:rsidRPr="00A24917" w:rsidRDefault="003F5E58" w:rsidP="00A24917">
      <w:pPr>
        <w:spacing w:line="360" w:lineRule="auto"/>
        <w:jc w:val="both"/>
        <w:rPr>
          <w:szCs w:val="18"/>
        </w:rPr>
      </w:pPr>
      <w:r w:rsidRPr="00A24917">
        <w:rPr>
          <w:szCs w:val="18"/>
        </w:rPr>
        <w:t xml:space="preserve">“El INABIE </w:t>
      </w:r>
      <w:r w:rsidR="00E27D9F" w:rsidRPr="00A24917">
        <w:rPr>
          <w:szCs w:val="18"/>
        </w:rPr>
        <w:t>c</w:t>
      </w:r>
      <w:r w:rsidRPr="00A24917">
        <w:rPr>
          <w:szCs w:val="18"/>
        </w:rPr>
        <w:t>ontribuye a disminuir la vulnerabilidad educativa de la poblac</w:t>
      </w:r>
      <w:r w:rsidR="00811D31" w:rsidRPr="00A24917">
        <w:rPr>
          <w:szCs w:val="18"/>
        </w:rPr>
        <w:t xml:space="preserve">ión escolar preuniversitaria; </w:t>
      </w:r>
      <w:r w:rsidRPr="00A24917">
        <w:rPr>
          <w:szCs w:val="18"/>
        </w:rPr>
        <w:t>mediante el desarrollo e implementación de programas inclusivos de apoyo a los estudiantes, sus familias y comunidades, tendentes a crear un escenario favorable para su aprendizaje y desarrollo integral”.</w:t>
      </w:r>
    </w:p>
    <w:p w:rsidR="003F5E58" w:rsidRPr="00A24917" w:rsidRDefault="00C71CA6" w:rsidP="00BE1578">
      <w:pPr>
        <w:pStyle w:val="Heading4"/>
      </w:pPr>
      <w:r w:rsidRPr="00A24917">
        <w:t>Visión</w:t>
      </w:r>
    </w:p>
    <w:p w:rsidR="003F5E58" w:rsidRPr="00A24917" w:rsidRDefault="003F5E58" w:rsidP="00A24917">
      <w:pPr>
        <w:spacing w:line="360" w:lineRule="auto"/>
        <w:jc w:val="both"/>
        <w:rPr>
          <w:rFonts w:eastAsia="MS Mincho"/>
          <w:szCs w:val="18"/>
        </w:rPr>
      </w:pPr>
      <w:r w:rsidRPr="00A24917">
        <w:rPr>
          <w:rFonts w:eastAsia="MS Mincho"/>
          <w:szCs w:val="18"/>
        </w:rPr>
        <w:t xml:space="preserve">“Una población escolar con bienestar, </w:t>
      </w:r>
      <w:r w:rsidR="00492B81" w:rsidRPr="00A24917">
        <w:rPr>
          <w:rFonts w:eastAsia="MS Mincho"/>
          <w:szCs w:val="18"/>
        </w:rPr>
        <w:t>recibiendo una</w:t>
      </w:r>
      <w:r w:rsidRPr="00A24917">
        <w:rPr>
          <w:rFonts w:eastAsia="MS Mincho"/>
          <w:szCs w:val="18"/>
        </w:rPr>
        <w:t xml:space="preserve"> educación de Calidad”.</w:t>
      </w:r>
      <w:r w:rsidRPr="00A24917">
        <w:rPr>
          <w:rFonts w:eastAsia="MS Mincho"/>
          <w:szCs w:val="18"/>
        </w:rPr>
        <w:tab/>
      </w:r>
    </w:p>
    <w:p w:rsidR="003F5E58" w:rsidRPr="00A24917" w:rsidRDefault="003F5E58" w:rsidP="00BE1578">
      <w:pPr>
        <w:pStyle w:val="Heading4"/>
      </w:pPr>
      <w:r w:rsidRPr="00A24917">
        <w:t xml:space="preserve">Valores </w:t>
      </w:r>
    </w:p>
    <w:p w:rsidR="003F5E58" w:rsidRPr="00C34B2E" w:rsidRDefault="003F5E58" w:rsidP="00C34B2E">
      <w:pPr>
        <w:rPr>
          <w:i/>
        </w:rPr>
      </w:pPr>
      <w:r w:rsidRPr="00C34B2E">
        <w:rPr>
          <w:i/>
        </w:rPr>
        <w:t>Solidaridad y equidad</w:t>
      </w:r>
    </w:p>
    <w:p w:rsidR="003F5E58" w:rsidRPr="00A24917" w:rsidRDefault="003F5E58" w:rsidP="00A24917">
      <w:pPr>
        <w:spacing w:line="360" w:lineRule="auto"/>
        <w:jc w:val="both"/>
        <w:rPr>
          <w:szCs w:val="18"/>
        </w:rPr>
      </w:pPr>
      <w:r w:rsidRPr="00A24917">
        <w:rPr>
          <w:szCs w:val="18"/>
        </w:rPr>
        <w:t>El primero de los valores del INABIE, significa que todos sus objetivos y acciones están dirigidos a brindar apoyo constante a los estudiantes de los estratos vulnerables de nuestra sociedad, dentro de un marco sustentable, y promoviendo las mejores oportunidades de desarrollo posible.  Se trata de garantizar acceso igualitario a un entorno y condiciones educativas de calidad.</w:t>
      </w:r>
    </w:p>
    <w:p w:rsidR="003F5E58" w:rsidRPr="00C34B2E" w:rsidRDefault="003F5E58" w:rsidP="00C34B2E">
      <w:pPr>
        <w:rPr>
          <w:i/>
        </w:rPr>
      </w:pPr>
      <w:r w:rsidRPr="00C34B2E">
        <w:rPr>
          <w:i/>
        </w:rPr>
        <w:t>Vocación de servicio</w:t>
      </w:r>
    </w:p>
    <w:p w:rsidR="003F5E58" w:rsidRPr="00A24917" w:rsidRDefault="003F5E58" w:rsidP="00A24917">
      <w:pPr>
        <w:spacing w:line="360" w:lineRule="auto"/>
        <w:jc w:val="both"/>
        <w:rPr>
          <w:szCs w:val="18"/>
        </w:rPr>
      </w:pPr>
      <w:r w:rsidRPr="00A24917">
        <w:rPr>
          <w:szCs w:val="18"/>
        </w:rPr>
        <w:t>El elevado nivel de compromiso con las familias más necesitadas y con la sociedad en general, guía a la institución a velar de manera constante por el buen funcionamiento de los programas, ofreciendo servicios oportunos y orientados a las necesidades de los estudiantes y sus familias.</w:t>
      </w:r>
    </w:p>
    <w:p w:rsidR="003F5E58" w:rsidRPr="00A24917" w:rsidRDefault="003F5E58" w:rsidP="00A24917">
      <w:pPr>
        <w:pStyle w:val="Heading5"/>
        <w:spacing w:line="360" w:lineRule="auto"/>
        <w:rPr>
          <w:rFonts w:ascii="Artifex CF Extra Light" w:hAnsi="Artifex CF Extra Light"/>
          <w:szCs w:val="18"/>
        </w:rPr>
      </w:pPr>
      <w:r w:rsidRPr="00A24917">
        <w:rPr>
          <w:rFonts w:ascii="Artifex CF Extra Light" w:hAnsi="Artifex CF Extra Light"/>
          <w:szCs w:val="18"/>
        </w:rPr>
        <w:t>Respeto a la vida humana y los derechos de la niñez</w:t>
      </w:r>
    </w:p>
    <w:p w:rsidR="003F5E58" w:rsidRPr="00A24917" w:rsidRDefault="003F5E58" w:rsidP="00A24917">
      <w:pPr>
        <w:spacing w:line="360" w:lineRule="auto"/>
        <w:jc w:val="both"/>
        <w:rPr>
          <w:szCs w:val="18"/>
        </w:rPr>
      </w:pPr>
      <w:r w:rsidRPr="00A24917">
        <w:rPr>
          <w:szCs w:val="18"/>
        </w:rPr>
        <w:t>Para el INABIE son sagrados los derechos del ser humano y en especial los de los niños, niñas y adolescentes.  Los servicios prestados respaldan y enaltecen dichos derechos.</w:t>
      </w:r>
    </w:p>
    <w:p w:rsidR="003F5E58" w:rsidRPr="00C34B2E" w:rsidRDefault="003F5E58" w:rsidP="00C34B2E">
      <w:pPr>
        <w:rPr>
          <w:i/>
        </w:rPr>
      </w:pPr>
      <w:r w:rsidRPr="00C34B2E">
        <w:rPr>
          <w:i/>
        </w:rPr>
        <w:t>Ética y transparencia</w:t>
      </w:r>
    </w:p>
    <w:p w:rsidR="001B2292" w:rsidRPr="00A24917" w:rsidRDefault="003F5E58" w:rsidP="00A24917">
      <w:pPr>
        <w:spacing w:line="360" w:lineRule="auto"/>
        <w:jc w:val="both"/>
        <w:rPr>
          <w:szCs w:val="18"/>
        </w:rPr>
      </w:pPr>
      <w:r w:rsidRPr="00A24917">
        <w:rPr>
          <w:szCs w:val="18"/>
        </w:rPr>
        <w:t>Los programas y operaciones en general del INABIE, han de ser gestionados con apego los principios de la moral, manteniendo el respeto a las buenas prácticas y las leyes vigentes.  La observación de estos principios es fomentada al personal de todos los niveles.</w:t>
      </w:r>
    </w:p>
    <w:p w:rsidR="003F5E58" w:rsidRPr="00C34B2E" w:rsidRDefault="003F5E58" w:rsidP="00C34B2E">
      <w:pPr>
        <w:rPr>
          <w:i/>
        </w:rPr>
      </w:pPr>
      <w:r w:rsidRPr="00C34B2E">
        <w:rPr>
          <w:i/>
        </w:rPr>
        <w:t>Participación y construcción de ciudadanía.</w:t>
      </w:r>
    </w:p>
    <w:p w:rsidR="000F3D5D" w:rsidRPr="00A24917" w:rsidRDefault="003F5E58" w:rsidP="00A24917">
      <w:pPr>
        <w:spacing w:line="360" w:lineRule="auto"/>
        <w:jc w:val="both"/>
        <w:rPr>
          <w:szCs w:val="18"/>
        </w:rPr>
      </w:pPr>
      <w:r w:rsidRPr="00A24917">
        <w:rPr>
          <w:szCs w:val="18"/>
        </w:rPr>
        <w:t>Mediante una gestión responsable y abierta de nuestros programas, el INABIE promueve la integración de las familias a las que sirve, de forma que se hagan eco del valor que tienen los servicios para el desarrollo de sus hijos, contribuyendo de esta manera a consolidar una cultura de participación y conciencia ciudadana en las comunidades que</w:t>
      </w:r>
      <w:r w:rsidR="00D226EE" w:rsidRPr="00A24917">
        <w:rPr>
          <w:szCs w:val="18"/>
        </w:rPr>
        <w:t xml:space="preserve"> rodean los centros educativos.</w:t>
      </w:r>
    </w:p>
    <w:p w:rsidR="003F5E58" w:rsidRPr="00C34B2E" w:rsidRDefault="003F5E58" w:rsidP="00C34B2E">
      <w:pPr>
        <w:rPr>
          <w:i/>
        </w:rPr>
      </w:pPr>
      <w:r w:rsidRPr="00C34B2E">
        <w:rPr>
          <w:i/>
        </w:rPr>
        <w:t>Cultura de Calidad</w:t>
      </w:r>
    </w:p>
    <w:p w:rsidR="00F96050" w:rsidRPr="00A24917" w:rsidRDefault="003F5E58" w:rsidP="00A24917">
      <w:pPr>
        <w:spacing w:line="360" w:lineRule="auto"/>
        <w:jc w:val="both"/>
        <w:rPr>
          <w:szCs w:val="18"/>
        </w:rPr>
      </w:pPr>
      <w:r w:rsidRPr="00A24917">
        <w:rPr>
          <w:szCs w:val="18"/>
        </w:rPr>
        <w:t>Los altos niveles de exigencia transmitidos a los proveedores que dan soporte a nuestros programas, y las constantes acciones de mejora de los procesos y servicios, extienden un claro mensaje a todos los colaboradores del instituto, dirigido a potenciar los esfuerzos para obtener mejores resultados y garantizar productos y servicios de máxima calidad al estudiantado.</w:t>
      </w:r>
    </w:p>
    <w:p w:rsidR="003F5E58" w:rsidRPr="00C34B2E" w:rsidRDefault="003F5E58" w:rsidP="00C34B2E">
      <w:pPr>
        <w:rPr>
          <w:i/>
        </w:rPr>
      </w:pPr>
      <w:r w:rsidRPr="00C34B2E">
        <w:rPr>
          <w:i/>
        </w:rPr>
        <w:lastRenderedPageBreak/>
        <w:t>Convivencia pacífica</w:t>
      </w:r>
    </w:p>
    <w:p w:rsidR="00AB051A" w:rsidRPr="00A24917" w:rsidRDefault="003F5E58" w:rsidP="00A24917">
      <w:pPr>
        <w:spacing w:line="360" w:lineRule="auto"/>
        <w:jc w:val="both"/>
        <w:rPr>
          <w:szCs w:val="18"/>
        </w:rPr>
      </w:pPr>
      <w:r w:rsidRPr="00A24917">
        <w:rPr>
          <w:szCs w:val="18"/>
        </w:rPr>
        <w:t xml:space="preserve">Para el INABIE es primordial realizar su misión, en franca armonía con los miembros de las comunidades, proveedores, los centros y las familias beneficiarias de los programas, al igual que se persigue un espíritu de cooperación con otras instancias, ministerios y organizaciones no solamente del ámbito educativo nacional, </w:t>
      </w:r>
      <w:r w:rsidR="00AB051A" w:rsidRPr="00A24917">
        <w:rPr>
          <w:szCs w:val="18"/>
        </w:rPr>
        <w:t>sino de la sociedad en general.</w:t>
      </w:r>
    </w:p>
    <w:p w:rsidR="00F96050" w:rsidRDefault="00F96050" w:rsidP="00542475"/>
    <w:p w:rsidR="006A41DD" w:rsidRPr="006C29F1" w:rsidRDefault="00DA5216" w:rsidP="008B3C13">
      <w:pPr>
        <w:pStyle w:val="Heading2"/>
        <w:numPr>
          <w:ilvl w:val="1"/>
          <w:numId w:val="18"/>
        </w:numPr>
      </w:pPr>
      <w:bookmarkStart w:id="13" w:name="_Toc27487862"/>
      <w:bookmarkStart w:id="14" w:name="_Toc27487897"/>
      <w:bookmarkStart w:id="15" w:name="_Toc56088024"/>
      <w:bookmarkStart w:id="16" w:name="_Toc56164616"/>
      <w:bookmarkStart w:id="17" w:name="_Toc56165183"/>
      <w:bookmarkStart w:id="18" w:name="_Toc56165557"/>
      <w:bookmarkStart w:id="19" w:name="_Toc56169718"/>
      <w:bookmarkStart w:id="20" w:name="_Toc56169777"/>
      <w:bookmarkStart w:id="21" w:name="_Toc56406894"/>
      <w:bookmarkStart w:id="22" w:name="_Toc56409671"/>
      <w:bookmarkStart w:id="23" w:name="_Toc56410195"/>
      <w:bookmarkStart w:id="24" w:name="_Toc56413790"/>
      <w:bookmarkStart w:id="25" w:name="_Toc56413839"/>
      <w:bookmarkStart w:id="26" w:name="_Toc56421054"/>
      <w:bookmarkStart w:id="27" w:name="_Toc56421772"/>
      <w:bookmarkStart w:id="28" w:name="_Toc56508166"/>
      <w:bookmarkStart w:id="29" w:name="_Toc56517130"/>
      <w:bookmarkStart w:id="30" w:name="_Toc57126943"/>
      <w:bookmarkStart w:id="31" w:name="_Toc57126973"/>
      <w:bookmarkStart w:id="32" w:name="_Toc57274868"/>
      <w:bookmarkStart w:id="33" w:name="_Toc57642697"/>
      <w:bookmarkStart w:id="34" w:name="_Toc57643618"/>
      <w:bookmarkStart w:id="35" w:name="_Toc57643820"/>
      <w:bookmarkStart w:id="36" w:name="_Toc57643923"/>
      <w:bookmarkStart w:id="37" w:name="_Toc57644561"/>
      <w:bookmarkStart w:id="38" w:name="_Toc57644624"/>
      <w:bookmarkStart w:id="39" w:name="_Toc57644743"/>
      <w:bookmarkStart w:id="40" w:name="_Toc57644785"/>
      <w:bookmarkStart w:id="41" w:name="_Toc58594727"/>
      <w:bookmarkStart w:id="42" w:name="_Toc58595057"/>
      <w:bookmarkStart w:id="43" w:name="_Toc58596153"/>
      <w:bookmarkStart w:id="44" w:name="_Toc58596177"/>
      <w:bookmarkStart w:id="45" w:name="_Toc5859755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t xml:space="preserve">PROGRAMA DE </w:t>
      </w:r>
      <w:r w:rsidR="006A41DD" w:rsidRPr="006C29F1">
        <w:t>ALIMENTACIÓN ESCOLAR (PAE)</w:t>
      </w:r>
      <w:bookmarkEnd w:id="45"/>
      <w:r w:rsidR="006A41DD" w:rsidRPr="006C29F1">
        <w:t xml:space="preserve"> </w:t>
      </w:r>
    </w:p>
    <w:p w:rsidR="000A1D75" w:rsidRPr="00CE45DB" w:rsidRDefault="000A1D75" w:rsidP="00284B8D">
      <w:pPr>
        <w:pStyle w:val="Heading4"/>
      </w:pPr>
      <w:r w:rsidRPr="00CE45DB">
        <w:t>Alcance y Cobertura</w:t>
      </w:r>
    </w:p>
    <w:p w:rsidR="003E0614" w:rsidRPr="00A24917" w:rsidRDefault="00A82C82" w:rsidP="00A24917">
      <w:pPr>
        <w:autoSpaceDE w:val="0"/>
        <w:autoSpaceDN w:val="0"/>
        <w:adjustRightInd w:val="0"/>
        <w:spacing w:line="360" w:lineRule="auto"/>
        <w:jc w:val="both"/>
        <w:rPr>
          <w:szCs w:val="18"/>
        </w:rPr>
      </w:pPr>
      <w:r w:rsidRPr="00A24917">
        <w:rPr>
          <w:szCs w:val="18"/>
          <w:lang w:val="es-ES"/>
        </w:rPr>
        <w:t xml:space="preserve">El Programa de Alimentación Escolar responde a los lineamientos establecidos en la Estrategia Nacional de Desarrollo en su acápite 2.3.4.13 a través del cual se establece el mandato de  </w:t>
      </w:r>
      <w:r w:rsidRPr="00A24917">
        <w:rPr>
          <w:i/>
          <w:szCs w:val="18"/>
          <w:lang w:val="es-ES"/>
        </w:rPr>
        <w:t>“Garantizar un programa de alimentación escolar de calidad para la población estudiantil en condiciones de riesgo alimentario”,</w:t>
      </w:r>
      <w:r w:rsidRPr="00A24917">
        <w:rPr>
          <w:szCs w:val="18"/>
          <w:lang w:val="es-ES"/>
        </w:rPr>
        <w:t xml:space="preserve"> así como también en  la política No. 7 del Plan Decenal 2008-2018 la cual plantea la aspiración de lograr que los y las estudiantes de los sectores sociales vulnerables cuenten con apoyos para que puedan acceder, y progresar en la educación de manera exitosa.</w:t>
      </w:r>
      <w:r w:rsidR="00D95E5D" w:rsidRPr="00A24917">
        <w:rPr>
          <w:szCs w:val="18"/>
        </w:rPr>
        <w:t xml:space="preserve"> </w:t>
      </w:r>
    </w:p>
    <w:p w:rsidR="006323D1" w:rsidRPr="00A24917" w:rsidRDefault="006323D1" w:rsidP="00A24917">
      <w:pPr>
        <w:spacing w:after="240" w:line="360" w:lineRule="auto"/>
        <w:jc w:val="both"/>
        <w:rPr>
          <w:b/>
          <w:szCs w:val="18"/>
        </w:rPr>
      </w:pPr>
      <w:r w:rsidRPr="00A24917">
        <w:rPr>
          <w:szCs w:val="18"/>
        </w:rPr>
        <w:t>En la actualidad, el PAE se implementa en todo el territorio nacional en cuatro modalidades de servicio según zona geográfica y composición de los menús, son estas las siguientes:</w:t>
      </w:r>
    </w:p>
    <w:p w:rsidR="006323D1" w:rsidRPr="00BE1578" w:rsidRDefault="006323D1" w:rsidP="00BE1578">
      <w:pPr>
        <w:pStyle w:val="NoSpacing"/>
        <w:numPr>
          <w:ilvl w:val="0"/>
          <w:numId w:val="15"/>
        </w:numPr>
        <w:spacing w:line="360" w:lineRule="auto"/>
        <w:ind w:left="284" w:hanging="284"/>
        <w:jc w:val="both"/>
        <w:rPr>
          <w:rFonts w:ascii="Artifex CF Extra Light" w:hAnsi="Artifex CF Extra Light"/>
          <w:b/>
          <w:bCs/>
          <w:i/>
          <w:color w:val="1F4E79"/>
          <w:sz w:val="18"/>
          <w:szCs w:val="18"/>
          <w:lang w:val="es-DO"/>
        </w:rPr>
      </w:pPr>
      <w:r w:rsidRPr="00BE1578">
        <w:rPr>
          <w:rFonts w:ascii="Artifex CF Extra Light" w:hAnsi="Artifex CF Extra Light"/>
          <w:b/>
          <w:bCs/>
          <w:i/>
          <w:color w:val="1F4E79"/>
          <w:sz w:val="18"/>
          <w:szCs w:val="18"/>
          <w:lang w:val="es-DO"/>
        </w:rPr>
        <w:t xml:space="preserve">PAE Urbano: </w:t>
      </w:r>
      <w:r w:rsidRPr="00BE1578">
        <w:rPr>
          <w:rFonts w:ascii="Artifex CF Extra Light" w:hAnsi="Artifex CF Extra Light"/>
          <w:color w:val="1F4E79"/>
          <w:sz w:val="18"/>
          <w:szCs w:val="18"/>
          <w:lang w:val="es-DO"/>
        </w:rPr>
        <w:t xml:space="preserve">brinda una ración alimenticia sólida y una líquida en la tanda matutina y vespertina de los Centros Educativos beneficiarios, ubicados en las zonas urbanas, el valor nutricional que aporta es entre 20-25%. </w:t>
      </w:r>
    </w:p>
    <w:p w:rsidR="006323D1" w:rsidRPr="00BE1578" w:rsidRDefault="006323D1" w:rsidP="00BE1578">
      <w:pPr>
        <w:pStyle w:val="NoSpacing"/>
        <w:numPr>
          <w:ilvl w:val="0"/>
          <w:numId w:val="15"/>
        </w:numPr>
        <w:spacing w:line="360" w:lineRule="auto"/>
        <w:ind w:left="284" w:hanging="284"/>
        <w:jc w:val="both"/>
        <w:rPr>
          <w:rFonts w:ascii="Artifex CF Extra Light" w:hAnsi="Artifex CF Extra Light"/>
          <w:b/>
          <w:bCs/>
          <w:i/>
          <w:color w:val="1F4E79"/>
          <w:sz w:val="18"/>
          <w:szCs w:val="18"/>
          <w:lang w:val="es-DO"/>
        </w:rPr>
      </w:pPr>
      <w:r w:rsidRPr="00BE1578">
        <w:rPr>
          <w:rFonts w:ascii="Artifex CF Extra Light" w:hAnsi="Artifex CF Extra Light"/>
          <w:b/>
          <w:bCs/>
          <w:i/>
          <w:color w:val="1F4E79"/>
          <w:sz w:val="18"/>
          <w:szCs w:val="18"/>
          <w:lang w:val="es-DO"/>
        </w:rPr>
        <w:t xml:space="preserve">PAE Fronterizo: </w:t>
      </w:r>
      <w:r w:rsidRPr="00BE1578">
        <w:rPr>
          <w:rFonts w:ascii="Artifex CF Extra Light" w:hAnsi="Artifex CF Extra Light"/>
          <w:color w:val="1F4E79"/>
          <w:sz w:val="18"/>
          <w:szCs w:val="18"/>
          <w:lang w:val="es-DO"/>
        </w:rPr>
        <w:t xml:space="preserve">se ejecuta en provincias de la zona fronteriza o colindante, ya sea en zona periurbana, rural y de difícil acceso; el valor nutricional que aporta es entre 25-30%. </w:t>
      </w:r>
    </w:p>
    <w:p w:rsidR="006323D1" w:rsidRPr="00BE1578" w:rsidRDefault="006323D1" w:rsidP="00BE1578">
      <w:pPr>
        <w:pStyle w:val="NoSpacing"/>
        <w:numPr>
          <w:ilvl w:val="0"/>
          <w:numId w:val="15"/>
        </w:numPr>
        <w:spacing w:line="360" w:lineRule="auto"/>
        <w:ind w:left="284" w:hanging="284"/>
        <w:jc w:val="both"/>
        <w:rPr>
          <w:rFonts w:ascii="Artifex CF Extra Light" w:hAnsi="Artifex CF Extra Light"/>
          <w:b/>
          <w:bCs/>
          <w:i/>
          <w:color w:val="1F4E79"/>
          <w:sz w:val="18"/>
          <w:szCs w:val="18"/>
          <w:lang w:val="es-DO"/>
        </w:rPr>
      </w:pPr>
      <w:r w:rsidRPr="00BE1578">
        <w:rPr>
          <w:rFonts w:ascii="Artifex CF Extra Light" w:hAnsi="Artifex CF Extra Light"/>
          <w:b/>
          <w:bCs/>
          <w:i/>
          <w:color w:val="1F4E79"/>
          <w:sz w:val="18"/>
          <w:szCs w:val="18"/>
          <w:lang w:val="es-DO"/>
        </w:rPr>
        <w:t xml:space="preserve">PAE Rural: </w:t>
      </w:r>
      <w:r w:rsidRPr="00BE1578">
        <w:rPr>
          <w:rFonts w:ascii="Artifex CF Extra Light" w:hAnsi="Artifex CF Extra Light"/>
          <w:color w:val="1F4E79"/>
          <w:sz w:val="18"/>
          <w:szCs w:val="18"/>
          <w:lang w:val="es-DO"/>
        </w:rPr>
        <w:t>se ejecuta en zonas rurales de difícil acceso y bajos recursos, tiene como requisito la participación de la familia en la preparación de los alimentos y suministro de raciones alimenticias crudas elaboradas localmente; el valor nutricional que aporta es entre 25-30%</w:t>
      </w:r>
    </w:p>
    <w:p w:rsidR="006323D1" w:rsidRPr="00BE1578" w:rsidRDefault="006323D1" w:rsidP="00BE1578">
      <w:pPr>
        <w:pStyle w:val="NoSpacing"/>
        <w:numPr>
          <w:ilvl w:val="0"/>
          <w:numId w:val="15"/>
        </w:numPr>
        <w:spacing w:line="360" w:lineRule="auto"/>
        <w:ind w:left="284" w:hanging="284"/>
        <w:jc w:val="both"/>
        <w:rPr>
          <w:rFonts w:ascii="Artifex CF Extra Light" w:hAnsi="Artifex CF Extra Light"/>
          <w:b/>
          <w:color w:val="1F4E79"/>
          <w:sz w:val="18"/>
          <w:szCs w:val="18"/>
          <w:lang w:val="es-DO"/>
        </w:rPr>
      </w:pPr>
      <w:r w:rsidRPr="00BE1578">
        <w:rPr>
          <w:rFonts w:ascii="Artifex CF Extra Light" w:hAnsi="Artifex CF Extra Light"/>
          <w:b/>
          <w:bCs/>
          <w:i/>
          <w:color w:val="1F4E79"/>
          <w:sz w:val="18"/>
          <w:szCs w:val="18"/>
          <w:lang w:val="es-DO"/>
        </w:rPr>
        <w:t xml:space="preserve">Jornada Escolar Extendida (PAE-JEE): </w:t>
      </w:r>
      <w:r w:rsidRPr="00BE1578">
        <w:rPr>
          <w:rFonts w:ascii="Artifex CF Extra Light" w:hAnsi="Artifex CF Extra Light"/>
          <w:color w:val="1F4E79"/>
          <w:sz w:val="18"/>
          <w:szCs w:val="18"/>
          <w:lang w:val="es-DO"/>
        </w:rPr>
        <w:t xml:space="preserve">suministra almuerzo balanceado compuesto de una variedad de menús diferenciados por regiones y grupos etarios y una merienda de jugo o fruta. El valor nutricional que aporta es un 40%. Los Centros Educativos bajo esta modalidad, debemos agregarle el 5% que aporta la merienda en horario vespertino. </w:t>
      </w:r>
    </w:p>
    <w:p w:rsidR="006323D1" w:rsidRPr="00BE1578" w:rsidRDefault="006323D1" w:rsidP="00A24917">
      <w:pPr>
        <w:autoSpaceDE w:val="0"/>
        <w:autoSpaceDN w:val="0"/>
        <w:adjustRightInd w:val="0"/>
        <w:spacing w:line="360" w:lineRule="auto"/>
        <w:jc w:val="both"/>
        <w:rPr>
          <w:b/>
          <w:szCs w:val="18"/>
        </w:rPr>
      </w:pPr>
    </w:p>
    <w:p w:rsidR="00952488" w:rsidRPr="00BE1578" w:rsidRDefault="00931231" w:rsidP="00A24917">
      <w:pPr>
        <w:autoSpaceDE w:val="0"/>
        <w:autoSpaceDN w:val="0"/>
        <w:adjustRightInd w:val="0"/>
        <w:spacing w:line="360" w:lineRule="auto"/>
        <w:jc w:val="both"/>
        <w:rPr>
          <w:b/>
          <w:szCs w:val="18"/>
        </w:rPr>
      </w:pPr>
      <w:r w:rsidRPr="00BE1578">
        <w:rPr>
          <w:b/>
          <w:szCs w:val="18"/>
        </w:rPr>
        <w:t xml:space="preserve">En 2020 el Programa de Alimentación Escolar (PAE) benefició a un total de </w:t>
      </w:r>
      <w:r w:rsidR="00907F3C" w:rsidRPr="00BE1578">
        <w:rPr>
          <w:b/>
          <w:szCs w:val="18"/>
        </w:rPr>
        <w:t>a</w:t>
      </w:r>
      <w:r w:rsidR="00907F3C" w:rsidRPr="00BE1578">
        <w:rPr>
          <w:rFonts w:ascii="Calibri" w:hAnsi="Calibri" w:cs="Calibri"/>
          <w:b/>
          <w:szCs w:val="18"/>
        </w:rPr>
        <w:t> </w:t>
      </w:r>
      <w:r w:rsidR="00907F3C" w:rsidRPr="00BE1578">
        <w:rPr>
          <w:b/>
          <w:szCs w:val="18"/>
        </w:rPr>
        <w:t>1</w:t>
      </w:r>
      <w:proofErr w:type="gramStart"/>
      <w:r w:rsidR="00907F3C" w:rsidRPr="00BE1578">
        <w:rPr>
          <w:b/>
          <w:szCs w:val="18"/>
        </w:rPr>
        <w:t>,569,799</w:t>
      </w:r>
      <w:proofErr w:type="gramEnd"/>
      <w:r w:rsidRPr="00BE1578">
        <w:rPr>
          <w:b/>
          <w:szCs w:val="18"/>
        </w:rPr>
        <w:t xml:space="preserve"> escolares; distribuidos en 5,944 Centros Educativos públicos y semioficiales correspondientes a las 18 regionales y los 122 distritos escolares del País. Además de unos 174,422 docentes y empleados administrativos de los centros; Con lo cual los beneficiarios totales del PAE sumaron </w:t>
      </w:r>
      <w:r w:rsidR="00907F3C" w:rsidRPr="00BE1578">
        <w:rPr>
          <w:b/>
          <w:szCs w:val="18"/>
        </w:rPr>
        <w:t>1</w:t>
      </w:r>
      <w:proofErr w:type="gramStart"/>
      <w:r w:rsidR="00907F3C" w:rsidRPr="00BE1578">
        <w:rPr>
          <w:b/>
          <w:szCs w:val="18"/>
        </w:rPr>
        <w:t>,744,222</w:t>
      </w:r>
      <w:proofErr w:type="gramEnd"/>
      <w:r w:rsidR="00907F3C" w:rsidRPr="00BE1578">
        <w:rPr>
          <w:b/>
          <w:szCs w:val="18"/>
        </w:rPr>
        <w:t xml:space="preserve"> personas</w:t>
      </w:r>
      <w:r w:rsidRPr="00BE1578">
        <w:rPr>
          <w:b/>
          <w:szCs w:val="18"/>
        </w:rPr>
        <w:t xml:space="preserve"> entre estudiantes, profesores y empleados administrativos. </w:t>
      </w:r>
      <w:r w:rsidRPr="00BE1578">
        <w:rPr>
          <w:szCs w:val="18"/>
        </w:rPr>
        <w:t xml:space="preserve">Estos </w:t>
      </w:r>
      <w:r w:rsidR="00952488" w:rsidRPr="00BE1578">
        <w:rPr>
          <w:szCs w:val="18"/>
        </w:rPr>
        <w:t xml:space="preserve">estudiantes representan el 86.89% de la matricula estudiantil pública; el 65% </w:t>
      </w:r>
      <w:r w:rsidR="00952488" w:rsidRPr="00BE1578">
        <w:rPr>
          <w:szCs w:val="18"/>
        </w:rPr>
        <w:lastRenderedPageBreak/>
        <w:t xml:space="preserve">del total de estudiantes del Sistema Educativo Dominicano; así como el 60 % de la población total del país en los rangos de edad escolar, es decir, de los niños, niñas y jóvenes que se encuentran en los rangos de 5 a 18 años. </w:t>
      </w:r>
      <w:r w:rsidR="00952488" w:rsidRPr="00BE1578">
        <w:rPr>
          <w:rFonts w:eastAsia="Calibri"/>
          <w:szCs w:val="18"/>
          <w:lang w:val="es-ES" w:eastAsia="es-ES"/>
        </w:rPr>
        <w:t xml:space="preserve"> </w:t>
      </w:r>
    </w:p>
    <w:p w:rsidR="003E0614" w:rsidRPr="00A24917" w:rsidRDefault="00D95E5D" w:rsidP="00A24917">
      <w:pPr>
        <w:autoSpaceDE w:val="0"/>
        <w:autoSpaceDN w:val="0"/>
        <w:adjustRightInd w:val="0"/>
        <w:spacing w:line="360" w:lineRule="auto"/>
        <w:jc w:val="both"/>
        <w:rPr>
          <w:b/>
          <w:szCs w:val="18"/>
        </w:rPr>
      </w:pPr>
      <w:r w:rsidRPr="00A24917">
        <w:rPr>
          <w:b/>
          <w:szCs w:val="18"/>
        </w:rPr>
        <w:t xml:space="preserve">En 2020 </w:t>
      </w:r>
      <w:r w:rsidR="003E0614" w:rsidRPr="00A24917">
        <w:rPr>
          <w:b/>
          <w:szCs w:val="18"/>
        </w:rPr>
        <w:t xml:space="preserve">la Pandemia COVID-19 tuvo un </w:t>
      </w:r>
      <w:r w:rsidR="000A1D75" w:rsidRPr="00A24917">
        <w:rPr>
          <w:b/>
          <w:szCs w:val="18"/>
        </w:rPr>
        <w:t xml:space="preserve">fuerte </w:t>
      </w:r>
      <w:r w:rsidR="003E0614" w:rsidRPr="00A24917">
        <w:rPr>
          <w:b/>
          <w:szCs w:val="18"/>
        </w:rPr>
        <w:t>impacto en el desarrollo ordinario d</w:t>
      </w:r>
      <w:r w:rsidRPr="00A24917">
        <w:rPr>
          <w:b/>
          <w:szCs w:val="18"/>
        </w:rPr>
        <w:t>e</w:t>
      </w:r>
      <w:r w:rsidR="000A1D75" w:rsidRPr="00A24917">
        <w:rPr>
          <w:b/>
          <w:szCs w:val="18"/>
        </w:rPr>
        <w:t xml:space="preserve"> </w:t>
      </w:r>
      <w:r w:rsidRPr="00A24917">
        <w:rPr>
          <w:b/>
          <w:szCs w:val="18"/>
        </w:rPr>
        <w:t>l</w:t>
      </w:r>
      <w:r w:rsidR="000A1D75" w:rsidRPr="00A24917">
        <w:rPr>
          <w:b/>
          <w:szCs w:val="18"/>
        </w:rPr>
        <w:t>os programas del INABIE, donde el</w:t>
      </w:r>
      <w:r w:rsidRPr="00A24917">
        <w:rPr>
          <w:b/>
          <w:szCs w:val="18"/>
        </w:rPr>
        <w:t xml:space="preserve"> </w:t>
      </w:r>
      <w:r w:rsidR="003E0614" w:rsidRPr="00A24917">
        <w:rPr>
          <w:b/>
          <w:szCs w:val="18"/>
        </w:rPr>
        <w:t xml:space="preserve">PAE, a pesar de ajustarse a </w:t>
      </w:r>
      <w:r w:rsidR="000A1D75" w:rsidRPr="00A24917">
        <w:rPr>
          <w:b/>
          <w:szCs w:val="18"/>
        </w:rPr>
        <w:t xml:space="preserve">los nuevos requerimientos en términos </w:t>
      </w:r>
      <w:r w:rsidR="003E0614" w:rsidRPr="00A24917">
        <w:rPr>
          <w:b/>
          <w:szCs w:val="18"/>
        </w:rPr>
        <w:t xml:space="preserve">de seguridad sanitaria </w:t>
      </w:r>
      <w:r w:rsidR="000A1D75" w:rsidRPr="00A24917">
        <w:rPr>
          <w:b/>
          <w:szCs w:val="18"/>
        </w:rPr>
        <w:t xml:space="preserve">con </w:t>
      </w:r>
      <w:r w:rsidR="003E0614" w:rsidRPr="00A24917">
        <w:rPr>
          <w:b/>
          <w:szCs w:val="18"/>
        </w:rPr>
        <w:t xml:space="preserve">la sustitución de raciones alimenticias cocidas diarias </w:t>
      </w:r>
      <w:r w:rsidR="000A1D75" w:rsidRPr="00A24917">
        <w:rPr>
          <w:b/>
          <w:szCs w:val="18"/>
        </w:rPr>
        <w:t>por</w:t>
      </w:r>
      <w:r w:rsidR="003E0614" w:rsidRPr="00A24917">
        <w:rPr>
          <w:b/>
          <w:szCs w:val="18"/>
        </w:rPr>
        <w:t xml:space="preserve"> </w:t>
      </w:r>
      <w:r w:rsidR="003E0614" w:rsidRPr="00A24917">
        <w:rPr>
          <w:b/>
          <w:i/>
          <w:szCs w:val="18"/>
        </w:rPr>
        <w:t>Canastas de Alimentación Escolar semanales</w:t>
      </w:r>
      <w:r w:rsidR="003E0614" w:rsidRPr="00A24917">
        <w:rPr>
          <w:b/>
          <w:szCs w:val="18"/>
        </w:rPr>
        <w:t xml:space="preserve">, sólo logró una </w:t>
      </w:r>
      <w:r w:rsidRPr="00A24917">
        <w:rPr>
          <w:b/>
          <w:szCs w:val="18"/>
        </w:rPr>
        <w:t xml:space="preserve">ejecución de </w:t>
      </w:r>
      <w:r w:rsidR="00172495" w:rsidRPr="00A24917">
        <w:rPr>
          <w:b/>
          <w:szCs w:val="18"/>
        </w:rPr>
        <w:t>55</w:t>
      </w:r>
      <w:r w:rsidRPr="00A24917">
        <w:rPr>
          <w:b/>
          <w:szCs w:val="18"/>
        </w:rPr>
        <w:t>% sobre lo programado</w:t>
      </w:r>
      <w:r w:rsidR="000A1D75" w:rsidRPr="00A24917">
        <w:rPr>
          <w:b/>
          <w:szCs w:val="18"/>
        </w:rPr>
        <w:t xml:space="preserve"> en el período entre marzo y junio 2020</w:t>
      </w:r>
      <w:r w:rsidR="000A1D75" w:rsidRPr="00A24917">
        <w:rPr>
          <w:rStyle w:val="FootnoteReference"/>
          <w:b/>
          <w:szCs w:val="18"/>
        </w:rPr>
        <w:footnoteReference w:id="4"/>
      </w:r>
      <w:r w:rsidR="003E0614" w:rsidRPr="00A24917">
        <w:rPr>
          <w:b/>
          <w:szCs w:val="18"/>
        </w:rPr>
        <w:t xml:space="preserve">. </w:t>
      </w:r>
    </w:p>
    <w:p w:rsidR="00A82C82" w:rsidRPr="00A24917" w:rsidRDefault="003E0614" w:rsidP="00A24917">
      <w:pPr>
        <w:autoSpaceDE w:val="0"/>
        <w:autoSpaceDN w:val="0"/>
        <w:adjustRightInd w:val="0"/>
        <w:spacing w:line="360" w:lineRule="auto"/>
        <w:jc w:val="both"/>
        <w:rPr>
          <w:b/>
          <w:szCs w:val="18"/>
        </w:rPr>
      </w:pPr>
      <w:r w:rsidRPr="00A24917">
        <w:rPr>
          <w:b/>
          <w:szCs w:val="18"/>
        </w:rPr>
        <w:t xml:space="preserve">Este resultado se debió </w:t>
      </w:r>
      <w:r w:rsidR="00D95E5D" w:rsidRPr="00A24917">
        <w:rPr>
          <w:b/>
          <w:szCs w:val="18"/>
        </w:rPr>
        <w:t xml:space="preserve">a </w:t>
      </w:r>
      <w:r w:rsidRPr="00A24917">
        <w:rPr>
          <w:b/>
          <w:szCs w:val="18"/>
        </w:rPr>
        <w:t xml:space="preserve">medidas </w:t>
      </w:r>
      <w:r w:rsidR="000A1D75" w:rsidRPr="00A24917">
        <w:rPr>
          <w:b/>
          <w:szCs w:val="18"/>
        </w:rPr>
        <w:t>establecidas por el Gobierno Central que limitaron alcance y cobertura del programa como son: D</w:t>
      </w:r>
      <w:r w:rsidRPr="00A24917">
        <w:rPr>
          <w:b/>
          <w:szCs w:val="18"/>
        </w:rPr>
        <w:t xml:space="preserve">istanciamiento social, </w:t>
      </w:r>
      <w:r w:rsidR="00D95E5D" w:rsidRPr="00A24917">
        <w:rPr>
          <w:b/>
          <w:szCs w:val="18"/>
        </w:rPr>
        <w:t xml:space="preserve">suspensión de </w:t>
      </w:r>
      <w:r w:rsidRPr="00A24917">
        <w:rPr>
          <w:b/>
          <w:szCs w:val="18"/>
        </w:rPr>
        <w:t xml:space="preserve">la docencia, </w:t>
      </w:r>
      <w:r w:rsidR="00D95E5D" w:rsidRPr="00A24917">
        <w:rPr>
          <w:b/>
          <w:szCs w:val="18"/>
        </w:rPr>
        <w:t xml:space="preserve">cuarentena </w:t>
      </w:r>
      <w:r w:rsidRPr="00A24917">
        <w:rPr>
          <w:b/>
          <w:szCs w:val="18"/>
        </w:rPr>
        <w:t xml:space="preserve">obligatoria </w:t>
      </w:r>
      <w:r w:rsidR="00D95E5D" w:rsidRPr="00A24917">
        <w:rPr>
          <w:b/>
          <w:szCs w:val="18"/>
        </w:rPr>
        <w:t xml:space="preserve">ante el COVID-19 </w:t>
      </w:r>
      <w:r w:rsidR="000A1D75" w:rsidRPr="00A24917">
        <w:rPr>
          <w:b/>
          <w:szCs w:val="18"/>
        </w:rPr>
        <w:t xml:space="preserve">y restricción de la libre circulación </w:t>
      </w:r>
      <w:r w:rsidR="00D95E5D" w:rsidRPr="00A24917">
        <w:rPr>
          <w:b/>
          <w:szCs w:val="18"/>
        </w:rPr>
        <w:t xml:space="preserve">a partir de la última semana de marzo. </w:t>
      </w:r>
    </w:p>
    <w:p w:rsidR="003E0614" w:rsidRPr="00BE1578" w:rsidRDefault="00BE4F50" w:rsidP="00BE1578">
      <w:pPr>
        <w:pStyle w:val="Heading4"/>
      </w:pPr>
      <w:r w:rsidRPr="00BE1578">
        <w:t>Raciones alime</w:t>
      </w:r>
      <w:r w:rsidR="00931231" w:rsidRPr="00BE1578">
        <w:t xml:space="preserve">nticias: </w:t>
      </w:r>
      <w:r w:rsidR="003E0614" w:rsidRPr="00BE1578">
        <w:t>Trimestre Enero – Marzo 2020</w:t>
      </w:r>
    </w:p>
    <w:p w:rsidR="00402293" w:rsidRPr="00BE1578" w:rsidRDefault="00402293" w:rsidP="00A24917">
      <w:pPr>
        <w:spacing w:line="360" w:lineRule="auto"/>
        <w:jc w:val="both"/>
        <w:rPr>
          <w:szCs w:val="18"/>
        </w:rPr>
      </w:pPr>
      <w:r w:rsidRPr="00BE1578">
        <w:rPr>
          <w:b/>
          <w:szCs w:val="18"/>
        </w:rPr>
        <w:t>El Departamento de Gestión Alimentaria</w:t>
      </w:r>
      <w:r w:rsidRPr="00BE1578">
        <w:rPr>
          <w:szCs w:val="18"/>
        </w:rPr>
        <w:t xml:space="preserve"> del INABIE tiene la responsabilidad de garantizar la entrega de las raciones alimenticias en las distintas modalidades a nivel nacional, de manera oportuna, en calidad y cantidad adecuadas e implementar el Sistema de Gestión de Suplidores para aumentar la satisfacción de los beneficiarios y mejorar los procesos del PAE. Cuenta con la </w:t>
      </w:r>
      <w:r w:rsidRPr="00BE1578">
        <w:rPr>
          <w:b/>
          <w:i/>
          <w:szCs w:val="18"/>
        </w:rPr>
        <w:t>División de Operaciones</w:t>
      </w:r>
      <w:r w:rsidRPr="00BE1578">
        <w:rPr>
          <w:szCs w:val="18"/>
        </w:rPr>
        <w:t xml:space="preserve">, responsable de administrar el PAE en las diferentes modalidades, garantizando la entrega oportuna de los alimentos y la </w:t>
      </w:r>
      <w:r w:rsidRPr="00BE1578">
        <w:rPr>
          <w:b/>
          <w:i/>
          <w:szCs w:val="18"/>
        </w:rPr>
        <w:t>División de Seguimiento al Servicio de Alimentación,</w:t>
      </w:r>
      <w:r w:rsidRPr="00BE1578">
        <w:rPr>
          <w:szCs w:val="18"/>
        </w:rPr>
        <w:t xml:space="preserve"> la cual monitorea la entrega de alimentos servidos en el PAE en las diferentes modalidades, midiendo resultados y recomendado mejoras. </w:t>
      </w:r>
    </w:p>
    <w:p w:rsidR="003E0614" w:rsidRPr="00BE1578" w:rsidRDefault="00931231" w:rsidP="00A24917">
      <w:pPr>
        <w:spacing w:line="360" w:lineRule="auto"/>
        <w:jc w:val="both"/>
        <w:rPr>
          <w:bCs/>
          <w:szCs w:val="18"/>
        </w:rPr>
      </w:pPr>
      <w:r w:rsidRPr="00BE1578">
        <w:rPr>
          <w:bCs/>
          <w:szCs w:val="18"/>
        </w:rPr>
        <w:t xml:space="preserve">Desde enero hasta </w:t>
      </w:r>
      <w:r w:rsidR="003E0614" w:rsidRPr="00BE1578">
        <w:rPr>
          <w:bCs/>
          <w:szCs w:val="18"/>
        </w:rPr>
        <w:t xml:space="preserve">marzo </w:t>
      </w:r>
      <w:r w:rsidRPr="00BE1578">
        <w:rPr>
          <w:bCs/>
          <w:szCs w:val="18"/>
        </w:rPr>
        <w:t xml:space="preserve">de 2020 </w:t>
      </w:r>
      <w:r w:rsidR="003E0614" w:rsidRPr="00BE1578">
        <w:rPr>
          <w:bCs/>
          <w:szCs w:val="18"/>
        </w:rPr>
        <w:t xml:space="preserve">el </w:t>
      </w:r>
      <w:r w:rsidR="00A53A65" w:rsidRPr="00BE1578">
        <w:rPr>
          <w:bCs/>
          <w:szCs w:val="18"/>
        </w:rPr>
        <w:t>PAE</w:t>
      </w:r>
      <w:r w:rsidR="003E0614" w:rsidRPr="00BE1578">
        <w:rPr>
          <w:bCs/>
          <w:szCs w:val="18"/>
        </w:rPr>
        <w:t xml:space="preserve"> </w:t>
      </w:r>
      <w:r w:rsidR="00BE4F50" w:rsidRPr="00BE1578">
        <w:rPr>
          <w:bCs/>
          <w:szCs w:val="18"/>
        </w:rPr>
        <w:t>habí</w:t>
      </w:r>
      <w:r w:rsidR="003E0614" w:rsidRPr="00BE1578">
        <w:rPr>
          <w:bCs/>
          <w:szCs w:val="18"/>
        </w:rPr>
        <w:t>a distribuido 206</w:t>
      </w:r>
      <w:proofErr w:type="gramStart"/>
      <w:r w:rsidR="003E0614" w:rsidRPr="00BE1578">
        <w:rPr>
          <w:bCs/>
          <w:szCs w:val="18"/>
        </w:rPr>
        <w:t>,954,094</w:t>
      </w:r>
      <w:proofErr w:type="gramEnd"/>
      <w:r w:rsidR="003E0614" w:rsidRPr="00BE1578">
        <w:rPr>
          <w:bCs/>
          <w:szCs w:val="18"/>
        </w:rPr>
        <w:t xml:space="preserve"> raciones alimenticias para una ejecución de 23%, en relación a las raciones alimenticias programadas a distribuir el año 2020</w:t>
      </w:r>
      <w:r w:rsidR="00A53A65" w:rsidRPr="00BE1578">
        <w:rPr>
          <w:bCs/>
          <w:szCs w:val="18"/>
        </w:rPr>
        <w:t xml:space="preserve"> y de 93% en relación a la programación para el trimestre. </w:t>
      </w:r>
    </w:p>
    <w:p w:rsidR="003E0614" w:rsidRPr="00BE1578" w:rsidRDefault="00C760E5" w:rsidP="003E0614">
      <w:pPr>
        <w:pStyle w:val="Caption"/>
        <w:keepNext/>
        <w:spacing w:after="0"/>
        <w:jc w:val="center"/>
        <w:rPr>
          <w:rFonts w:ascii="Artifex CF" w:hAnsi="Artifex CF" w:cs="Arial"/>
          <w:b/>
          <w:i w:val="0"/>
          <w:color w:val="1F4E79"/>
          <w:sz w:val="20"/>
          <w:szCs w:val="20"/>
        </w:rPr>
      </w:pPr>
      <w:r w:rsidRPr="00BE1578">
        <w:rPr>
          <w:rFonts w:ascii="Artifex CF" w:hAnsi="Artifex CF" w:cs="Arial"/>
          <w:b/>
          <w:i w:val="0"/>
          <w:color w:val="1F4E79"/>
          <w:sz w:val="20"/>
          <w:szCs w:val="20"/>
        </w:rPr>
        <w:t>Tabla No. 1</w:t>
      </w:r>
    </w:p>
    <w:p w:rsidR="003E0614" w:rsidRPr="00BE1578" w:rsidRDefault="003E0614" w:rsidP="00BE1578">
      <w:pPr>
        <w:pStyle w:val="Caption"/>
        <w:keepNext/>
        <w:spacing w:after="0"/>
        <w:jc w:val="center"/>
        <w:rPr>
          <w:rFonts w:ascii="Artifex CF" w:hAnsi="Artifex CF" w:cs="Arial"/>
          <w:b/>
          <w:i w:val="0"/>
          <w:color w:val="1F4E79"/>
          <w:sz w:val="20"/>
          <w:szCs w:val="20"/>
        </w:rPr>
      </w:pPr>
      <w:r w:rsidRPr="00BE1578">
        <w:rPr>
          <w:rFonts w:ascii="Artifex CF" w:hAnsi="Artifex CF" w:cs="Arial"/>
          <w:b/>
          <w:i w:val="0"/>
          <w:color w:val="1F4E79"/>
          <w:sz w:val="20"/>
          <w:szCs w:val="20"/>
        </w:rPr>
        <w:t xml:space="preserve">Ejecución distribución </w:t>
      </w:r>
      <w:r w:rsidR="00BE1578">
        <w:rPr>
          <w:rFonts w:ascii="Artifex CF" w:hAnsi="Artifex CF" w:cs="Arial"/>
          <w:b/>
          <w:i w:val="0"/>
          <w:color w:val="1F4E79"/>
          <w:sz w:val="20"/>
          <w:szCs w:val="20"/>
        </w:rPr>
        <w:t>Raciones Alimenticias,</w:t>
      </w:r>
      <w:r w:rsidRPr="00BE1578">
        <w:rPr>
          <w:rFonts w:ascii="Artifex CF" w:hAnsi="Artifex CF" w:cs="Arial"/>
          <w:b/>
          <w:i w:val="0"/>
          <w:color w:val="1F4E79"/>
          <w:sz w:val="20"/>
          <w:szCs w:val="20"/>
        </w:rPr>
        <w:t xml:space="preserve"> </w:t>
      </w:r>
      <w:r w:rsidR="00BE1578">
        <w:rPr>
          <w:rFonts w:ascii="Artifex CF" w:hAnsi="Artifex CF" w:cs="Arial"/>
          <w:b/>
          <w:i w:val="0"/>
          <w:color w:val="1F4E79"/>
          <w:sz w:val="20"/>
          <w:szCs w:val="20"/>
        </w:rPr>
        <w:t>a</w:t>
      </w:r>
      <w:r w:rsidRPr="00BE1578">
        <w:rPr>
          <w:rFonts w:ascii="Artifex CF" w:hAnsi="Artifex CF" w:cs="Arial"/>
          <w:b/>
          <w:i w:val="0"/>
          <w:color w:val="1F4E79"/>
          <w:sz w:val="20"/>
          <w:szCs w:val="20"/>
        </w:rPr>
        <w:t>cumulado al mes de marzo de 2020</w:t>
      </w:r>
    </w:p>
    <w:p w:rsidR="00794412" w:rsidRPr="00BE1578" w:rsidRDefault="00794412" w:rsidP="00794412">
      <w:pPr>
        <w:rPr>
          <w:rFonts w:ascii="Artifex CF" w:hAnsi="Artifex CF"/>
          <w:lang w:val="es-ES" w:eastAsia="es-ES"/>
        </w:rPr>
      </w:pPr>
    </w:p>
    <w:tbl>
      <w:tblPr>
        <w:tblW w:w="5363" w:type="pct"/>
        <w:tblInd w:w="5" w:type="dxa"/>
        <w:tblLayout w:type="fixed"/>
        <w:tblCellMar>
          <w:left w:w="70" w:type="dxa"/>
          <w:right w:w="70" w:type="dxa"/>
        </w:tblCellMar>
        <w:tblLook w:val="04A0" w:firstRow="1" w:lastRow="0" w:firstColumn="1" w:lastColumn="0" w:noHBand="0" w:noVBand="1"/>
      </w:tblPr>
      <w:tblGrid>
        <w:gridCol w:w="1427"/>
        <w:gridCol w:w="1269"/>
        <w:gridCol w:w="865"/>
        <w:gridCol w:w="855"/>
        <w:gridCol w:w="161"/>
        <w:gridCol w:w="1301"/>
        <w:gridCol w:w="1113"/>
        <w:gridCol w:w="1504"/>
      </w:tblGrid>
      <w:tr w:rsidR="00A53A65" w:rsidRPr="00F03025" w:rsidTr="00BE1578">
        <w:trPr>
          <w:trHeight w:val="20"/>
        </w:trPr>
        <w:tc>
          <w:tcPr>
            <w:tcW w:w="840" w:type="pct"/>
            <w:tcBorders>
              <w:top w:val="nil"/>
              <w:left w:val="nil"/>
              <w:bottom w:val="single" w:sz="4" w:space="0" w:color="auto"/>
              <w:right w:val="single" w:sz="4" w:space="0" w:color="auto"/>
            </w:tcBorders>
            <w:shd w:val="clear" w:color="auto" w:fill="auto"/>
            <w:noWrap/>
            <w:vAlign w:val="bottom"/>
            <w:hideMark/>
          </w:tcPr>
          <w:p w:rsidR="00A53A65" w:rsidRPr="00F03025" w:rsidRDefault="00A53A65" w:rsidP="00A53A65">
            <w:pPr>
              <w:spacing w:after="0" w:line="240" w:lineRule="auto"/>
              <w:rPr>
                <w:rFonts w:ascii="Artifex CF Light" w:eastAsia="Times New Roman" w:hAnsi="Artifex CF Light" w:cs="Arial"/>
                <w:szCs w:val="18"/>
                <w:lang w:eastAsia="es-DO"/>
              </w:rPr>
            </w:pPr>
          </w:p>
        </w:tc>
        <w:tc>
          <w:tcPr>
            <w:tcW w:w="1759" w:type="pct"/>
            <w:gridSpan w:val="3"/>
            <w:tcBorders>
              <w:top w:val="single" w:sz="4" w:space="0" w:color="auto"/>
              <w:left w:val="single" w:sz="4" w:space="0" w:color="auto"/>
              <w:bottom w:val="nil"/>
              <w:right w:val="single" w:sz="4" w:space="0" w:color="auto"/>
            </w:tcBorders>
            <w:shd w:val="clear" w:color="000000" w:fill="305496"/>
            <w:vAlign w:val="center"/>
            <w:hideMark/>
          </w:tcPr>
          <w:p w:rsidR="00A53A65" w:rsidRPr="00F03025" w:rsidRDefault="00A53A65" w:rsidP="00A53A65">
            <w:pPr>
              <w:spacing w:after="0" w:line="240" w:lineRule="auto"/>
              <w:jc w:val="center"/>
              <w:rPr>
                <w:rFonts w:ascii="Artifex CF Light" w:eastAsia="Times New Roman" w:hAnsi="Artifex CF Light" w:cs="Arial"/>
                <w:b/>
                <w:bCs/>
                <w:color w:val="FFFFFF"/>
                <w:szCs w:val="18"/>
                <w:lang w:eastAsia="es-DO"/>
              </w:rPr>
            </w:pPr>
            <w:r w:rsidRPr="00F03025">
              <w:rPr>
                <w:rFonts w:ascii="Artifex CF Light" w:eastAsia="Times New Roman" w:hAnsi="Artifex CF Light" w:cs="Arial"/>
                <w:b/>
                <w:bCs/>
                <w:color w:val="FFFFFF"/>
                <w:szCs w:val="18"/>
                <w:lang w:eastAsia="es-DO"/>
              </w:rPr>
              <w:t>DESEMPEÑO ANUAL</w:t>
            </w:r>
          </w:p>
        </w:tc>
        <w:tc>
          <w:tcPr>
            <w:tcW w:w="95" w:type="pct"/>
            <w:tcBorders>
              <w:top w:val="nil"/>
              <w:left w:val="single" w:sz="4" w:space="0" w:color="auto"/>
              <w:bottom w:val="nil"/>
              <w:right w:val="single" w:sz="4" w:space="0" w:color="auto"/>
            </w:tcBorders>
            <w:shd w:val="clear" w:color="auto" w:fill="auto"/>
            <w:noWrap/>
            <w:vAlign w:val="bottom"/>
            <w:hideMark/>
          </w:tcPr>
          <w:p w:rsidR="00A53A65" w:rsidRPr="00F03025" w:rsidRDefault="00A53A65" w:rsidP="00A53A65">
            <w:pPr>
              <w:spacing w:after="0" w:line="240" w:lineRule="auto"/>
              <w:jc w:val="center"/>
              <w:rPr>
                <w:rFonts w:ascii="Artifex CF Light" w:eastAsia="Times New Roman" w:hAnsi="Artifex CF Light" w:cs="Arial"/>
                <w:b/>
                <w:bCs/>
                <w:color w:val="FFFFFF"/>
                <w:szCs w:val="18"/>
                <w:lang w:eastAsia="es-DO"/>
              </w:rPr>
            </w:pPr>
          </w:p>
        </w:tc>
        <w:tc>
          <w:tcPr>
            <w:tcW w:w="2306" w:type="pct"/>
            <w:gridSpan w:val="3"/>
            <w:tcBorders>
              <w:top w:val="single" w:sz="4" w:space="0" w:color="auto"/>
              <w:left w:val="single" w:sz="4" w:space="0" w:color="auto"/>
              <w:bottom w:val="nil"/>
              <w:right w:val="single" w:sz="4" w:space="0" w:color="auto"/>
            </w:tcBorders>
            <w:shd w:val="clear" w:color="000000" w:fill="305496"/>
            <w:vAlign w:val="center"/>
            <w:hideMark/>
          </w:tcPr>
          <w:p w:rsidR="00A53A65" w:rsidRPr="00F03025" w:rsidRDefault="00A53A65" w:rsidP="00A53A65">
            <w:pPr>
              <w:spacing w:after="0" w:line="240" w:lineRule="auto"/>
              <w:jc w:val="center"/>
              <w:rPr>
                <w:rFonts w:ascii="Artifex CF Light" w:eastAsia="Times New Roman" w:hAnsi="Artifex CF Light" w:cs="Arial"/>
                <w:b/>
                <w:bCs/>
                <w:color w:val="FFFFFF"/>
                <w:szCs w:val="18"/>
                <w:lang w:eastAsia="es-DO"/>
              </w:rPr>
            </w:pPr>
            <w:r w:rsidRPr="00F03025">
              <w:rPr>
                <w:rFonts w:ascii="Artifex CF Light" w:eastAsia="Times New Roman" w:hAnsi="Artifex CF Light" w:cs="Arial"/>
                <w:b/>
                <w:bCs/>
                <w:color w:val="FFFFFF"/>
                <w:szCs w:val="18"/>
                <w:lang w:eastAsia="es-DO"/>
              </w:rPr>
              <w:t>DESEMPEÑO TRIMESTRE 1</w:t>
            </w:r>
          </w:p>
        </w:tc>
      </w:tr>
      <w:tr w:rsidR="00BE1578" w:rsidRPr="00BE1578" w:rsidTr="00BE1578">
        <w:trPr>
          <w:trHeight w:val="20"/>
        </w:trPr>
        <w:tc>
          <w:tcPr>
            <w:tcW w:w="840" w:type="pct"/>
            <w:tcBorders>
              <w:top w:val="single" w:sz="4" w:space="0" w:color="auto"/>
              <w:left w:val="single" w:sz="4" w:space="0" w:color="auto"/>
              <w:bottom w:val="nil"/>
              <w:right w:val="single" w:sz="4" w:space="0" w:color="auto"/>
            </w:tcBorders>
            <w:shd w:val="clear" w:color="000000" w:fill="BDD6EE"/>
            <w:vAlign w:val="center"/>
            <w:hideMark/>
          </w:tcPr>
          <w:p w:rsidR="00A53A65" w:rsidRPr="00BE1578" w:rsidRDefault="00A53A65" w:rsidP="00A53A65">
            <w:pPr>
              <w:spacing w:after="0" w:line="240" w:lineRule="auto"/>
              <w:jc w:val="center"/>
              <w:rPr>
                <w:rFonts w:ascii="Artifex CF Light" w:eastAsia="Times New Roman" w:hAnsi="Artifex CF Light" w:cstheme="minorHAnsi"/>
                <w:b/>
                <w:bCs/>
                <w:szCs w:val="18"/>
                <w:lang w:eastAsia="es-DO"/>
              </w:rPr>
            </w:pPr>
            <w:r w:rsidRPr="00BE1578">
              <w:rPr>
                <w:rFonts w:ascii="Artifex CF Light" w:eastAsia="Times New Roman" w:hAnsi="Artifex CF Light" w:cstheme="minorHAnsi"/>
                <w:b/>
                <w:bCs/>
                <w:szCs w:val="18"/>
                <w:lang w:eastAsia="es-DO"/>
              </w:rPr>
              <w:t>Servicio</w:t>
            </w:r>
          </w:p>
        </w:tc>
        <w:tc>
          <w:tcPr>
            <w:tcW w:w="747" w:type="pct"/>
            <w:tcBorders>
              <w:top w:val="nil"/>
              <w:left w:val="single" w:sz="4" w:space="0" w:color="auto"/>
              <w:bottom w:val="nil"/>
              <w:right w:val="nil"/>
            </w:tcBorders>
            <w:shd w:val="clear" w:color="000000" w:fill="BDD6EE"/>
            <w:vAlign w:val="center"/>
            <w:hideMark/>
          </w:tcPr>
          <w:p w:rsidR="00A53A65" w:rsidRPr="00BE1578" w:rsidRDefault="00A53A65" w:rsidP="00A53A65">
            <w:pPr>
              <w:spacing w:after="0" w:line="240" w:lineRule="auto"/>
              <w:jc w:val="center"/>
              <w:rPr>
                <w:rFonts w:ascii="Artifex CF Light" w:eastAsia="Times New Roman" w:hAnsi="Artifex CF Light" w:cstheme="minorHAnsi"/>
                <w:b/>
                <w:bCs/>
                <w:szCs w:val="18"/>
                <w:lang w:eastAsia="es-DO"/>
              </w:rPr>
            </w:pPr>
            <w:r w:rsidRPr="00BE1578">
              <w:rPr>
                <w:rFonts w:ascii="Artifex CF Light" w:eastAsia="Times New Roman" w:hAnsi="Artifex CF Light" w:cstheme="minorHAnsi"/>
                <w:b/>
                <w:bCs/>
                <w:szCs w:val="18"/>
                <w:lang w:eastAsia="es-DO"/>
              </w:rPr>
              <w:t>Raciones Programadas</w:t>
            </w:r>
            <w:r w:rsidRPr="00BE1578">
              <w:rPr>
                <w:rFonts w:ascii="Calibri" w:eastAsia="Times New Roman" w:hAnsi="Calibri" w:cs="Calibri"/>
                <w:szCs w:val="18"/>
                <w:lang w:eastAsia="es-DO"/>
              </w:rPr>
              <w:t> </w:t>
            </w:r>
          </w:p>
        </w:tc>
        <w:tc>
          <w:tcPr>
            <w:tcW w:w="509" w:type="pct"/>
            <w:tcBorders>
              <w:top w:val="nil"/>
              <w:left w:val="nil"/>
              <w:bottom w:val="nil"/>
              <w:right w:val="nil"/>
            </w:tcBorders>
            <w:shd w:val="clear" w:color="000000" w:fill="BDD6EE"/>
            <w:vAlign w:val="center"/>
            <w:hideMark/>
          </w:tcPr>
          <w:p w:rsidR="00A53A65" w:rsidRPr="00BE1578" w:rsidRDefault="00A53A65" w:rsidP="00A53A65">
            <w:pPr>
              <w:spacing w:after="0" w:line="240" w:lineRule="auto"/>
              <w:jc w:val="center"/>
              <w:rPr>
                <w:rFonts w:ascii="Artifex CF Light" w:eastAsia="Times New Roman" w:hAnsi="Artifex CF Light" w:cstheme="minorHAnsi"/>
                <w:b/>
                <w:bCs/>
                <w:szCs w:val="18"/>
                <w:lang w:eastAsia="es-DO"/>
              </w:rPr>
            </w:pPr>
            <w:r w:rsidRPr="00BE1578">
              <w:rPr>
                <w:rFonts w:ascii="Artifex CF Light" w:eastAsia="Times New Roman" w:hAnsi="Artifex CF Light" w:cstheme="minorHAnsi"/>
                <w:b/>
                <w:bCs/>
                <w:szCs w:val="18"/>
                <w:lang w:eastAsia="es-DO"/>
              </w:rPr>
              <w:t>Ejecutado</w:t>
            </w:r>
            <w:r w:rsidRPr="00BE1578">
              <w:rPr>
                <w:rFonts w:ascii="Calibri" w:eastAsia="Times New Roman" w:hAnsi="Calibri" w:cs="Calibri"/>
                <w:szCs w:val="18"/>
                <w:lang w:eastAsia="es-DO"/>
              </w:rPr>
              <w:t> </w:t>
            </w:r>
          </w:p>
        </w:tc>
        <w:tc>
          <w:tcPr>
            <w:tcW w:w="502" w:type="pct"/>
            <w:tcBorders>
              <w:top w:val="nil"/>
              <w:left w:val="nil"/>
              <w:bottom w:val="nil"/>
              <w:right w:val="single" w:sz="4" w:space="0" w:color="auto"/>
            </w:tcBorders>
            <w:shd w:val="clear" w:color="000000" w:fill="BDD6EE"/>
            <w:vAlign w:val="center"/>
            <w:hideMark/>
          </w:tcPr>
          <w:p w:rsidR="00A53A65" w:rsidRPr="00BE1578" w:rsidRDefault="00A53A65" w:rsidP="00A53A65">
            <w:pPr>
              <w:spacing w:after="0" w:line="240" w:lineRule="auto"/>
              <w:jc w:val="center"/>
              <w:rPr>
                <w:rFonts w:ascii="Artifex CF Light" w:eastAsia="Times New Roman" w:hAnsi="Artifex CF Light" w:cstheme="minorHAnsi"/>
                <w:b/>
                <w:bCs/>
                <w:szCs w:val="18"/>
                <w:lang w:eastAsia="es-DO"/>
              </w:rPr>
            </w:pPr>
            <w:r w:rsidRPr="00BE1578">
              <w:rPr>
                <w:rFonts w:ascii="Artifex CF Light" w:eastAsia="Times New Roman" w:hAnsi="Artifex CF Light" w:cstheme="minorHAnsi"/>
                <w:b/>
                <w:bCs/>
                <w:szCs w:val="18"/>
                <w:lang w:eastAsia="es-DO"/>
              </w:rPr>
              <w:t>% Ejecutado</w:t>
            </w:r>
            <w:r w:rsidRPr="00BE1578">
              <w:rPr>
                <w:rFonts w:ascii="Calibri" w:eastAsia="Times New Roman" w:hAnsi="Calibri" w:cs="Calibri"/>
                <w:szCs w:val="18"/>
                <w:lang w:eastAsia="es-DO"/>
              </w:rPr>
              <w:t> </w:t>
            </w:r>
          </w:p>
        </w:tc>
        <w:tc>
          <w:tcPr>
            <w:tcW w:w="95" w:type="pct"/>
            <w:tcBorders>
              <w:top w:val="nil"/>
              <w:left w:val="single" w:sz="4" w:space="0" w:color="auto"/>
              <w:bottom w:val="nil"/>
              <w:right w:val="single" w:sz="4" w:space="0" w:color="auto"/>
            </w:tcBorders>
            <w:shd w:val="clear" w:color="auto" w:fill="auto"/>
            <w:noWrap/>
            <w:vAlign w:val="bottom"/>
            <w:hideMark/>
          </w:tcPr>
          <w:p w:rsidR="00A53A65" w:rsidRPr="00BE1578" w:rsidRDefault="00A53A65" w:rsidP="00A53A65">
            <w:pPr>
              <w:spacing w:after="0" w:line="240" w:lineRule="auto"/>
              <w:jc w:val="center"/>
              <w:rPr>
                <w:rFonts w:ascii="Artifex CF Light" w:eastAsia="Times New Roman" w:hAnsi="Artifex CF Light" w:cstheme="minorHAnsi"/>
                <w:b/>
                <w:bCs/>
                <w:szCs w:val="18"/>
                <w:lang w:eastAsia="es-DO"/>
              </w:rPr>
            </w:pPr>
          </w:p>
        </w:tc>
        <w:tc>
          <w:tcPr>
            <w:tcW w:w="766" w:type="pct"/>
            <w:tcBorders>
              <w:top w:val="nil"/>
              <w:left w:val="single" w:sz="4" w:space="0" w:color="auto"/>
              <w:bottom w:val="nil"/>
              <w:right w:val="nil"/>
            </w:tcBorders>
            <w:shd w:val="clear" w:color="000000" w:fill="BDD6EE"/>
            <w:vAlign w:val="center"/>
            <w:hideMark/>
          </w:tcPr>
          <w:p w:rsidR="00A53A65" w:rsidRPr="00BE1578" w:rsidRDefault="00A53A65" w:rsidP="00A53A65">
            <w:pPr>
              <w:spacing w:after="0" w:line="240" w:lineRule="auto"/>
              <w:jc w:val="center"/>
              <w:rPr>
                <w:rFonts w:ascii="Artifex CF Light" w:eastAsia="Times New Roman" w:hAnsi="Artifex CF Light" w:cstheme="minorHAnsi"/>
                <w:b/>
                <w:bCs/>
                <w:szCs w:val="18"/>
                <w:lang w:eastAsia="es-DO"/>
              </w:rPr>
            </w:pPr>
            <w:r w:rsidRPr="00BE1578">
              <w:rPr>
                <w:rFonts w:ascii="Artifex CF Light" w:eastAsia="Times New Roman" w:hAnsi="Artifex CF Light" w:cstheme="minorHAnsi"/>
                <w:b/>
                <w:bCs/>
                <w:szCs w:val="18"/>
                <w:lang w:eastAsia="es-DO"/>
              </w:rPr>
              <w:t>Raciones Programadas</w:t>
            </w:r>
            <w:r w:rsidRPr="00BE1578">
              <w:rPr>
                <w:rFonts w:ascii="Calibri" w:eastAsia="Times New Roman" w:hAnsi="Calibri" w:cs="Calibri"/>
                <w:szCs w:val="18"/>
                <w:lang w:eastAsia="es-DO"/>
              </w:rPr>
              <w:t> </w:t>
            </w:r>
          </w:p>
        </w:tc>
        <w:tc>
          <w:tcPr>
            <w:tcW w:w="655" w:type="pct"/>
            <w:tcBorders>
              <w:top w:val="nil"/>
              <w:left w:val="nil"/>
              <w:bottom w:val="nil"/>
              <w:right w:val="nil"/>
            </w:tcBorders>
            <w:shd w:val="clear" w:color="000000" w:fill="BDD6EE"/>
            <w:vAlign w:val="center"/>
            <w:hideMark/>
          </w:tcPr>
          <w:p w:rsidR="00A53A65" w:rsidRPr="00BE1578" w:rsidRDefault="00A53A65" w:rsidP="00A53A65">
            <w:pPr>
              <w:spacing w:after="0" w:line="240" w:lineRule="auto"/>
              <w:jc w:val="center"/>
              <w:rPr>
                <w:rFonts w:ascii="Artifex CF Light" w:eastAsia="Times New Roman" w:hAnsi="Artifex CF Light" w:cstheme="minorHAnsi"/>
                <w:b/>
                <w:bCs/>
                <w:szCs w:val="18"/>
                <w:lang w:eastAsia="es-DO"/>
              </w:rPr>
            </w:pPr>
            <w:r w:rsidRPr="00BE1578">
              <w:rPr>
                <w:rFonts w:ascii="Artifex CF Light" w:eastAsia="Times New Roman" w:hAnsi="Artifex CF Light" w:cstheme="minorHAnsi"/>
                <w:b/>
                <w:bCs/>
                <w:szCs w:val="18"/>
                <w:lang w:eastAsia="es-DO"/>
              </w:rPr>
              <w:t>Ejecutado</w:t>
            </w:r>
            <w:r w:rsidRPr="00BE1578">
              <w:rPr>
                <w:rFonts w:ascii="Calibri" w:eastAsia="Times New Roman" w:hAnsi="Calibri" w:cs="Calibri"/>
                <w:szCs w:val="18"/>
                <w:lang w:eastAsia="es-DO"/>
              </w:rPr>
              <w:t> </w:t>
            </w:r>
          </w:p>
        </w:tc>
        <w:tc>
          <w:tcPr>
            <w:tcW w:w="884" w:type="pct"/>
            <w:tcBorders>
              <w:top w:val="nil"/>
              <w:left w:val="nil"/>
              <w:bottom w:val="nil"/>
              <w:right w:val="single" w:sz="4" w:space="0" w:color="auto"/>
            </w:tcBorders>
            <w:shd w:val="clear" w:color="000000" w:fill="BDD6EE"/>
            <w:vAlign w:val="center"/>
            <w:hideMark/>
          </w:tcPr>
          <w:p w:rsidR="00A53A65" w:rsidRPr="00BE1578" w:rsidRDefault="00A53A65" w:rsidP="00A53A65">
            <w:pPr>
              <w:spacing w:after="0" w:line="240" w:lineRule="auto"/>
              <w:jc w:val="center"/>
              <w:rPr>
                <w:rFonts w:ascii="Artifex CF Light" w:eastAsia="Times New Roman" w:hAnsi="Artifex CF Light" w:cstheme="minorHAnsi"/>
                <w:b/>
                <w:bCs/>
                <w:szCs w:val="18"/>
                <w:lang w:eastAsia="es-DO"/>
              </w:rPr>
            </w:pPr>
            <w:r w:rsidRPr="00BE1578">
              <w:rPr>
                <w:rFonts w:ascii="Artifex CF Light" w:eastAsia="Times New Roman" w:hAnsi="Artifex CF Light" w:cstheme="minorHAnsi"/>
                <w:b/>
                <w:bCs/>
                <w:szCs w:val="18"/>
                <w:lang w:eastAsia="es-DO"/>
              </w:rPr>
              <w:t>% Ejecutado</w:t>
            </w:r>
            <w:r w:rsidRPr="00BE1578">
              <w:rPr>
                <w:rFonts w:ascii="Calibri" w:eastAsia="Times New Roman" w:hAnsi="Calibri" w:cs="Calibri"/>
                <w:szCs w:val="18"/>
                <w:lang w:eastAsia="es-DO"/>
              </w:rPr>
              <w:t> </w:t>
            </w:r>
          </w:p>
        </w:tc>
      </w:tr>
      <w:tr w:rsidR="00BE1578" w:rsidRPr="00BE1578" w:rsidTr="00BE1578">
        <w:trPr>
          <w:trHeight w:val="20"/>
        </w:trPr>
        <w:tc>
          <w:tcPr>
            <w:tcW w:w="840" w:type="pct"/>
            <w:tcBorders>
              <w:top w:val="nil"/>
              <w:left w:val="single" w:sz="4" w:space="0" w:color="auto"/>
              <w:bottom w:val="nil"/>
              <w:right w:val="single" w:sz="4" w:space="0" w:color="auto"/>
            </w:tcBorders>
            <w:shd w:val="clear" w:color="auto" w:fill="auto"/>
            <w:vAlign w:val="center"/>
            <w:hideMark/>
          </w:tcPr>
          <w:p w:rsidR="00A53A65" w:rsidRPr="00BE1578" w:rsidRDefault="00A53A65" w:rsidP="00A53A65">
            <w:pPr>
              <w:spacing w:after="0" w:line="240" w:lineRule="auto"/>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Desayuno Tanda Completa</w:t>
            </w:r>
          </w:p>
        </w:tc>
        <w:tc>
          <w:tcPr>
            <w:tcW w:w="747" w:type="pct"/>
            <w:tcBorders>
              <w:top w:val="nil"/>
              <w:left w:val="single" w:sz="4" w:space="0" w:color="auto"/>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262,744,078</w:t>
            </w:r>
          </w:p>
        </w:tc>
        <w:tc>
          <w:tcPr>
            <w:tcW w:w="509" w:type="pct"/>
            <w:tcBorders>
              <w:top w:val="nil"/>
              <w:left w:val="nil"/>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60,417,371</w:t>
            </w:r>
          </w:p>
        </w:tc>
        <w:tc>
          <w:tcPr>
            <w:tcW w:w="502" w:type="pct"/>
            <w:tcBorders>
              <w:top w:val="nil"/>
              <w:left w:val="nil"/>
              <w:bottom w:val="nil"/>
              <w:right w:val="single" w:sz="4" w:space="0" w:color="auto"/>
            </w:tcBorders>
            <w:shd w:val="clear" w:color="auto" w:fill="auto"/>
            <w:vAlign w:val="center"/>
            <w:hideMark/>
          </w:tcPr>
          <w:p w:rsidR="00A53A65" w:rsidRPr="00BE1578" w:rsidRDefault="00A53A65" w:rsidP="00A53A65">
            <w:pPr>
              <w:spacing w:after="0" w:line="240" w:lineRule="auto"/>
              <w:jc w:val="center"/>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23%</w:t>
            </w:r>
          </w:p>
        </w:tc>
        <w:tc>
          <w:tcPr>
            <w:tcW w:w="95" w:type="pct"/>
            <w:tcBorders>
              <w:top w:val="nil"/>
              <w:left w:val="single" w:sz="4" w:space="0" w:color="auto"/>
              <w:bottom w:val="nil"/>
              <w:right w:val="single" w:sz="4" w:space="0" w:color="auto"/>
            </w:tcBorders>
            <w:shd w:val="clear" w:color="auto" w:fill="auto"/>
            <w:noWrap/>
            <w:vAlign w:val="bottom"/>
            <w:hideMark/>
          </w:tcPr>
          <w:p w:rsidR="00A53A65" w:rsidRPr="00BE1578" w:rsidRDefault="00A53A65" w:rsidP="00A53A65">
            <w:pPr>
              <w:spacing w:after="0" w:line="240" w:lineRule="auto"/>
              <w:jc w:val="center"/>
              <w:rPr>
                <w:rFonts w:ascii="Artifex CF Light" w:eastAsia="Times New Roman" w:hAnsi="Artifex CF Light" w:cstheme="minorHAnsi"/>
                <w:sz w:val="14"/>
                <w:szCs w:val="14"/>
                <w:lang w:eastAsia="es-DO"/>
              </w:rPr>
            </w:pPr>
          </w:p>
        </w:tc>
        <w:tc>
          <w:tcPr>
            <w:tcW w:w="766" w:type="pct"/>
            <w:tcBorders>
              <w:top w:val="nil"/>
              <w:left w:val="single" w:sz="4" w:space="0" w:color="auto"/>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65,686,020</w:t>
            </w:r>
          </w:p>
        </w:tc>
        <w:tc>
          <w:tcPr>
            <w:tcW w:w="655" w:type="pct"/>
            <w:tcBorders>
              <w:top w:val="nil"/>
              <w:left w:val="nil"/>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60,417,371</w:t>
            </w:r>
          </w:p>
        </w:tc>
        <w:tc>
          <w:tcPr>
            <w:tcW w:w="884" w:type="pct"/>
            <w:tcBorders>
              <w:top w:val="nil"/>
              <w:left w:val="nil"/>
              <w:bottom w:val="nil"/>
              <w:right w:val="single" w:sz="4" w:space="0" w:color="auto"/>
            </w:tcBorders>
            <w:shd w:val="clear" w:color="auto" w:fill="auto"/>
            <w:vAlign w:val="center"/>
            <w:hideMark/>
          </w:tcPr>
          <w:p w:rsidR="00A53A65" w:rsidRPr="00BE1578" w:rsidRDefault="00A53A65" w:rsidP="00A53A65">
            <w:pPr>
              <w:spacing w:after="0" w:line="240" w:lineRule="auto"/>
              <w:jc w:val="center"/>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92%</w:t>
            </w:r>
          </w:p>
        </w:tc>
      </w:tr>
      <w:tr w:rsidR="00BE1578" w:rsidRPr="00BE1578" w:rsidTr="00BE1578">
        <w:trPr>
          <w:trHeight w:val="20"/>
        </w:trPr>
        <w:tc>
          <w:tcPr>
            <w:tcW w:w="840" w:type="pct"/>
            <w:tcBorders>
              <w:top w:val="nil"/>
              <w:left w:val="single" w:sz="4" w:space="0" w:color="auto"/>
              <w:bottom w:val="nil"/>
              <w:right w:val="single" w:sz="4" w:space="0" w:color="auto"/>
            </w:tcBorders>
            <w:shd w:val="clear" w:color="auto" w:fill="auto"/>
            <w:vAlign w:val="center"/>
            <w:hideMark/>
          </w:tcPr>
          <w:p w:rsidR="00A53A65" w:rsidRPr="00BE1578" w:rsidRDefault="00A53A65" w:rsidP="00A53A65">
            <w:pPr>
              <w:spacing w:after="0" w:line="240" w:lineRule="auto"/>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Almuerzo Tanda Completa</w:t>
            </w:r>
          </w:p>
        </w:tc>
        <w:tc>
          <w:tcPr>
            <w:tcW w:w="747" w:type="pct"/>
            <w:tcBorders>
              <w:top w:val="nil"/>
              <w:left w:val="single" w:sz="4" w:space="0" w:color="auto"/>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262,744,078</w:t>
            </w:r>
          </w:p>
        </w:tc>
        <w:tc>
          <w:tcPr>
            <w:tcW w:w="509" w:type="pct"/>
            <w:tcBorders>
              <w:top w:val="nil"/>
              <w:left w:val="nil"/>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64,669,323</w:t>
            </w:r>
          </w:p>
        </w:tc>
        <w:tc>
          <w:tcPr>
            <w:tcW w:w="502" w:type="pct"/>
            <w:tcBorders>
              <w:top w:val="nil"/>
              <w:left w:val="nil"/>
              <w:bottom w:val="nil"/>
              <w:right w:val="single" w:sz="4" w:space="0" w:color="auto"/>
            </w:tcBorders>
            <w:shd w:val="clear" w:color="auto" w:fill="auto"/>
            <w:vAlign w:val="center"/>
            <w:hideMark/>
          </w:tcPr>
          <w:p w:rsidR="00A53A65" w:rsidRPr="00BE1578" w:rsidRDefault="00A53A65" w:rsidP="00A53A65">
            <w:pPr>
              <w:spacing w:after="0" w:line="240" w:lineRule="auto"/>
              <w:jc w:val="center"/>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25%</w:t>
            </w:r>
          </w:p>
        </w:tc>
        <w:tc>
          <w:tcPr>
            <w:tcW w:w="95" w:type="pct"/>
            <w:tcBorders>
              <w:top w:val="nil"/>
              <w:left w:val="single" w:sz="4" w:space="0" w:color="auto"/>
              <w:bottom w:val="nil"/>
              <w:right w:val="single" w:sz="4" w:space="0" w:color="auto"/>
            </w:tcBorders>
            <w:shd w:val="clear" w:color="auto" w:fill="auto"/>
            <w:noWrap/>
            <w:vAlign w:val="bottom"/>
            <w:hideMark/>
          </w:tcPr>
          <w:p w:rsidR="00A53A65" w:rsidRPr="00BE1578" w:rsidRDefault="00A53A65" w:rsidP="00A53A65">
            <w:pPr>
              <w:spacing w:after="0" w:line="240" w:lineRule="auto"/>
              <w:jc w:val="center"/>
              <w:rPr>
                <w:rFonts w:ascii="Artifex CF Light" w:eastAsia="Times New Roman" w:hAnsi="Artifex CF Light" w:cstheme="minorHAnsi"/>
                <w:sz w:val="14"/>
                <w:szCs w:val="14"/>
                <w:lang w:eastAsia="es-DO"/>
              </w:rPr>
            </w:pPr>
          </w:p>
        </w:tc>
        <w:tc>
          <w:tcPr>
            <w:tcW w:w="766" w:type="pct"/>
            <w:tcBorders>
              <w:top w:val="nil"/>
              <w:left w:val="single" w:sz="4" w:space="0" w:color="auto"/>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65,686,020</w:t>
            </w:r>
          </w:p>
        </w:tc>
        <w:tc>
          <w:tcPr>
            <w:tcW w:w="655" w:type="pct"/>
            <w:tcBorders>
              <w:top w:val="nil"/>
              <w:left w:val="nil"/>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64,669,323</w:t>
            </w:r>
          </w:p>
        </w:tc>
        <w:tc>
          <w:tcPr>
            <w:tcW w:w="884" w:type="pct"/>
            <w:tcBorders>
              <w:top w:val="nil"/>
              <w:left w:val="nil"/>
              <w:bottom w:val="nil"/>
              <w:right w:val="single" w:sz="4" w:space="0" w:color="auto"/>
            </w:tcBorders>
            <w:shd w:val="clear" w:color="auto" w:fill="auto"/>
            <w:vAlign w:val="center"/>
            <w:hideMark/>
          </w:tcPr>
          <w:p w:rsidR="00A53A65" w:rsidRPr="00BE1578" w:rsidRDefault="00A53A65" w:rsidP="00A53A65">
            <w:pPr>
              <w:spacing w:after="0" w:line="240" w:lineRule="auto"/>
              <w:jc w:val="center"/>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98%</w:t>
            </w:r>
          </w:p>
        </w:tc>
      </w:tr>
      <w:tr w:rsidR="00BE1578" w:rsidRPr="00BE1578" w:rsidTr="00BE1578">
        <w:trPr>
          <w:trHeight w:val="20"/>
        </w:trPr>
        <w:tc>
          <w:tcPr>
            <w:tcW w:w="840" w:type="pct"/>
            <w:tcBorders>
              <w:top w:val="nil"/>
              <w:left w:val="single" w:sz="4" w:space="0" w:color="auto"/>
              <w:bottom w:val="nil"/>
              <w:right w:val="single" w:sz="4" w:space="0" w:color="auto"/>
            </w:tcBorders>
            <w:shd w:val="clear" w:color="auto" w:fill="auto"/>
            <w:vAlign w:val="center"/>
            <w:hideMark/>
          </w:tcPr>
          <w:p w:rsidR="00A53A65" w:rsidRPr="00BE1578" w:rsidRDefault="00A53A65" w:rsidP="00A53A65">
            <w:pPr>
              <w:spacing w:after="0" w:line="240" w:lineRule="auto"/>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Merienda Tanda Completa</w:t>
            </w:r>
          </w:p>
        </w:tc>
        <w:tc>
          <w:tcPr>
            <w:tcW w:w="747" w:type="pct"/>
            <w:tcBorders>
              <w:top w:val="nil"/>
              <w:left w:val="single" w:sz="4" w:space="0" w:color="auto"/>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262,744,078</w:t>
            </w:r>
          </w:p>
        </w:tc>
        <w:tc>
          <w:tcPr>
            <w:tcW w:w="509" w:type="pct"/>
            <w:tcBorders>
              <w:top w:val="nil"/>
              <w:left w:val="nil"/>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60,417,371</w:t>
            </w:r>
          </w:p>
        </w:tc>
        <w:tc>
          <w:tcPr>
            <w:tcW w:w="502" w:type="pct"/>
            <w:tcBorders>
              <w:top w:val="nil"/>
              <w:left w:val="nil"/>
              <w:bottom w:val="nil"/>
              <w:right w:val="single" w:sz="4" w:space="0" w:color="auto"/>
            </w:tcBorders>
            <w:shd w:val="clear" w:color="auto" w:fill="auto"/>
            <w:vAlign w:val="center"/>
            <w:hideMark/>
          </w:tcPr>
          <w:p w:rsidR="00A53A65" w:rsidRPr="00BE1578" w:rsidRDefault="00A53A65" w:rsidP="00A53A65">
            <w:pPr>
              <w:spacing w:after="0" w:line="240" w:lineRule="auto"/>
              <w:jc w:val="center"/>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23%</w:t>
            </w:r>
          </w:p>
        </w:tc>
        <w:tc>
          <w:tcPr>
            <w:tcW w:w="95" w:type="pct"/>
            <w:tcBorders>
              <w:top w:val="nil"/>
              <w:left w:val="single" w:sz="4" w:space="0" w:color="auto"/>
              <w:bottom w:val="nil"/>
              <w:right w:val="single" w:sz="4" w:space="0" w:color="auto"/>
            </w:tcBorders>
            <w:shd w:val="clear" w:color="auto" w:fill="auto"/>
            <w:noWrap/>
            <w:vAlign w:val="bottom"/>
            <w:hideMark/>
          </w:tcPr>
          <w:p w:rsidR="00A53A65" w:rsidRPr="00BE1578" w:rsidRDefault="00A53A65" w:rsidP="00A53A65">
            <w:pPr>
              <w:spacing w:after="0" w:line="240" w:lineRule="auto"/>
              <w:jc w:val="center"/>
              <w:rPr>
                <w:rFonts w:ascii="Artifex CF Light" w:eastAsia="Times New Roman" w:hAnsi="Artifex CF Light" w:cstheme="minorHAnsi"/>
                <w:sz w:val="14"/>
                <w:szCs w:val="14"/>
                <w:lang w:eastAsia="es-DO"/>
              </w:rPr>
            </w:pPr>
          </w:p>
        </w:tc>
        <w:tc>
          <w:tcPr>
            <w:tcW w:w="766" w:type="pct"/>
            <w:tcBorders>
              <w:top w:val="nil"/>
              <w:left w:val="single" w:sz="4" w:space="0" w:color="auto"/>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65,686,020</w:t>
            </w:r>
          </w:p>
        </w:tc>
        <w:tc>
          <w:tcPr>
            <w:tcW w:w="655" w:type="pct"/>
            <w:tcBorders>
              <w:top w:val="nil"/>
              <w:left w:val="nil"/>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60,417,371</w:t>
            </w:r>
          </w:p>
        </w:tc>
        <w:tc>
          <w:tcPr>
            <w:tcW w:w="884" w:type="pct"/>
            <w:tcBorders>
              <w:top w:val="nil"/>
              <w:left w:val="nil"/>
              <w:bottom w:val="nil"/>
              <w:right w:val="single" w:sz="4" w:space="0" w:color="auto"/>
            </w:tcBorders>
            <w:shd w:val="clear" w:color="auto" w:fill="auto"/>
            <w:vAlign w:val="center"/>
            <w:hideMark/>
          </w:tcPr>
          <w:p w:rsidR="00A53A65" w:rsidRPr="00BE1578" w:rsidRDefault="00A53A65" w:rsidP="00A53A65">
            <w:pPr>
              <w:spacing w:after="0" w:line="240" w:lineRule="auto"/>
              <w:jc w:val="center"/>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92%</w:t>
            </w:r>
          </w:p>
        </w:tc>
      </w:tr>
      <w:tr w:rsidR="00BE1578" w:rsidRPr="00BE1578" w:rsidTr="00BE1578">
        <w:trPr>
          <w:trHeight w:val="20"/>
        </w:trPr>
        <w:tc>
          <w:tcPr>
            <w:tcW w:w="840" w:type="pct"/>
            <w:tcBorders>
              <w:top w:val="nil"/>
              <w:left w:val="single" w:sz="4" w:space="0" w:color="auto"/>
              <w:bottom w:val="nil"/>
              <w:right w:val="single" w:sz="4" w:space="0" w:color="auto"/>
            </w:tcBorders>
            <w:shd w:val="clear" w:color="auto" w:fill="auto"/>
            <w:vAlign w:val="center"/>
            <w:hideMark/>
          </w:tcPr>
          <w:p w:rsidR="00A53A65" w:rsidRPr="00BE1578" w:rsidRDefault="00A53A65" w:rsidP="00A53A65">
            <w:pPr>
              <w:spacing w:after="0" w:line="240" w:lineRule="auto"/>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Desayuno Media tanda</w:t>
            </w:r>
          </w:p>
        </w:tc>
        <w:tc>
          <w:tcPr>
            <w:tcW w:w="747" w:type="pct"/>
            <w:tcBorders>
              <w:top w:val="nil"/>
              <w:left w:val="single" w:sz="4" w:space="0" w:color="auto"/>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70,405,066</w:t>
            </w:r>
          </w:p>
        </w:tc>
        <w:tc>
          <w:tcPr>
            <w:tcW w:w="509" w:type="pct"/>
            <w:tcBorders>
              <w:top w:val="nil"/>
              <w:left w:val="nil"/>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16,237,353</w:t>
            </w:r>
          </w:p>
        </w:tc>
        <w:tc>
          <w:tcPr>
            <w:tcW w:w="502" w:type="pct"/>
            <w:tcBorders>
              <w:top w:val="nil"/>
              <w:left w:val="nil"/>
              <w:bottom w:val="nil"/>
              <w:right w:val="single" w:sz="4" w:space="0" w:color="auto"/>
            </w:tcBorders>
            <w:shd w:val="clear" w:color="auto" w:fill="auto"/>
            <w:vAlign w:val="center"/>
            <w:hideMark/>
          </w:tcPr>
          <w:p w:rsidR="00A53A65" w:rsidRPr="00BE1578" w:rsidRDefault="00A53A65" w:rsidP="00A53A65">
            <w:pPr>
              <w:spacing w:after="0" w:line="240" w:lineRule="auto"/>
              <w:jc w:val="center"/>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23%</w:t>
            </w:r>
          </w:p>
        </w:tc>
        <w:tc>
          <w:tcPr>
            <w:tcW w:w="95" w:type="pct"/>
            <w:tcBorders>
              <w:top w:val="nil"/>
              <w:left w:val="single" w:sz="4" w:space="0" w:color="auto"/>
              <w:bottom w:val="nil"/>
              <w:right w:val="single" w:sz="4" w:space="0" w:color="auto"/>
            </w:tcBorders>
            <w:shd w:val="clear" w:color="auto" w:fill="auto"/>
            <w:noWrap/>
            <w:vAlign w:val="bottom"/>
            <w:hideMark/>
          </w:tcPr>
          <w:p w:rsidR="00A53A65" w:rsidRPr="00BE1578" w:rsidRDefault="00A53A65" w:rsidP="00A53A65">
            <w:pPr>
              <w:spacing w:after="0" w:line="240" w:lineRule="auto"/>
              <w:jc w:val="center"/>
              <w:rPr>
                <w:rFonts w:ascii="Artifex CF Light" w:eastAsia="Times New Roman" w:hAnsi="Artifex CF Light" w:cstheme="minorHAnsi"/>
                <w:sz w:val="14"/>
                <w:szCs w:val="14"/>
                <w:lang w:eastAsia="es-DO"/>
              </w:rPr>
            </w:pPr>
          </w:p>
        </w:tc>
        <w:tc>
          <w:tcPr>
            <w:tcW w:w="766" w:type="pct"/>
            <w:tcBorders>
              <w:top w:val="nil"/>
              <w:left w:val="single" w:sz="4" w:space="0" w:color="auto"/>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17,601,267</w:t>
            </w:r>
          </w:p>
        </w:tc>
        <w:tc>
          <w:tcPr>
            <w:tcW w:w="655" w:type="pct"/>
            <w:tcBorders>
              <w:top w:val="nil"/>
              <w:left w:val="nil"/>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16,237,353</w:t>
            </w:r>
          </w:p>
        </w:tc>
        <w:tc>
          <w:tcPr>
            <w:tcW w:w="884" w:type="pct"/>
            <w:tcBorders>
              <w:top w:val="nil"/>
              <w:left w:val="nil"/>
              <w:bottom w:val="nil"/>
              <w:right w:val="single" w:sz="4" w:space="0" w:color="auto"/>
            </w:tcBorders>
            <w:shd w:val="clear" w:color="auto" w:fill="auto"/>
            <w:vAlign w:val="center"/>
            <w:hideMark/>
          </w:tcPr>
          <w:p w:rsidR="00A53A65" w:rsidRPr="00BE1578" w:rsidRDefault="00A53A65" w:rsidP="00A53A65">
            <w:pPr>
              <w:spacing w:after="0" w:line="240" w:lineRule="auto"/>
              <w:jc w:val="center"/>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92%</w:t>
            </w:r>
          </w:p>
        </w:tc>
      </w:tr>
      <w:tr w:rsidR="00BE1578" w:rsidRPr="00BE1578" w:rsidTr="00BE1578">
        <w:trPr>
          <w:trHeight w:val="20"/>
        </w:trPr>
        <w:tc>
          <w:tcPr>
            <w:tcW w:w="840" w:type="pct"/>
            <w:tcBorders>
              <w:top w:val="nil"/>
              <w:left w:val="single" w:sz="4" w:space="0" w:color="auto"/>
              <w:bottom w:val="nil"/>
              <w:right w:val="single" w:sz="4" w:space="0" w:color="auto"/>
            </w:tcBorders>
            <w:shd w:val="clear" w:color="auto" w:fill="auto"/>
            <w:vAlign w:val="center"/>
            <w:hideMark/>
          </w:tcPr>
          <w:p w:rsidR="00A53A65" w:rsidRPr="00BE1578" w:rsidRDefault="00A53A65" w:rsidP="00A53A65">
            <w:pPr>
              <w:spacing w:after="0" w:line="240" w:lineRule="auto"/>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Merienda Media tanda</w:t>
            </w:r>
          </w:p>
        </w:tc>
        <w:tc>
          <w:tcPr>
            <w:tcW w:w="747" w:type="pct"/>
            <w:tcBorders>
              <w:top w:val="nil"/>
              <w:left w:val="single" w:sz="4" w:space="0" w:color="auto"/>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22,601,564</w:t>
            </w:r>
          </w:p>
        </w:tc>
        <w:tc>
          <w:tcPr>
            <w:tcW w:w="509" w:type="pct"/>
            <w:tcBorders>
              <w:top w:val="nil"/>
              <w:left w:val="nil"/>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5,212,676</w:t>
            </w:r>
          </w:p>
        </w:tc>
        <w:tc>
          <w:tcPr>
            <w:tcW w:w="502" w:type="pct"/>
            <w:tcBorders>
              <w:top w:val="nil"/>
              <w:left w:val="nil"/>
              <w:bottom w:val="nil"/>
              <w:right w:val="single" w:sz="4" w:space="0" w:color="auto"/>
            </w:tcBorders>
            <w:shd w:val="clear" w:color="auto" w:fill="auto"/>
            <w:vAlign w:val="center"/>
            <w:hideMark/>
          </w:tcPr>
          <w:p w:rsidR="00A53A65" w:rsidRPr="00BE1578" w:rsidRDefault="00A53A65" w:rsidP="00A53A65">
            <w:pPr>
              <w:spacing w:after="0" w:line="240" w:lineRule="auto"/>
              <w:jc w:val="center"/>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23%</w:t>
            </w:r>
          </w:p>
        </w:tc>
        <w:tc>
          <w:tcPr>
            <w:tcW w:w="95" w:type="pct"/>
            <w:tcBorders>
              <w:top w:val="nil"/>
              <w:left w:val="single" w:sz="4" w:space="0" w:color="auto"/>
              <w:bottom w:val="nil"/>
              <w:right w:val="single" w:sz="4" w:space="0" w:color="auto"/>
            </w:tcBorders>
            <w:shd w:val="clear" w:color="auto" w:fill="auto"/>
            <w:noWrap/>
            <w:vAlign w:val="bottom"/>
            <w:hideMark/>
          </w:tcPr>
          <w:p w:rsidR="00A53A65" w:rsidRPr="00BE1578" w:rsidRDefault="00A53A65" w:rsidP="00A53A65">
            <w:pPr>
              <w:spacing w:after="0" w:line="240" w:lineRule="auto"/>
              <w:jc w:val="center"/>
              <w:rPr>
                <w:rFonts w:ascii="Artifex CF Light" w:eastAsia="Times New Roman" w:hAnsi="Artifex CF Light" w:cstheme="minorHAnsi"/>
                <w:sz w:val="14"/>
                <w:szCs w:val="14"/>
                <w:lang w:eastAsia="es-DO"/>
              </w:rPr>
            </w:pPr>
          </w:p>
        </w:tc>
        <w:tc>
          <w:tcPr>
            <w:tcW w:w="766" w:type="pct"/>
            <w:tcBorders>
              <w:top w:val="nil"/>
              <w:left w:val="single" w:sz="4" w:space="0" w:color="auto"/>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5,650,391</w:t>
            </w:r>
          </w:p>
        </w:tc>
        <w:tc>
          <w:tcPr>
            <w:tcW w:w="655" w:type="pct"/>
            <w:tcBorders>
              <w:top w:val="nil"/>
              <w:left w:val="nil"/>
              <w:bottom w:val="nil"/>
              <w:right w:val="nil"/>
            </w:tcBorders>
            <w:shd w:val="clear" w:color="auto" w:fill="auto"/>
            <w:vAlign w:val="center"/>
            <w:hideMark/>
          </w:tcPr>
          <w:p w:rsidR="00A53A65" w:rsidRPr="00BE1578" w:rsidRDefault="00A53A65" w:rsidP="00A53A65">
            <w:pPr>
              <w:spacing w:after="0" w:line="240" w:lineRule="auto"/>
              <w:jc w:val="right"/>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5,212,676</w:t>
            </w:r>
          </w:p>
        </w:tc>
        <w:tc>
          <w:tcPr>
            <w:tcW w:w="884" w:type="pct"/>
            <w:tcBorders>
              <w:top w:val="nil"/>
              <w:left w:val="nil"/>
              <w:bottom w:val="nil"/>
              <w:right w:val="single" w:sz="4" w:space="0" w:color="auto"/>
            </w:tcBorders>
            <w:shd w:val="clear" w:color="auto" w:fill="auto"/>
            <w:vAlign w:val="center"/>
            <w:hideMark/>
          </w:tcPr>
          <w:p w:rsidR="00A53A65" w:rsidRPr="00BE1578" w:rsidRDefault="00A53A65" w:rsidP="00A53A65">
            <w:pPr>
              <w:spacing w:after="0" w:line="240" w:lineRule="auto"/>
              <w:jc w:val="center"/>
              <w:rPr>
                <w:rFonts w:ascii="Artifex CF Light" w:eastAsia="Times New Roman" w:hAnsi="Artifex CF Light" w:cstheme="minorHAnsi"/>
                <w:sz w:val="14"/>
                <w:szCs w:val="14"/>
                <w:lang w:eastAsia="es-DO"/>
              </w:rPr>
            </w:pPr>
            <w:r w:rsidRPr="00BE1578">
              <w:rPr>
                <w:rFonts w:ascii="Artifex CF Light" w:eastAsia="Times New Roman" w:hAnsi="Artifex CF Light" w:cstheme="minorHAnsi"/>
                <w:sz w:val="14"/>
                <w:szCs w:val="14"/>
                <w:lang w:eastAsia="es-DO"/>
              </w:rPr>
              <w:t>92%</w:t>
            </w:r>
          </w:p>
        </w:tc>
      </w:tr>
      <w:tr w:rsidR="00BE1578" w:rsidRPr="00BE1578" w:rsidTr="00BE1578">
        <w:trPr>
          <w:trHeight w:val="20"/>
        </w:trPr>
        <w:tc>
          <w:tcPr>
            <w:tcW w:w="840" w:type="pct"/>
            <w:tcBorders>
              <w:top w:val="nil"/>
              <w:left w:val="single" w:sz="4" w:space="0" w:color="auto"/>
              <w:bottom w:val="single" w:sz="4" w:space="0" w:color="auto"/>
              <w:right w:val="single" w:sz="4" w:space="0" w:color="auto"/>
            </w:tcBorders>
            <w:shd w:val="clear" w:color="000000" w:fill="BDD6EE"/>
            <w:vAlign w:val="center"/>
            <w:hideMark/>
          </w:tcPr>
          <w:p w:rsidR="00A53A65" w:rsidRPr="00BE1578" w:rsidRDefault="00A53A65" w:rsidP="00A53A65">
            <w:pPr>
              <w:spacing w:after="0" w:line="240" w:lineRule="auto"/>
              <w:rPr>
                <w:rFonts w:ascii="Artifex CF Light" w:eastAsia="Times New Roman" w:hAnsi="Artifex CF Light" w:cstheme="minorHAnsi"/>
                <w:b/>
                <w:bCs/>
                <w:sz w:val="14"/>
                <w:szCs w:val="14"/>
                <w:lang w:eastAsia="es-DO"/>
              </w:rPr>
            </w:pPr>
            <w:r w:rsidRPr="00BE1578">
              <w:rPr>
                <w:rFonts w:ascii="Artifex CF Light" w:eastAsia="Times New Roman" w:hAnsi="Artifex CF Light" w:cstheme="minorHAnsi"/>
                <w:b/>
                <w:bCs/>
                <w:sz w:val="14"/>
                <w:szCs w:val="14"/>
                <w:lang w:eastAsia="es-DO"/>
              </w:rPr>
              <w:lastRenderedPageBreak/>
              <w:t>Total</w:t>
            </w:r>
            <w:r w:rsidRPr="00BE1578">
              <w:rPr>
                <w:rFonts w:ascii="Calibri" w:eastAsia="Times New Roman" w:hAnsi="Calibri" w:cs="Calibri"/>
                <w:b/>
                <w:bCs/>
                <w:sz w:val="14"/>
                <w:szCs w:val="14"/>
                <w:lang w:eastAsia="es-DO"/>
              </w:rPr>
              <w:t> </w:t>
            </w:r>
            <w:r w:rsidRPr="00BE1578">
              <w:rPr>
                <w:rFonts w:ascii="Calibri" w:eastAsia="Times New Roman" w:hAnsi="Calibri" w:cs="Calibri"/>
                <w:sz w:val="14"/>
                <w:szCs w:val="14"/>
                <w:lang w:eastAsia="es-DO"/>
              </w:rPr>
              <w:t> </w:t>
            </w:r>
          </w:p>
        </w:tc>
        <w:tc>
          <w:tcPr>
            <w:tcW w:w="747" w:type="pct"/>
            <w:tcBorders>
              <w:top w:val="nil"/>
              <w:left w:val="single" w:sz="4" w:space="0" w:color="auto"/>
              <w:bottom w:val="single" w:sz="4" w:space="0" w:color="auto"/>
              <w:right w:val="nil"/>
            </w:tcBorders>
            <w:shd w:val="clear" w:color="000000" w:fill="BDD6EE"/>
            <w:vAlign w:val="center"/>
            <w:hideMark/>
          </w:tcPr>
          <w:p w:rsidR="00A53A65" w:rsidRPr="00BE1578" w:rsidRDefault="00A53A65" w:rsidP="00A53A65">
            <w:pPr>
              <w:spacing w:after="0" w:line="240" w:lineRule="auto"/>
              <w:jc w:val="right"/>
              <w:rPr>
                <w:rFonts w:ascii="Artifex CF Light" w:eastAsia="Times New Roman" w:hAnsi="Artifex CF Light" w:cstheme="minorHAnsi"/>
                <w:b/>
                <w:bCs/>
                <w:sz w:val="14"/>
                <w:szCs w:val="14"/>
                <w:lang w:eastAsia="es-DO"/>
              </w:rPr>
            </w:pPr>
            <w:r w:rsidRPr="00BE1578">
              <w:rPr>
                <w:rFonts w:ascii="Artifex CF Light" w:eastAsia="Times New Roman" w:hAnsi="Artifex CF Light" w:cstheme="minorHAnsi"/>
                <w:b/>
                <w:bCs/>
                <w:sz w:val="14"/>
                <w:szCs w:val="14"/>
                <w:lang w:eastAsia="es-DO"/>
              </w:rPr>
              <w:t>881,238,864</w:t>
            </w:r>
          </w:p>
        </w:tc>
        <w:tc>
          <w:tcPr>
            <w:tcW w:w="509" w:type="pct"/>
            <w:tcBorders>
              <w:top w:val="nil"/>
              <w:left w:val="nil"/>
              <w:bottom w:val="single" w:sz="4" w:space="0" w:color="auto"/>
              <w:right w:val="nil"/>
            </w:tcBorders>
            <w:shd w:val="clear" w:color="000000" w:fill="BDD6EE"/>
            <w:vAlign w:val="center"/>
            <w:hideMark/>
          </w:tcPr>
          <w:p w:rsidR="00A53A65" w:rsidRPr="00BE1578" w:rsidRDefault="00A53A65" w:rsidP="00A53A65">
            <w:pPr>
              <w:spacing w:after="0" w:line="240" w:lineRule="auto"/>
              <w:jc w:val="right"/>
              <w:rPr>
                <w:rFonts w:ascii="Artifex CF Light" w:eastAsia="Times New Roman" w:hAnsi="Artifex CF Light" w:cstheme="minorHAnsi"/>
                <w:b/>
                <w:bCs/>
                <w:sz w:val="14"/>
                <w:szCs w:val="14"/>
                <w:lang w:eastAsia="es-DO"/>
              </w:rPr>
            </w:pPr>
            <w:r w:rsidRPr="00BE1578">
              <w:rPr>
                <w:rFonts w:ascii="Artifex CF Light" w:eastAsia="Times New Roman" w:hAnsi="Artifex CF Light" w:cstheme="minorHAnsi"/>
                <w:b/>
                <w:bCs/>
                <w:sz w:val="14"/>
                <w:szCs w:val="14"/>
                <w:lang w:eastAsia="es-DO"/>
              </w:rPr>
              <w:t>206,954,094</w:t>
            </w:r>
          </w:p>
        </w:tc>
        <w:tc>
          <w:tcPr>
            <w:tcW w:w="502" w:type="pct"/>
            <w:tcBorders>
              <w:top w:val="nil"/>
              <w:left w:val="nil"/>
              <w:bottom w:val="single" w:sz="4" w:space="0" w:color="auto"/>
              <w:right w:val="single" w:sz="4" w:space="0" w:color="auto"/>
            </w:tcBorders>
            <w:shd w:val="clear" w:color="000000" w:fill="BDD6EE"/>
            <w:vAlign w:val="center"/>
            <w:hideMark/>
          </w:tcPr>
          <w:p w:rsidR="00A53A65" w:rsidRPr="00BE1578" w:rsidRDefault="00A53A65" w:rsidP="00A53A65">
            <w:pPr>
              <w:spacing w:after="0" w:line="240" w:lineRule="auto"/>
              <w:jc w:val="center"/>
              <w:rPr>
                <w:rFonts w:ascii="Artifex CF Light" w:eastAsia="Times New Roman" w:hAnsi="Artifex CF Light" w:cstheme="minorHAnsi"/>
                <w:b/>
                <w:bCs/>
                <w:sz w:val="14"/>
                <w:szCs w:val="14"/>
                <w:lang w:eastAsia="es-DO"/>
              </w:rPr>
            </w:pPr>
            <w:r w:rsidRPr="00BE1578">
              <w:rPr>
                <w:rFonts w:ascii="Artifex CF Light" w:eastAsia="Times New Roman" w:hAnsi="Artifex CF Light" w:cstheme="minorHAnsi"/>
                <w:b/>
                <w:bCs/>
                <w:sz w:val="14"/>
                <w:szCs w:val="14"/>
                <w:lang w:eastAsia="es-DO"/>
              </w:rPr>
              <w:t>23%</w:t>
            </w:r>
          </w:p>
        </w:tc>
        <w:tc>
          <w:tcPr>
            <w:tcW w:w="95" w:type="pct"/>
            <w:tcBorders>
              <w:top w:val="nil"/>
              <w:left w:val="single" w:sz="4" w:space="0" w:color="auto"/>
              <w:bottom w:val="nil"/>
              <w:right w:val="single" w:sz="4" w:space="0" w:color="auto"/>
            </w:tcBorders>
            <w:shd w:val="clear" w:color="auto" w:fill="auto"/>
            <w:noWrap/>
            <w:vAlign w:val="bottom"/>
            <w:hideMark/>
          </w:tcPr>
          <w:p w:rsidR="00A53A65" w:rsidRPr="00BE1578" w:rsidRDefault="00A53A65" w:rsidP="00A53A65">
            <w:pPr>
              <w:spacing w:after="0" w:line="240" w:lineRule="auto"/>
              <w:jc w:val="center"/>
              <w:rPr>
                <w:rFonts w:ascii="Artifex CF Light" w:eastAsia="Times New Roman" w:hAnsi="Artifex CF Light" w:cstheme="minorHAnsi"/>
                <w:b/>
                <w:bCs/>
                <w:sz w:val="14"/>
                <w:szCs w:val="14"/>
                <w:lang w:eastAsia="es-DO"/>
              </w:rPr>
            </w:pPr>
          </w:p>
        </w:tc>
        <w:tc>
          <w:tcPr>
            <w:tcW w:w="766" w:type="pct"/>
            <w:tcBorders>
              <w:top w:val="nil"/>
              <w:left w:val="single" w:sz="4" w:space="0" w:color="auto"/>
              <w:bottom w:val="single" w:sz="4" w:space="0" w:color="auto"/>
              <w:right w:val="nil"/>
            </w:tcBorders>
            <w:shd w:val="clear" w:color="000000" w:fill="BDD6EE"/>
            <w:vAlign w:val="center"/>
            <w:hideMark/>
          </w:tcPr>
          <w:p w:rsidR="00A53A65" w:rsidRPr="00BE1578" w:rsidRDefault="00A53A65" w:rsidP="00A53A65">
            <w:pPr>
              <w:spacing w:after="0" w:line="240" w:lineRule="auto"/>
              <w:jc w:val="right"/>
              <w:rPr>
                <w:rFonts w:ascii="Artifex CF Light" w:eastAsia="Times New Roman" w:hAnsi="Artifex CF Light" w:cstheme="minorHAnsi"/>
                <w:b/>
                <w:bCs/>
                <w:sz w:val="14"/>
                <w:szCs w:val="14"/>
                <w:lang w:eastAsia="es-DO"/>
              </w:rPr>
            </w:pPr>
            <w:r w:rsidRPr="00BE1578">
              <w:rPr>
                <w:rFonts w:ascii="Artifex CF Light" w:eastAsia="Times New Roman" w:hAnsi="Artifex CF Light" w:cstheme="minorHAnsi"/>
                <w:b/>
                <w:bCs/>
                <w:sz w:val="14"/>
                <w:szCs w:val="14"/>
                <w:lang w:eastAsia="es-DO"/>
              </w:rPr>
              <w:t>220,309,716</w:t>
            </w:r>
          </w:p>
        </w:tc>
        <w:tc>
          <w:tcPr>
            <w:tcW w:w="655" w:type="pct"/>
            <w:tcBorders>
              <w:top w:val="nil"/>
              <w:left w:val="nil"/>
              <w:bottom w:val="single" w:sz="4" w:space="0" w:color="auto"/>
              <w:right w:val="nil"/>
            </w:tcBorders>
            <w:shd w:val="clear" w:color="000000" w:fill="BDD6EE"/>
            <w:vAlign w:val="center"/>
            <w:hideMark/>
          </w:tcPr>
          <w:p w:rsidR="00A53A65" w:rsidRPr="00BE1578" w:rsidRDefault="00A53A65" w:rsidP="00A53A65">
            <w:pPr>
              <w:spacing w:after="0" w:line="240" w:lineRule="auto"/>
              <w:jc w:val="right"/>
              <w:rPr>
                <w:rFonts w:ascii="Artifex CF Light" w:eastAsia="Times New Roman" w:hAnsi="Artifex CF Light" w:cstheme="minorHAnsi"/>
                <w:b/>
                <w:bCs/>
                <w:sz w:val="14"/>
                <w:szCs w:val="14"/>
                <w:lang w:eastAsia="es-DO"/>
              </w:rPr>
            </w:pPr>
            <w:r w:rsidRPr="00BE1578">
              <w:rPr>
                <w:rFonts w:ascii="Artifex CF Light" w:eastAsia="Times New Roman" w:hAnsi="Artifex CF Light" w:cstheme="minorHAnsi"/>
                <w:b/>
                <w:bCs/>
                <w:sz w:val="14"/>
                <w:szCs w:val="14"/>
                <w:lang w:eastAsia="es-DO"/>
              </w:rPr>
              <w:t>206,954,094</w:t>
            </w:r>
          </w:p>
        </w:tc>
        <w:tc>
          <w:tcPr>
            <w:tcW w:w="884" w:type="pct"/>
            <w:tcBorders>
              <w:top w:val="nil"/>
              <w:left w:val="nil"/>
              <w:bottom w:val="single" w:sz="4" w:space="0" w:color="auto"/>
              <w:right w:val="single" w:sz="4" w:space="0" w:color="auto"/>
            </w:tcBorders>
            <w:shd w:val="clear" w:color="000000" w:fill="BDD6EE"/>
            <w:vAlign w:val="center"/>
            <w:hideMark/>
          </w:tcPr>
          <w:p w:rsidR="00A53A65" w:rsidRPr="00BE1578" w:rsidRDefault="00A53A65" w:rsidP="00A53A65">
            <w:pPr>
              <w:spacing w:after="0" w:line="240" w:lineRule="auto"/>
              <w:jc w:val="center"/>
              <w:rPr>
                <w:rFonts w:ascii="Artifex CF Light" w:eastAsia="Times New Roman" w:hAnsi="Artifex CF Light" w:cstheme="minorHAnsi"/>
                <w:b/>
                <w:bCs/>
                <w:sz w:val="14"/>
                <w:szCs w:val="14"/>
                <w:lang w:eastAsia="es-DO"/>
              </w:rPr>
            </w:pPr>
            <w:r w:rsidRPr="00BE1578">
              <w:rPr>
                <w:rFonts w:ascii="Artifex CF Light" w:eastAsia="Times New Roman" w:hAnsi="Artifex CF Light" w:cstheme="minorHAnsi"/>
                <w:b/>
                <w:bCs/>
                <w:sz w:val="14"/>
                <w:szCs w:val="14"/>
                <w:lang w:eastAsia="es-DO"/>
              </w:rPr>
              <w:t>93%</w:t>
            </w:r>
          </w:p>
        </w:tc>
      </w:tr>
    </w:tbl>
    <w:p w:rsidR="00A53A65" w:rsidRPr="00BE1578" w:rsidRDefault="003E0614" w:rsidP="00A53A65">
      <w:pPr>
        <w:pStyle w:val="Caption"/>
        <w:spacing w:after="0"/>
        <w:rPr>
          <w:rFonts w:cs="Arial"/>
          <w:i w:val="0"/>
          <w:color w:val="1F4E79"/>
          <w:sz w:val="14"/>
          <w:szCs w:val="14"/>
        </w:rPr>
      </w:pPr>
      <w:r w:rsidRPr="00BE1578">
        <w:rPr>
          <w:rFonts w:cs="Arial"/>
          <w:b/>
          <w:i w:val="0"/>
          <w:color w:val="1F4E79"/>
          <w:sz w:val="14"/>
          <w:szCs w:val="14"/>
        </w:rPr>
        <w:t xml:space="preserve">Fuente: </w:t>
      </w:r>
      <w:r w:rsidRPr="00BE1578">
        <w:rPr>
          <w:rFonts w:cs="Arial"/>
          <w:i w:val="0"/>
          <w:color w:val="1F4E79"/>
          <w:sz w:val="14"/>
          <w:szCs w:val="14"/>
        </w:rPr>
        <w:t>Departamento de Gestión Alimentaria, INABIE.</w:t>
      </w:r>
    </w:p>
    <w:p w:rsidR="003E0614" w:rsidRPr="00BE1578" w:rsidRDefault="00A53A65" w:rsidP="00A53A65">
      <w:pPr>
        <w:pStyle w:val="Caption"/>
        <w:spacing w:after="0"/>
        <w:rPr>
          <w:rFonts w:cs="Arial"/>
          <w:i w:val="0"/>
          <w:color w:val="1F4E79"/>
          <w:sz w:val="14"/>
          <w:szCs w:val="14"/>
        </w:rPr>
      </w:pPr>
      <w:r w:rsidRPr="00BE1578">
        <w:rPr>
          <w:rFonts w:cs="Arial"/>
          <w:b/>
          <w:i w:val="0"/>
          <w:color w:val="1F4E79"/>
          <w:sz w:val="14"/>
          <w:szCs w:val="14"/>
        </w:rPr>
        <w:t>Nota:</w:t>
      </w:r>
      <w:r w:rsidRPr="00BE1578">
        <w:rPr>
          <w:rFonts w:cs="Arial"/>
          <w:i w:val="0"/>
          <w:color w:val="1F4E79"/>
          <w:sz w:val="14"/>
          <w:szCs w:val="14"/>
        </w:rPr>
        <w:t xml:space="preserve"> Estimación trimestral a partir de la distribución en 4 trimestres por año</w:t>
      </w:r>
      <w:r w:rsidR="003E0614" w:rsidRPr="00BE1578">
        <w:rPr>
          <w:rFonts w:cs="Arial"/>
          <w:i w:val="0"/>
          <w:color w:val="1F4E79"/>
          <w:sz w:val="14"/>
          <w:szCs w:val="14"/>
        </w:rPr>
        <w:t xml:space="preserve">   </w:t>
      </w:r>
    </w:p>
    <w:p w:rsidR="00D95E5D" w:rsidRPr="00D67117" w:rsidRDefault="00D95E5D" w:rsidP="00BE1578">
      <w:pPr>
        <w:pStyle w:val="Heading4"/>
      </w:pPr>
      <w:r w:rsidRPr="00D67117">
        <w:t xml:space="preserve">Canastas de Alimentación Escolar. </w:t>
      </w:r>
    </w:p>
    <w:p w:rsidR="00D95E5D" w:rsidRPr="00BE1578" w:rsidRDefault="00211FD8" w:rsidP="003254B3">
      <w:pPr>
        <w:spacing w:line="360" w:lineRule="auto"/>
        <w:jc w:val="both"/>
      </w:pPr>
      <w:r w:rsidRPr="00BE1578">
        <w:t xml:space="preserve">La entrega de canastas inició el 23 de marzo 2020 y </w:t>
      </w:r>
      <w:r w:rsidR="00931231" w:rsidRPr="00BE1578">
        <w:t xml:space="preserve">su </w:t>
      </w:r>
      <w:r w:rsidRPr="00BE1578">
        <w:t xml:space="preserve">distribución </w:t>
      </w:r>
      <w:r w:rsidR="00931231" w:rsidRPr="00BE1578">
        <w:t xml:space="preserve">está prevista </w:t>
      </w:r>
      <w:r w:rsidRPr="00BE1578">
        <w:t xml:space="preserve">hasta el </w:t>
      </w:r>
      <w:r w:rsidR="00931231" w:rsidRPr="00BE1578">
        <w:t xml:space="preserve">diciembre </w:t>
      </w:r>
      <w:r w:rsidRPr="00BE1578">
        <w:t>2020</w:t>
      </w:r>
      <w:r w:rsidR="00952488" w:rsidRPr="00BE1578">
        <w:t>. Fueron d</w:t>
      </w:r>
      <w:r w:rsidR="00D95E5D" w:rsidRPr="00BE1578">
        <w:t>iseñadas por la Dirección de Alimentación y Nutrición del INABIE</w:t>
      </w:r>
      <w:r w:rsidR="00952488" w:rsidRPr="00BE1578">
        <w:t xml:space="preserve"> y</w:t>
      </w:r>
      <w:r w:rsidR="00D95E5D" w:rsidRPr="00BE1578">
        <w:t xml:space="preserve"> contienen varias opciones de productos alimenticios y/o alimentos que equivalen a las raciones para 5 días para cada escolar y adolescente a los fines de que de evitar la Malnutrición de los mismos y mantener el apoyo a sus familias en este momento donde los estudiantes deberán incursionar en una modalidad de educación a distancia y puedan contar con el Programa de Alimentación Escolar (PAE). </w:t>
      </w:r>
    </w:p>
    <w:p w:rsidR="00D95E5D" w:rsidRPr="00BE1578" w:rsidRDefault="00D95E5D" w:rsidP="00655735">
      <w:pPr>
        <w:spacing w:after="240" w:line="360" w:lineRule="auto"/>
        <w:jc w:val="both"/>
        <w:rPr>
          <w:b/>
          <w:szCs w:val="18"/>
        </w:rPr>
      </w:pPr>
      <w:r w:rsidRPr="00BE1578">
        <w:rPr>
          <w:szCs w:val="18"/>
        </w:rPr>
        <w:t xml:space="preserve">El contenido de la Canasta se concibió con alimentos o productos alimenticios no perecederos y algunos perecederos transcendentales para la nutrición de nuestra población escolar, tales como: </w:t>
      </w:r>
      <w:r w:rsidRPr="00BE1578">
        <w:rPr>
          <w:rFonts w:eastAsia="MS Mincho"/>
          <w:bCs/>
          <w:i/>
          <w:szCs w:val="18"/>
        </w:rPr>
        <w:t xml:space="preserve">Cereales: </w:t>
      </w:r>
      <w:r w:rsidRPr="00BE1578">
        <w:rPr>
          <w:szCs w:val="18"/>
        </w:rPr>
        <w:t>Arroz, Galletas De Avena</w:t>
      </w:r>
      <w:r w:rsidRPr="00BE1578">
        <w:rPr>
          <w:b/>
          <w:szCs w:val="18"/>
        </w:rPr>
        <w:t xml:space="preserve">; </w:t>
      </w:r>
      <w:r w:rsidRPr="00BE1578">
        <w:rPr>
          <w:rFonts w:eastAsia="MS Mincho"/>
          <w:bCs/>
          <w:i/>
          <w:szCs w:val="18"/>
        </w:rPr>
        <w:t>cereales fortificados:</w:t>
      </w:r>
      <w:r w:rsidRPr="00BE1578">
        <w:rPr>
          <w:szCs w:val="18"/>
        </w:rPr>
        <w:t xml:space="preserve"> Pastas Alimenticias; </w:t>
      </w:r>
      <w:r w:rsidRPr="00BE1578">
        <w:rPr>
          <w:rFonts w:eastAsia="MS Mincho"/>
          <w:bCs/>
          <w:i/>
          <w:szCs w:val="18"/>
        </w:rPr>
        <w:t>Leguminosas:</w:t>
      </w:r>
      <w:r w:rsidRPr="00BE1578">
        <w:rPr>
          <w:szCs w:val="18"/>
        </w:rPr>
        <w:t xml:space="preserve"> Habichuelas Giritas; </w:t>
      </w:r>
      <w:r w:rsidRPr="00BE1578">
        <w:rPr>
          <w:rFonts w:eastAsia="MS Mincho"/>
          <w:bCs/>
          <w:i/>
          <w:szCs w:val="18"/>
        </w:rPr>
        <w:t xml:space="preserve">Grasas: </w:t>
      </w:r>
      <w:r w:rsidRPr="00BE1578">
        <w:rPr>
          <w:szCs w:val="18"/>
        </w:rPr>
        <w:t>Aceite Vegetal</w:t>
      </w:r>
      <w:r w:rsidRPr="00BE1578">
        <w:rPr>
          <w:b/>
          <w:szCs w:val="18"/>
        </w:rPr>
        <w:t xml:space="preserve">; </w:t>
      </w:r>
      <w:r w:rsidRPr="00BE1578">
        <w:rPr>
          <w:rFonts w:eastAsia="MS Mincho"/>
          <w:bCs/>
          <w:i/>
          <w:szCs w:val="18"/>
        </w:rPr>
        <w:t>Proteínas de origen animal:</w:t>
      </w:r>
      <w:r w:rsidRPr="00BE1578">
        <w:rPr>
          <w:szCs w:val="18"/>
        </w:rPr>
        <w:t xml:space="preserve"> Sardinas Enlatadas y Huevos</w:t>
      </w:r>
      <w:r w:rsidRPr="00BE1578">
        <w:rPr>
          <w:b/>
          <w:szCs w:val="18"/>
        </w:rPr>
        <w:t xml:space="preserve">; </w:t>
      </w:r>
      <w:r w:rsidRPr="00BE1578">
        <w:rPr>
          <w:rFonts w:eastAsia="MS Mincho"/>
          <w:bCs/>
          <w:i/>
          <w:szCs w:val="18"/>
        </w:rPr>
        <w:t>Frutas, verduras y hortalizas:</w:t>
      </w:r>
      <w:r w:rsidRPr="00BE1578">
        <w:rPr>
          <w:szCs w:val="18"/>
        </w:rPr>
        <w:t xml:space="preserve"> Guineo Maduro</w:t>
      </w:r>
      <w:r w:rsidRPr="00BE1578">
        <w:rPr>
          <w:b/>
          <w:szCs w:val="18"/>
        </w:rPr>
        <w:t xml:space="preserve">; </w:t>
      </w:r>
      <w:r w:rsidRPr="00BE1578">
        <w:rPr>
          <w:rFonts w:eastAsia="MS Mincho"/>
          <w:bCs/>
          <w:i/>
          <w:szCs w:val="18"/>
        </w:rPr>
        <w:t>Lácteos:</w:t>
      </w:r>
      <w:r w:rsidRPr="00BE1578">
        <w:rPr>
          <w:szCs w:val="18"/>
        </w:rPr>
        <w:t xml:space="preserve"> Leche UHT y Preparado Lácteo (Centros Educativos bajo las modalidades Rural y Fronterizos). </w:t>
      </w:r>
    </w:p>
    <w:p w:rsidR="007D19F6" w:rsidRPr="00BE1578" w:rsidRDefault="00172495" w:rsidP="003254B3">
      <w:pPr>
        <w:spacing w:after="0" w:line="360" w:lineRule="auto"/>
        <w:jc w:val="both"/>
        <w:rPr>
          <w:b/>
          <w:szCs w:val="18"/>
          <w:lang w:val="es-ES"/>
        </w:rPr>
      </w:pPr>
      <w:r w:rsidRPr="00BE1578">
        <w:rPr>
          <w:rStyle w:val="FootnoteReference"/>
          <w:szCs w:val="18"/>
        </w:rPr>
        <w:footnoteReference w:id="5"/>
      </w:r>
      <w:r w:rsidR="007D19F6" w:rsidRPr="00BE1578">
        <w:rPr>
          <w:b/>
          <w:szCs w:val="18"/>
          <w:lang w:val="es-ES"/>
        </w:rPr>
        <w:t xml:space="preserve"> </w:t>
      </w:r>
      <w:r w:rsidR="007D19F6" w:rsidRPr="00BE1578">
        <w:rPr>
          <w:b/>
          <w:szCs w:val="18"/>
        </w:rPr>
        <w:t>La entrega de Canastas de Alimentación Escolar inició</w:t>
      </w:r>
      <w:r w:rsidR="007D19F6" w:rsidRPr="00BE1578">
        <w:rPr>
          <w:b/>
          <w:szCs w:val="18"/>
        </w:rPr>
        <w:footnoteReference w:id="6"/>
      </w:r>
      <w:r w:rsidR="007D19F6" w:rsidRPr="00BE1578">
        <w:rPr>
          <w:b/>
          <w:szCs w:val="18"/>
        </w:rPr>
        <w:t xml:space="preserve"> desde el 23 de marzo 2020 al 12 de noviembre de 2020 se entregaron 10</w:t>
      </w:r>
      <w:proofErr w:type="gramStart"/>
      <w:r w:rsidR="007D19F6" w:rsidRPr="00BE1578">
        <w:rPr>
          <w:b/>
          <w:szCs w:val="18"/>
        </w:rPr>
        <w:t>,029,083</w:t>
      </w:r>
      <w:proofErr w:type="gramEnd"/>
      <w:r w:rsidR="007D19F6" w:rsidRPr="00BE1578">
        <w:rPr>
          <w:b/>
          <w:szCs w:val="18"/>
        </w:rPr>
        <w:t xml:space="preserve"> Canastas de Alimentación Escolar a un total de 975,609 estudiantes que representan el 56% de la matrícula atendida por el PAE de 1,744,222 escolares. En relación a los Centros Educativos, el PAE cubrió un total de 3,562 Centros, lo que representa el 60% de los 5,944 Centros Educativos a nivel nacional.</w:t>
      </w:r>
      <w:r w:rsidR="007D19F6" w:rsidRPr="00BE1578">
        <w:rPr>
          <w:b/>
          <w:szCs w:val="18"/>
          <w:lang w:val="es-ES"/>
        </w:rPr>
        <w:t xml:space="preserve"> </w:t>
      </w:r>
    </w:p>
    <w:p w:rsidR="00A274A4" w:rsidRPr="00BE1578" w:rsidRDefault="00A274A4" w:rsidP="00655735">
      <w:pPr>
        <w:spacing w:after="0" w:line="360" w:lineRule="auto"/>
        <w:jc w:val="both"/>
        <w:rPr>
          <w:szCs w:val="18"/>
        </w:rPr>
      </w:pPr>
    </w:p>
    <w:p w:rsidR="003E0614" w:rsidRPr="00BE1578" w:rsidRDefault="00A274A4" w:rsidP="00655735">
      <w:pPr>
        <w:keepNext/>
        <w:spacing w:after="200" w:line="360" w:lineRule="auto"/>
        <w:jc w:val="both"/>
        <w:rPr>
          <w:b/>
          <w:szCs w:val="18"/>
        </w:rPr>
      </w:pPr>
      <w:r w:rsidRPr="00BE1578">
        <w:rPr>
          <w:b/>
          <w:szCs w:val="18"/>
        </w:rPr>
        <w:t xml:space="preserve">En relación a los Centros Educativos, el PAE cubrió un total de </w:t>
      </w:r>
      <w:r w:rsidR="007E013E" w:rsidRPr="00BE1578">
        <w:rPr>
          <w:b/>
          <w:szCs w:val="18"/>
        </w:rPr>
        <w:t>3,506</w:t>
      </w:r>
      <w:r w:rsidRPr="00BE1578">
        <w:rPr>
          <w:b/>
          <w:szCs w:val="18"/>
        </w:rPr>
        <w:t xml:space="preserve"> Centros, lo que representa el 59% de los </w:t>
      </w:r>
      <w:r w:rsidR="003E0614" w:rsidRPr="00BE1578">
        <w:rPr>
          <w:b/>
          <w:szCs w:val="18"/>
        </w:rPr>
        <w:t>5,9</w:t>
      </w:r>
      <w:r w:rsidR="007E013E" w:rsidRPr="00BE1578">
        <w:rPr>
          <w:b/>
          <w:szCs w:val="18"/>
        </w:rPr>
        <w:t>44</w:t>
      </w:r>
      <w:r w:rsidR="003E0614" w:rsidRPr="00BE1578">
        <w:rPr>
          <w:b/>
          <w:szCs w:val="18"/>
        </w:rPr>
        <w:t xml:space="preserve"> Centros Educativos a nivel nacional.</w:t>
      </w:r>
    </w:p>
    <w:p w:rsidR="00031716" w:rsidRPr="00BE1578" w:rsidRDefault="0045719D" w:rsidP="00383B5B">
      <w:pPr>
        <w:pStyle w:val="NoSpacing"/>
        <w:spacing w:after="240" w:line="360" w:lineRule="auto"/>
        <w:jc w:val="both"/>
        <w:rPr>
          <w:rFonts w:ascii="Artifex CF Extra Light" w:hAnsi="Artifex CF Extra Light"/>
          <w:b/>
          <w:color w:val="1F4E79"/>
          <w:sz w:val="18"/>
          <w:szCs w:val="18"/>
          <w:lang w:val="es-ES"/>
        </w:rPr>
      </w:pPr>
      <w:r w:rsidRPr="00BE1578">
        <w:rPr>
          <w:rStyle w:val="FootnoteReference"/>
          <w:rFonts w:ascii="Artifex CF Extra Light" w:hAnsi="Artifex CF Extra Light"/>
          <w:b/>
          <w:color w:val="1F4E79"/>
          <w:sz w:val="18"/>
          <w:szCs w:val="18"/>
        </w:rPr>
        <w:footnoteReference w:id="7"/>
      </w:r>
      <w:r w:rsidR="00031716" w:rsidRPr="00BE1578">
        <w:rPr>
          <w:rFonts w:ascii="Artifex CF Extra Light" w:hAnsi="Artifex CF Extra Light"/>
          <w:b/>
          <w:color w:val="1F4E79"/>
          <w:sz w:val="18"/>
          <w:szCs w:val="18"/>
          <w:lang w:val="es-ES"/>
        </w:rPr>
        <w:t xml:space="preserve"> En términos de raciones alimenticias, desde enero al 12 noviembre 2020 se distribuyeron unas 257</w:t>
      </w:r>
      <w:proofErr w:type="gramStart"/>
      <w:r w:rsidR="00031716" w:rsidRPr="00BE1578">
        <w:rPr>
          <w:rFonts w:ascii="Artifex CF Extra Light" w:hAnsi="Artifex CF Extra Light"/>
          <w:b/>
          <w:color w:val="1F4E79"/>
          <w:sz w:val="18"/>
          <w:szCs w:val="18"/>
          <w:lang w:val="es-ES"/>
        </w:rPr>
        <w:t>,099,509</w:t>
      </w:r>
      <w:proofErr w:type="gramEnd"/>
      <w:r w:rsidR="00031716" w:rsidRPr="00BE1578">
        <w:rPr>
          <w:rFonts w:ascii="Artifex CF Extra Light" w:hAnsi="Artifex CF Extra Light"/>
          <w:b/>
          <w:color w:val="1F4E79"/>
          <w:sz w:val="18"/>
          <w:szCs w:val="18"/>
          <w:lang w:val="es-ES"/>
        </w:rPr>
        <w:t xml:space="preserve"> raciones, para una ejecución de un 50% sobre lo programado, debido a la suspensión de las clases por la cuarentena a partir de la última semana de marzo. </w:t>
      </w:r>
    </w:p>
    <w:p w:rsidR="001A6F35" w:rsidRPr="00BE1578" w:rsidRDefault="00031716" w:rsidP="00383B5B">
      <w:pPr>
        <w:pStyle w:val="NoSpacing"/>
        <w:spacing w:after="240" w:line="360" w:lineRule="auto"/>
        <w:jc w:val="both"/>
        <w:rPr>
          <w:rFonts w:ascii="Artifex CF Extra Light" w:hAnsi="Artifex CF Extra Light"/>
          <w:b/>
          <w:color w:val="1F4E79"/>
          <w:sz w:val="18"/>
          <w:szCs w:val="18"/>
          <w:lang w:val="es-ES"/>
        </w:rPr>
      </w:pPr>
      <w:r w:rsidRPr="00BE1578">
        <w:rPr>
          <w:rFonts w:ascii="Artifex CF Extra Light" w:hAnsi="Artifex CF Extra Light"/>
          <w:b/>
          <w:color w:val="1F4E79"/>
          <w:sz w:val="18"/>
          <w:szCs w:val="18"/>
          <w:lang w:val="es-ES"/>
        </w:rPr>
        <w:t>Durante el 1er. trimestre de 2020 se contabilizaron: en Tanda Extendida se distribuyeron en total 221</w:t>
      </w:r>
      <w:proofErr w:type="gramStart"/>
      <w:r w:rsidRPr="00BE1578">
        <w:rPr>
          <w:rFonts w:ascii="Artifex CF Extra Light" w:hAnsi="Artifex CF Extra Light"/>
          <w:b/>
          <w:color w:val="1F4E79"/>
          <w:sz w:val="18"/>
          <w:szCs w:val="18"/>
          <w:lang w:val="es-ES"/>
        </w:rPr>
        <w:t>,279,835</w:t>
      </w:r>
      <w:proofErr w:type="gramEnd"/>
      <w:r w:rsidRPr="00BE1578">
        <w:rPr>
          <w:rFonts w:ascii="Artifex CF Extra Light" w:hAnsi="Artifex CF Extra Light"/>
          <w:b/>
          <w:color w:val="1F4E79"/>
          <w:sz w:val="18"/>
          <w:szCs w:val="18"/>
          <w:lang w:val="es-ES"/>
        </w:rPr>
        <w:t xml:space="preserve"> a estudiantes, maestros y personal de apoyo de los centros educativos; desagregada en los siguientes servicios: Desayuno 60,417,371; Almuerzo 100,445,093; Merienda 60,417,323. Mientras en las escuelas de Media Tanda se distribuyeron en total 21</w:t>
      </w:r>
      <w:proofErr w:type="gramStart"/>
      <w:r w:rsidRPr="00BE1578">
        <w:rPr>
          <w:rFonts w:ascii="Artifex CF Extra Light" w:hAnsi="Artifex CF Extra Light"/>
          <w:b/>
          <w:color w:val="1F4E79"/>
          <w:sz w:val="18"/>
          <w:szCs w:val="18"/>
          <w:lang w:val="es-ES"/>
        </w:rPr>
        <w:t>,450,029</w:t>
      </w:r>
      <w:proofErr w:type="gramEnd"/>
      <w:r w:rsidRPr="00BE1578">
        <w:rPr>
          <w:rFonts w:ascii="Artifex CF Extra Light" w:hAnsi="Artifex CF Extra Light"/>
          <w:b/>
          <w:color w:val="1F4E79"/>
          <w:sz w:val="18"/>
          <w:szCs w:val="18"/>
          <w:lang w:val="es-ES"/>
        </w:rPr>
        <w:t xml:space="preserve"> raciones, desagregadas en los siguientes servicios: Desayuno 16,237,353; Merienda 5,212,676.  </w:t>
      </w:r>
    </w:p>
    <w:p w:rsidR="001A6F35" w:rsidRPr="00BE1578" w:rsidRDefault="00C760E5" w:rsidP="001A6F35">
      <w:pPr>
        <w:spacing w:after="0"/>
        <w:jc w:val="center"/>
        <w:rPr>
          <w:rFonts w:asciiTheme="majorHAnsi" w:hAnsiTheme="majorHAnsi" w:cstheme="majorHAnsi"/>
          <w:b/>
        </w:rPr>
      </w:pPr>
      <w:r w:rsidRPr="00BE1578">
        <w:rPr>
          <w:rFonts w:asciiTheme="majorHAnsi" w:hAnsiTheme="majorHAnsi" w:cstheme="majorHAnsi"/>
          <w:b/>
          <w:i/>
        </w:rPr>
        <w:lastRenderedPageBreak/>
        <w:t>Tabla No. 2</w:t>
      </w:r>
    </w:p>
    <w:p w:rsidR="001A6F35" w:rsidRPr="00BE1578" w:rsidRDefault="001A6F35" w:rsidP="001A6F35">
      <w:pPr>
        <w:pStyle w:val="Caption"/>
        <w:keepNext/>
        <w:spacing w:after="0"/>
        <w:jc w:val="center"/>
        <w:rPr>
          <w:rFonts w:ascii="Artifex CF Light" w:hAnsi="Artifex CF Light" w:cstheme="majorHAnsi"/>
          <w:b/>
          <w:i w:val="0"/>
          <w:color w:val="1F4E79"/>
          <w:lang w:val="es-DO"/>
        </w:rPr>
      </w:pPr>
      <w:r w:rsidRPr="00BE1578">
        <w:rPr>
          <w:rFonts w:ascii="Artifex CF Light" w:hAnsi="Artifex CF Light" w:cstheme="majorHAnsi"/>
          <w:b/>
          <w:i w:val="0"/>
          <w:color w:val="1F4E79"/>
          <w:lang w:val="es-DO"/>
        </w:rPr>
        <w:t>Raciones Distribuidas, Semestre enero-junio 2020</w:t>
      </w:r>
    </w:p>
    <w:tbl>
      <w:tblPr>
        <w:tblW w:w="5000" w:type="pct"/>
        <w:tblCellMar>
          <w:left w:w="70" w:type="dxa"/>
          <w:right w:w="70" w:type="dxa"/>
        </w:tblCellMar>
        <w:tblLook w:val="04A0" w:firstRow="1" w:lastRow="0" w:firstColumn="1" w:lastColumn="0" w:noHBand="0" w:noVBand="1"/>
      </w:tblPr>
      <w:tblGrid>
        <w:gridCol w:w="2452"/>
        <w:gridCol w:w="2182"/>
        <w:gridCol w:w="1398"/>
        <w:gridCol w:w="1898"/>
      </w:tblGrid>
      <w:tr w:rsidR="001A6F35" w:rsidRPr="00F03025" w:rsidTr="00ED4884">
        <w:trPr>
          <w:trHeight w:val="615"/>
        </w:trPr>
        <w:tc>
          <w:tcPr>
            <w:tcW w:w="1632" w:type="pct"/>
            <w:shd w:val="clear" w:color="auto" w:fill="2867A0"/>
            <w:vAlign w:val="center"/>
            <w:hideMark/>
          </w:tcPr>
          <w:p w:rsidR="001A6F35" w:rsidRPr="00F03025" w:rsidRDefault="001A6F35" w:rsidP="00781C6A">
            <w:pPr>
              <w:spacing w:after="0" w:line="240" w:lineRule="auto"/>
              <w:jc w:val="center"/>
              <w:rPr>
                <w:rFonts w:ascii="Artifex CF Light" w:eastAsia="Times New Roman" w:hAnsi="Artifex CF Light" w:cs="Calibri Light"/>
                <w:b/>
                <w:bCs/>
                <w:color w:val="FFFFFF"/>
                <w:lang w:eastAsia="es-DO"/>
              </w:rPr>
            </w:pPr>
            <w:r w:rsidRPr="00F03025">
              <w:rPr>
                <w:rFonts w:ascii="Artifex CF Light" w:eastAsia="Times New Roman" w:hAnsi="Artifex CF Light" w:cs="Calibri Light"/>
                <w:b/>
                <w:bCs/>
                <w:color w:val="FFFFFF"/>
                <w:lang w:eastAsia="es-DO"/>
              </w:rPr>
              <w:t>Servicio</w:t>
            </w:r>
          </w:p>
        </w:tc>
        <w:tc>
          <w:tcPr>
            <w:tcW w:w="1119" w:type="pct"/>
            <w:shd w:val="clear" w:color="auto" w:fill="2867A0"/>
            <w:noWrap/>
            <w:vAlign w:val="center"/>
            <w:hideMark/>
          </w:tcPr>
          <w:p w:rsidR="001A6F35" w:rsidRPr="00F03025" w:rsidRDefault="001A6F35" w:rsidP="00781C6A">
            <w:pPr>
              <w:spacing w:after="0" w:line="240" w:lineRule="auto"/>
              <w:jc w:val="center"/>
              <w:rPr>
                <w:rFonts w:ascii="Artifex CF Light" w:eastAsia="Times New Roman" w:hAnsi="Artifex CF Light" w:cs="Calibri Light"/>
                <w:b/>
                <w:bCs/>
                <w:color w:val="FFFFFF"/>
                <w:lang w:eastAsia="es-DO"/>
              </w:rPr>
            </w:pPr>
            <w:r w:rsidRPr="00F03025">
              <w:rPr>
                <w:rFonts w:ascii="Artifex CF Light" w:eastAsia="Times New Roman" w:hAnsi="Artifex CF Light" w:cs="Calibri Light"/>
                <w:b/>
                <w:bCs/>
                <w:color w:val="FFFFFF"/>
                <w:lang w:eastAsia="es-DO"/>
              </w:rPr>
              <w:t>Raciones Programadas</w:t>
            </w:r>
            <w:r w:rsidRPr="00F03025">
              <w:rPr>
                <w:rFonts w:ascii="Calibri" w:eastAsia="Times New Roman" w:hAnsi="Calibri" w:cs="Calibri"/>
                <w:color w:val="000000"/>
                <w:lang w:eastAsia="es-DO"/>
              </w:rPr>
              <w:t> </w:t>
            </w:r>
          </w:p>
        </w:tc>
        <w:tc>
          <w:tcPr>
            <w:tcW w:w="967" w:type="pct"/>
            <w:shd w:val="clear" w:color="auto" w:fill="2867A0"/>
            <w:vAlign w:val="center"/>
            <w:hideMark/>
          </w:tcPr>
          <w:p w:rsidR="001A6F35" w:rsidRPr="00F03025" w:rsidRDefault="001A6F35" w:rsidP="00781C6A">
            <w:pPr>
              <w:spacing w:after="0" w:line="240" w:lineRule="auto"/>
              <w:jc w:val="center"/>
              <w:rPr>
                <w:rFonts w:ascii="Artifex CF Light" w:eastAsia="Times New Roman" w:hAnsi="Artifex CF Light" w:cs="Calibri Light"/>
                <w:b/>
                <w:bCs/>
                <w:color w:val="FFFFFF"/>
                <w:lang w:eastAsia="es-DO"/>
              </w:rPr>
            </w:pPr>
            <w:r w:rsidRPr="00F03025">
              <w:rPr>
                <w:rFonts w:ascii="Artifex CF Light" w:eastAsia="Times New Roman" w:hAnsi="Artifex CF Light" w:cs="Calibri Light"/>
                <w:b/>
                <w:bCs/>
                <w:color w:val="FFFFFF"/>
                <w:lang w:eastAsia="es-DO"/>
              </w:rPr>
              <w:t>Ejecutado</w:t>
            </w:r>
            <w:r w:rsidRPr="00F03025">
              <w:rPr>
                <w:rFonts w:ascii="Calibri" w:eastAsia="Times New Roman" w:hAnsi="Calibri" w:cs="Calibri"/>
                <w:color w:val="000000"/>
                <w:lang w:eastAsia="es-DO"/>
              </w:rPr>
              <w:t> </w:t>
            </w:r>
          </w:p>
        </w:tc>
        <w:tc>
          <w:tcPr>
            <w:tcW w:w="1282" w:type="pct"/>
            <w:shd w:val="clear" w:color="auto" w:fill="2867A0"/>
            <w:vAlign w:val="center"/>
            <w:hideMark/>
          </w:tcPr>
          <w:p w:rsidR="001A6F35" w:rsidRPr="00F03025" w:rsidRDefault="001A6F35" w:rsidP="00781C6A">
            <w:pPr>
              <w:spacing w:after="0" w:line="240" w:lineRule="auto"/>
              <w:jc w:val="center"/>
              <w:rPr>
                <w:rFonts w:ascii="Artifex CF Light" w:eastAsia="Times New Roman" w:hAnsi="Artifex CF Light" w:cs="Calibri Light"/>
                <w:b/>
                <w:bCs/>
                <w:color w:val="FFFFFF"/>
                <w:lang w:eastAsia="es-DO"/>
              </w:rPr>
            </w:pPr>
            <w:r w:rsidRPr="00F03025">
              <w:rPr>
                <w:rFonts w:ascii="Artifex CF Light" w:eastAsia="Times New Roman" w:hAnsi="Artifex CF Light" w:cs="Calibri Light"/>
                <w:b/>
                <w:bCs/>
                <w:color w:val="FFFFFF"/>
                <w:lang w:eastAsia="es-DO"/>
              </w:rPr>
              <w:t>% Ejecutado</w:t>
            </w:r>
            <w:r w:rsidRPr="00F03025">
              <w:rPr>
                <w:rFonts w:ascii="Calibri" w:eastAsia="Times New Roman" w:hAnsi="Calibri" w:cs="Calibri"/>
                <w:color w:val="000000"/>
                <w:lang w:eastAsia="es-DO"/>
              </w:rPr>
              <w:t> </w:t>
            </w:r>
          </w:p>
        </w:tc>
      </w:tr>
      <w:tr w:rsidR="00ED4884" w:rsidRPr="00BE1578" w:rsidTr="00ED4884">
        <w:trPr>
          <w:trHeight w:val="20"/>
        </w:trPr>
        <w:tc>
          <w:tcPr>
            <w:tcW w:w="1632" w:type="pct"/>
            <w:shd w:val="clear" w:color="auto" w:fill="auto"/>
            <w:vAlign w:val="center"/>
            <w:hideMark/>
          </w:tcPr>
          <w:p w:rsidR="001A6F35" w:rsidRPr="00BE1578" w:rsidRDefault="001A6F35" w:rsidP="00781C6A">
            <w:pPr>
              <w:spacing w:after="0" w:line="240" w:lineRule="auto"/>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Desayuno  Tanda Completa</w:t>
            </w:r>
          </w:p>
        </w:tc>
        <w:tc>
          <w:tcPr>
            <w:tcW w:w="1119" w:type="pct"/>
            <w:shd w:val="clear" w:color="auto" w:fill="auto"/>
            <w:vAlign w:val="center"/>
            <w:hideMark/>
          </w:tcPr>
          <w:p w:rsidR="001A6F35" w:rsidRPr="00BE1578" w:rsidRDefault="001A6F35" w:rsidP="00E80139">
            <w:pPr>
              <w:spacing w:after="0" w:line="240" w:lineRule="auto"/>
              <w:jc w:val="center"/>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143,915,098</w:t>
            </w:r>
          </w:p>
        </w:tc>
        <w:tc>
          <w:tcPr>
            <w:tcW w:w="967" w:type="pct"/>
            <w:shd w:val="clear" w:color="auto" w:fill="auto"/>
            <w:vAlign w:val="center"/>
            <w:hideMark/>
          </w:tcPr>
          <w:p w:rsidR="001A6F35" w:rsidRPr="00BE1578" w:rsidRDefault="001A6F35" w:rsidP="00E80139">
            <w:pPr>
              <w:spacing w:after="0" w:line="240" w:lineRule="auto"/>
              <w:jc w:val="center"/>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60,417,371</w:t>
            </w:r>
          </w:p>
        </w:tc>
        <w:tc>
          <w:tcPr>
            <w:tcW w:w="1282" w:type="pct"/>
            <w:shd w:val="clear" w:color="auto" w:fill="auto"/>
            <w:vAlign w:val="center"/>
            <w:hideMark/>
          </w:tcPr>
          <w:p w:rsidR="001A6F35" w:rsidRPr="00BE1578" w:rsidRDefault="001A6F35" w:rsidP="00E80139">
            <w:pPr>
              <w:spacing w:after="0" w:line="240" w:lineRule="auto"/>
              <w:jc w:val="center"/>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42%</w:t>
            </w:r>
          </w:p>
        </w:tc>
      </w:tr>
      <w:tr w:rsidR="00ED4884" w:rsidRPr="00BE1578" w:rsidTr="00ED4884">
        <w:trPr>
          <w:trHeight w:val="20"/>
        </w:trPr>
        <w:tc>
          <w:tcPr>
            <w:tcW w:w="1632" w:type="pct"/>
            <w:shd w:val="clear" w:color="auto" w:fill="auto"/>
            <w:vAlign w:val="center"/>
            <w:hideMark/>
          </w:tcPr>
          <w:p w:rsidR="001A6F35" w:rsidRPr="00BE1578" w:rsidRDefault="001A6F35" w:rsidP="00781C6A">
            <w:pPr>
              <w:spacing w:after="0" w:line="240" w:lineRule="auto"/>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Almuerzo Tanda Completa</w:t>
            </w:r>
          </w:p>
        </w:tc>
        <w:tc>
          <w:tcPr>
            <w:tcW w:w="1119" w:type="pct"/>
            <w:shd w:val="clear" w:color="auto" w:fill="auto"/>
            <w:vAlign w:val="center"/>
            <w:hideMark/>
          </w:tcPr>
          <w:p w:rsidR="001A6F35" w:rsidRPr="00BE1578" w:rsidRDefault="001A6F35" w:rsidP="00E80139">
            <w:pPr>
              <w:spacing w:after="0" w:line="240" w:lineRule="auto"/>
              <w:jc w:val="center"/>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143,915,098</w:t>
            </w:r>
          </w:p>
        </w:tc>
        <w:tc>
          <w:tcPr>
            <w:tcW w:w="967" w:type="pct"/>
            <w:shd w:val="clear" w:color="auto" w:fill="auto"/>
            <w:vAlign w:val="center"/>
            <w:hideMark/>
          </w:tcPr>
          <w:p w:rsidR="001A6F35" w:rsidRPr="00BE1578" w:rsidRDefault="001A6F35" w:rsidP="00E80139">
            <w:pPr>
              <w:spacing w:after="0" w:line="240" w:lineRule="auto"/>
              <w:jc w:val="center"/>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100,445,093</w:t>
            </w:r>
          </w:p>
        </w:tc>
        <w:tc>
          <w:tcPr>
            <w:tcW w:w="1282" w:type="pct"/>
            <w:shd w:val="clear" w:color="auto" w:fill="auto"/>
            <w:vAlign w:val="center"/>
            <w:hideMark/>
          </w:tcPr>
          <w:p w:rsidR="001A6F35" w:rsidRPr="00BE1578" w:rsidRDefault="001A6F35" w:rsidP="00E80139">
            <w:pPr>
              <w:spacing w:after="0" w:line="240" w:lineRule="auto"/>
              <w:jc w:val="center"/>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70%</w:t>
            </w:r>
          </w:p>
        </w:tc>
      </w:tr>
      <w:tr w:rsidR="00ED4884" w:rsidRPr="00BE1578" w:rsidTr="00ED4884">
        <w:trPr>
          <w:trHeight w:val="20"/>
        </w:trPr>
        <w:tc>
          <w:tcPr>
            <w:tcW w:w="1632" w:type="pct"/>
            <w:shd w:val="clear" w:color="auto" w:fill="auto"/>
            <w:vAlign w:val="center"/>
            <w:hideMark/>
          </w:tcPr>
          <w:p w:rsidR="001A6F35" w:rsidRPr="00BE1578" w:rsidRDefault="001A6F35" w:rsidP="00781C6A">
            <w:pPr>
              <w:spacing w:after="0" w:line="240" w:lineRule="auto"/>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Merienda Tanda Completa</w:t>
            </w:r>
          </w:p>
        </w:tc>
        <w:tc>
          <w:tcPr>
            <w:tcW w:w="1119" w:type="pct"/>
            <w:shd w:val="clear" w:color="auto" w:fill="auto"/>
            <w:vAlign w:val="center"/>
            <w:hideMark/>
          </w:tcPr>
          <w:p w:rsidR="001A6F35" w:rsidRPr="00BE1578" w:rsidRDefault="001A6F35" w:rsidP="00E80139">
            <w:pPr>
              <w:spacing w:after="0" w:line="240" w:lineRule="auto"/>
              <w:jc w:val="center"/>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143,915,098</w:t>
            </w:r>
          </w:p>
        </w:tc>
        <w:tc>
          <w:tcPr>
            <w:tcW w:w="967" w:type="pct"/>
            <w:shd w:val="clear" w:color="auto" w:fill="auto"/>
            <w:vAlign w:val="center"/>
            <w:hideMark/>
          </w:tcPr>
          <w:p w:rsidR="001A6F35" w:rsidRPr="00BE1578" w:rsidRDefault="001A6F35" w:rsidP="00E80139">
            <w:pPr>
              <w:spacing w:after="0" w:line="240" w:lineRule="auto"/>
              <w:jc w:val="center"/>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60,417,371</w:t>
            </w:r>
          </w:p>
        </w:tc>
        <w:tc>
          <w:tcPr>
            <w:tcW w:w="1282" w:type="pct"/>
            <w:shd w:val="clear" w:color="auto" w:fill="auto"/>
            <w:vAlign w:val="center"/>
            <w:hideMark/>
          </w:tcPr>
          <w:p w:rsidR="001A6F35" w:rsidRPr="00BE1578" w:rsidRDefault="001A6F35" w:rsidP="00E80139">
            <w:pPr>
              <w:spacing w:after="0" w:line="240" w:lineRule="auto"/>
              <w:jc w:val="center"/>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42%</w:t>
            </w:r>
          </w:p>
        </w:tc>
      </w:tr>
      <w:tr w:rsidR="00ED4884" w:rsidRPr="00BE1578" w:rsidTr="00ED4884">
        <w:trPr>
          <w:trHeight w:val="20"/>
        </w:trPr>
        <w:tc>
          <w:tcPr>
            <w:tcW w:w="1632" w:type="pct"/>
            <w:shd w:val="clear" w:color="auto" w:fill="auto"/>
            <w:vAlign w:val="center"/>
            <w:hideMark/>
          </w:tcPr>
          <w:p w:rsidR="001A6F35" w:rsidRPr="00BE1578" w:rsidRDefault="001A6F35" w:rsidP="00781C6A">
            <w:pPr>
              <w:spacing w:after="0" w:line="240" w:lineRule="auto"/>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Desayuno Media tanda</w:t>
            </w:r>
          </w:p>
        </w:tc>
        <w:tc>
          <w:tcPr>
            <w:tcW w:w="1119" w:type="pct"/>
            <w:shd w:val="clear" w:color="auto" w:fill="auto"/>
            <w:vAlign w:val="center"/>
            <w:hideMark/>
          </w:tcPr>
          <w:p w:rsidR="001A6F35" w:rsidRPr="00BE1578" w:rsidRDefault="001A6F35" w:rsidP="00E80139">
            <w:pPr>
              <w:spacing w:after="0" w:line="240" w:lineRule="auto"/>
              <w:jc w:val="center"/>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38,563,579</w:t>
            </w:r>
          </w:p>
        </w:tc>
        <w:tc>
          <w:tcPr>
            <w:tcW w:w="967" w:type="pct"/>
            <w:shd w:val="clear" w:color="auto" w:fill="auto"/>
            <w:vAlign w:val="center"/>
            <w:hideMark/>
          </w:tcPr>
          <w:p w:rsidR="001A6F35" w:rsidRPr="00BE1578" w:rsidRDefault="001A6F35" w:rsidP="00E80139">
            <w:pPr>
              <w:spacing w:after="0" w:line="240" w:lineRule="auto"/>
              <w:jc w:val="center"/>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16,237,353</w:t>
            </w:r>
          </w:p>
        </w:tc>
        <w:tc>
          <w:tcPr>
            <w:tcW w:w="1282" w:type="pct"/>
            <w:shd w:val="clear" w:color="auto" w:fill="auto"/>
            <w:vAlign w:val="center"/>
            <w:hideMark/>
          </w:tcPr>
          <w:p w:rsidR="001A6F35" w:rsidRPr="00BE1578" w:rsidRDefault="001A6F35" w:rsidP="00E80139">
            <w:pPr>
              <w:spacing w:after="0" w:line="240" w:lineRule="auto"/>
              <w:jc w:val="center"/>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42%</w:t>
            </w:r>
          </w:p>
        </w:tc>
      </w:tr>
      <w:tr w:rsidR="00ED4884" w:rsidRPr="00BE1578" w:rsidTr="00ED4884">
        <w:trPr>
          <w:trHeight w:val="20"/>
        </w:trPr>
        <w:tc>
          <w:tcPr>
            <w:tcW w:w="1632" w:type="pct"/>
            <w:shd w:val="clear" w:color="auto" w:fill="auto"/>
            <w:vAlign w:val="center"/>
            <w:hideMark/>
          </w:tcPr>
          <w:p w:rsidR="001A6F35" w:rsidRPr="00BE1578" w:rsidRDefault="001A6F35" w:rsidP="00781C6A">
            <w:pPr>
              <w:spacing w:after="0" w:line="240" w:lineRule="auto"/>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Merienda Media tanda</w:t>
            </w:r>
          </w:p>
        </w:tc>
        <w:tc>
          <w:tcPr>
            <w:tcW w:w="1119" w:type="pct"/>
            <w:shd w:val="clear" w:color="auto" w:fill="auto"/>
            <w:vAlign w:val="center"/>
            <w:hideMark/>
          </w:tcPr>
          <w:p w:rsidR="001A6F35" w:rsidRPr="00BE1578" w:rsidRDefault="001A6F35" w:rsidP="00E80139">
            <w:pPr>
              <w:spacing w:after="0" w:line="240" w:lineRule="auto"/>
              <w:jc w:val="center"/>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12,379,751</w:t>
            </w:r>
          </w:p>
        </w:tc>
        <w:tc>
          <w:tcPr>
            <w:tcW w:w="967" w:type="pct"/>
            <w:shd w:val="clear" w:color="auto" w:fill="auto"/>
            <w:vAlign w:val="center"/>
            <w:hideMark/>
          </w:tcPr>
          <w:p w:rsidR="001A6F35" w:rsidRPr="00BE1578" w:rsidRDefault="001A6F35" w:rsidP="00E80139">
            <w:pPr>
              <w:spacing w:after="0" w:line="240" w:lineRule="auto"/>
              <w:jc w:val="center"/>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5,212,676</w:t>
            </w:r>
          </w:p>
        </w:tc>
        <w:tc>
          <w:tcPr>
            <w:tcW w:w="1282" w:type="pct"/>
            <w:shd w:val="clear" w:color="auto" w:fill="auto"/>
            <w:vAlign w:val="center"/>
            <w:hideMark/>
          </w:tcPr>
          <w:p w:rsidR="001A6F35" w:rsidRPr="00BE1578" w:rsidRDefault="001A6F35" w:rsidP="00E80139">
            <w:pPr>
              <w:spacing w:after="0" w:line="240" w:lineRule="auto"/>
              <w:jc w:val="center"/>
              <w:rPr>
                <w:rFonts w:ascii="Artifex CF Light" w:eastAsia="Times New Roman" w:hAnsi="Artifex CF Light" w:cs="Calibri Light"/>
                <w:lang w:eastAsia="es-DO"/>
              </w:rPr>
            </w:pPr>
            <w:r w:rsidRPr="00BE1578">
              <w:rPr>
                <w:rFonts w:ascii="Artifex CF Light" w:eastAsia="Times New Roman" w:hAnsi="Artifex CF Light" w:cs="Calibri Light"/>
                <w:lang w:eastAsia="es-DO"/>
              </w:rPr>
              <w:t>42%</w:t>
            </w:r>
          </w:p>
        </w:tc>
      </w:tr>
      <w:tr w:rsidR="00ED4884" w:rsidRPr="00BE1578" w:rsidTr="00ED4884">
        <w:trPr>
          <w:trHeight w:val="20"/>
        </w:trPr>
        <w:tc>
          <w:tcPr>
            <w:tcW w:w="1632" w:type="pct"/>
            <w:shd w:val="clear" w:color="000000" w:fill="BDD6EE"/>
            <w:vAlign w:val="center"/>
            <w:hideMark/>
          </w:tcPr>
          <w:p w:rsidR="001A6F35" w:rsidRPr="00BE1578" w:rsidRDefault="001A6F35" w:rsidP="00781C6A">
            <w:pPr>
              <w:spacing w:after="0" w:line="240" w:lineRule="auto"/>
              <w:rPr>
                <w:rFonts w:ascii="Artifex CF Light" w:eastAsia="Times New Roman" w:hAnsi="Artifex CF Light" w:cs="Arial"/>
                <w:b/>
                <w:bCs/>
                <w:lang w:eastAsia="es-DO"/>
              </w:rPr>
            </w:pPr>
            <w:r w:rsidRPr="00BE1578">
              <w:rPr>
                <w:rFonts w:ascii="Artifex CF Light" w:eastAsia="Times New Roman" w:hAnsi="Artifex CF Light" w:cs="Arial"/>
                <w:b/>
                <w:bCs/>
                <w:lang w:eastAsia="es-DO"/>
              </w:rPr>
              <w:t>Total</w:t>
            </w:r>
            <w:r w:rsidRPr="00BE1578">
              <w:rPr>
                <w:rFonts w:ascii="Calibri" w:eastAsia="Times New Roman" w:hAnsi="Calibri" w:cs="Calibri"/>
                <w:b/>
                <w:bCs/>
                <w:lang w:eastAsia="es-DO"/>
              </w:rPr>
              <w:t> </w:t>
            </w:r>
            <w:r w:rsidRPr="00BE1578">
              <w:rPr>
                <w:rFonts w:ascii="Calibri" w:eastAsia="Times New Roman" w:hAnsi="Calibri" w:cs="Calibri"/>
                <w:lang w:eastAsia="es-DO"/>
              </w:rPr>
              <w:t> </w:t>
            </w:r>
          </w:p>
        </w:tc>
        <w:tc>
          <w:tcPr>
            <w:tcW w:w="1119" w:type="pct"/>
            <w:shd w:val="clear" w:color="000000" w:fill="BDD6EE"/>
            <w:vAlign w:val="center"/>
            <w:hideMark/>
          </w:tcPr>
          <w:p w:rsidR="001A6F35" w:rsidRPr="00BE1578" w:rsidRDefault="001A6F35" w:rsidP="00E80139">
            <w:pPr>
              <w:spacing w:after="0" w:line="240" w:lineRule="auto"/>
              <w:jc w:val="center"/>
              <w:rPr>
                <w:rFonts w:ascii="Artifex CF Light" w:eastAsia="Times New Roman" w:hAnsi="Artifex CF Light" w:cs="Arial"/>
                <w:b/>
                <w:bCs/>
                <w:lang w:eastAsia="es-DO"/>
              </w:rPr>
            </w:pPr>
            <w:r w:rsidRPr="00BE1578">
              <w:rPr>
                <w:rFonts w:ascii="Artifex CF Light" w:eastAsia="Times New Roman" w:hAnsi="Artifex CF Light" w:cs="Arial"/>
                <w:b/>
                <w:bCs/>
                <w:lang w:eastAsia="es-DO"/>
              </w:rPr>
              <w:t>482,688,624</w:t>
            </w:r>
          </w:p>
        </w:tc>
        <w:tc>
          <w:tcPr>
            <w:tcW w:w="967" w:type="pct"/>
            <w:shd w:val="clear" w:color="000000" w:fill="BDD6EE"/>
            <w:vAlign w:val="center"/>
            <w:hideMark/>
          </w:tcPr>
          <w:p w:rsidR="001A6F35" w:rsidRPr="00BE1578" w:rsidRDefault="001A6F35" w:rsidP="00E80139">
            <w:pPr>
              <w:spacing w:after="0" w:line="240" w:lineRule="auto"/>
              <w:jc w:val="center"/>
              <w:rPr>
                <w:rFonts w:ascii="Artifex CF Light" w:eastAsia="Times New Roman" w:hAnsi="Artifex CF Light" w:cs="Arial"/>
                <w:b/>
                <w:bCs/>
                <w:lang w:eastAsia="es-DO"/>
              </w:rPr>
            </w:pPr>
            <w:r w:rsidRPr="00BE1578">
              <w:rPr>
                <w:rFonts w:ascii="Artifex CF Light" w:eastAsia="Times New Roman" w:hAnsi="Artifex CF Light" w:cs="Arial"/>
                <w:b/>
                <w:bCs/>
                <w:lang w:eastAsia="es-DO"/>
              </w:rPr>
              <w:t>242,729,864</w:t>
            </w:r>
          </w:p>
        </w:tc>
        <w:tc>
          <w:tcPr>
            <w:tcW w:w="1282" w:type="pct"/>
            <w:shd w:val="clear" w:color="000000" w:fill="BDD6EE"/>
            <w:vAlign w:val="center"/>
            <w:hideMark/>
          </w:tcPr>
          <w:p w:rsidR="001A6F35" w:rsidRPr="00BE1578" w:rsidRDefault="001A6F35" w:rsidP="00E80139">
            <w:pPr>
              <w:spacing w:after="0" w:line="240" w:lineRule="auto"/>
              <w:jc w:val="center"/>
              <w:rPr>
                <w:rFonts w:ascii="Artifex CF Light" w:eastAsia="Times New Roman" w:hAnsi="Artifex CF Light" w:cs="Arial"/>
                <w:b/>
                <w:bCs/>
                <w:lang w:eastAsia="es-DO"/>
              </w:rPr>
            </w:pPr>
            <w:r w:rsidRPr="00BE1578">
              <w:rPr>
                <w:rFonts w:ascii="Artifex CF Light" w:eastAsia="Times New Roman" w:hAnsi="Artifex CF Light" w:cs="Arial"/>
                <w:b/>
                <w:bCs/>
                <w:lang w:eastAsia="es-DO"/>
              </w:rPr>
              <w:t>50%</w:t>
            </w:r>
          </w:p>
        </w:tc>
      </w:tr>
    </w:tbl>
    <w:p w:rsidR="001A6F35" w:rsidRPr="00D51C12" w:rsidRDefault="001A6F35" w:rsidP="001A6F35">
      <w:pPr>
        <w:spacing w:after="0"/>
        <w:rPr>
          <w:rFonts w:asciiTheme="majorHAnsi" w:hAnsiTheme="majorHAnsi" w:cstheme="majorHAnsi"/>
          <w:b/>
          <w:i/>
        </w:rPr>
      </w:pPr>
      <w:r w:rsidRPr="00D51C12">
        <w:rPr>
          <w:rFonts w:asciiTheme="majorHAnsi" w:hAnsiTheme="majorHAnsi" w:cstheme="majorHAnsi"/>
          <w:b/>
          <w:iCs/>
          <w:szCs w:val="18"/>
        </w:rPr>
        <w:t>Fuente:</w:t>
      </w:r>
      <w:r w:rsidRPr="00D51C12">
        <w:rPr>
          <w:rFonts w:asciiTheme="majorHAnsi" w:hAnsiTheme="majorHAnsi" w:cstheme="majorHAnsi"/>
          <w:iCs/>
          <w:szCs w:val="18"/>
        </w:rPr>
        <w:t xml:space="preserve"> INABIE, Departamento de Gestión de la Alimentación.</w:t>
      </w:r>
    </w:p>
    <w:p w:rsidR="001A6F35" w:rsidRPr="00D51C12" w:rsidRDefault="001A6F35" w:rsidP="001A6F35">
      <w:pPr>
        <w:spacing w:after="0"/>
        <w:jc w:val="center"/>
        <w:rPr>
          <w:rFonts w:asciiTheme="majorHAnsi" w:hAnsiTheme="majorHAnsi" w:cstheme="majorHAnsi"/>
          <w:b/>
          <w:i/>
        </w:rPr>
      </w:pPr>
    </w:p>
    <w:p w:rsidR="00F163FF" w:rsidRPr="00BE1578" w:rsidRDefault="00F163FF" w:rsidP="00655735">
      <w:pPr>
        <w:keepNext/>
        <w:spacing w:after="200" w:line="360" w:lineRule="auto"/>
        <w:jc w:val="both"/>
        <w:rPr>
          <w:rFonts w:ascii="Artifex CF Light" w:hAnsi="Artifex CF Light"/>
          <w:szCs w:val="18"/>
        </w:rPr>
      </w:pPr>
      <w:r w:rsidRPr="00BE1578">
        <w:rPr>
          <w:rFonts w:ascii="Artifex CF Light" w:hAnsi="Artifex CF Light"/>
          <w:szCs w:val="18"/>
        </w:rPr>
        <w:t>En 2020 fueron orienta</w:t>
      </w:r>
      <w:r w:rsidR="00D22C21" w:rsidRPr="00BE1578">
        <w:rPr>
          <w:rFonts w:ascii="Artifex CF Light" w:hAnsi="Artifex CF Light"/>
          <w:szCs w:val="18"/>
        </w:rPr>
        <w:t>d</w:t>
      </w:r>
      <w:r w:rsidRPr="00BE1578">
        <w:rPr>
          <w:rFonts w:ascii="Artifex CF Light" w:hAnsi="Artifex CF Light"/>
          <w:szCs w:val="18"/>
        </w:rPr>
        <w:t>os 434 proveedores en los lineamientos y normas del PAE para el adecuado desempeño como suplidor del programa,</w:t>
      </w:r>
    </w:p>
    <w:p w:rsidR="00F163FF" w:rsidRPr="00F03025" w:rsidRDefault="00C760E5" w:rsidP="00F163FF">
      <w:pPr>
        <w:spacing w:after="0" w:line="240" w:lineRule="auto"/>
        <w:jc w:val="center"/>
        <w:rPr>
          <w:rFonts w:ascii="Artifex CF Light" w:hAnsi="Artifex CF Light" w:cs="Arial"/>
          <w:b/>
          <w:szCs w:val="18"/>
        </w:rPr>
      </w:pPr>
      <w:r>
        <w:rPr>
          <w:rFonts w:ascii="Artifex CF Light" w:hAnsi="Artifex CF Light" w:cs="Arial"/>
          <w:b/>
          <w:szCs w:val="18"/>
        </w:rPr>
        <w:t>Tabla No.</w:t>
      </w:r>
      <w:r w:rsidR="00F163FF" w:rsidRPr="00F03025">
        <w:rPr>
          <w:rFonts w:ascii="Artifex CF Light" w:hAnsi="Artifex CF Light" w:cs="Arial"/>
          <w:b/>
          <w:szCs w:val="18"/>
        </w:rPr>
        <w:t>3</w:t>
      </w:r>
    </w:p>
    <w:p w:rsidR="00F163FF" w:rsidRPr="00F03025" w:rsidRDefault="00F163FF" w:rsidP="00F163FF">
      <w:pPr>
        <w:spacing w:after="0" w:line="240" w:lineRule="auto"/>
        <w:jc w:val="center"/>
        <w:rPr>
          <w:rFonts w:ascii="Artifex CF Light" w:hAnsi="Artifex CF Light" w:cs="Arial"/>
          <w:b/>
          <w:szCs w:val="18"/>
        </w:rPr>
      </w:pPr>
      <w:r w:rsidRPr="00F03025">
        <w:rPr>
          <w:rFonts w:ascii="Artifex CF Light" w:hAnsi="Artifex CF Light" w:cs="Arial"/>
          <w:b/>
          <w:szCs w:val="18"/>
        </w:rPr>
        <w:t>Proveedores Orientados Según Modalidad acumulado a mayo 2020</w:t>
      </w:r>
    </w:p>
    <w:tbl>
      <w:tblPr>
        <w:tblW w:w="5000" w:type="pct"/>
        <w:tblCellMar>
          <w:left w:w="70" w:type="dxa"/>
          <w:right w:w="70" w:type="dxa"/>
        </w:tblCellMar>
        <w:tblLook w:val="04A0" w:firstRow="1" w:lastRow="0" w:firstColumn="1" w:lastColumn="0" w:noHBand="0" w:noVBand="1"/>
      </w:tblPr>
      <w:tblGrid>
        <w:gridCol w:w="3188"/>
        <w:gridCol w:w="1547"/>
        <w:gridCol w:w="1284"/>
        <w:gridCol w:w="1896"/>
      </w:tblGrid>
      <w:tr w:rsidR="00BE1578" w:rsidRPr="00BE1578" w:rsidTr="00ED4884">
        <w:trPr>
          <w:trHeight w:val="300"/>
        </w:trPr>
        <w:tc>
          <w:tcPr>
            <w:tcW w:w="2014" w:type="pct"/>
            <w:tcBorders>
              <w:top w:val="single" w:sz="4" w:space="0" w:color="auto"/>
              <w:left w:val="single" w:sz="8" w:space="0" w:color="auto"/>
              <w:bottom w:val="nil"/>
              <w:right w:val="single" w:sz="4" w:space="0" w:color="auto"/>
            </w:tcBorders>
            <w:shd w:val="clear" w:color="000000" w:fill="9BC2E6"/>
            <w:noWrap/>
            <w:vAlign w:val="center"/>
            <w:hideMark/>
          </w:tcPr>
          <w:p w:rsidR="00F163FF" w:rsidRPr="00BE1578" w:rsidRDefault="00F163FF" w:rsidP="00681D02">
            <w:pPr>
              <w:spacing w:after="0" w:line="240" w:lineRule="auto"/>
              <w:rPr>
                <w:rFonts w:ascii="Artifex CF Light" w:eastAsia="Times New Roman" w:hAnsi="Artifex CF Light" w:cs="Arial"/>
                <w:b/>
                <w:bCs/>
                <w:szCs w:val="18"/>
                <w:lang w:eastAsia="es-ES"/>
              </w:rPr>
            </w:pPr>
            <w:r w:rsidRPr="00BE1578">
              <w:rPr>
                <w:rFonts w:ascii="Artifex CF Light" w:eastAsia="Times New Roman" w:hAnsi="Artifex CF Light" w:cs="Arial"/>
                <w:b/>
                <w:bCs/>
                <w:szCs w:val="18"/>
                <w:lang w:eastAsia="es-ES"/>
              </w:rPr>
              <w:t>TIPO DE PROVEEDORES</w:t>
            </w:r>
          </w:p>
        </w:tc>
        <w:tc>
          <w:tcPr>
            <w:tcW w:w="977" w:type="pct"/>
            <w:tcBorders>
              <w:top w:val="single" w:sz="4" w:space="0" w:color="auto"/>
              <w:left w:val="nil"/>
              <w:bottom w:val="single" w:sz="4" w:space="0" w:color="auto"/>
              <w:right w:val="single" w:sz="4" w:space="0" w:color="auto"/>
            </w:tcBorders>
            <w:shd w:val="clear" w:color="000000" w:fill="9BC2E6"/>
            <w:noWrap/>
            <w:vAlign w:val="center"/>
            <w:hideMark/>
          </w:tcPr>
          <w:p w:rsidR="00F163FF" w:rsidRPr="00BE1578" w:rsidRDefault="00F163FF" w:rsidP="00681D02">
            <w:pPr>
              <w:spacing w:after="0" w:line="240" w:lineRule="auto"/>
              <w:jc w:val="center"/>
              <w:rPr>
                <w:rFonts w:ascii="Artifex CF Light" w:eastAsia="Times New Roman" w:hAnsi="Artifex CF Light" w:cs="Arial"/>
                <w:b/>
                <w:bCs/>
                <w:szCs w:val="18"/>
                <w:lang w:eastAsia="es-ES"/>
              </w:rPr>
            </w:pPr>
            <w:r w:rsidRPr="00BE1578">
              <w:rPr>
                <w:rFonts w:ascii="Artifex CF Light" w:eastAsia="Times New Roman" w:hAnsi="Artifex CF Light" w:cs="Arial"/>
                <w:b/>
                <w:bCs/>
                <w:szCs w:val="18"/>
                <w:lang w:eastAsia="es-ES"/>
              </w:rPr>
              <w:t>Programado</w:t>
            </w:r>
          </w:p>
        </w:tc>
        <w:tc>
          <w:tcPr>
            <w:tcW w:w="811" w:type="pct"/>
            <w:tcBorders>
              <w:top w:val="single" w:sz="4" w:space="0" w:color="auto"/>
              <w:left w:val="nil"/>
              <w:bottom w:val="single" w:sz="4" w:space="0" w:color="auto"/>
              <w:right w:val="single" w:sz="4" w:space="0" w:color="auto"/>
            </w:tcBorders>
            <w:shd w:val="clear" w:color="000000" w:fill="9BC2E6"/>
            <w:noWrap/>
            <w:vAlign w:val="center"/>
            <w:hideMark/>
          </w:tcPr>
          <w:p w:rsidR="00F163FF" w:rsidRPr="00BE1578" w:rsidRDefault="00F163FF" w:rsidP="00681D02">
            <w:pPr>
              <w:spacing w:after="0" w:line="240" w:lineRule="auto"/>
              <w:jc w:val="center"/>
              <w:rPr>
                <w:rFonts w:ascii="Artifex CF Light" w:eastAsia="Times New Roman" w:hAnsi="Artifex CF Light" w:cs="Arial"/>
                <w:b/>
                <w:bCs/>
                <w:szCs w:val="18"/>
                <w:lang w:eastAsia="es-ES"/>
              </w:rPr>
            </w:pPr>
            <w:r w:rsidRPr="00BE1578">
              <w:rPr>
                <w:rFonts w:ascii="Artifex CF Light" w:eastAsia="Times New Roman" w:hAnsi="Artifex CF Light" w:cs="Arial"/>
                <w:b/>
                <w:bCs/>
                <w:szCs w:val="18"/>
                <w:lang w:eastAsia="es-ES"/>
              </w:rPr>
              <w:t>Ejecutado</w:t>
            </w:r>
          </w:p>
        </w:tc>
        <w:tc>
          <w:tcPr>
            <w:tcW w:w="1198" w:type="pct"/>
            <w:tcBorders>
              <w:top w:val="single" w:sz="4" w:space="0" w:color="auto"/>
              <w:left w:val="nil"/>
              <w:bottom w:val="single" w:sz="4" w:space="0" w:color="auto"/>
              <w:right w:val="single" w:sz="4" w:space="0" w:color="auto"/>
            </w:tcBorders>
            <w:shd w:val="clear" w:color="000000" w:fill="9BC2E6"/>
            <w:noWrap/>
            <w:vAlign w:val="center"/>
            <w:hideMark/>
          </w:tcPr>
          <w:p w:rsidR="00F163FF" w:rsidRPr="00BE1578" w:rsidRDefault="00F163FF" w:rsidP="00681D02">
            <w:pPr>
              <w:spacing w:after="0" w:line="240" w:lineRule="auto"/>
              <w:jc w:val="center"/>
              <w:rPr>
                <w:rFonts w:ascii="Artifex CF Light" w:eastAsia="Times New Roman" w:hAnsi="Artifex CF Light" w:cs="Arial"/>
                <w:b/>
                <w:bCs/>
                <w:szCs w:val="18"/>
                <w:lang w:eastAsia="es-ES"/>
              </w:rPr>
            </w:pPr>
            <w:r w:rsidRPr="00BE1578">
              <w:rPr>
                <w:rFonts w:ascii="Artifex CF Light" w:eastAsia="Times New Roman" w:hAnsi="Artifex CF Light" w:cs="Arial"/>
                <w:b/>
                <w:bCs/>
                <w:szCs w:val="18"/>
                <w:lang w:eastAsia="es-ES"/>
              </w:rPr>
              <w:t>% de Ejecución</w:t>
            </w:r>
          </w:p>
        </w:tc>
      </w:tr>
      <w:tr w:rsidR="00BE1578" w:rsidRPr="00BE1578" w:rsidTr="00ED4884">
        <w:trPr>
          <w:trHeight w:val="300"/>
        </w:trPr>
        <w:tc>
          <w:tcPr>
            <w:tcW w:w="2014"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F163FF" w:rsidRPr="00BE1578" w:rsidRDefault="00F163FF" w:rsidP="00681D02">
            <w:pPr>
              <w:spacing w:after="0" w:line="240" w:lineRule="auto"/>
              <w:rPr>
                <w:rFonts w:ascii="Artifex CF Light" w:eastAsia="Times New Roman" w:hAnsi="Artifex CF Light" w:cs="Arial"/>
                <w:szCs w:val="18"/>
                <w:lang w:eastAsia="es-ES"/>
              </w:rPr>
            </w:pPr>
            <w:r w:rsidRPr="00BE1578">
              <w:rPr>
                <w:rFonts w:ascii="Artifex CF Light" w:eastAsia="Times New Roman" w:hAnsi="Artifex CF Light" w:cs="Arial"/>
                <w:szCs w:val="18"/>
                <w:lang w:eastAsia="es-ES"/>
              </w:rPr>
              <w:t>Proveedores PAE Urbano</w:t>
            </w:r>
          </w:p>
        </w:tc>
        <w:tc>
          <w:tcPr>
            <w:tcW w:w="977" w:type="pct"/>
            <w:tcBorders>
              <w:top w:val="nil"/>
              <w:left w:val="nil"/>
              <w:bottom w:val="single" w:sz="4" w:space="0" w:color="auto"/>
              <w:right w:val="single" w:sz="4" w:space="0" w:color="auto"/>
            </w:tcBorders>
            <w:shd w:val="clear" w:color="auto" w:fill="auto"/>
            <w:noWrap/>
            <w:vAlign w:val="center"/>
            <w:hideMark/>
          </w:tcPr>
          <w:p w:rsidR="00F163FF" w:rsidRPr="00BE1578" w:rsidRDefault="00F163FF" w:rsidP="00681D02">
            <w:pPr>
              <w:spacing w:after="0" w:line="240" w:lineRule="auto"/>
              <w:jc w:val="center"/>
              <w:rPr>
                <w:rFonts w:ascii="Artifex CF Light" w:eastAsia="Times New Roman" w:hAnsi="Artifex CF Light" w:cs="Arial"/>
                <w:szCs w:val="18"/>
                <w:lang w:eastAsia="es-ES"/>
              </w:rPr>
            </w:pPr>
            <w:r w:rsidRPr="00BE1578">
              <w:rPr>
                <w:rFonts w:ascii="Artifex CF Light" w:eastAsia="Times New Roman" w:hAnsi="Artifex CF Light" w:cs="Arial"/>
                <w:szCs w:val="18"/>
                <w:lang w:eastAsia="es-ES"/>
              </w:rPr>
              <w:t>155</w:t>
            </w:r>
          </w:p>
        </w:tc>
        <w:tc>
          <w:tcPr>
            <w:tcW w:w="811" w:type="pct"/>
            <w:tcBorders>
              <w:top w:val="nil"/>
              <w:left w:val="nil"/>
              <w:bottom w:val="single" w:sz="4" w:space="0" w:color="auto"/>
              <w:right w:val="single" w:sz="4" w:space="0" w:color="auto"/>
            </w:tcBorders>
            <w:shd w:val="clear" w:color="auto" w:fill="auto"/>
            <w:noWrap/>
            <w:vAlign w:val="center"/>
            <w:hideMark/>
          </w:tcPr>
          <w:p w:rsidR="00F163FF" w:rsidRPr="00BE1578" w:rsidRDefault="00F163FF" w:rsidP="00681D02">
            <w:pPr>
              <w:spacing w:after="0" w:line="240" w:lineRule="auto"/>
              <w:jc w:val="center"/>
              <w:rPr>
                <w:rFonts w:ascii="Artifex CF Light" w:eastAsia="Times New Roman" w:hAnsi="Artifex CF Light" w:cs="Arial"/>
                <w:szCs w:val="18"/>
                <w:lang w:eastAsia="es-ES"/>
              </w:rPr>
            </w:pPr>
            <w:r w:rsidRPr="00BE1578">
              <w:rPr>
                <w:rFonts w:ascii="Artifex CF Light" w:eastAsia="Times New Roman" w:hAnsi="Artifex CF Light" w:cs="Arial"/>
                <w:szCs w:val="18"/>
                <w:lang w:eastAsia="es-ES"/>
              </w:rPr>
              <w:t>29</w:t>
            </w:r>
          </w:p>
        </w:tc>
        <w:tc>
          <w:tcPr>
            <w:tcW w:w="1198" w:type="pct"/>
            <w:tcBorders>
              <w:top w:val="nil"/>
              <w:left w:val="nil"/>
              <w:bottom w:val="single" w:sz="4" w:space="0" w:color="auto"/>
              <w:right w:val="single" w:sz="4" w:space="0" w:color="auto"/>
            </w:tcBorders>
            <w:shd w:val="clear" w:color="auto" w:fill="auto"/>
            <w:noWrap/>
            <w:vAlign w:val="center"/>
            <w:hideMark/>
          </w:tcPr>
          <w:p w:rsidR="00F163FF" w:rsidRPr="00BE1578" w:rsidRDefault="00F163FF" w:rsidP="00681D02">
            <w:pPr>
              <w:spacing w:after="0" w:line="240" w:lineRule="auto"/>
              <w:jc w:val="center"/>
              <w:rPr>
                <w:rFonts w:ascii="Artifex CF Light" w:eastAsia="Times New Roman" w:hAnsi="Artifex CF Light" w:cs="Arial"/>
                <w:szCs w:val="18"/>
                <w:lang w:eastAsia="es-ES"/>
              </w:rPr>
            </w:pPr>
            <w:r w:rsidRPr="00BE1578">
              <w:rPr>
                <w:rFonts w:ascii="Artifex CF Light" w:eastAsia="Times New Roman" w:hAnsi="Artifex CF Light" w:cs="Arial"/>
                <w:szCs w:val="18"/>
                <w:lang w:eastAsia="es-ES"/>
              </w:rPr>
              <w:t>18.7%</w:t>
            </w:r>
          </w:p>
        </w:tc>
      </w:tr>
      <w:tr w:rsidR="00BE1578" w:rsidRPr="00BE1578" w:rsidTr="00ED4884">
        <w:trPr>
          <w:trHeight w:val="300"/>
        </w:trPr>
        <w:tc>
          <w:tcPr>
            <w:tcW w:w="2014" w:type="pct"/>
            <w:tcBorders>
              <w:top w:val="nil"/>
              <w:left w:val="single" w:sz="8" w:space="0" w:color="auto"/>
              <w:bottom w:val="single" w:sz="4" w:space="0" w:color="auto"/>
              <w:right w:val="single" w:sz="4" w:space="0" w:color="auto"/>
            </w:tcBorders>
            <w:shd w:val="clear" w:color="000000" w:fill="FFFFFF"/>
            <w:noWrap/>
            <w:vAlign w:val="bottom"/>
            <w:hideMark/>
          </w:tcPr>
          <w:p w:rsidR="00F163FF" w:rsidRPr="00BE1578" w:rsidRDefault="00F163FF" w:rsidP="00681D02">
            <w:pPr>
              <w:spacing w:after="0" w:line="240" w:lineRule="auto"/>
              <w:rPr>
                <w:rFonts w:ascii="Artifex CF Light" w:eastAsia="Times New Roman" w:hAnsi="Artifex CF Light" w:cs="Arial"/>
                <w:szCs w:val="18"/>
                <w:lang w:eastAsia="es-ES"/>
              </w:rPr>
            </w:pPr>
            <w:r w:rsidRPr="00BE1578">
              <w:rPr>
                <w:rFonts w:ascii="Artifex CF Light" w:eastAsia="Times New Roman" w:hAnsi="Artifex CF Light" w:cs="Arial"/>
                <w:szCs w:val="18"/>
                <w:lang w:eastAsia="es-ES"/>
              </w:rPr>
              <w:t>Proveedores PAE Rural</w:t>
            </w:r>
          </w:p>
        </w:tc>
        <w:tc>
          <w:tcPr>
            <w:tcW w:w="977" w:type="pct"/>
            <w:tcBorders>
              <w:top w:val="nil"/>
              <w:left w:val="nil"/>
              <w:bottom w:val="single" w:sz="4" w:space="0" w:color="auto"/>
              <w:right w:val="single" w:sz="4" w:space="0" w:color="auto"/>
            </w:tcBorders>
            <w:shd w:val="clear" w:color="auto" w:fill="auto"/>
            <w:noWrap/>
            <w:vAlign w:val="center"/>
            <w:hideMark/>
          </w:tcPr>
          <w:p w:rsidR="00F163FF" w:rsidRPr="00BE1578" w:rsidRDefault="00F163FF" w:rsidP="00681D02">
            <w:pPr>
              <w:spacing w:after="0" w:line="240" w:lineRule="auto"/>
              <w:jc w:val="center"/>
              <w:rPr>
                <w:rFonts w:ascii="Artifex CF Light" w:eastAsia="Times New Roman" w:hAnsi="Artifex CF Light" w:cs="Arial"/>
                <w:szCs w:val="18"/>
                <w:lang w:eastAsia="es-ES"/>
              </w:rPr>
            </w:pPr>
            <w:r w:rsidRPr="00BE1578">
              <w:rPr>
                <w:rFonts w:ascii="Artifex CF Light" w:eastAsia="Times New Roman" w:hAnsi="Artifex CF Light" w:cs="Arial"/>
                <w:szCs w:val="18"/>
                <w:lang w:eastAsia="es-ES"/>
              </w:rPr>
              <w:t>94</w:t>
            </w:r>
          </w:p>
        </w:tc>
        <w:tc>
          <w:tcPr>
            <w:tcW w:w="811" w:type="pct"/>
            <w:tcBorders>
              <w:top w:val="nil"/>
              <w:left w:val="nil"/>
              <w:bottom w:val="single" w:sz="4" w:space="0" w:color="auto"/>
              <w:right w:val="single" w:sz="4" w:space="0" w:color="auto"/>
            </w:tcBorders>
            <w:shd w:val="clear" w:color="auto" w:fill="auto"/>
            <w:noWrap/>
            <w:vAlign w:val="center"/>
            <w:hideMark/>
          </w:tcPr>
          <w:p w:rsidR="00F163FF" w:rsidRPr="00BE1578" w:rsidRDefault="00F163FF" w:rsidP="00681D02">
            <w:pPr>
              <w:spacing w:after="0" w:line="240" w:lineRule="auto"/>
              <w:jc w:val="center"/>
              <w:rPr>
                <w:rFonts w:ascii="Artifex CF Light" w:eastAsia="Times New Roman" w:hAnsi="Artifex CF Light" w:cs="Arial"/>
                <w:szCs w:val="18"/>
                <w:lang w:eastAsia="es-ES"/>
              </w:rPr>
            </w:pPr>
            <w:r w:rsidRPr="00BE1578">
              <w:rPr>
                <w:rFonts w:ascii="Artifex CF Light" w:eastAsia="Times New Roman" w:hAnsi="Artifex CF Light" w:cs="Arial"/>
                <w:szCs w:val="18"/>
                <w:lang w:eastAsia="es-ES"/>
              </w:rPr>
              <w:t>9</w:t>
            </w:r>
          </w:p>
        </w:tc>
        <w:tc>
          <w:tcPr>
            <w:tcW w:w="1198" w:type="pct"/>
            <w:tcBorders>
              <w:top w:val="nil"/>
              <w:left w:val="nil"/>
              <w:bottom w:val="single" w:sz="4" w:space="0" w:color="auto"/>
              <w:right w:val="single" w:sz="4" w:space="0" w:color="auto"/>
            </w:tcBorders>
            <w:shd w:val="clear" w:color="auto" w:fill="auto"/>
            <w:noWrap/>
            <w:vAlign w:val="center"/>
            <w:hideMark/>
          </w:tcPr>
          <w:p w:rsidR="00F163FF" w:rsidRPr="00BE1578" w:rsidRDefault="00F163FF" w:rsidP="00681D02">
            <w:pPr>
              <w:spacing w:after="0" w:line="240" w:lineRule="auto"/>
              <w:jc w:val="center"/>
              <w:rPr>
                <w:rFonts w:ascii="Artifex CF Light" w:eastAsia="Times New Roman" w:hAnsi="Artifex CF Light" w:cs="Arial"/>
                <w:szCs w:val="18"/>
                <w:lang w:eastAsia="es-ES"/>
              </w:rPr>
            </w:pPr>
            <w:r w:rsidRPr="00BE1578">
              <w:rPr>
                <w:rFonts w:ascii="Artifex CF Light" w:eastAsia="Times New Roman" w:hAnsi="Artifex CF Light" w:cs="Arial"/>
                <w:szCs w:val="18"/>
                <w:lang w:eastAsia="es-ES"/>
              </w:rPr>
              <w:t>9.6%</w:t>
            </w:r>
          </w:p>
        </w:tc>
      </w:tr>
      <w:tr w:rsidR="00BE1578" w:rsidRPr="00BE1578" w:rsidTr="00ED4884">
        <w:trPr>
          <w:trHeight w:val="300"/>
        </w:trPr>
        <w:tc>
          <w:tcPr>
            <w:tcW w:w="2014" w:type="pct"/>
            <w:tcBorders>
              <w:top w:val="nil"/>
              <w:left w:val="single" w:sz="8" w:space="0" w:color="auto"/>
              <w:bottom w:val="single" w:sz="4" w:space="0" w:color="auto"/>
              <w:right w:val="single" w:sz="4" w:space="0" w:color="auto"/>
            </w:tcBorders>
            <w:shd w:val="clear" w:color="000000" w:fill="FFFFFF"/>
            <w:noWrap/>
            <w:vAlign w:val="bottom"/>
            <w:hideMark/>
          </w:tcPr>
          <w:p w:rsidR="00F163FF" w:rsidRPr="00BE1578" w:rsidRDefault="00F163FF" w:rsidP="00681D02">
            <w:pPr>
              <w:spacing w:after="0" w:line="240" w:lineRule="auto"/>
              <w:rPr>
                <w:rFonts w:ascii="Artifex CF Light" w:eastAsia="Times New Roman" w:hAnsi="Artifex CF Light" w:cs="Arial"/>
                <w:szCs w:val="18"/>
                <w:lang w:eastAsia="es-ES"/>
              </w:rPr>
            </w:pPr>
            <w:r w:rsidRPr="00BE1578">
              <w:rPr>
                <w:rFonts w:ascii="Artifex CF Light" w:eastAsia="Times New Roman" w:hAnsi="Artifex CF Light" w:cs="Arial"/>
                <w:szCs w:val="18"/>
                <w:lang w:eastAsia="es-ES"/>
              </w:rPr>
              <w:t>Proveedores PAE Fronterizo</w:t>
            </w:r>
          </w:p>
        </w:tc>
        <w:tc>
          <w:tcPr>
            <w:tcW w:w="977" w:type="pct"/>
            <w:tcBorders>
              <w:top w:val="nil"/>
              <w:left w:val="nil"/>
              <w:bottom w:val="single" w:sz="4" w:space="0" w:color="auto"/>
              <w:right w:val="single" w:sz="4" w:space="0" w:color="auto"/>
            </w:tcBorders>
            <w:shd w:val="clear" w:color="auto" w:fill="auto"/>
            <w:noWrap/>
            <w:vAlign w:val="center"/>
            <w:hideMark/>
          </w:tcPr>
          <w:p w:rsidR="00F163FF" w:rsidRPr="00BE1578" w:rsidRDefault="00F163FF" w:rsidP="00681D02">
            <w:pPr>
              <w:spacing w:after="0" w:line="240" w:lineRule="auto"/>
              <w:jc w:val="center"/>
              <w:rPr>
                <w:rFonts w:ascii="Artifex CF Light" w:eastAsia="Times New Roman" w:hAnsi="Artifex CF Light" w:cs="Arial"/>
                <w:szCs w:val="18"/>
                <w:lang w:eastAsia="es-ES"/>
              </w:rPr>
            </w:pPr>
            <w:r w:rsidRPr="00BE1578">
              <w:rPr>
                <w:rFonts w:ascii="Artifex CF Light" w:eastAsia="Times New Roman" w:hAnsi="Artifex CF Light" w:cs="Arial"/>
                <w:szCs w:val="18"/>
                <w:lang w:eastAsia="es-ES"/>
              </w:rPr>
              <w:t>94</w:t>
            </w:r>
          </w:p>
        </w:tc>
        <w:tc>
          <w:tcPr>
            <w:tcW w:w="811" w:type="pct"/>
            <w:tcBorders>
              <w:top w:val="nil"/>
              <w:left w:val="nil"/>
              <w:bottom w:val="single" w:sz="4" w:space="0" w:color="auto"/>
              <w:right w:val="single" w:sz="4" w:space="0" w:color="auto"/>
            </w:tcBorders>
            <w:shd w:val="clear" w:color="auto" w:fill="auto"/>
            <w:noWrap/>
            <w:vAlign w:val="center"/>
            <w:hideMark/>
          </w:tcPr>
          <w:p w:rsidR="00F163FF" w:rsidRPr="00BE1578" w:rsidRDefault="00F163FF" w:rsidP="00681D02">
            <w:pPr>
              <w:spacing w:after="0" w:line="240" w:lineRule="auto"/>
              <w:jc w:val="center"/>
              <w:rPr>
                <w:rFonts w:ascii="Artifex CF Light" w:eastAsia="Times New Roman" w:hAnsi="Artifex CF Light" w:cs="Arial"/>
                <w:szCs w:val="18"/>
                <w:lang w:eastAsia="es-ES"/>
              </w:rPr>
            </w:pPr>
            <w:r w:rsidRPr="00BE1578">
              <w:rPr>
                <w:rFonts w:ascii="Artifex CF Light" w:eastAsia="Times New Roman" w:hAnsi="Artifex CF Light" w:cs="Arial"/>
                <w:szCs w:val="18"/>
                <w:lang w:eastAsia="es-ES"/>
              </w:rPr>
              <w:t>3</w:t>
            </w:r>
          </w:p>
        </w:tc>
        <w:tc>
          <w:tcPr>
            <w:tcW w:w="1198" w:type="pct"/>
            <w:tcBorders>
              <w:top w:val="nil"/>
              <w:left w:val="nil"/>
              <w:bottom w:val="single" w:sz="4" w:space="0" w:color="auto"/>
              <w:right w:val="single" w:sz="4" w:space="0" w:color="auto"/>
            </w:tcBorders>
            <w:shd w:val="clear" w:color="auto" w:fill="auto"/>
            <w:noWrap/>
            <w:vAlign w:val="center"/>
            <w:hideMark/>
          </w:tcPr>
          <w:p w:rsidR="00F163FF" w:rsidRPr="00BE1578" w:rsidRDefault="00F163FF" w:rsidP="00681D02">
            <w:pPr>
              <w:spacing w:after="0" w:line="240" w:lineRule="auto"/>
              <w:jc w:val="center"/>
              <w:rPr>
                <w:rFonts w:ascii="Artifex CF Light" w:eastAsia="Times New Roman" w:hAnsi="Artifex CF Light" w:cs="Arial"/>
                <w:szCs w:val="18"/>
                <w:lang w:eastAsia="es-ES"/>
              </w:rPr>
            </w:pPr>
            <w:r w:rsidRPr="00BE1578">
              <w:rPr>
                <w:rFonts w:ascii="Artifex CF Light" w:eastAsia="Times New Roman" w:hAnsi="Artifex CF Light" w:cs="Arial"/>
                <w:szCs w:val="18"/>
                <w:lang w:eastAsia="es-ES"/>
              </w:rPr>
              <w:t>3.2%</w:t>
            </w:r>
          </w:p>
        </w:tc>
      </w:tr>
      <w:tr w:rsidR="00BE1578" w:rsidRPr="00BE1578" w:rsidTr="00ED4884">
        <w:trPr>
          <w:trHeight w:val="300"/>
        </w:trPr>
        <w:tc>
          <w:tcPr>
            <w:tcW w:w="2014" w:type="pct"/>
            <w:tcBorders>
              <w:top w:val="nil"/>
              <w:left w:val="single" w:sz="8" w:space="0" w:color="auto"/>
              <w:bottom w:val="single" w:sz="4" w:space="0" w:color="auto"/>
              <w:right w:val="single" w:sz="4" w:space="0" w:color="auto"/>
            </w:tcBorders>
            <w:shd w:val="clear" w:color="000000" w:fill="FFFFFF"/>
            <w:noWrap/>
            <w:vAlign w:val="bottom"/>
            <w:hideMark/>
          </w:tcPr>
          <w:p w:rsidR="00F163FF" w:rsidRPr="00BE1578" w:rsidRDefault="00F163FF" w:rsidP="00681D02">
            <w:pPr>
              <w:spacing w:after="0" w:line="240" w:lineRule="auto"/>
              <w:rPr>
                <w:rFonts w:ascii="Artifex CF Light" w:eastAsia="Times New Roman" w:hAnsi="Artifex CF Light" w:cs="Arial"/>
                <w:szCs w:val="18"/>
                <w:lang w:eastAsia="es-ES"/>
              </w:rPr>
            </w:pPr>
            <w:r w:rsidRPr="00BE1578">
              <w:rPr>
                <w:rFonts w:ascii="Artifex CF Light" w:eastAsia="Times New Roman" w:hAnsi="Artifex CF Light" w:cs="Arial"/>
                <w:szCs w:val="18"/>
                <w:lang w:eastAsia="es-ES"/>
              </w:rPr>
              <w:t xml:space="preserve">Proveedores PAE JEE </w:t>
            </w:r>
          </w:p>
        </w:tc>
        <w:tc>
          <w:tcPr>
            <w:tcW w:w="977" w:type="pct"/>
            <w:tcBorders>
              <w:top w:val="nil"/>
              <w:left w:val="nil"/>
              <w:bottom w:val="single" w:sz="4" w:space="0" w:color="auto"/>
              <w:right w:val="single" w:sz="4" w:space="0" w:color="auto"/>
            </w:tcBorders>
            <w:shd w:val="clear" w:color="auto" w:fill="auto"/>
            <w:noWrap/>
            <w:vAlign w:val="center"/>
            <w:hideMark/>
          </w:tcPr>
          <w:p w:rsidR="00F163FF" w:rsidRPr="00BE1578" w:rsidRDefault="00F163FF" w:rsidP="00681D02">
            <w:pPr>
              <w:spacing w:after="0" w:line="240" w:lineRule="auto"/>
              <w:jc w:val="center"/>
              <w:rPr>
                <w:rFonts w:ascii="Artifex CF Light" w:eastAsia="Times New Roman" w:hAnsi="Artifex CF Light" w:cs="Arial"/>
                <w:szCs w:val="18"/>
                <w:lang w:eastAsia="es-ES"/>
              </w:rPr>
            </w:pPr>
            <w:r w:rsidRPr="00BE1578">
              <w:rPr>
                <w:rFonts w:ascii="Artifex CF Light" w:eastAsia="Times New Roman" w:hAnsi="Artifex CF Light" w:cs="Arial"/>
                <w:szCs w:val="18"/>
                <w:lang w:eastAsia="es-ES"/>
              </w:rPr>
              <w:t>415</w:t>
            </w:r>
          </w:p>
        </w:tc>
        <w:tc>
          <w:tcPr>
            <w:tcW w:w="811" w:type="pct"/>
            <w:tcBorders>
              <w:top w:val="nil"/>
              <w:left w:val="nil"/>
              <w:bottom w:val="single" w:sz="4" w:space="0" w:color="auto"/>
              <w:right w:val="single" w:sz="4" w:space="0" w:color="auto"/>
            </w:tcBorders>
            <w:shd w:val="clear" w:color="auto" w:fill="auto"/>
            <w:noWrap/>
            <w:vAlign w:val="center"/>
            <w:hideMark/>
          </w:tcPr>
          <w:p w:rsidR="00F163FF" w:rsidRPr="00BE1578" w:rsidRDefault="00F163FF" w:rsidP="00681D02">
            <w:pPr>
              <w:spacing w:after="0" w:line="240" w:lineRule="auto"/>
              <w:jc w:val="center"/>
              <w:rPr>
                <w:rFonts w:ascii="Artifex CF Light" w:eastAsia="Times New Roman" w:hAnsi="Artifex CF Light" w:cs="Arial"/>
                <w:szCs w:val="18"/>
                <w:lang w:eastAsia="es-ES"/>
              </w:rPr>
            </w:pPr>
            <w:r w:rsidRPr="00BE1578">
              <w:rPr>
                <w:rFonts w:ascii="Artifex CF Light" w:eastAsia="Times New Roman" w:hAnsi="Artifex CF Light" w:cs="Arial"/>
                <w:szCs w:val="18"/>
                <w:lang w:eastAsia="es-ES"/>
              </w:rPr>
              <w:t>393</w:t>
            </w:r>
          </w:p>
        </w:tc>
        <w:tc>
          <w:tcPr>
            <w:tcW w:w="1198" w:type="pct"/>
            <w:tcBorders>
              <w:top w:val="nil"/>
              <w:left w:val="nil"/>
              <w:bottom w:val="single" w:sz="4" w:space="0" w:color="auto"/>
              <w:right w:val="single" w:sz="4" w:space="0" w:color="auto"/>
            </w:tcBorders>
            <w:shd w:val="clear" w:color="auto" w:fill="auto"/>
            <w:noWrap/>
            <w:vAlign w:val="center"/>
            <w:hideMark/>
          </w:tcPr>
          <w:p w:rsidR="00F163FF" w:rsidRPr="00BE1578" w:rsidRDefault="00F163FF" w:rsidP="00681D02">
            <w:pPr>
              <w:spacing w:after="0" w:line="240" w:lineRule="auto"/>
              <w:jc w:val="center"/>
              <w:rPr>
                <w:rFonts w:ascii="Artifex CF Light" w:eastAsia="Times New Roman" w:hAnsi="Artifex CF Light" w:cs="Arial"/>
                <w:szCs w:val="18"/>
                <w:lang w:eastAsia="es-ES"/>
              </w:rPr>
            </w:pPr>
            <w:r w:rsidRPr="00BE1578">
              <w:rPr>
                <w:rFonts w:ascii="Artifex CF Light" w:eastAsia="Times New Roman" w:hAnsi="Artifex CF Light" w:cs="Arial"/>
                <w:szCs w:val="18"/>
                <w:lang w:eastAsia="es-ES"/>
              </w:rPr>
              <w:t>94.7%</w:t>
            </w:r>
          </w:p>
        </w:tc>
      </w:tr>
      <w:tr w:rsidR="00BE1578" w:rsidRPr="00BE1578" w:rsidTr="00ED4884">
        <w:trPr>
          <w:trHeight w:val="315"/>
        </w:trPr>
        <w:tc>
          <w:tcPr>
            <w:tcW w:w="2014" w:type="pct"/>
            <w:tcBorders>
              <w:top w:val="nil"/>
              <w:left w:val="single" w:sz="8" w:space="0" w:color="auto"/>
              <w:bottom w:val="single" w:sz="8" w:space="0" w:color="auto"/>
              <w:right w:val="single" w:sz="4" w:space="0" w:color="auto"/>
            </w:tcBorders>
            <w:shd w:val="clear" w:color="000000" w:fill="9BC2E6"/>
            <w:noWrap/>
            <w:vAlign w:val="center"/>
            <w:hideMark/>
          </w:tcPr>
          <w:p w:rsidR="00F163FF" w:rsidRPr="00BE1578" w:rsidRDefault="00F163FF" w:rsidP="00681D02">
            <w:pPr>
              <w:spacing w:after="0" w:line="240" w:lineRule="auto"/>
              <w:rPr>
                <w:rFonts w:ascii="Artifex CF Light" w:eastAsia="Times New Roman" w:hAnsi="Artifex CF Light" w:cs="Arial"/>
                <w:b/>
                <w:bCs/>
                <w:szCs w:val="18"/>
                <w:lang w:eastAsia="es-ES"/>
              </w:rPr>
            </w:pPr>
            <w:r w:rsidRPr="00BE1578">
              <w:rPr>
                <w:rFonts w:ascii="Artifex CF Light" w:eastAsia="Times New Roman" w:hAnsi="Artifex CF Light" w:cs="Arial"/>
                <w:b/>
                <w:bCs/>
                <w:szCs w:val="18"/>
                <w:lang w:eastAsia="es-ES"/>
              </w:rPr>
              <w:t xml:space="preserve">TOTAL </w:t>
            </w:r>
          </w:p>
        </w:tc>
        <w:tc>
          <w:tcPr>
            <w:tcW w:w="977" w:type="pct"/>
            <w:tcBorders>
              <w:top w:val="nil"/>
              <w:left w:val="nil"/>
              <w:bottom w:val="single" w:sz="8" w:space="0" w:color="auto"/>
              <w:right w:val="single" w:sz="4" w:space="0" w:color="auto"/>
            </w:tcBorders>
            <w:shd w:val="clear" w:color="000000" w:fill="9BC2E6"/>
            <w:noWrap/>
            <w:vAlign w:val="center"/>
            <w:hideMark/>
          </w:tcPr>
          <w:p w:rsidR="00F163FF" w:rsidRPr="00BE1578" w:rsidRDefault="00F163FF" w:rsidP="00681D02">
            <w:pPr>
              <w:spacing w:after="0" w:line="240" w:lineRule="auto"/>
              <w:jc w:val="center"/>
              <w:rPr>
                <w:rFonts w:ascii="Artifex CF Light" w:eastAsia="Times New Roman" w:hAnsi="Artifex CF Light" w:cs="Arial"/>
                <w:b/>
                <w:bCs/>
                <w:szCs w:val="18"/>
                <w:lang w:eastAsia="es-ES"/>
              </w:rPr>
            </w:pPr>
            <w:r w:rsidRPr="00BE1578">
              <w:rPr>
                <w:rFonts w:ascii="Artifex CF Light" w:eastAsia="Times New Roman" w:hAnsi="Artifex CF Light" w:cs="Arial"/>
                <w:b/>
                <w:bCs/>
                <w:szCs w:val="18"/>
                <w:lang w:eastAsia="es-ES"/>
              </w:rPr>
              <w:t>758</w:t>
            </w:r>
          </w:p>
        </w:tc>
        <w:tc>
          <w:tcPr>
            <w:tcW w:w="811" w:type="pct"/>
            <w:tcBorders>
              <w:top w:val="nil"/>
              <w:left w:val="nil"/>
              <w:bottom w:val="single" w:sz="8" w:space="0" w:color="auto"/>
              <w:right w:val="single" w:sz="4" w:space="0" w:color="auto"/>
            </w:tcBorders>
            <w:shd w:val="clear" w:color="000000" w:fill="9BC2E6"/>
            <w:noWrap/>
            <w:vAlign w:val="center"/>
            <w:hideMark/>
          </w:tcPr>
          <w:p w:rsidR="00F163FF" w:rsidRPr="00BE1578" w:rsidRDefault="00F163FF" w:rsidP="00681D02">
            <w:pPr>
              <w:spacing w:after="0" w:line="240" w:lineRule="auto"/>
              <w:jc w:val="center"/>
              <w:rPr>
                <w:rFonts w:ascii="Artifex CF Light" w:eastAsia="Times New Roman" w:hAnsi="Artifex CF Light" w:cs="Arial"/>
                <w:b/>
                <w:bCs/>
                <w:szCs w:val="18"/>
                <w:lang w:eastAsia="es-ES"/>
              </w:rPr>
            </w:pPr>
            <w:r w:rsidRPr="00BE1578">
              <w:rPr>
                <w:rFonts w:ascii="Artifex CF Light" w:eastAsia="Times New Roman" w:hAnsi="Artifex CF Light" w:cs="Arial"/>
                <w:b/>
                <w:bCs/>
                <w:szCs w:val="18"/>
                <w:lang w:eastAsia="es-ES"/>
              </w:rPr>
              <w:t>434</w:t>
            </w:r>
          </w:p>
        </w:tc>
        <w:tc>
          <w:tcPr>
            <w:tcW w:w="1198" w:type="pct"/>
            <w:tcBorders>
              <w:top w:val="nil"/>
              <w:left w:val="nil"/>
              <w:bottom w:val="single" w:sz="8" w:space="0" w:color="auto"/>
              <w:right w:val="single" w:sz="4" w:space="0" w:color="auto"/>
            </w:tcBorders>
            <w:shd w:val="clear" w:color="000000" w:fill="9BC2E6"/>
            <w:noWrap/>
            <w:vAlign w:val="center"/>
            <w:hideMark/>
          </w:tcPr>
          <w:p w:rsidR="00F163FF" w:rsidRPr="00BE1578" w:rsidRDefault="00F163FF" w:rsidP="00681D02">
            <w:pPr>
              <w:spacing w:after="0" w:line="240" w:lineRule="auto"/>
              <w:jc w:val="center"/>
              <w:rPr>
                <w:rFonts w:ascii="Artifex CF Light" w:eastAsia="Times New Roman" w:hAnsi="Artifex CF Light" w:cs="Arial"/>
                <w:b/>
                <w:bCs/>
                <w:szCs w:val="18"/>
                <w:lang w:eastAsia="es-ES"/>
              </w:rPr>
            </w:pPr>
            <w:r w:rsidRPr="00BE1578">
              <w:rPr>
                <w:rFonts w:ascii="Artifex CF Light" w:eastAsia="Times New Roman" w:hAnsi="Artifex CF Light" w:cs="Arial"/>
                <w:b/>
                <w:bCs/>
                <w:szCs w:val="18"/>
                <w:lang w:eastAsia="es-ES"/>
              </w:rPr>
              <w:t>57%</w:t>
            </w:r>
          </w:p>
        </w:tc>
      </w:tr>
    </w:tbl>
    <w:p w:rsidR="00F163FF" w:rsidRPr="00BE1578" w:rsidRDefault="00F163FF" w:rsidP="00F163FF">
      <w:pPr>
        <w:spacing w:after="0" w:line="240" w:lineRule="auto"/>
        <w:rPr>
          <w:rFonts w:ascii="Artifex CF Light" w:eastAsia="Times New Roman" w:hAnsi="Artifex CF Light" w:cs="Arial"/>
          <w:szCs w:val="18"/>
          <w:lang w:eastAsia="es-DO"/>
        </w:rPr>
      </w:pPr>
      <w:r w:rsidRPr="00BE1578">
        <w:rPr>
          <w:rFonts w:ascii="Artifex CF Light" w:eastAsia="Times New Roman" w:hAnsi="Artifex CF Light" w:cs="Arial"/>
          <w:b/>
          <w:szCs w:val="18"/>
          <w:lang w:eastAsia="es-DO"/>
        </w:rPr>
        <w:t>Fuente:</w:t>
      </w:r>
      <w:r w:rsidRPr="00BE1578">
        <w:rPr>
          <w:rFonts w:ascii="Artifex CF Light" w:eastAsia="Times New Roman" w:hAnsi="Artifex CF Light" w:cs="Arial"/>
          <w:szCs w:val="18"/>
          <w:lang w:eastAsia="es-DO"/>
        </w:rPr>
        <w:t xml:space="preserve"> INABIE, Departamento de Nutrición </w:t>
      </w:r>
    </w:p>
    <w:p w:rsidR="00F163FF" w:rsidRPr="00A82C82" w:rsidRDefault="00F163FF" w:rsidP="00A82C82">
      <w:pPr>
        <w:rPr>
          <w:rFonts w:ascii="Times New Roman" w:hAnsi="Times New Roman"/>
          <w:sz w:val="20"/>
          <w:szCs w:val="20"/>
          <w:lang w:eastAsia="es-ES"/>
        </w:rPr>
      </w:pPr>
    </w:p>
    <w:p w:rsidR="00E06CD4" w:rsidRPr="00655735" w:rsidRDefault="00E06CD4" w:rsidP="00BE1578">
      <w:pPr>
        <w:pStyle w:val="Heading4"/>
      </w:pPr>
      <w:r w:rsidRPr="00655735">
        <w:t>Jornada Escolar Extendida</w:t>
      </w:r>
    </w:p>
    <w:p w:rsidR="00A82C82" w:rsidRPr="00BE1578" w:rsidRDefault="00D95E5D" w:rsidP="00655735">
      <w:pPr>
        <w:spacing w:line="360" w:lineRule="auto"/>
        <w:jc w:val="both"/>
        <w:rPr>
          <w:b/>
          <w:szCs w:val="18"/>
        </w:rPr>
      </w:pPr>
      <w:r w:rsidRPr="00BE1578">
        <w:rPr>
          <w:b/>
          <w:szCs w:val="18"/>
        </w:rPr>
        <w:t>Durante el año 2020</w:t>
      </w:r>
      <w:r w:rsidR="00B65FD5" w:rsidRPr="00BE1578">
        <w:rPr>
          <w:b/>
          <w:szCs w:val="18"/>
        </w:rPr>
        <w:t xml:space="preserve"> los estudiantes bajo la modalidad de tanda extendida ascendieron a un total de 1</w:t>
      </w:r>
      <w:proofErr w:type="gramStart"/>
      <w:r w:rsidR="00B65FD5" w:rsidRPr="00BE1578">
        <w:rPr>
          <w:b/>
          <w:szCs w:val="18"/>
        </w:rPr>
        <w:t>,</w:t>
      </w:r>
      <w:r w:rsidR="00027CCC" w:rsidRPr="00BE1578">
        <w:rPr>
          <w:b/>
          <w:szCs w:val="18"/>
        </w:rPr>
        <w:t>272</w:t>
      </w:r>
      <w:r w:rsidR="00B65FD5" w:rsidRPr="00BE1578">
        <w:rPr>
          <w:b/>
          <w:szCs w:val="18"/>
        </w:rPr>
        <w:t>,</w:t>
      </w:r>
      <w:r w:rsidR="00027CCC" w:rsidRPr="00BE1578">
        <w:rPr>
          <w:b/>
          <w:szCs w:val="18"/>
        </w:rPr>
        <w:t>841</w:t>
      </w:r>
      <w:proofErr w:type="gramEnd"/>
      <w:r w:rsidR="00B65FD5" w:rsidRPr="00BE1578">
        <w:rPr>
          <w:b/>
          <w:szCs w:val="18"/>
        </w:rPr>
        <w:t>, distribuidos en 4,555 centros educativos; lo cual representa el 61.08% del total de los estudiantes del sistema educativo y el 76.11 % de los centros educativos cubiertos por el programa</w:t>
      </w:r>
      <w:r w:rsidR="00B65FD5" w:rsidRPr="00BE1578">
        <w:rPr>
          <w:b/>
          <w:szCs w:val="18"/>
          <w:shd w:val="clear" w:color="auto" w:fill="FFFFFF"/>
        </w:rPr>
        <w:t xml:space="preserve">.  </w:t>
      </w:r>
      <w:r w:rsidR="00B65FD5" w:rsidRPr="00BE1578">
        <w:rPr>
          <w:b/>
          <w:szCs w:val="18"/>
        </w:rPr>
        <w:t xml:space="preserve">Asimismo, el programa entregó durante el periodo un promedio </w:t>
      </w:r>
      <w:r w:rsidR="008D73E6" w:rsidRPr="00BE1578">
        <w:rPr>
          <w:b/>
          <w:szCs w:val="18"/>
        </w:rPr>
        <w:t>1, 111,959</w:t>
      </w:r>
      <w:r w:rsidR="00B65FD5" w:rsidRPr="00BE1578">
        <w:rPr>
          <w:rFonts w:eastAsia="Times New Roman" w:cs="Calibri"/>
          <w:b/>
          <w:szCs w:val="18"/>
          <w:lang w:eastAsia="es-DO"/>
        </w:rPr>
        <w:t xml:space="preserve"> </w:t>
      </w:r>
      <w:r w:rsidR="00B65FD5" w:rsidRPr="00BE1578">
        <w:rPr>
          <w:b/>
          <w:szCs w:val="18"/>
        </w:rPr>
        <w:t xml:space="preserve">raciones alimenticias diarias, para un total acumulado de </w:t>
      </w:r>
      <w:r w:rsidR="008D73E6" w:rsidRPr="00BE1578">
        <w:rPr>
          <w:b/>
          <w:szCs w:val="18"/>
        </w:rPr>
        <w:t>221</w:t>
      </w:r>
      <w:proofErr w:type="gramStart"/>
      <w:r w:rsidR="008D73E6" w:rsidRPr="00BE1578">
        <w:rPr>
          <w:b/>
          <w:szCs w:val="18"/>
        </w:rPr>
        <w:t>,279,835</w:t>
      </w:r>
      <w:proofErr w:type="gramEnd"/>
      <w:r w:rsidR="008D73E6" w:rsidRPr="00BE1578">
        <w:rPr>
          <w:b/>
          <w:szCs w:val="18"/>
        </w:rPr>
        <w:t xml:space="preserve"> </w:t>
      </w:r>
      <w:r w:rsidR="00B65FD5" w:rsidRPr="00BE1578">
        <w:rPr>
          <w:b/>
          <w:szCs w:val="18"/>
        </w:rPr>
        <w:t>raciones entre desayuno, almuerzo y merienda</w:t>
      </w:r>
      <w:r w:rsidR="00031716" w:rsidRPr="00BE1578">
        <w:rPr>
          <w:b/>
          <w:szCs w:val="18"/>
        </w:rPr>
        <w:t xml:space="preserve"> hasta junio 2020</w:t>
      </w:r>
      <w:r w:rsidR="00B65FD5" w:rsidRPr="00BE1578">
        <w:rPr>
          <w:b/>
          <w:szCs w:val="18"/>
        </w:rPr>
        <w:t>.</w:t>
      </w:r>
      <w:r w:rsidR="00031716" w:rsidRPr="00BE1578">
        <w:rPr>
          <w:b/>
          <w:szCs w:val="18"/>
        </w:rPr>
        <w:t xml:space="preserve"> A partir de esta fecha, ya se encontraba vigente la Canasta de Alimentación Escolar. </w:t>
      </w:r>
      <w:r w:rsidR="00A82C82" w:rsidRPr="00BE1578">
        <w:rPr>
          <w:b/>
          <w:szCs w:val="18"/>
        </w:rPr>
        <w:t xml:space="preserve"> </w:t>
      </w:r>
    </w:p>
    <w:p w:rsidR="00BD075E" w:rsidRPr="00655735" w:rsidRDefault="008D73E6" w:rsidP="00BE1578">
      <w:pPr>
        <w:pStyle w:val="Heading4"/>
      </w:pPr>
      <w:r w:rsidRPr="00655735">
        <w:t xml:space="preserve">Histórico </w:t>
      </w:r>
      <w:r w:rsidR="00BD075E" w:rsidRPr="00655735">
        <w:t xml:space="preserve">Raciones </w:t>
      </w:r>
      <w:r w:rsidRPr="00655735">
        <w:t>A</w:t>
      </w:r>
      <w:r w:rsidR="00BD075E" w:rsidRPr="00655735">
        <w:t>lime</w:t>
      </w:r>
      <w:r w:rsidR="00F45E67" w:rsidRPr="00655735">
        <w:t xml:space="preserve">nticias </w:t>
      </w:r>
      <w:r w:rsidRPr="00655735">
        <w:t xml:space="preserve">hasta </w:t>
      </w:r>
      <w:r w:rsidR="00BE4F50" w:rsidRPr="00655735">
        <w:t>2020</w:t>
      </w:r>
    </w:p>
    <w:p w:rsidR="00631AFF" w:rsidRDefault="00631AFF" w:rsidP="00655735">
      <w:pPr>
        <w:spacing w:line="360" w:lineRule="auto"/>
        <w:jc w:val="both"/>
        <w:rPr>
          <w:szCs w:val="18"/>
        </w:rPr>
      </w:pPr>
      <w:r w:rsidRPr="00655735">
        <w:rPr>
          <w:szCs w:val="18"/>
        </w:rPr>
        <w:t>El programa de Alimentación Escolar distrib</w:t>
      </w:r>
      <w:r w:rsidR="00B65FD5" w:rsidRPr="00655735">
        <w:rPr>
          <w:szCs w:val="18"/>
        </w:rPr>
        <w:t xml:space="preserve">uyó durante el año un promedio </w:t>
      </w:r>
      <w:r w:rsidR="008D73E6" w:rsidRPr="00655735">
        <w:rPr>
          <w:szCs w:val="18"/>
        </w:rPr>
        <w:t>1</w:t>
      </w:r>
      <w:proofErr w:type="gramStart"/>
      <w:r w:rsidRPr="00655735">
        <w:rPr>
          <w:szCs w:val="18"/>
        </w:rPr>
        <w:t>,</w:t>
      </w:r>
      <w:r w:rsidR="008D73E6" w:rsidRPr="00655735">
        <w:rPr>
          <w:szCs w:val="18"/>
        </w:rPr>
        <w:t>219,748</w:t>
      </w:r>
      <w:proofErr w:type="gramEnd"/>
      <w:r w:rsidR="008D73E6" w:rsidRPr="00655735">
        <w:rPr>
          <w:szCs w:val="18"/>
        </w:rPr>
        <w:t xml:space="preserve"> </w:t>
      </w:r>
      <w:r w:rsidRPr="00655735">
        <w:rPr>
          <w:szCs w:val="18"/>
        </w:rPr>
        <w:t xml:space="preserve">raciones diarias entre desayuno, almuerzo y merienda en las diferentes modalidades del PAE. </w:t>
      </w:r>
      <w:r w:rsidR="006B68F0" w:rsidRPr="00655735">
        <w:rPr>
          <w:szCs w:val="18"/>
        </w:rPr>
        <w:t xml:space="preserve"> Distribuyéndose </w:t>
      </w:r>
      <w:r w:rsidR="00F45E67" w:rsidRPr="00655735">
        <w:rPr>
          <w:szCs w:val="18"/>
        </w:rPr>
        <w:t xml:space="preserve">un total anual de </w:t>
      </w:r>
      <w:r w:rsidR="008D73E6" w:rsidRPr="00655735">
        <w:rPr>
          <w:szCs w:val="18"/>
        </w:rPr>
        <w:t>2</w:t>
      </w:r>
      <w:r w:rsidR="007D0E01" w:rsidRPr="00655735">
        <w:rPr>
          <w:szCs w:val="18"/>
        </w:rPr>
        <w:t>57</w:t>
      </w:r>
      <w:proofErr w:type="gramStart"/>
      <w:r w:rsidR="00BA72CE" w:rsidRPr="00655735">
        <w:rPr>
          <w:szCs w:val="18"/>
        </w:rPr>
        <w:t>,</w:t>
      </w:r>
      <w:r w:rsidR="007D0E01" w:rsidRPr="00655735">
        <w:rPr>
          <w:szCs w:val="18"/>
        </w:rPr>
        <w:t>09</w:t>
      </w:r>
      <w:r w:rsidR="008D73E6" w:rsidRPr="00655735">
        <w:rPr>
          <w:szCs w:val="18"/>
        </w:rPr>
        <w:t>9</w:t>
      </w:r>
      <w:r w:rsidR="00BA72CE" w:rsidRPr="00655735">
        <w:rPr>
          <w:szCs w:val="18"/>
        </w:rPr>
        <w:t>,</w:t>
      </w:r>
      <w:r w:rsidR="007D0E01" w:rsidRPr="00655735">
        <w:rPr>
          <w:szCs w:val="18"/>
        </w:rPr>
        <w:t>509</w:t>
      </w:r>
      <w:proofErr w:type="gramEnd"/>
      <w:r w:rsidRPr="00655735">
        <w:rPr>
          <w:szCs w:val="18"/>
        </w:rPr>
        <w:t xml:space="preserve"> millones de raciones alimenticias. </w:t>
      </w:r>
    </w:p>
    <w:p w:rsidR="00383B5B" w:rsidRDefault="00383B5B" w:rsidP="00655735">
      <w:pPr>
        <w:spacing w:line="360" w:lineRule="auto"/>
        <w:jc w:val="both"/>
        <w:rPr>
          <w:szCs w:val="18"/>
        </w:rPr>
      </w:pPr>
    </w:p>
    <w:p w:rsidR="00383B5B" w:rsidRPr="00655735" w:rsidRDefault="00383B5B" w:rsidP="00655735">
      <w:pPr>
        <w:spacing w:line="360" w:lineRule="auto"/>
        <w:jc w:val="both"/>
        <w:rPr>
          <w:szCs w:val="18"/>
        </w:rPr>
      </w:pPr>
    </w:p>
    <w:p w:rsidR="00631AFF" w:rsidRPr="00BE1578" w:rsidRDefault="00631AFF" w:rsidP="00A83CEF">
      <w:pPr>
        <w:pStyle w:val="Caption"/>
        <w:keepNext/>
        <w:spacing w:after="0"/>
        <w:jc w:val="center"/>
        <w:rPr>
          <w:rFonts w:ascii="Artifex CF Light" w:hAnsi="Artifex CF Light"/>
          <w:b/>
          <w:i w:val="0"/>
          <w:color w:val="1F4E79"/>
        </w:rPr>
      </w:pPr>
      <w:r w:rsidRPr="00BE1578">
        <w:rPr>
          <w:rFonts w:ascii="Artifex CF Light" w:hAnsi="Artifex CF Light"/>
          <w:b/>
          <w:i w:val="0"/>
          <w:color w:val="1F4E79"/>
        </w:rPr>
        <w:lastRenderedPageBreak/>
        <w:t>Tabla</w:t>
      </w:r>
      <w:r w:rsidR="00A83CEF" w:rsidRPr="00BE1578">
        <w:rPr>
          <w:rFonts w:ascii="Artifex CF Light" w:hAnsi="Artifex CF Light"/>
          <w:b/>
          <w:i w:val="0"/>
          <w:color w:val="1F4E79"/>
        </w:rPr>
        <w:t xml:space="preserve"> </w:t>
      </w:r>
      <w:r w:rsidR="00C760E5" w:rsidRPr="00BE1578">
        <w:rPr>
          <w:rFonts w:ascii="Artifex CF Light" w:hAnsi="Artifex CF Light"/>
          <w:b/>
          <w:i w:val="0"/>
          <w:color w:val="1F4E79"/>
        </w:rPr>
        <w:t>4</w:t>
      </w:r>
      <w:r w:rsidR="00A83CEF" w:rsidRPr="00BE1578">
        <w:rPr>
          <w:rFonts w:ascii="Artifex CF Light" w:hAnsi="Artifex CF Light"/>
          <w:b/>
          <w:i w:val="0"/>
          <w:color w:val="1F4E79"/>
        </w:rPr>
        <w:t xml:space="preserve">. </w:t>
      </w:r>
      <w:r w:rsidRPr="00BE1578">
        <w:rPr>
          <w:rFonts w:ascii="Artifex CF Light" w:hAnsi="Artifex CF Light"/>
          <w:b/>
          <w:i w:val="0"/>
          <w:color w:val="1F4E79"/>
        </w:rPr>
        <w:t>Raciones alimenticias distribuidas diariamente y anuales,</w:t>
      </w:r>
    </w:p>
    <w:p w:rsidR="00631AFF" w:rsidRPr="00BE1578" w:rsidRDefault="00631AFF" w:rsidP="00631AFF">
      <w:pPr>
        <w:pStyle w:val="Caption"/>
        <w:keepNext/>
        <w:spacing w:after="0"/>
        <w:jc w:val="center"/>
        <w:rPr>
          <w:rFonts w:ascii="Artifex CF Light" w:hAnsi="Artifex CF Light"/>
          <w:b/>
          <w:i w:val="0"/>
          <w:color w:val="1F4E79"/>
        </w:rPr>
      </w:pPr>
      <w:r w:rsidRPr="00BE1578">
        <w:rPr>
          <w:rFonts w:ascii="Artifex CF Light" w:hAnsi="Artifex CF Light"/>
          <w:b/>
          <w:i w:val="0"/>
          <w:color w:val="1F4E79"/>
        </w:rPr>
        <w:t xml:space="preserve"> </w:t>
      </w:r>
      <w:r w:rsidR="00C53061" w:rsidRPr="00BE1578">
        <w:rPr>
          <w:rFonts w:ascii="Artifex CF Light" w:hAnsi="Artifex CF Light"/>
          <w:b/>
          <w:i w:val="0"/>
          <w:color w:val="1F4E79"/>
        </w:rPr>
        <w:t>Según</w:t>
      </w:r>
      <w:r w:rsidRPr="00BE1578">
        <w:rPr>
          <w:rFonts w:ascii="Artifex CF Light" w:hAnsi="Artifex CF Light"/>
          <w:b/>
          <w:i w:val="0"/>
          <w:color w:val="1F4E79"/>
        </w:rPr>
        <w:t xml:space="preserve"> modalidad de</w:t>
      </w:r>
      <w:r w:rsidR="00BA72CE" w:rsidRPr="00BE1578">
        <w:rPr>
          <w:rFonts w:ascii="Artifex CF Light" w:hAnsi="Artifex CF Light"/>
          <w:b/>
          <w:i w:val="0"/>
          <w:color w:val="1F4E79"/>
        </w:rPr>
        <w:t xml:space="preserve">l PAE durante el de 2012 al </w:t>
      </w:r>
      <w:r w:rsidR="00B3725E" w:rsidRPr="00BE1578">
        <w:rPr>
          <w:rFonts w:ascii="Artifex CF Light" w:hAnsi="Artifex CF Light"/>
          <w:b/>
          <w:i w:val="0"/>
          <w:color w:val="1F4E79"/>
        </w:rPr>
        <w:t>2020</w:t>
      </w:r>
      <w:r w:rsidRPr="00BE1578">
        <w:rPr>
          <w:rFonts w:ascii="Artifex CF Light" w:hAnsi="Artifex CF Light"/>
          <w:b/>
          <w:i w:val="0"/>
          <w:color w:val="1F4E79"/>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956"/>
        <w:gridCol w:w="2669"/>
        <w:gridCol w:w="3295"/>
      </w:tblGrid>
      <w:tr w:rsidR="00BA72CE" w:rsidRPr="00F03025" w:rsidTr="00ED4884">
        <w:trPr>
          <w:trHeight w:val="170"/>
          <w:jc w:val="center"/>
        </w:trPr>
        <w:tc>
          <w:tcPr>
            <w:tcW w:w="1235" w:type="pct"/>
            <w:shd w:val="clear" w:color="auto" w:fill="0070C0"/>
            <w:noWrap/>
            <w:vAlign w:val="center"/>
            <w:hideMark/>
          </w:tcPr>
          <w:p w:rsidR="00BA72CE" w:rsidRPr="00F03025" w:rsidRDefault="00BA72CE" w:rsidP="00D1004E">
            <w:pPr>
              <w:jc w:val="center"/>
              <w:rPr>
                <w:rFonts w:ascii="Artifex CF Light" w:eastAsia="Times New Roman" w:hAnsi="Artifex CF Light" w:cs="Calibri Light"/>
                <w:b/>
                <w:bCs/>
                <w:color w:val="FFFFFF"/>
                <w:szCs w:val="18"/>
                <w:lang w:eastAsia="es-DO"/>
              </w:rPr>
            </w:pPr>
            <w:r w:rsidRPr="00F03025">
              <w:rPr>
                <w:rFonts w:ascii="Artifex CF Light" w:eastAsia="Times New Roman" w:hAnsi="Artifex CF Light" w:cs="Calibri Light"/>
                <w:b/>
                <w:bCs/>
                <w:color w:val="FFFFFF"/>
                <w:szCs w:val="18"/>
                <w:lang w:eastAsia="es-DO"/>
              </w:rPr>
              <w:t>AÑOS</w:t>
            </w:r>
          </w:p>
        </w:tc>
        <w:tc>
          <w:tcPr>
            <w:tcW w:w="1685" w:type="pct"/>
            <w:shd w:val="clear" w:color="auto" w:fill="0070C0"/>
            <w:vAlign w:val="center"/>
            <w:hideMark/>
          </w:tcPr>
          <w:p w:rsidR="00BA72CE" w:rsidRPr="00F03025" w:rsidRDefault="00BA72CE" w:rsidP="00D1004E">
            <w:pPr>
              <w:jc w:val="center"/>
              <w:rPr>
                <w:rFonts w:ascii="Artifex CF Light" w:eastAsia="Times New Roman" w:hAnsi="Artifex CF Light" w:cs="Calibri Light"/>
                <w:b/>
                <w:bCs/>
                <w:color w:val="FFFFFF"/>
                <w:szCs w:val="18"/>
                <w:lang w:eastAsia="es-DO"/>
              </w:rPr>
            </w:pPr>
            <w:r w:rsidRPr="00F03025">
              <w:rPr>
                <w:rFonts w:ascii="Artifex CF Light" w:eastAsia="Times New Roman" w:hAnsi="Artifex CF Light" w:cs="Calibri Light"/>
                <w:b/>
                <w:bCs/>
                <w:color w:val="FFFFFF"/>
                <w:szCs w:val="18"/>
                <w:lang w:eastAsia="es-DO"/>
              </w:rPr>
              <w:t xml:space="preserve"> RACIONES </w:t>
            </w:r>
            <w:r w:rsidRPr="00F03025">
              <w:rPr>
                <w:rFonts w:ascii="Artifex CF Light" w:eastAsia="Times New Roman" w:hAnsi="Artifex CF Light" w:cs="Calibri Light"/>
                <w:b/>
                <w:color w:val="FFFFFF"/>
                <w:szCs w:val="18"/>
                <w:lang w:eastAsia="es-DO"/>
              </w:rPr>
              <w:t>ALIMENTICIAS</w:t>
            </w:r>
            <w:r w:rsidRPr="00F03025">
              <w:rPr>
                <w:rFonts w:ascii="Artifex CF Light" w:eastAsia="Times New Roman" w:hAnsi="Artifex CF Light" w:cs="Calibri Light"/>
                <w:b/>
                <w:bCs/>
                <w:color w:val="FFFFFF"/>
                <w:szCs w:val="18"/>
                <w:lang w:eastAsia="es-DO"/>
              </w:rPr>
              <w:t xml:space="preserve"> </w:t>
            </w:r>
            <w:r w:rsidRPr="00F03025">
              <w:rPr>
                <w:rFonts w:ascii="Artifex CF Light" w:eastAsia="Times New Roman" w:hAnsi="Artifex CF Light" w:cs="Calibri Light"/>
                <w:b/>
                <w:color w:val="FFFFFF"/>
                <w:szCs w:val="18"/>
                <w:lang w:eastAsia="es-DO"/>
              </w:rPr>
              <w:t xml:space="preserve">DIARIAS </w:t>
            </w:r>
            <w:r w:rsidRPr="00F03025">
              <w:rPr>
                <w:rFonts w:ascii="Artifex CF Light" w:eastAsia="Times New Roman" w:hAnsi="Artifex CF Light" w:cs="Calibri Light"/>
                <w:b/>
                <w:color w:val="FFFFFF"/>
                <w:szCs w:val="18"/>
                <w:vertAlign w:val="superscript"/>
                <w:lang w:eastAsia="es-DO"/>
              </w:rPr>
              <w:t>2/</w:t>
            </w:r>
          </w:p>
        </w:tc>
        <w:tc>
          <w:tcPr>
            <w:tcW w:w="2080" w:type="pct"/>
            <w:shd w:val="clear" w:color="auto" w:fill="0070C0"/>
            <w:vAlign w:val="center"/>
            <w:hideMark/>
          </w:tcPr>
          <w:p w:rsidR="00BA72CE" w:rsidRPr="00F03025" w:rsidRDefault="00BA72CE" w:rsidP="00D1004E">
            <w:pPr>
              <w:jc w:val="center"/>
              <w:rPr>
                <w:rFonts w:ascii="Artifex CF Light" w:eastAsia="Times New Roman" w:hAnsi="Artifex CF Light" w:cs="Calibri Light"/>
                <w:b/>
                <w:bCs/>
                <w:color w:val="FFFFFF"/>
                <w:szCs w:val="18"/>
                <w:lang w:eastAsia="es-DO"/>
              </w:rPr>
            </w:pPr>
            <w:r w:rsidRPr="00F03025">
              <w:rPr>
                <w:rFonts w:ascii="Artifex CF Light" w:eastAsia="Times New Roman" w:hAnsi="Artifex CF Light" w:cs="Calibri Light"/>
                <w:b/>
                <w:bCs/>
                <w:color w:val="FFFFFF"/>
                <w:szCs w:val="18"/>
                <w:lang w:eastAsia="es-DO"/>
              </w:rPr>
              <w:t xml:space="preserve"> RACIONES </w:t>
            </w:r>
            <w:r w:rsidRPr="00F03025">
              <w:rPr>
                <w:rFonts w:ascii="Artifex CF Light" w:eastAsia="Times New Roman" w:hAnsi="Artifex CF Light" w:cs="Calibri Light"/>
                <w:b/>
                <w:color w:val="FFFFFF"/>
                <w:szCs w:val="18"/>
                <w:lang w:eastAsia="es-DO"/>
              </w:rPr>
              <w:t>ALIMENTICIAS</w:t>
            </w:r>
            <w:r w:rsidRPr="00F03025">
              <w:rPr>
                <w:rFonts w:ascii="Artifex CF Light" w:eastAsia="Times New Roman" w:hAnsi="Artifex CF Light" w:cs="Calibri Light"/>
                <w:b/>
                <w:bCs/>
                <w:color w:val="FFFFFF"/>
                <w:szCs w:val="18"/>
                <w:lang w:eastAsia="es-DO"/>
              </w:rPr>
              <w:t xml:space="preserve"> ANUALES</w:t>
            </w:r>
          </w:p>
        </w:tc>
      </w:tr>
      <w:tr w:rsidR="00ED4884" w:rsidRPr="00BE1578" w:rsidTr="00ED4884">
        <w:trPr>
          <w:trHeight w:val="170"/>
          <w:jc w:val="center"/>
        </w:trPr>
        <w:tc>
          <w:tcPr>
            <w:tcW w:w="1235"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b/>
                <w:bCs/>
                <w:szCs w:val="18"/>
                <w:lang w:eastAsia="es-DO"/>
              </w:rPr>
            </w:pPr>
            <w:r w:rsidRPr="00BE1578">
              <w:rPr>
                <w:rFonts w:ascii="Artifex CF Light" w:eastAsia="Times New Roman" w:hAnsi="Artifex CF Light" w:cs="Calibri Light"/>
                <w:b/>
                <w:bCs/>
                <w:szCs w:val="18"/>
                <w:lang w:eastAsia="es-DO"/>
              </w:rPr>
              <w:t>2012</w:t>
            </w:r>
          </w:p>
        </w:tc>
        <w:tc>
          <w:tcPr>
            <w:tcW w:w="1685"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szCs w:val="18"/>
                <w:lang w:eastAsia="es-DO"/>
              </w:rPr>
            </w:pPr>
            <w:r w:rsidRPr="00BE1578">
              <w:rPr>
                <w:rFonts w:ascii="Artifex CF Light" w:eastAsia="Times New Roman" w:hAnsi="Artifex CF Light" w:cs="Calibri Light"/>
                <w:szCs w:val="18"/>
                <w:lang w:eastAsia="es-DO"/>
              </w:rPr>
              <w:t>1,473,222</w:t>
            </w:r>
          </w:p>
        </w:tc>
        <w:tc>
          <w:tcPr>
            <w:tcW w:w="2080"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szCs w:val="18"/>
                <w:lang w:eastAsia="es-DO"/>
              </w:rPr>
            </w:pPr>
            <w:r w:rsidRPr="00BE1578">
              <w:rPr>
                <w:rFonts w:ascii="Artifex CF Light" w:eastAsia="Times New Roman" w:hAnsi="Artifex CF Light" w:cs="Calibri Light"/>
                <w:szCs w:val="18"/>
                <w:lang w:eastAsia="es-DO"/>
              </w:rPr>
              <w:t>233,553,473</w:t>
            </w:r>
          </w:p>
        </w:tc>
      </w:tr>
      <w:tr w:rsidR="00ED4884" w:rsidRPr="00BE1578" w:rsidTr="00ED4884">
        <w:trPr>
          <w:trHeight w:val="170"/>
          <w:jc w:val="center"/>
        </w:trPr>
        <w:tc>
          <w:tcPr>
            <w:tcW w:w="1235"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b/>
                <w:bCs/>
                <w:szCs w:val="18"/>
                <w:lang w:eastAsia="es-DO"/>
              </w:rPr>
            </w:pPr>
            <w:r w:rsidRPr="00BE1578">
              <w:rPr>
                <w:rFonts w:ascii="Artifex CF Light" w:eastAsia="Times New Roman" w:hAnsi="Artifex CF Light" w:cs="Calibri Light"/>
                <w:b/>
                <w:bCs/>
                <w:szCs w:val="18"/>
                <w:lang w:eastAsia="es-DO"/>
              </w:rPr>
              <w:t>2013</w:t>
            </w:r>
          </w:p>
        </w:tc>
        <w:tc>
          <w:tcPr>
            <w:tcW w:w="1685"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szCs w:val="18"/>
                <w:lang w:eastAsia="es-DO"/>
              </w:rPr>
            </w:pPr>
            <w:r w:rsidRPr="00BE1578">
              <w:rPr>
                <w:rFonts w:ascii="Artifex CF Light" w:eastAsia="Times New Roman" w:hAnsi="Artifex CF Light" w:cs="Calibri Light"/>
                <w:szCs w:val="18"/>
                <w:lang w:eastAsia="es-DO"/>
              </w:rPr>
              <w:t>1,833,498</w:t>
            </w:r>
          </w:p>
        </w:tc>
        <w:tc>
          <w:tcPr>
            <w:tcW w:w="2080"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szCs w:val="18"/>
                <w:lang w:eastAsia="es-DO"/>
              </w:rPr>
            </w:pPr>
            <w:r w:rsidRPr="00BE1578">
              <w:rPr>
                <w:rFonts w:ascii="Artifex CF Light" w:eastAsia="Times New Roman" w:hAnsi="Artifex CF Light" w:cs="Calibri Light"/>
                <w:szCs w:val="18"/>
                <w:lang w:eastAsia="es-DO"/>
              </w:rPr>
              <w:t>330,029,560</w:t>
            </w:r>
          </w:p>
        </w:tc>
      </w:tr>
      <w:tr w:rsidR="00ED4884" w:rsidRPr="00BE1578" w:rsidTr="00ED4884">
        <w:trPr>
          <w:trHeight w:val="170"/>
          <w:jc w:val="center"/>
        </w:trPr>
        <w:tc>
          <w:tcPr>
            <w:tcW w:w="1235"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b/>
                <w:bCs/>
                <w:szCs w:val="18"/>
                <w:lang w:eastAsia="es-DO"/>
              </w:rPr>
            </w:pPr>
            <w:r w:rsidRPr="00BE1578">
              <w:rPr>
                <w:rFonts w:ascii="Artifex CF Light" w:eastAsia="Times New Roman" w:hAnsi="Artifex CF Light" w:cs="Calibri Light"/>
                <w:b/>
                <w:bCs/>
                <w:szCs w:val="18"/>
                <w:lang w:eastAsia="es-DO"/>
              </w:rPr>
              <w:t>2014</w:t>
            </w:r>
          </w:p>
        </w:tc>
        <w:tc>
          <w:tcPr>
            <w:tcW w:w="1685"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szCs w:val="18"/>
                <w:lang w:eastAsia="es-DO"/>
              </w:rPr>
            </w:pPr>
            <w:r w:rsidRPr="00BE1578">
              <w:rPr>
                <w:rFonts w:ascii="Artifex CF Light" w:eastAsia="Times New Roman" w:hAnsi="Artifex CF Light" w:cs="Calibri Light"/>
                <w:szCs w:val="18"/>
                <w:lang w:eastAsia="es-DO"/>
              </w:rPr>
              <w:t>2,133,052</w:t>
            </w:r>
          </w:p>
        </w:tc>
        <w:tc>
          <w:tcPr>
            <w:tcW w:w="2080"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szCs w:val="18"/>
                <w:lang w:eastAsia="es-DO"/>
              </w:rPr>
            </w:pPr>
            <w:r w:rsidRPr="00BE1578">
              <w:rPr>
                <w:rFonts w:ascii="Artifex CF Light" w:eastAsia="Times New Roman" w:hAnsi="Artifex CF Light" w:cs="Calibri Light"/>
                <w:szCs w:val="18"/>
                <w:lang w:eastAsia="es-DO"/>
              </w:rPr>
              <w:t>383,949,360</w:t>
            </w:r>
          </w:p>
        </w:tc>
      </w:tr>
      <w:tr w:rsidR="00ED4884" w:rsidRPr="00BE1578" w:rsidTr="00ED4884">
        <w:trPr>
          <w:trHeight w:val="170"/>
          <w:jc w:val="center"/>
        </w:trPr>
        <w:tc>
          <w:tcPr>
            <w:tcW w:w="1235"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b/>
                <w:bCs/>
                <w:szCs w:val="18"/>
                <w:lang w:eastAsia="es-DO"/>
              </w:rPr>
            </w:pPr>
            <w:r w:rsidRPr="00BE1578">
              <w:rPr>
                <w:rFonts w:ascii="Artifex CF Light" w:eastAsia="Times New Roman" w:hAnsi="Artifex CF Light" w:cs="Calibri Light"/>
                <w:b/>
                <w:bCs/>
                <w:szCs w:val="18"/>
                <w:lang w:eastAsia="es-DO"/>
              </w:rPr>
              <w:t>2015</w:t>
            </w:r>
          </w:p>
        </w:tc>
        <w:tc>
          <w:tcPr>
            <w:tcW w:w="1685"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szCs w:val="18"/>
                <w:lang w:eastAsia="es-DO"/>
              </w:rPr>
            </w:pPr>
            <w:r w:rsidRPr="00BE1578">
              <w:rPr>
                <w:rFonts w:ascii="Artifex CF Light" w:eastAsia="Times New Roman" w:hAnsi="Artifex CF Light" w:cs="Calibri Light"/>
                <w:szCs w:val="18"/>
                <w:lang w:eastAsia="es-DO"/>
              </w:rPr>
              <w:t>3,282,614</w:t>
            </w:r>
          </w:p>
        </w:tc>
        <w:tc>
          <w:tcPr>
            <w:tcW w:w="2080"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szCs w:val="18"/>
                <w:lang w:eastAsia="es-DO"/>
              </w:rPr>
            </w:pPr>
            <w:r w:rsidRPr="00BE1578">
              <w:rPr>
                <w:rFonts w:ascii="Artifex CF Light" w:eastAsia="Times New Roman" w:hAnsi="Artifex CF Light" w:cs="Calibri Light"/>
                <w:szCs w:val="18"/>
                <w:lang w:eastAsia="es-DO"/>
              </w:rPr>
              <w:t>607,283,590</w:t>
            </w:r>
          </w:p>
        </w:tc>
      </w:tr>
      <w:tr w:rsidR="00ED4884" w:rsidRPr="00BE1578" w:rsidTr="00ED4884">
        <w:trPr>
          <w:trHeight w:val="170"/>
          <w:jc w:val="center"/>
        </w:trPr>
        <w:tc>
          <w:tcPr>
            <w:tcW w:w="1235"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b/>
                <w:bCs/>
                <w:szCs w:val="18"/>
                <w:lang w:eastAsia="es-DO"/>
              </w:rPr>
            </w:pPr>
            <w:r w:rsidRPr="00BE1578">
              <w:rPr>
                <w:rFonts w:ascii="Artifex CF Light" w:eastAsia="Times New Roman" w:hAnsi="Artifex CF Light" w:cs="Calibri Light"/>
                <w:b/>
                <w:bCs/>
                <w:szCs w:val="18"/>
                <w:lang w:eastAsia="es-DO"/>
              </w:rPr>
              <w:t>2016</w:t>
            </w:r>
          </w:p>
        </w:tc>
        <w:tc>
          <w:tcPr>
            <w:tcW w:w="1685"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szCs w:val="18"/>
                <w:lang w:eastAsia="es-DO"/>
              </w:rPr>
            </w:pPr>
            <w:r w:rsidRPr="00BE1578">
              <w:rPr>
                <w:rFonts w:ascii="Artifex CF Light" w:eastAsia="Times New Roman" w:hAnsi="Artifex CF Light" w:cs="Calibri Light"/>
                <w:szCs w:val="18"/>
                <w:lang w:eastAsia="es-DO"/>
              </w:rPr>
              <w:t>3,750,821</w:t>
            </w:r>
          </w:p>
        </w:tc>
        <w:tc>
          <w:tcPr>
            <w:tcW w:w="2080"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szCs w:val="18"/>
                <w:lang w:eastAsia="es-DO"/>
              </w:rPr>
            </w:pPr>
            <w:r w:rsidRPr="00BE1578">
              <w:rPr>
                <w:rFonts w:ascii="Artifex CF Light" w:eastAsia="Times New Roman" w:hAnsi="Artifex CF Light" w:cs="Calibri Light"/>
                <w:szCs w:val="18"/>
                <w:lang w:eastAsia="es-DO"/>
              </w:rPr>
              <w:t>746,413,379</w:t>
            </w:r>
          </w:p>
        </w:tc>
      </w:tr>
      <w:tr w:rsidR="00ED4884" w:rsidRPr="00BE1578" w:rsidTr="00ED4884">
        <w:trPr>
          <w:trHeight w:val="170"/>
          <w:jc w:val="center"/>
        </w:trPr>
        <w:tc>
          <w:tcPr>
            <w:tcW w:w="1235"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b/>
                <w:bCs/>
                <w:szCs w:val="18"/>
                <w:lang w:eastAsia="es-DO"/>
              </w:rPr>
            </w:pPr>
            <w:r w:rsidRPr="00BE1578">
              <w:rPr>
                <w:rFonts w:ascii="Artifex CF Light" w:eastAsia="Times New Roman" w:hAnsi="Artifex CF Light" w:cs="Calibri Light"/>
                <w:b/>
                <w:bCs/>
                <w:szCs w:val="18"/>
                <w:lang w:eastAsia="es-DO"/>
              </w:rPr>
              <w:t>2017</w:t>
            </w:r>
          </w:p>
        </w:tc>
        <w:tc>
          <w:tcPr>
            <w:tcW w:w="1685"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szCs w:val="18"/>
                <w:lang w:eastAsia="es-DO"/>
              </w:rPr>
            </w:pPr>
            <w:r w:rsidRPr="00BE1578">
              <w:rPr>
                <w:rFonts w:ascii="Artifex CF Light" w:eastAsia="Times New Roman" w:hAnsi="Artifex CF Light" w:cs="Calibri Light"/>
                <w:szCs w:val="18"/>
                <w:lang w:eastAsia="es-DO"/>
              </w:rPr>
              <w:t>3,881,690</w:t>
            </w:r>
          </w:p>
        </w:tc>
        <w:tc>
          <w:tcPr>
            <w:tcW w:w="2080"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szCs w:val="18"/>
                <w:lang w:eastAsia="es-DO"/>
              </w:rPr>
            </w:pPr>
            <w:r w:rsidRPr="00BE1578">
              <w:rPr>
                <w:rFonts w:ascii="Artifex CF Light" w:eastAsia="Times New Roman" w:hAnsi="Artifex CF Light" w:cs="Calibri Light"/>
                <w:szCs w:val="18"/>
                <w:lang w:eastAsia="es-DO"/>
              </w:rPr>
              <w:t>772,456,310</w:t>
            </w:r>
          </w:p>
        </w:tc>
      </w:tr>
      <w:tr w:rsidR="00ED4884" w:rsidRPr="00BE1578" w:rsidTr="00ED4884">
        <w:trPr>
          <w:trHeight w:val="170"/>
          <w:jc w:val="center"/>
        </w:trPr>
        <w:tc>
          <w:tcPr>
            <w:tcW w:w="1235"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b/>
                <w:bCs/>
                <w:szCs w:val="18"/>
                <w:lang w:eastAsia="es-DO"/>
              </w:rPr>
            </w:pPr>
            <w:r w:rsidRPr="00BE1578">
              <w:rPr>
                <w:rFonts w:ascii="Artifex CF Light" w:eastAsia="Times New Roman" w:hAnsi="Artifex CF Light" w:cs="Calibri Light"/>
                <w:b/>
                <w:bCs/>
                <w:szCs w:val="18"/>
                <w:lang w:eastAsia="es-DO"/>
              </w:rPr>
              <w:t>2018</w:t>
            </w:r>
          </w:p>
        </w:tc>
        <w:tc>
          <w:tcPr>
            <w:tcW w:w="1685"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szCs w:val="18"/>
                <w:lang w:eastAsia="es-DO"/>
              </w:rPr>
            </w:pPr>
            <w:r w:rsidRPr="00BE1578">
              <w:rPr>
                <w:rFonts w:ascii="Artifex CF Light" w:eastAsia="Times New Roman" w:hAnsi="Artifex CF Light" w:cs="Calibri Light"/>
                <w:szCs w:val="18"/>
                <w:lang w:eastAsia="es-DO"/>
              </w:rPr>
              <w:t>4,284,040</w:t>
            </w:r>
          </w:p>
        </w:tc>
        <w:tc>
          <w:tcPr>
            <w:tcW w:w="2080" w:type="pct"/>
            <w:shd w:val="clear" w:color="auto" w:fill="FFFFFF"/>
            <w:noWrap/>
            <w:hideMark/>
          </w:tcPr>
          <w:p w:rsidR="00BA72CE" w:rsidRPr="00BE1578" w:rsidRDefault="00BA72CE" w:rsidP="00D1004E">
            <w:pPr>
              <w:spacing w:after="0"/>
              <w:jc w:val="center"/>
              <w:rPr>
                <w:rFonts w:ascii="Artifex CF Light" w:eastAsia="Times New Roman" w:hAnsi="Artifex CF Light" w:cs="Calibri Light"/>
                <w:szCs w:val="18"/>
                <w:lang w:eastAsia="es-DO"/>
              </w:rPr>
            </w:pPr>
            <w:r w:rsidRPr="00BE1578">
              <w:rPr>
                <w:rFonts w:ascii="Artifex CF Light" w:eastAsia="Times New Roman" w:hAnsi="Artifex CF Light" w:cs="Calibri Light"/>
                <w:szCs w:val="18"/>
                <w:lang w:eastAsia="es-DO"/>
              </w:rPr>
              <w:t>852,523,960</w:t>
            </w:r>
          </w:p>
        </w:tc>
      </w:tr>
      <w:tr w:rsidR="00ED4884" w:rsidRPr="00BE1578" w:rsidTr="00ED4884">
        <w:trPr>
          <w:trHeight w:val="170"/>
          <w:jc w:val="center"/>
        </w:trPr>
        <w:tc>
          <w:tcPr>
            <w:tcW w:w="1235" w:type="pct"/>
            <w:shd w:val="clear" w:color="auto" w:fill="auto"/>
            <w:noWrap/>
          </w:tcPr>
          <w:p w:rsidR="00BA72CE" w:rsidRPr="00BE1578" w:rsidRDefault="00BA72CE" w:rsidP="00D1004E">
            <w:pPr>
              <w:spacing w:after="0"/>
              <w:jc w:val="center"/>
              <w:rPr>
                <w:rFonts w:ascii="Artifex CF Light" w:eastAsia="Times New Roman" w:hAnsi="Artifex CF Light" w:cs="Calibri Light"/>
                <w:b/>
                <w:bCs/>
                <w:szCs w:val="18"/>
                <w:lang w:eastAsia="es-DO"/>
              </w:rPr>
            </w:pPr>
            <w:r w:rsidRPr="00BE1578">
              <w:rPr>
                <w:rFonts w:ascii="Artifex CF Light" w:eastAsia="Times New Roman" w:hAnsi="Artifex CF Light" w:cs="Calibri Light"/>
                <w:b/>
                <w:bCs/>
                <w:szCs w:val="18"/>
                <w:lang w:eastAsia="es-DO"/>
              </w:rPr>
              <w:t>2019</w:t>
            </w:r>
          </w:p>
        </w:tc>
        <w:tc>
          <w:tcPr>
            <w:tcW w:w="1685" w:type="pct"/>
            <w:shd w:val="clear" w:color="auto" w:fill="auto"/>
            <w:noWrap/>
          </w:tcPr>
          <w:p w:rsidR="00BA72CE" w:rsidRPr="00BE1578" w:rsidRDefault="00B65FD5" w:rsidP="00B65FD5">
            <w:pPr>
              <w:spacing w:after="0"/>
              <w:jc w:val="center"/>
              <w:rPr>
                <w:rFonts w:ascii="Artifex CF Light" w:eastAsia="Times New Roman" w:hAnsi="Artifex CF Light" w:cs="Calibri Light"/>
                <w:b/>
                <w:szCs w:val="18"/>
                <w:lang w:eastAsia="es-DO"/>
              </w:rPr>
            </w:pPr>
            <w:r w:rsidRPr="00BE1578">
              <w:rPr>
                <w:rFonts w:ascii="Artifex CF Light" w:eastAsia="Times New Roman" w:hAnsi="Artifex CF Light" w:cs="Calibri Light"/>
                <w:b/>
                <w:szCs w:val="18"/>
                <w:lang w:eastAsia="es-DO"/>
              </w:rPr>
              <w:t>4, 372</w:t>
            </w:r>
            <w:r w:rsidR="00BA72CE" w:rsidRPr="00BE1578">
              <w:rPr>
                <w:rFonts w:ascii="Artifex CF Light" w:eastAsia="Times New Roman" w:hAnsi="Artifex CF Light" w:cs="Calibri Light"/>
                <w:b/>
                <w:szCs w:val="18"/>
                <w:lang w:eastAsia="es-DO"/>
              </w:rPr>
              <w:t>,</w:t>
            </w:r>
            <w:r w:rsidRPr="00BE1578">
              <w:rPr>
                <w:rFonts w:ascii="Artifex CF Light" w:eastAsia="Times New Roman" w:hAnsi="Artifex CF Light" w:cs="Calibri Light"/>
                <w:b/>
                <w:szCs w:val="18"/>
                <w:lang w:eastAsia="es-DO"/>
              </w:rPr>
              <w:t>370</w:t>
            </w:r>
          </w:p>
        </w:tc>
        <w:tc>
          <w:tcPr>
            <w:tcW w:w="2080" w:type="pct"/>
            <w:shd w:val="clear" w:color="auto" w:fill="auto"/>
            <w:noWrap/>
          </w:tcPr>
          <w:p w:rsidR="00BA72CE" w:rsidRPr="00BE1578" w:rsidRDefault="00BA72CE" w:rsidP="00235301">
            <w:pPr>
              <w:spacing w:after="0"/>
              <w:jc w:val="center"/>
              <w:rPr>
                <w:rFonts w:ascii="Artifex CF Light" w:eastAsia="Times New Roman" w:hAnsi="Artifex CF Light" w:cs="Calibri Light"/>
                <w:b/>
                <w:szCs w:val="18"/>
                <w:lang w:eastAsia="es-DO"/>
              </w:rPr>
            </w:pPr>
            <w:r w:rsidRPr="00BE1578">
              <w:rPr>
                <w:rFonts w:ascii="Artifex CF Light" w:eastAsia="Times New Roman" w:hAnsi="Artifex CF Light" w:cs="Calibri Light"/>
                <w:b/>
                <w:szCs w:val="18"/>
                <w:lang w:eastAsia="es-DO"/>
              </w:rPr>
              <w:t>87</w:t>
            </w:r>
            <w:r w:rsidR="00235301" w:rsidRPr="00BE1578">
              <w:rPr>
                <w:rFonts w:ascii="Artifex CF Light" w:eastAsia="Times New Roman" w:hAnsi="Artifex CF Light" w:cs="Calibri Light"/>
                <w:b/>
                <w:szCs w:val="18"/>
                <w:lang w:eastAsia="es-DO"/>
              </w:rPr>
              <w:t>1</w:t>
            </w:r>
            <w:r w:rsidRPr="00BE1578">
              <w:rPr>
                <w:rFonts w:ascii="Artifex CF Light" w:eastAsia="Times New Roman" w:hAnsi="Artifex CF Light" w:cs="Calibri Light"/>
                <w:b/>
                <w:szCs w:val="18"/>
                <w:lang w:eastAsia="es-DO"/>
              </w:rPr>
              <w:t xml:space="preserve">, </w:t>
            </w:r>
            <w:r w:rsidR="00235301" w:rsidRPr="00BE1578">
              <w:rPr>
                <w:rFonts w:ascii="Artifex CF Light" w:eastAsia="Times New Roman" w:hAnsi="Artifex CF Light" w:cs="Calibri Light"/>
                <w:b/>
                <w:szCs w:val="18"/>
                <w:lang w:eastAsia="es-DO"/>
              </w:rPr>
              <w:t>036</w:t>
            </w:r>
            <w:r w:rsidRPr="00BE1578">
              <w:rPr>
                <w:rFonts w:ascii="Artifex CF Light" w:eastAsia="Times New Roman" w:hAnsi="Artifex CF Light" w:cs="Calibri Light"/>
                <w:b/>
                <w:szCs w:val="18"/>
                <w:lang w:eastAsia="es-DO"/>
              </w:rPr>
              <w:t>,</w:t>
            </w:r>
            <w:r w:rsidR="00235301" w:rsidRPr="00BE1578">
              <w:rPr>
                <w:rFonts w:ascii="Artifex CF Light" w:eastAsia="Times New Roman" w:hAnsi="Artifex CF Light" w:cs="Calibri Light"/>
                <w:b/>
                <w:szCs w:val="18"/>
                <w:lang w:eastAsia="es-DO"/>
              </w:rPr>
              <w:t>532</w:t>
            </w:r>
          </w:p>
        </w:tc>
      </w:tr>
      <w:tr w:rsidR="00ED4884" w:rsidRPr="00BE1578" w:rsidTr="00ED4884">
        <w:trPr>
          <w:trHeight w:val="170"/>
          <w:jc w:val="center"/>
        </w:trPr>
        <w:tc>
          <w:tcPr>
            <w:tcW w:w="1235" w:type="pct"/>
            <w:shd w:val="clear" w:color="auto" w:fill="DEEAF6"/>
            <w:noWrap/>
          </w:tcPr>
          <w:p w:rsidR="008D73E6" w:rsidRPr="00BE1578" w:rsidRDefault="008D73E6" w:rsidP="00D1004E">
            <w:pPr>
              <w:spacing w:after="0"/>
              <w:jc w:val="center"/>
              <w:rPr>
                <w:rFonts w:ascii="Artifex CF Light" w:eastAsia="Times New Roman" w:hAnsi="Artifex CF Light" w:cs="Calibri Light"/>
                <w:b/>
                <w:bCs/>
                <w:szCs w:val="18"/>
                <w:lang w:eastAsia="es-DO"/>
              </w:rPr>
            </w:pPr>
            <w:r w:rsidRPr="00BE1578">
              <w:rPr>
                <w:rFonts w:ascii="Artifex CF Light" w:eastAsia="Times New Roman" w:hAnsi="Artifex CF Light" w:cs="Calibri Light"/>
                <w:b/>
                <w:bCs/>
                <w:szCs w:val="18"/>
                <w:lang w:eastAsia="es-DO"/>
              </w:rPr>
              <w:t>2020</w:t>
            </w:r>
          </w:p>
        </w:tc>
        <w:tc>
          <w:tcPr>
            <w:tcW w:w="1685" w:type="pct"/>
            <w:shd w:val="clear" w:color="auto" w:fill="DEEAF6"/>
            <w:noWrap/>
          </w:tcPr>
          <w:p w:rsidR="008D73E6" w:rsidRPr="00BE1578" w:rsidRDefault="0048672E" w:rsidP="00B65FD5">
            <w:pPr>
              <w:spacing w:after="0"/>
              <w:jc w:val="center"/>
              <w:rPr>
                <w:rFonts w:ascii="Artifex CF Light" w:eastAsia="Times New Roman" w:hAnsi="Artifex CF Light" w:cs="Calibri Light"/>
                <w:b/>
                <w:szCs w:val="18"/>
                <w:lang w:eastAsia="es-DO"/>
              </w:rPr>
            </w:pPr>
            <w:r w:rsidRPr="00BE1578">
              <w:rPr>
                <w:rFonts w:ascii="Artifex CF Light" w:eastAsia="Times New Roman" w:hAnsi="Artifex CF Light" w:cs="Calibri Light"/>
                <w:b/>
                <w:szCs w:val="18"/>
                <w:lang w:eastAsia="es-DO"/>
              </w:rPr>
              <w:t>1,219,748</w:t>
            </w:r>
          </w:p>
        </w:tc>
        <w:tc>
          <w:tcPr>
            <w:tcW w:w="2080" w:type="pct"/>
            <w:shd w:val="clear" w:color="auto" w:fill="DEEAF6"/>
            <w:noWrap/>
          </w:tcPr>
          <w:p w:rsidR="008D73E6" w:rsidRPr="00BE1578" w:rsidRDefault="0048672E" w:rsidP="00031716">
            <w:pPr>
              <w:spacing w:after="0"/>
              <w:jc w:val="center"/>
              <w:rPr>
                <w:rFonts w:ascii="Artifex CF Light" w:eastAsia="Times New Roman" w:hAnsi="Artifex CF Light" w:cs="Calibri Light"/>
                <w:b/>
                <w:szCs w:val="18"/>
                <w:lang w:eastAsia="es-DO"/>
              </w:rPr>
            </w:pPr>
            <w:r w:rsidRPr="00BE1578">
              <w:rPr>
                <w:rFonts w:ascii="Artifex CF Light" w:eastAsia="Times New Roman" w:hAnsi="Artifex CF Light" w:cs="Calibri Light"/>
                <w:b/>
                <w:szCs w:val="18"/>
                <w:lang w:eastAsia="es-DO"/>
              </w:rPr>
              <w:t>2</w:t>
            </w:r>
            <w:r w:rsidR="00031716" w:rsidRPr="00BE1578">
              <w:rPr>
                <w:rFonts w:ascii="Artifex CF Light" w:eastAsia="Times New Roman" w:hAnsi="Artifex CF Light" w:cs="Calibri Light"/>
                <w:b/>
                <w:szCs w:val="18"/>
                <w:lang w:eastAsia="es-DO"/>
              </w:rPr>
              <w:t>57</w:t>
            </w:r>
            <w:r w:rsidRPr="00BE1578">
              <w:rPr>
                <w:rFonts w:ascii="Artifex CF Light" w:eastAsia="Times New Roman" w:hAnsi="Artifex CF Light" w:cs="Calibri Light"/>
                <w:b/>
                <w:szCs w:val="18"/>
                <w:lang w:eastAsia="es-DO"/>
              </w:rPr>
              <w:t>,</w:t>
            </w:r>
            <w:r w:rsidR="00031716" w:rsidRPr="00BE1578">
              <w:rPr>
                <w:rFonts w:ascii="Artifex CF Light" w:eastAsia="Times New Roman" w:hAnsi="Artifex CF Light" w:cs="Calibri Light"/>
                <w:b/>
                <w:szCs w:val="18"/>
                <w:lang w:eastAsia="es-DO"/>
              </w:rPr>
              <w:t>099</w:t>
            </w:r>
            <w:r w:rsidRPr="00BE1578">
              <w:rPr>
                <w:rFonts w:ascii="Artifex CF Light" w:eastAsia="Times New Roman" w:hAnsi="Artifex CF Light" w:cs="Calibri Light"/>
                <w:b/>
                <w:szCs w:val="18"/>
                <w:lang w:eastAsia="es-DO"/>
              </w:rPr>
              <w:t>,</w:t>
            </w:r>
            <w:r w:rsidR="00031716" w:rsidRPr="00BE1578">
              <w:rPr>
                <w:rFonts w:ascii="Artifex CF Light" w:eastAsia="Times New Roman" w:hAnsi="Artifex CF Light" w:cs="Calibri Light"/>
                <w:b/>
                <w:szCs w:val="18"/>
                <w:lang w:eastAsia="es-DO"/>
              </w:rPr>
              <w:t>509</w:t>
            </w:r>
          </w:p>
        </w:tc>
      </w:tr>
    </w:tbl>
    <w:p w:rsidR="00631AFF" w:rsidRPr="00F03025" w:rsidRDefault="00631AFF" w:rsidP="00631AFF">
      <w:pPr>
        <w:spacing w:after="0"/>
        <w:rPr>
          <w:rFonts w:ascii="Artifex CF Light" w:hAnsi="Artifex CF Light"/>
          <w:szCs w:val="18"/>
        </w:rPr>
      </w:pPr>
      <w:r w:rsidRPr="00F03025">
        <w:rPr>
          <w:rFonts w:ascii="Artifex CF Light" w:hAnsi="Artifex CF Light" w:cs="Calibri Light"/>
          <w:b/>
          <w:szCs w:val="18"/>
        </w:rPr>
        <w:t xml:space="preserve">             Fuente</w:t>
      </w:r>
      <w:r w:rsidRPr="00F03025">
        <w:rPr>
          <w:rFonts w:ascii="Artifex CF Light" w:hAnsi="Artifex CF Light" w:cs="Calibri Light"/>
          <w:szCs w:val="18"/>
        </w:rPr>
        <w:t xml:space="preserve">: </w:t>
      </w:r>
      <w:r w:rsidRPr="00F03025">
        <w:rPr>
          <w:rFonts w:ascii="Artifex CF Light" w:hAnsi="Artifex CF Light"/>
          <w:szCs w:val="18"/>
        </w:rPr>
        <w:t xml:space="preserve">Departamento de Gestión Alimentaria., Notas: </w:t>
      </w:r>
    </w:p>
    <w:p w:rsidR="0048672E" w:rsidRPr="00F03025" w:rsidRDefault="0048672E" w:rsidP="00631AFF">
      <w:pPr>
        <w:spacing w:after="0" w:line="240" w:lineRule="auto"/>
        <w:ind w:left="709"/>
        <w:rPr>
          <w:rFonts w:ascii="Artifex CF Light" w:hAnsi="Artifex CF Light"/>
          <w:szCs w:val="18"/>
        </w:rPr>
      </w:pPr>
      <w:r w:rsidRPr="00F03025">
        <w:rPr>
          <w:rFonts w:ascii="Artifex CF Light" w:hAnsi="Artifex CF Light"/>
          <w:szCs w:val="18"/>
        </w:rPr>
        <w:t>1/ Para el año 2020 se contempla el período desde el 14 enero hasta el 02 de noviembre de ese año.</w:t>
      </w:r>
    </w:p>
    <w:p w:rsidR="00631AFF" w:rsidRPr="00F03025" w:rsidRDefault="00631AFF" w:rsidP="00631AFF">
      <w:pPr>
        <w:spacing w:after="0" w:line="240" w:lineRule="auto"/>
        <w:ind w:left="709"/>
        <w:rPr>
          <w:rFonts w:ascii="Artifex CF Light" w:hAnsi="Artifex CF Light"/>
          <w:szCs w:val="18"/>
        </w:rPr>
      </w:pPr>
      <w:r w:rsidRPr="00F03025">
        <w:rPr>
          <w:rFonts w:ascii="Artifex CF Light" w:hAnsi="Artifex CF Light"/>
          <w:szCs w:val="18"/>
        </w:rPr>
        <w:t>2/Los beneficiarios de media</w:t>
      </w:r>
      <w:r w:rsidR="00C77D4B" w:rsidRPr="00F03025">
        <w:rPr>
          <w:rFonts w:ascii="Artifex CF Light" w:hAnsi="Artifex CF Light"/>
          <w:szCs w:val="18"/>
        </w:rPr>
        <w:t xml:space="preserve"> tanda reciben una ración al </w:t>
      </w:r>
      <w:r w:rsidR="00567FB3" w:rsidRPr="00F03025">
        <w:rPr>
          <w:rFonts w:ascii="Artifex CF Light" w:hAnsi="Artifex CF Light"/>
          <w:szCs w:val="18"/>
        </w:rPr>
        <w:t>día y</w:t>
      </w:r>
      <w:r w:rsidR="00C77D4B" w:rsidRPr="00F03025">
        <w:rPr>
          <w:rFonts w:ascii="Artifex CF Light" w:hAnsi="Artifex CF Light"/>
          <w:szCs w:val="18"/>
        </w:rPr>
        <w:t xml:space="preserve"> los </w:t>
      </w:r>
      <w:r w:rsidR="00567FB3" w:rsidRPr="00F03025">
        <w:rPr>
          <w:rFonts w:ascii="Artifex CF Light" w:hAnsi="Artifex CF Light"/>
          <w:szCs w:val="18"/>
        </w:rPr>
        <w:t>de jornada</w:t>
      </w:r>
      <w:r w:rsidRPr="00F03025">
        <w:rPr>
          <w:rFonts w:ascii="Artifex CF Light" w:hAnsi="Artifex CF Light"/>
          <w:szCs w:val="18"/>
        </w:rPr>
        <w:t xml:space="preserve"> extendida reciben tres raciones al día. Concernientes a una ración de (desayuno, almuerzo y merienda)</w:t>
      </w:r>
    </w:p>
    <w:p w:rsidR="00B00556" w:rsidRPr="00BE1578" w:rsidRDefault="00B00556" w:rsidP="00BE1578">
      <w:pPr>
        <w:pStyle w:val="Heading4"/>
      </w:pPr>
      <w:r w:rsidRPr="00BE1578">
        <w:t>Suplidores del PAE</w:t>
      </w:r>
    </w:p>
    <w:p w:rsidR="00B00556" w:rsidRPr="00655735" w:rsidRDefault="00A768A4" w:rsidP="00655735">
      <w:pPr>
        <w:spacing w:line="360" w:lineRule="auto"/>
        <w:ind w:right="139"/>
        <w:jc w:val="both"/>
        <w:rPr>
          <w:szCs w:val="18"/>
        </w:rPr>
      </w:pPr>
      <w:r w:rsidRPr="00655735">
        <w:rPr>
          <w:b/>
          <w:i/>
          <w:szCs w:val="18"/>
        </w:rPr>
        <w:t>E</w:t>
      </w:r>
      <w:r w:rsidR="00B00556" w:rsidRPr="00655735">
        <w:rPr>
          <w:b/>
          <w:i/>
          <w:szCs w:val="18"/>
        </w:rPr>
        <w:t>l Departamento de Aseguramiento de la Calidad de los Alimentos</w:t>
      </w:r>
      <w:r w:rsidR="00B00556" w:rsidRPr="00655735">
        <w:rPr>
          <w:szCs w:val="18"/>
        </w:rPr>
        <w:t xml:space="preserve"> </w:t>
      </w:r>
      <w:r w:rsidRPr="00655735">
        <w:rPr>
          <w:szCs w:val="18"/>
        </w:rPr>
        <w:t xml:space="preserve">es responsable de la supervisión de los suplidores del PAE, a través de la </w:t>
      </w:r>
      <w:r w:rsidRPr="00655735">
        <w:rPr>
          <w:b/>
          <w:i/>
          <w:szCs w:val="18"/>
        </w:rPr>
        <w:t>División de Evaluación de Productos</w:t>
      </w:r>
      <w:r w:rsidRPr="00655735">
        <w:rPr>
          <w:szCs w:val="18"/>
        </w:rPr>
        <w:t xml:space="preserve"> que toma muestras para analizar los productos del PAE y la </w:t>
      </w:r>
      <w:r w:rsidRPr="00655735">
        <w:rPr>
          <w:b/>
          <w:i/>
          <w:szCs w:val="18"/>
        </w:rPr>
        <w:t>División de Inspección y Verificación de Proveedores</w:t>
      </w:r>
      <w:r w:rsidRPr="00655735">
        <w:rPr>
          <w:szCs w:val="18"/>
        </w:rPr>
        <w:t xml:space="preserve">, que trabaja directamente con éstos. </w:t>
      </w:r>
    </w:p>
    <w:p w:rsidR="00B00556" w:rsidRPr="00655735" w:rsidRDefault="00B00556" w:rsidP="00655735">
      <w:pPr>
        <w:spacing w:line="360" w:lineRule="auto"/>
        <w:ind w:right="139"/>
        <w:jc w:val="both"/>
        <w:rPr>
          <w:szCs w:val="18"/>
        </w:rPr>
      </w:pPr>
      <w:r w:rsidRPr="00655735">
        <w:rPr>
          <w:szCs w:val="18"/>
        </w:rPr>
        <w:t>Para la Jornada Escolar Extendida el INABIE aumenta cada año el número de suplidores de alimentos. En el año escolar 2020-2021 sirven al PAE 1,696 suplidores</w:t>
      </w:r>
      <w:r w:rsidR="00A768A4" w:rsidRPr="00655735">
        <w:rPr>
          <w:szCs w:val="18"/>
        </w:rPr>
        <w:t>.</w:t>
      </w:r>
      <w:r w:rsidRPr="00655735">
        <w:rPr>
          <w:color w:val="000000"/>
          <w:szCs w:val="18"/>
        </w:rPr>
        <w:t xml:space="preserve"> De éstos 1</w:t>
      </w:r>
      <w:r w:rsidRPr="00655735">
        <w:rPr>
          <w:szCs w:val="18"/>
        </w:rPr>
        <w:t xml:space="preserve">,366 (81%) suplieron el almuerzo a la Jornada Escolar Extendida, haciendo de esta manera una contribución directa al desarrollo de las economías locales, las MIPYMES y la equidad de género, ya que el 100% son MIPYMES y el 50% son mujeres. </w:t>
      </w:r>
    </w:p>
    <w:p w:rsidR="00B00556" w:rsidRPr="00655735" w:rsidRDefault="00B00556" w:rsidP="00BE1578">
      <w:pPr>
        <w:pStyle w:val="Heading4"/>
      </w:pPr>
      <w:r w:rsidRPr="00655735">
        <w:t>Inspecciones de las instalaciones, procesos y controles de proveedores del PAE.</w:t>
      </w:r>
    </w:p>
    <w:p w:rsidR="00B00556" w:rsidRPr="00655735" w:rsidRDefault="00A768A4" w:rsidP="00383B5B">
      <w:pPr>
        <w:spacing w:line="360" w:lineRule="auto"/>
        <w:jc w:val="both"/>
      </w:pPr>
      <w:r w:rsidRPr="00655735">
        <w:t xml:space="preserve">En 2020 se realizaron 650 </w:t>
      </w:r>
      <w:r w:rsidR="00B00556" w:rsidRPr="00655735">
        <w:t xml:space="preserve">inspecciones </w:t>
      </w:r>
      <w:r w:rsidRPr="00655735">
        <w:t>a los proveedores de todas las modalidades, incluyendo cocinas, panaderías, plantas de leche y establecimientos comerciales de 980 que se tenía</w:t>
      </w:r>
      <w:r w:rsidR="00567FB3" w:rsidRPr="00655735">
        <w:t>n programadas, alcanzando el 66.3</w:t>
      </w:r>
      <w:r w:rsidRPr="00655735">
        <w:t>% de ejecución.</w:t>
      </w:r>
      <w:r w:rsidR="00B00556" w:rsidRPr="00655735">
        <w:t xml:space="preserve"> Las inspecciones realizadas permitieron verificar el cumplimiento de los centros de operación de proveedores con los requisitos establecidos por el INABIE sobre Buenas Prácticas de Manufactura y tomar las acciones correspondientes </w:t>
      </w:r>
      <w:r w:rsidR="00567FB3" w:rsidRPr="00655735">
        <w:t>para la</w:t>
      </w:r>
      <w:r w:rsidR="00B00556" w:rsidRPr="00655735">
        <w:t xml:space="preserve"> corrección </w:t>
      </w:r>
      <w:r w:rsidR="00567FB3" w:rsidRPr="00655735">
        <w:t>de no</w:t>
      </w:r>
      <w:r w:rsidR="00B00556" w:rsidRPr="00655735">
        <w:t xml:space="preserve"> conformidades, contribuyendo </w:t>
      </w:r>
      <w:r w:rsidR="00567FB3" w:rsidRPr="00655735">
        <w:t>así al</w:t>
      </w:r>
      <w:r w:rsidR="00B00556" w:rsidRPr="00655735">
        <w:t xml:space="preserve"> mejoramiento continuo de las instalaciones, procesos y productos.</w:t>
      </w:r>
    </w:p>
    <w:p w:rsidR="00C760E5" w:rsidRDefault="00C760E5" w:rsidP="00383B5B">
      <w:pPr>
        <w:spacing w:line="360" w:lineRule="auto"/>
        <w:jc w:val="both"/>
        <w:rPr>
          <w:rFonts w:ascii="Artifex CF Light" w:hAnsi="Artifex CF Light" w:cstheme="majorHAnsi"/>
          <w:b/>
          <w:i/>
        </w:rPr>
      </w:pPr>
    </w:p>
    <w:p w:rsidR="00B00556" w:rsidRPr="00F03025" w:rsidRDefault="00B00556" w:rsidP="00C760E5">
      <w:pPr>
        <w:spacing w:line="360" w:lineRule="auto"/>
        <w:jc w:val="center"/>
        <w:rPr>
          <w:rFonts w:ascii="Artifex CF Light" w:hAnsi="Artifex CF Light" w:cstheme="majorHAnsi"/>
          <w:b/>
          <w:i/>
        </w:rPr>
      </w:pPr>
      <w:r w:rsidRPr="00F03025">
        <w:rPr>
          <w:rFonts w:ascii="Artifex CF Light" w:hAnsi="Artifex CF Light" w:cstheme="majorHAnsi"/>
          <w:b/>
          <w:i/>
        </w:rPr>
        <w:t xml:space="preserve">Tabla No. </w:t>
      </w:r>
      <w:r w:rsidR="00C760E5">
        <w:rPr>
          <w:rFonts w:ascii="Artifex CF Light" w:hAnsi="Artifex CF Light" w:cstheme="majorHAnsi"/>
          <w:b/>
          <w:i/>
        </w:rPr>
        <w:t>5</w:t>
      </w:r>
    </w:p>
    <w:p w:rsidR="00B00556" w:rsidRPr="00F03025" w:rsidRDefault="00B00556" w:rsidP="00B00556">
      <w:pPr>
        <w:pStyle w:val="Caption"/>
        <w:keepNext/>
        <w:spacing w:after="0"/>
        <w:jc w:val="center"/>
        <w:rPr>
          <w:rFonts w:ascii="Artifex CF Light" w:hAnsi="Artifex CF Light" w:cstheme="majorHAnsi"/>
          <w:b/>
          <w:i w:val="0"/>
          <w:color w:val="auto"/>
          <w:lang w:val="es-DO"/>
        </w:rPr>
      </w:pPr>
      <w:r w:rsidRPr="00F03025">
        <w:rPr>
          <w:rFonts w:ascii="Artifex CF Light" w:hAnsi="Artifex CF Light" w:cstheme="majorHAnsi"/>
          <w:b/>
          <w:i w:val="0"/>
          <w:color w:val="auto"/>
          <w:lang w:val="es-DO"/>
        </w:rPr>
        <w:lastRenderedPageBreak/>
        <w:t>Inspecciones Realizadas a Proveedores, Semestre enero-junio 2020</w:t>
      </w:r>
    </w:p>
    <w:tbl>
      <w:tblPr>
        <w:tblW w:w="5000" w:type="pct"/>
        <w:tblCellMar>
          <w:left w:w="70" w:type="dxa"/>
          <w:right w:w="70" w:type="dxa"/>
        </w:tblCellMar>
        <w:tblLook w:val="04A0" w:firstRow="1" w:lastRow="0" w:firstColumn="1" w:lastColumn="0" w:noHBand="0" w:noVBand="1"/>
      </w:tblPr>
      <w:tblGrid>
        <w:gridCol w:w="2811"/>
        <w:gridCol w:w="1816"/>
        <w:gridCol w:w="1442"/>
        <w:gridCol w:w="1851"/>
      </w:tblGrid>
      <w:tr w:rsidR="00B00556" w:rsidRPr="00F03025" w:rsidTr="00ED4884">
        <w:trPr>
          <w:trHeight w:val="615"/>
        </w:trPr>
        <w:tc>
          <w:tcPr>
            <w:tcW w:w="1798" w:type="pct"/>
            <w:tcBorders>
              <w:top w:val="single" w:sz="8" w:space="0" w:color="auto"/>
              <w:left w:val="single" w:sz="8" w:space="0" w:color="auto"/>
              <w:bottom w:val="single" w:sz="8" w:space="0" w:color="auto"/>
              <w:right w:val="single" w:sz="8" w:space="0" w:color="auto"/>
            </w:tcBorders>
            <w:shd w:val="clear" w:color="auto" w:fill="2867A0"/>
            <w:vAlign w:val="center"/>
            <w:hideMark/>
          </w:tcPr>
          <w:p w:rsidR="00B00556" w:rsidRPr="00F03025" w:rsidRDefault="00B00556" w:rsidP="00681D02">
            <w:pPr>
              <w:spacing w:after="0" w:line="240" w:lineRule="auto"/>
              <w:jc w:val="center"/>
              <w:rPr>
                <w:rFonts w:ascii="Artifex CF Light" w:eastAsia="Times New Roman" w:hAnsi="Artifex CF Light" w:cs="Calibri Light"/>
                <w:b/>
                <w:bCs/>
                <w:color w:val="FFFFFF"/>
                <w:szCs w:val="18"/>
                <w:lang w:eastAsia="es-DO"/>
              </w:rPr>
            </w:pPr>
            <w:r w:rsidRPr="00F03025">
              <w:rPr>
                <w:rFonts w:ascii="Artifex CF Light" w:eastAsia="Times New Roman" w:hAnsi="Artifex CF Light" w:cs="Calibri Light"/>
                <w:b/>
                <w:bCs/>
                <w:color w:val="FFFFFF"/>
                <w:szCs w:val="18"/>
                <w:lang w:eastAsia="es-DO"/>
              </w:rPr>
              <w:t>Inspecciones</w:t>
            </w:r>
          </w:p>
        </w:tc>
        <w:tc>
          <w:tcPr>
            <w:tcW w:w="1169" w:type="pct"/>
            <w:tcBorders>
              <w:top w:val="single" w:sz="8" w:space="0" w:color="auto"/>
              <w:left w:val="nil"/>
              <w:bottom w:val="single" w:sz="8" w:space="0" w:color="auto"/>
              <w:right w:val="single" w:sz="8" w:space="0" w:color="auto"/>
            </w:tcBorders>
            <w:shd w:val="clear" w:color="auto" w:fill="2867A0"/>
            <w:vAlign w:val="center"/>
            <w:hideMark/>
          </w:tcPr>
          <w:p w:rsidR="00B00556" w:rsidRPr="00F03025" w:rsidRDefault="00B00556" w:rsidP="00681D02">
            <w:pPr>
              <w:spacing w:after="0" w:line="240" w:lineRule="auto"/>
              <w:jc w:val="center"/>
              <w:rPr>
                <w:rFonts w:ascii="Artifex CF Light" w:eastAsia="Times New Roman" w:hAnsi="Artifex CF Light" w:cs="Calibri Light"/>
                <w:b/>
                <w:bCs/>
                <w:color w:val="FFFFFF"/>
                <w:szCs w:val="18"/>
                <w:lang w:eastAsia="es-DO"/>
              </w:rPr>
            </w:pPr>
            <w:r w:rsidRPr="00F03025">
              <w:rPr>
                <w:rFonts w:ascii="Artifex CF Light" w:eastAsia="Times New Roman" w:hAnsi="Artifex CF Light" w:cs="Calibri Light"/>
                <w:b/>
                <w:bCs/>
                <w:color w:val="FFFFFF"/>
                <w:szCs w:val="18"/>
                <w:lang w:eastAsia="es-DO"/>
              </w:rPr>
              <w:t>Programado</w:t>
            </w:r>
          </w:p>
        </w:tc>
        <w:tc>
          <w:tcPr>
            <w:tcW w:w="933" w:type="pct"/>
            <w:tcBorders>
              <w:top w:val="single" w:sz="8" w:space="0" w:color="auto"/>
              <w:left w:val="nil"/>
              <w:bottom w:val="single" w:sz="8" w:space="0" w:color="auto"/>
              <w:right w:val="single" w:sz="8" w:space="0" w:color="auto"/>
            </w:tcBorders>
            <w:shd w:val="clear" w:color="auto" w:fill="2867A0"/>
            <w:vAlign w:val="center"/>
            <w:hideMark/>
          </w:tcPr>
          <w:p w:rsidR="00B00556" w:rsidRPr="00F03025" w:rsidRDefault="00B00556" w:rsidP="00681D02">
            <w:pPr>
              <w:spacing w:after="0" w:line="240" w:lineRule="auto"/>
              <w:jc w:val="center"/>
              <w:rPr>
                <w:rFonts w:ascii="Artifex CF Light" w:eastAsia="Times New Roman" w:hAnsi="Artifex CF Light" w:cs="Calibri Light"/>
                <w:b/>
                <w:bCs/>
                <w:color w:val="FFFFFF"/>
                <w:szCs w:val="18"/>
                <w:lang w:eastAsia="es-DO"/>
              </w:rPr>
            </w:pPr>
            <w:r w:rsidRPr="00F03025">
              <w:rPr>
                <w:rFonts w:ascii="Artifex CF Light" w:eastAsia="Times New Roman" w:hAnsi="Artifex CF Light" w:cs="Calibri Light"/>
                <w:b/>
                <w:bCs/>
                <w:color w:val="FFFFFF"/>
                <w:szCs w:val="18"/>
                <w:lang w:eastAsia="es-DO"/>
              </w:rPr>
              <w:t>Ejecutado</w:t>
            </w:r>
          </w:p>
        </w:tc>
        <w:tc>
          <w:tcPr>
            <w:tcW w:w="1101" w:type="pct"/>
            <w:tcBorders>
              <w:top w:val="single" w:sz="8" w:space="0" w:color="auto"/>
              <w:left w:val="nil"/>
              <w:bottom w:val="single" w:sz="8" w:space="0" w:color="auto"/>
              <w:right w:val="single" w:sz="8" w:space="0" w:color="auto"/>
            </w:tcBorders>
            <w:shd w:val="clear" w:color="auto" w:fill="2867A0"/>
            <w:vAlign w:val="center"/>
            <w:hideMark/>
          </w:tcPr>
          <w:p w:rsidR="00B00556" w:rsidRPr="00F03025" w:rsidRDefault="00B00556" w:rsidP="00681D02">
            <w:pPr>
              <w:spacing w:after="0" w:line="240" w:lineRule="auto"/>
              <w:jc w:val="center"/>
              <w:rPr>
                <w:rFonts w:ascii="Artifex CF Light" w:eastAsia="Times New Roman" w:hAnsi="Artifex CF Light" w:cs="Calibri Light"/>
                <w:b/>
                <w:bCs/>
                <w:color w:val="FFFFFF"/>
                <w:szCs w:val="18"/>
                <w:lang w:eastAsia="es-DO"/>
              </w:rPr>
            </w:pPr>
            <w:r w:rsidRPr="00F03025">
              <w:rPr>
                <w:rFonts w:ascii="Artifex CF Light" w:eastAsia="Times New Roman" w:hAnsi="Artifex CF Light" w:cs="Calibri Light"/>
                <w:b/>
                <w:bCs/>
                <w:color w:val="FFFFFF"/>
                <w:szCs w:val="18"/>
                <w:lang w:eastAsia="es-DO"/>
              </w:rPr>
              <w:t>% Ejecutado</w:t>
            </w:r>
          </w:p>
        </w:tc>
      </w:tr>
      <w:tr w:rsidR="00B00556" w:rsidRPr="00F03025" w:rsidTr="00ED4884">
        <w:trPr>
          <w:trHeight w:val="315"/>
        </w:trPr>
        <w:tc>
          <w:tcPr>
            <w:tcW w:w="17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0556" w:rsidRPr="00F03025" w:rsidRDefault="00B00556" w:rsidP="00681D02">
            <w:pPr>
              <w:spacing w:after="0" w:line="240" w:lineRule="auto"/>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Panadería</w:t>
            </w:r>
          </w:p>
        </w:tc>
        <w:tc>
          <w:tcPr>
            <w:tcW w:w="1169" w:type="pct"/>
            <w:tcBorders>
              <w:top w:val="single" w:sz="4" w:space="0" w:color="auto"/>
              <w:left w:val="nil"/>
              <w:bottom w:val="single" w:sz="4" w:space="0" w:color="auto"/>
              <w:right w:val="single" w:sz="4" w:space="0" w:color="auto"/>
            </w:tcBorders>
            <w:shd w:val="clear" w:color="auto" w:fill="auto"/>
            <w:noWrap/>
            <w:vAlign w:val="bottom"/>
            <w:hideMark/>
          </w:tcPr>
          <w:p w:rsidR="00B00556" w:rsidRPr="00F03025" w:rsidRDefault="00B00556" w:rsidP="00681D02">
            <w:pPr>
              <w:spacing w:after="0" w:line="240" w:lineRule="auto"/>
              <w:jc w:val="center"/>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195</w:t>
            </w:r>
          </w:p>
        </w:tc>
        <w:tc>
          <w:tcPr>
            <w:tcW w:w="933" w:type="pct"/>
            <w:tcBorders>
              <w:top w:val="single" w:sz="4" w:space="0" w:color="auto"/>
              <w:left w:val="nil"/>
              <w:bottom w:val="single" w:sz="4" w:space="0" w:color="auto"/>
              <w:right w:val="single" w:sz="4" w:space="0" w:color="auto"/>
            </w:tcBorders>
            <w:shd w:val="clear" w:color="auto" w:fill="auto"/>
            <w:noWrap/>
            <w:vAlign w:val="bottom"/>
            <w:hideMark/>
          </w:tcPr>
          <w:p w:rsidR="00B00556" w:rsidRPr="00F03025" w:rsidRDefault="00B00556" w:rsidP="00681D02">
            <w:pPr>
              <w:spacing w:after="0" w:line="240" w:lineRule="auto"/>
              <w:jc w:val="center"/>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92</w:t>
            </w:r>
          </w:p>
        </w:tc>
        <w:tc>
          <w:tcPr>
            <w:tcW w:w="1101" w:type="pct"/>
            <w:tcBorders>
              <w:top w:val="single" w:sz="4" w:space="0" w:color="auto"/>
              <w:left w:val="nil"/>
              <w:bottom w:val="single" w:sz="4" w:space="0" w:color="auto"/>
              <w:right w:val="single" w:sz="4" w:space="0" w:color="auto"/>
            </w:tcBorders>
            <w:shd w:val="clear" w:color="auto" w:fill="auto"/>
            <w:noWrap/>
            <w:vAlign w:val="center"/>
            <w:hideMark/>
          </w:tcPr>
          <w:p w:rsidR="00B00556" w:rsidRPr="00F03025" w:rsidRDefault="00B00556" w:rsidP="00681D02">
            <w:pPr>
              <w:spacing w:after="0" w:line="240" w:lineRule="auto"/>
              <w:jc w:val="right"/>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47.2%</w:t>
            </w:r>
          </w:p>
        </w:tc>
      </w:tr>
      <w:tr w:rsidR="00B00556" w:rsidRPr="00F03025" w:rsidTr="00ED4884">
        <w:trPr>
          <w:trHeight w:val="315"/>
        </w:trPr>
        <w:tc>
          <w:tcPr>
            <w:tcW w:w="1798" w:type="pct"/>
            <w:tcBorders>
              <w:top w:val="nil"/>
              <w:left w:val="single" w:sz="4" w:space="0" w:color="auto"/>
              <w:bottom w:val="single" w:sz="4" w:space="0" w:color="auto"/>
              <w:right w:val="single" w:sz="4" w:space="0" w:color="auto"/>
            </w:tcBorders>
            <w:shd w:val="clear" w:color="auto" w:fill="auto"/>
            <w:noWrap/>
            <w:vAlign w:val="center"/>
            <w:hideMark/>
          </w:tcPr>
          <w:p w:rsidR="00B00556" w:rsidRPr="00F03025" w:rsidRDefault="00B00556" w:rsidP="00681D02">
            <w:pPr>
              <w:spacing w:after="0" w:line="240" w:lineRule="auto"/>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Plantas de Leche</w:t>
            </w:r>
          </w:p>
        </w:tc>
        <w:tc>
          <w:tcPr>
            <w:tcW w:w="1169" w:type="pct"/>
            <w:tcBorders>
              <w:top w:val="nil"/>
              <w:left w:val="nil"/>
              <w:bottom w:val="single" w:sz="4" w:space="0" w:color="auto"/>
              <w:right w:val="single" w:sz="4" w:space="0" w:color="auto"/>
            </w:tcBorders>
            <w:shd w:val="clear" w:color="auto" w:fill="auto"/>
            <w:noWrap/>
            <w:vAlign w:val="bottom"/>
            <w:hideMark/>
          </w:tcPr>
          <w:p w:rsidR="00B00556" w:rsidRPr="00F03025" w:rsidRDefault="00B00556" w:rsidP="00681D02">
            <w:pPr>
              <w:spacing w:after="0" w:line="240" w:lineRule="auto"/>
              <w:jc w:val="center"/>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90</w:t>
            </w:r>
          </w:p>
        </w:tc>
        <w:tc>
          <w:tcPr>
            <w:tcW w:w="933" w:type="pct"/>
            <w:tcBorders>
              <w:top w:val="nil"/>
              <w:left w:val="nil"/>
              <w:bottom w:val="single" w:sz="4" w:space="0" w:color="auto"/>
              <w:right w:val="single" w:sz="4" w:space="0" w:color="auto"/>
            </w:tcBorders>
            <w:shd w:val="clear" w:color="auto" w:fill="auto"/>
            <w:noWrap/>
            <w:vAlign w:val="bottom"/>
            <w:hideMark/>
          </w:tcPr>
          <w:p w:rsidR="00B00556" w:rsidRPr="00F03025" w:rsidRDefault="00B00556" w:rsidP="00681D02">
            <w:pPr>
              <w:spacing w:after="0" w:line="240" w:lineRule="auto"/>
              <w:jc w:val="center"/>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28</w:t>
            </w:r>
          </w:p>
        </w:tc>
        <w:tc>
          <w:tcPr>
            <w:tcW w:w="1101" w:type="pct"/>
            <w:tcBorders>
              <w:top w:val="nil"/>
              <w:left w:val="nil"/>
              <w:bottom w:val="single" w:sz="4" w:space="0" w:color="auto"/>
              <w:right w:val="single" w:sz="4" w:space="0" w:color="auto"/>
            </w:tcBorders>
            <w:shd w:val="clear" w:color="auto" w:fill="auto"/>
            <w:noWrap/>
            <w:vAlign w:val="center"/>
            <w:hideMark/>
          </w:tcPr>
          <w:p w:rsidR="00B00556" w:rsidRPr="00F03025" w:rsidRDefault="00B00556" w:rsidP="00681D02">
            <w:pPr>
              <w:spacing w:after="0" w:line="240" w:lineRule="auto"/>
              <w:jc w:val="right"/>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31.1%</w:t>
            </w:r>
          </w:p>
        </w:tc>
      </w:tr>
      <w:tr w:rsidR="00B00556" w:rsidRPr="00F03025" w:rsidTr="00ED4884">
        <w:trPr>
          <w:trHeight w:val="315"/>
        </w:trPr>
        <w:tc>
          <w:tcPr>
            <w:tcW w:w="1798" w:type="pct"/>
            <w:tcBorders>
              <w:top w:val="nil"/>
              <w:left w:val="single" w:sz="4" w:space="0" w:color="auto"/>
              <w:bottom w:val="single" w:sz="4" w:space="0" w:color="auto"/>
              <w:right w:val="single" w:sz="4" w:space="0" w:color="auto"/>
            </w:tcBorders>
            <w:shd w:val="clear" w:color="auto" w:fill="auto"/>
            <w:noWrap/>
            <w:vAlign w:val="center"/>
            <w:hideMark/>
          </w:tcPr>
          <w:p w:rsidR="00B00556" w:rsidRPr="00F03025" w:rsidRDefault="00B00556" w:rsidP="00681D02">
            <w:pPr>
              <w:spacing w:after="0" w:line="240" w:lineRule="auto"/>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Almacenes/ PAE Rural</w:t>
            </w:r>
          </w:p>
        </w:tc>
        <w:tc>
          <w:tcPr>
            <w:tcW w:w="1169" w:type="pct"/>
            <w:tcBorders>
              <w:top w:val="nil"/>
              <w:left w:val="nil"/>
              <w:bottom w:val="single" w:sz="4" w:space="0" w:color="auto"/>
              <w:right w:val="single" w:sz="4" w:space="0" w:color="auto"/>
            </w:tcBorders>
            <w:shd w:val="clear" w:color="auto" w:fill="auto"/>
            <w:noWrap/>
            <w:vAlign w:val="bottom"/>
            <w:hideMark/>
          </w:tcPr>
          <w:p w:rsidR="00B00556" w:rsidRPr="00F03025" w:rsidRDefault="00B00556" w:rsidP="00681D02">
            <w:pPr>
              <w:spacing w:after="0" w:line="240" w:lineRule="auto"/>
              <w:jc w:val="center"/>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70</w:t>
            </w:r>
          </w:p>
        </w:tc>
        <w:tc>
          <w:tcPr>
            <w:tcW w:w="933" w:type="pct"/>
            <w:tcBorders>
              <w:top w:val="nil"/>
              <w:left w:val="nil"/>
              <w:bottom w:val="single" w:sz="4" w:space="0" w:color="auto"/>
              <w:right w:val="single" w:sz="4" w:space="0" w:color="auto"/>
            </w:tcBorders>
            <w:shd w:val="clear" w:color="auto" w:fill="auto"/>
            <w:noWrap/>
            <w:vAlign w:val="bottom"/>
            <w:hideMark/>
          </w:tcPr>
          <w:p w:rsidR="00B00556" w:rsidRPr="00F03025" w:rsidRDefault="00B00556" w:rsidP="00681D02">
            <w:pPr>
              <w:spacing w:after="0" w:line="240" w:lineRule="auto"/>
              <w:jc w:val="center"/>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0</w:t>
            </w:r>
          </w:p>
        </w:tc>
        <w:tc>
          <w:tcPr>
            <w:tcW w:w="1101" w:type="pct"/>
            <w:tcBorders>
              <w:top w:val="nil"/>
              <w:left w:val="nil"/>
              <w:bottom w:val="single" w:sz="4" w:space="0" w:color="auto"/>
              <w:right w:val="single" w:sz="4" w:space="0" w:color="auto"/>
            </w:tcBorders>
            <w:shd w:val="clear" w:color="auto" w:fill="auto"/>
            <w:noWrap/>
            <w:vAlign w:val="center"/>
            <w:hideMark/>
          </w:tcPr>
          <w:p w:rsidR="00B00556" w:rsidRPr="00F03025" w:rsidRDefault="00B00556" w:rsidP="00681D02">
            <w:pPr>
              <w:spacing w:after="0" w:line="240" w:lineRule="auto"/>
              <w:jc w:val="right"/>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0.0%</w:t>
            </w:r>
          </w:p>
        </w:tc>
      </w:tr>
      <w:tr w:rsidR="00B00556" w:rsidRPr="00F03025" w:rsidTr="00ED4884">
        <w:trPr>
          <w:trHeight w:val="315"/>
        </w:trPr>
        <w:tc>
          <w:tcPr>
            <w:tcW w:w="1798" w:type="pct"/>
            <w:tcBorders>
              <w:top w:val="nil"/>
              <w:left w:val="single" w:sz="4" w:space="0" w:color="auto"/>
              <w:bottom w:val="single" w:sz="4" w:space="0" w:color="auto"/>
              <w:right w:val="single" w:sz="4" w:space="0" w:color="auto"/>
            </w:tcBorders>
            <w:shd w:val="clear" w:color="auto" w:fill="auto"/>
            <w:noWrap/>
            <w:vAlign w:val="center"/>
            <w:hideMark/>
          </w:tcPr>
          <w:p w:rsidR="00B00556" w:rsidRPr="00F03025" w:rsidRDefault="00B00556" w:rsidP="00681D02">
            <w:pPr>
              <w:spacing w:after="0" w:line="240" w:lineRule="auto"/>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Almacenes/Fronterizo</w:t>
            </w:r>
          </w:p>
        </w:tc>
        <w:tc>
          <w:tcPr>
            <w:tcW w:w="1169" w:type="pct"/>
            <w:tcBorders>
              <w:top w:val="nil"/>
              <w:left w:val="nil"/>
              <w:bottom w:val="single" w:sz="4" w:space="0" w:color="auto"/>
              <w:right w:val="single" w:sz="4" w:space="0" w:color="auto"/>
            </w:tcBorders>
            <w:shd w:val="clear" w:color="auto" w:fill="auto"/>
            <w:noWrap/>
            <w:vAlign w:val="bottom"/>
            <w:hideMark/>
          </w:tcPr>
          <w:p w:rsidR="00B00556" w:rsidRPr="00F03025" w:rsidRDefault="00B00556" w:rsidP="00681D02">
            <w:pPr>
              <w:spacing w:after="0" w:line="240" w:lineRule="auto"/>
              <w:jc w:val="center"/>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30</w:t>
            </w:r>
          </w:p>
        </w:tc>
        <w:tc>
          <w:tcPr>
            <w:tcW w:w="933" w:type="pct"/>
            <w:tcBorders>
              <w:top w:val="nil"/>
              <w:left w:val="nil"/>
              <w:bottom w:val="single" w:sz="4" w:space="0" w:color="auto"/>
              <w:right w:val="single" w:sz="4" w:space="0" w:color="auto"/>
            </w:tcBorders>
            <w:shd w:val="clear" w:color="auto" w:fill="auto"/>
            <w:noWrap/>
            <w:vAlign w:val="bottom"/>
            <w:hideMark/>
          </w:tcPr>
          <w:p w:rsidR="00B00556" w:rsidRPr="00F03025" w:rsidRDefault="00B00556" w:rsidP="00681D02">
            <w:pPr>
              <w:spacing w:after="0" w:line="240" w:lineRule="auto"/>
              <w:jc w:val="center"/>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18</w:t>
            </w:r>
          </w:p>
        </w:tc>
        <w:tc>
          <w:tcPr>
            <w:tcW w:w="1101" w:type="pct"/>
            <w:tcBorders>
              <w:top w:val="nil"/>
              <w:left w:val="nil"/>
              <w:bottom w:val="single" w:sz="4" w:space="0" w:color="auto"/>
              <w:right w:val="single" w:sz="4" w:space="0" w:color="auto"/>
            </w:tcBorders>
            <w:shd w:val="clear" w:color="auto" w:fill="auto"/>
            <w:noWrap/>
            <w:vAlign w:val="center"/>
            <w:hideMark/>
          </w:tcPr>
          <w:p w:rsidR="00B00556" w:rsidRPr="00F03025" w:rsidRDefault="00B00556" w:rsidP="00681D02">
            <w:pPr>
              <w:spacing w:after="0" w:line="240" w:lineRule="auto"/>
              <w:jc w:val="right"/>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60.0%</w:t>
            </w:r>
          </w:p>
        </w:tc>
      </w:tr>
      <w:tr w:rsidR="00B00556" w:rsidRPr="00F03025" w:rsidTr="00ED4884">
        <w:trPr>
          <w:trHeight w:val="315"/>
        </w:trPr>
        <w:tc>
          <w:tcPr>
            <w:tcW w:w="1798" w:type="pct"/>
            <w:tcBorders>
              <w:top w:val="nil"/>
              <w:left w:val="single" w:sz="4" w:space="0" w:color="auto"/>
              <w:bottom w:val="single" w:sz="4" w:space="0" w:color="auto"/>
              <w:right w:val="single" w:sz="4" w:space="0" w:color="auto"/>
            </w:tcBorders>
            <w:shd w:val="clear" w:color="auto" w:fill="auto"/>
            <w:noWrap/>
            <w:vAlign w:val="center"/>
            <w:hideMark/>
          </w:tcPr>
          <w:p w:rsidR="00B00556" w:rsidRPr="00F03025" w:rsidRDefault="00B00556" w:rsidP="00681D02">
            <w:pPr>
              <w:spacing w:after="0" w:line="240" w:lineRule="auto"/>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cocinas /Jornada Extendida</w:t>
            </w:r>
          </w:p>
        </w:tc>
        <w:tc>
          <w:tcPr>
            <w:tcW w:w="1169" w:type="pct"/>
            <w:tcBorders>
              <w:top w:val="nil"/>
              <w:left w:val="nil"/>
              <w:bottom w:val="single" w:sz="4" w:space="0" w:color="auto"/>
              <w:right w:val="single" w:sz="4" w:space="0" w:color="auto"/>
            </w:tcBorders>
            <w:shd w:val="clear" w:color="auto" w:fill="auto"/>
            <w:noWrap/>
            <w:vAlign w:val="bottom"/>
            <w:hideMark/>
          </w:tcPr>
          <w:p w:rsidR="00B00556" w:rsidRPr="00F03025" w:rsidRDefault="00B00556" w:rsidP="00681D02">
            <w:pPr>
              <w:spacing w:after="0" w:line="240" w:lineRule="auto"/>
              <w:jc w:val="center"/>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595</w:t>
            </w:r>
          </w:p>
        </w:tc>
        <w:tc>
          <w:tcPr>
            <w:tcW w:w="933" w:type="pct"/>
            <w:tcBorders>
              <w:top w:val="nil"/>
              <w:left w:val="nil"/>
              <w:bottom w:val="single" w:sz="4" w:space="0" w:color="auto"/>
              <w:right w:val="single" w:sz="4" w:space="0" w:color="auto"/>
            </w:tcBorders>
            <w:shd w:val="clear" w:color="auto" w:fill="auto"/>
            <w:noWrap/>
            <w:vAlign w:val="bottom"/>
            <w:hideMark/>
          </w:tcPr>
          <w:p w:rsidR="00B00556" w:rsidRPr="00F03025" w:rsidRDefault="00B00556" w:rsidP="00681D02">
            <w:pPr>
              <w:spacing w:after="0" w:line="240" w:lineRule="auto"/>
              <w:jc w:val="center"/>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512</w:t>
            </w:r>
          </w:p>
        </w:tc>
        <w:tc>
          <w:tcPr>
            <w:tcW w:w="1101" w:type="pct"/>
            <w:tcBorders>
              <w:top w:val="nil"/>
              <w:left w:val="nil"/>
              <w:bottom w:val="single" w:sz="4" w:space="0" w:color="auto"/>
              <w:right w:val="single" w:sz="4" w:space="0" w:color="auto"/>
            </w:tcBorders>
            <w:shd w:val="clear" w:color="auto" w:fill="auto"/>
            <w:noWrap/>
            <w:vAlign w:val="center"/>
            <w:hideMark/>
          </w:tcPr>
          <w:p w:rsidR="00B00556" w:rsidRPr="00F03025" w:rsidRDefault="00B00556" w:rsidP="00681D02">
            <w:pPr>
              <w:spacing w:after="0" w:line="240" w:lineRule="auto"/>
              <w:jc w:val="right"/>
              <w:rPr>
                <w:rFonts w:ascii="Artifex CF Light" w:eastAsia="Times New Roman" w:hAnsi="Artifex CF Light" w:cs="Calibri Light"/>
                <w:color w:val="000000"/>
                <w:szCs w:val="18"/>
                <w:lang w:eastAsia="es-DO"/>
              </w:rPr>
            </w:pPr>
            <w:r w:rsidRPr="00F03025">
              <w:rPr>
                <w:rFonts w:ascii="Artifex CF Light" w:eastAsia="Times New Roman" w:hAnsi="Artifex CF Light" w:cs="Calibri Light"/>
                <w:color w:val="000000"/>
                <w:szCs w:val="18"/>
                <w:lang w:eastAsia="es-DO"/>
              </w:rPr>
              <w:t>86.1%</w:t>
            </w:r>
          </w:p>
        </w:tc>
      </w:tr>
      <w:tr w:rsidR="00B00556" w:rsidRPr="00F03025" w:rsidTr="00ED4884">
        <w:trPr>
          <w:trHeight w:val="315"/>
        </w:trPr>
        <w:tc>
          <w:tcPr>
            <w:tcW w:w="1798" w:type="pct"/>
            <w:tcBorders>
              <w:top w:val="nil"/>
              <w:left w:val="single" w:sz="4" w:space="0" w:color="auto"/>
              <w:bottom w:val="single" w:sz="4" w:space="0" w:color="auto"/>
              <w:right w:val="single" w:sz="4" w:space="0" w:color="auto"/>
            </w:tcBorders>
            <w:shd w:val="clear" w:color="000000" w:fill="BDD6EE"/>
            <w:noWrap/>
            <w:vAlign w:val="center"/>
            <w:hideMark/>
          </w:tcPr>
          <w:p w:rsidR="00B00556" w:rsidRPr="00F03025" w:rsidRDefault="00B00556" w:rsidP="00681D02">
            <w:pPr>
              <w:spacing w:after="0" w:line="240" w:lineRule="auto"/>
              <w:jc w:val="center"/>
              <w:rPr>
                <w:rFonts w:ascii="Artifex CF Light" w:eastAsia="Times New Roman" w:hAnsi="Artifex CF Light" w:cs="Calibri Light"/>
                <w:b/>
                <w:color w:val="000000"/>
                <w:szCs w:val="18"/>
                <w:lang w:eastAsia="es-DO"/>
              </w:rPr>
            </w:pPr>
            <w:r w:rsidRPr="00F03025">
              <w:rPr>
                <w:rFonts w:ascii="Artifex CF Light" w:eastAsia="Times New Roman" w:hAnsi="Artifex CF Light" w:cs="Calibri Light"/>
                <w:b/>
                <w:color w:val="000000"/>
                <w:szCs w:val="18"/>
                <w:lang w:eastAsia="es-DO"/>
              </w:rPr>
              <w:t>Total</w:t>
            </w:r>
          </w:p>
        </w:tc>
        <w:tc>
          <w:tcPr>
            <w:tcW w:w="1169" w:type="pct"/>
            <w:tcBorders>
              <w:top w:val="nil"/>
              <w:left w:val="nil"/>
              <w:bottom w:val="single" w:sz="4" w:space="0" w:color="auto"/>
              <w:right w:val="single" w:sz="4" w:space="0" w:color="auto"/>
            </w:tcBorders>
            <w:shd w:val="clear" w:color="000000" w:fill="BDD6EE"/>
            <w:noWrap/>
            <w:vAlign w:val="center"/>
            <w:hideMark/>
          </w:tcPr>
          <w:p w:rsidR="00B00556" w:rsidRPr="00F03025" w:rsidRDefault="00B00556" w:rsidP="00681D02">
            <w:pPr>
              <w:spacing w:after="0" w:line="240" w:lineRule="auto"/>
              <w:jc w:val="center"/>
              <w:rPr>
                <w:rFonts w:ascii="Artifex CF Light" w:eastAsia="Times New Roman" w:hAnsi="Artifex CF Light" w:cs="Calibri Light"/>
                <w:b/>
                <w:color w:val="000000"/>
                <w:szCs w:val="18"/>
                <w:lang w:eastAsia="es-DO"/>
              </w:rPr>
            </w:pPr>
            <w:r w:rsidRPr="00F03025">
              <w:rPr>
                <w:rFonts w:ascii="Artifex CF Light" w:eastAsia="Times New Roman" w:hAnsi="Artifex CF Light" w:cs="Calibri Light"/>
                <w:b/>
                <w:color w:val="000000"/>
                <w:szCs w:val="18"/>
                <w:lang w:eastAsia="es-DO"/>
              </w:rPr>
              <w:t>980</w:t>
            </w:r>
          </w:p>
        </w:tc>
        <w:tc>
          <w:tcPr>
            <w:tcW w:w="933" w:type="pct"/>
            <w:tcBorders>
              <w:top w:val="nil"/>
              <w:left w:val="nil"/>
              <w:bottom w:val="single" w:sz="4" w:space="0" w:color="auto"/>
              <w:right w:val="single" w:sz="4" w:space="0" w:color="auto"/>
            </w:tcBorders>
            <w:shd w:val="clear" w:color="000000" w:fill="BDD6EE"/>
            <w:noWrap/>
            <w:vAlign w:val="center"/>
            <w:hideMark/>
          </w:tcPr>
          <w:p w:rsidR="00B00556" w:rsidRPr="00F03025" w:rsidRDefault="00B00556" w:rsidP="00681D02">
            <w:pPr>
              <w:spacing w:after="0" w:line="240" w:lineRule="auto"/>
              <w:jc w:val="center"/>
              <w:rPr>
                <w:rFonts w:ascii="Artifex CF Light" w:eastAsia="Times New Roman" w:hAnsi="Artifex CF Light" w:cs="Calibri Light"/>
                <w:b/>
                <w:color w:val="000000"/>
                <w:szCs w:val="18"/>
                <w:lang w:eastAsia="es-DO"/>
              </w:rPr>
            </w:pPr>
            <w:r w:rsidRPr="00F03025">
              <w:rPr>
                <w:rFonts w:ascii="Artifex CF Light" w:eastAsia="Times New Roman" w:hAnsi="Artifex CF Light" w:cs="Calibri Light"/>
                <w:b/>
                <w:color w:val="000000"/>
                <w:szCs w:val="18"/>
                <w:lang w:eastAsia="es-DO"/>
              </w:rPr>
              <w:t>650</w:t>
            </w:r>
          </w:p>
        </w:tc>
        <w:tc>
          <w:tcPr>
            <w:tcW w:w="1101" w:type="pct"/>
            <w:tcBorders>
              <w:top w:val="nil"/>
              <w:left w:val="nil"/>
              <w:bottom w:val="single" w:sz="4" w:space="0" w:color="auto"/>
              <w:right w:val="single" w:sz="4" w:space="0" w:color="auto"/>
            </w:tcBorders>
            <w:shd w:val="clear" w:color="000000" w:fill="BDD6EE"/>
            <w:noWrap/>
            <w:vAlign w:val="center"/>
            <w:hideMark/>
          </w:tcPr>
          <w:p w:rsidR="00B00556" w:rsidRPr="00F03025" w:rsidRDefault="00B00556" w:rsidP="00681D02">
            <w:pPr>
              <w:spacing w:after="0" w:line="240" w:lineRule="auto"/>
              <w:jc w:val="center"/>
              <w:rPr>
                <w:rFonts w:ascii="Artifex CF Light" w:eastAsia="Times New Roman" w:hAnsi="Artifex CF Light" w:cs="Calibri Light"/>
                <w:b/>
                <w:color w:val="000000"/>
                <w:szCs w:val="18"/>
                <w:lang w:eastAsia="es-DO"/>
              </w:rPr>
            </w:pPr>
            <w:r w:rsidRPr="00F03025">
              <w:rPr>
                <w:rFonts w:ascii="Artifex CF Light" w:eastAsia="Times New Roman" w:hAnsi="Artifex CF Light" w:cs="Calibri Light"/>
                <w:b/>
                <w:color w:val="000000"/>
                <w:szCs w:val="18"/>
                <w:lang w:eastAsia="es-DO"/>
              </w:rPr>
              <w:t xml:space="preserve">                        66.3%</w:t>
            </w:r>
          </w:p>
        </w:tc>
      </w:tr>
    </w:tbl>
    <w:p w:rsidR="00B00556" w:rsidRPr="00F03025" w:rsidRDefault="00B00556" w:rsidP="00B00556">
      <w:pPr>
        <w:jc w:val="both"/>
        <w:rPr>
          <w:rFonts w:ascii="Artifex CF Light" w:hAnsi="Artifex CF Light" w:cstheme="majorHAnsi"/>
          <w:iCs/>
          <w:szCs w:val="18"/>
        </w:rPr>
      </w:pPr>
      <w:r w:rsidRPr="00F03025">
        <w:rPr>
          <w:rFonts w:ascii="Artifex CF Light" w:hAnsi="Artifex CF Light" w:cstheme="majorHAnsi"/>
          <w:b/>
          <w:iCs/>
          <w:szCs w:val="18"/>
        </w:rPr>
        <w:t>Fuente:</w:t>
      </w:r>
      <w:r w:rsidRPr="00F03025">
        <w:rPr>
          <w:rFonts w:ascii="Artifex CF Light" w:hAnsi="Artifex CF Light" w:cstheme="majorHAnsi"/>
          <w:iCs/>
          <w:szCs w:val="18"/>
        </w:rPr>
        <w:t xml:space="preserve"> INABIE, Departamento de Aseguramiento de la Calidad de los Alimentos</w:t>
      </w:r>
    </w:p>
    <w:p w:rsidR="00E06CD4" w:rsidRPr="00655735" w:rsidRDefault="00BD075E" w:rsidP="00BE1578">
      <w:pPr>
        <w:pStyle w:val="Heading4"/>
      </w:pPr>
      <w:r w:rsidRPr="00655735">
        <w:t>Inversión en el PAE 20</w:t>
      </w:r>
      <w:r w:rsidR="00F72694" w:rsidRPr="00655735">
        <w:t>20</w:t>
      </w:r>
    </w:p>
    <w:p w:rsidR="00794412" w:rsidRPr="00655735" w:rsidRDefault="00794412" w:rsidP="00655735">
      <w:pPr>
        <w:spacing w:line="360" w:lineRule="auto"/>
        <w:jc w:val="both"/>
        <w:rPr>
          <w:rFonts w:eastAsia="Times New Roman" w:cs="Calibri"/>
          <w:color w:val="000000"/>
          <w:szCs w:val="18"/>
          <w:lang w:eastAsia="es-DO"/>
        </w:rPr>
      </w:pPr>
      <w:bookmarkStart w:id="46" w:name="_Toc435702301"/>
      <w:r w:rsidRPr="00655735">
        <w:rPr>
          <w:szCs w:val="18"/>
        </w:rPr>
        <w:t>En los últimos 8 años el Gobierno Dominicano ha sextuplicado la inversión en compras de alimentos para el PAE. De RD$3,275.02 MM de pesos, que se invirtieron en el 2012, se aumentó a RD$ 24,055.59 MM en el 2020. Esto como resultado de la implementación de la Jornada Escolar Extendida; la cual impacta de manera determinante a este programa con la incorporación de dos nuevos servicios de alimentación: el almuerzo y la merienda escolar.</w:t>
      </w:r>
    </w:p>
    <w:p w:rsidR="00794412" w:rsidRPr="00A82C82" w:rsidRDefault="00794412" w:rsidP="00794412">
      <w:pPr>
        <w:spacing w:line="360" w:lineRule="auto"/>
        <w:contextualSpacing/>
        <w:jc w:val="both"/>
        <w:rPr>
          <w:rFonts w:ascii="Times New Roman" w:hAnsi="Times New Roman"/>
          <w:sz w:val="6"/>
        </w:rPr>
      </w:pPr>
    </w:p>
    <w:p w:rsidR="00794412" w:rsidRPr="00A82C82" w:rsidRDefault="00C760E5" w:rsidP="00794412">
      <w:pPr>
        <w:spacing w:after="0" w:line="240" w:lineRule="auto"/>
        <w:jc w:val="center"/>
        <w:rPr>
          <w:rFonts w:ascii="Times New Roman" w:hAnsi="Times New Roman"/>
          <w:b/>
        </w:rPr>
      </w:pPr>
      <w:r>
        <w:rPr>
          <w:rFonts w:ascii="Times New Roman" w:hAnsi="Times New Roman"/>
          <w:b/>
        </w:rPr>
        <w:t>Gráfico No.1</w:t>
      </w:r>
    </w:p>
    <w:p w:rsidR="00794412" w:rsidRDefault="00794412" w:rsidP="00794412">
      <w:pPr>
        <w:spacing w:after="0" w:line="240" w:lineRule="auto"/>
        <w:jc w:val="center"/>
        <w:rPr>
          <w:rFonts w:ascii="Times New Roman" w:hAnsi="Times New Roman"/>
          <w:b/>
          <w:vertAlign w:val="superscript"/>
        </w:rPr>
      </w:pPr>
      <w:r w:rsidRPr="00A82C82">
        <w:rPr>
          <w:rFonts w:ascii="Times New Roman" w:hAnsi="Times New Roman"/>
          <w:b/>
        </w:rPr>
        <w:t>Evolución de la inversión realizada en el programa de alimentación escolar PAE</w:t>
      </w:r>
      <w:r>
        <w:rPr>
          <w:rFonts w:ascii="Times New Roman" w:hAnsi="Times New Roman"/>
          <w:b/>
        </w:rPr>
        <w:t xml:space="preserve"> durante el período 2012 al 2020</w:t>
      </w:r>
      <w:r w:rsidRPr="00A82C82">
        <w:rPr>
          <w:rFonts w:ascii="Times New Roman" w:hAnsi="Times New Roman"/>
          <w:b/>
        </w:rPr>
        <w:t xml:space="preserve"> </w:t>
      </w:r>
      <w:r w:rsidRPr="00A82C82">
        <w:rPr>
          <w:rFonts w:ascii="Times New Roman" w:hAnsi="Times New Roman"/>
          <w:b/>
          <w:vertAlign w:val="superscript"/>
        </w:rPr>
        <w:t>1</w:t>
      </w:r>
    </w:p>
    <w:p w:rsidR="00794412" w:rsidRDefault="00794412" w:rsidP="00794412">
      <w:pPr>
        <w:spacing w:after="0" w:line="240" w:lineRule="auto"/>
        <w:jc w:val="center"/>
        <w:rPr>
          <w:rFonts w:ascii="Times New Roman" w:hAnsi="Times New Roman"/>
          <w:b/>
          <w:vertAlign w:val="superscript"/>
        </w:rPr>
      </w:pPr>
    </w:p>
    <w:p w:rsidR="00794412" w:rsidRDefault="00794412" w:rsidP="00794412">
      <w:pPr>
        <w:spacing w:after="0" w:line="240" w:lineRule="auto"/>
        <w:jc w:val="center"/>
        <w:rPr>
          <w:rFonts w:ascii="Times New Roman" w:hAnsi="Times New Roman"/>
          <w:b/>
          <w:vertAlign w:val="superscript"/>
        </w:rPr>
      </w:pPr>
    </w:p>
    <w:p w:rsidR="00794412" w:rsidRPr="00A82C82" w:rsidRDefault="00794412" w:rsidP="00794412">
      <w:pPr>
        <w:spacing w:after="0" w:line="240" w:lineRule="auto"/>
        <w:rPr>
          <w:rFonts w:ascii="Times New Roman" w:hAnsi="Times New Roman"/>
          <w:b/>
          <w:vertAlign w:val="superscript"/>
        </w:rPr>
      </w:pPr>
      <w:r>
        <w:rPr>
          <w:noProof/>
          <w:lang w:eastAsia="es-DO"/>
        </w:rPr>
        <w:drawing>
          <wp:inline distT="0" distB="0" distL="0" distR="0" wp14:anchorId="688393CB" wp14:editId="1AC9C876">
            <wp:extent cx="4987925" cy="3321050"/>
            <wp:effectExtent l="0" t="0" r="3175" b="127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94412" w:rsidRPr="00A82C82" w:rsidRDefault="00794412" w:rsidP="00794412">
      <w:pPr>
        <w:spacing w:after="0" w:line="240" w:lineRule="auto"/>
        <w:rPr>
          <w:rFonts w:ascii="Times New Roman" w:hAnsi="Times New Roman"/>
        </w:rPr>
      </w:pPr>
      <w:r w:rsidRPr="00A82C82">
        <w:t xml:space="preserve">   </w:t>
      </w:r>
      <w:r w:rsidRPr="00A82C82">
        <w:rPr>
          <w:rFonts w:ascii="Times New Roman" w:hAnsi="Times New Roman"/>
          <w:b/>
        </w:rPr>
        <w:t>Fuente:</w:t>
      </w:r>
      <w:r w:rsidRPr="00A82C82">
        <w:rPr>
          <w:rFonts w:ascii="Times New Roman" w:hAnsi="Times New Roman"/>
        </w:rPr>
        <w:t xml:space="preserve"> División ejecución presupuestaria.                                                                          </w:t>
      </w:r>
    </w:p>
    <w:p w:rsidR="00794412" w:rsidRPr="00A82C82" w:rsidRDefault="00794412" w:rsidP="00794412">
      <w:pPr>
        <w:spacing w:after="0" w:line="240" w:lineRule="auto"/>
        <w:rPr>
          <w:rFonts w:ascii="Times New Roman" w:hAnsi="Times New Roman"/>
        </w:rPr>
      </w:pPr>
      <w:r w:rsidRPr="00A82C82">
        <w:rPr>
          <w:rFonts w:ascii="Times New Roman" w:hAnsi="Times New Roman"/>
          <w:b/>
        </w:rPr>
        <w:t xml:space="preserve">   Notas:</w:t>
      </w:r>
      <w:r>
        <w:rPr>
          <w:rFonts w:ascii="Times New Roman" w:hAnsi="Times New Roman"/>
        </w:rPr>
        <w:t xml:space="preserve"> Los valores del año 2020</w:t>
      </w:r>
      <w:r w:rsidRPr="00A82C82">
        <w:rPr>
          <w:rFonts w:ascii="Times New Roman" w:hAnsi="Times New Roman"/>
        </w:rPr>
        <w:t xml:space="preserve"> son cifras preliminares</w:t>
      </w:r>
    </w:p>
    <w:p w:rsidR="00631AFF" w:rsidRPr="00794412" w:rsidRDefault="00631AFF" w:rsidP="00BE1578">
      <w:pPr>
        <w:pStyle w:val="Heading4"/>
      </w:pPr>
      <w:r w:rsidRPr="00794412">
        <w:lastRenderedPageBreak/>
        <w:t>Educación Alimentaria y Nutricional y apoyo a la Gestión del PAE</w:t>
      </w:r>
    </w:p>
    <w:bookmarkEnd w:id="46"/>
    <w:p w:rsidR="00BC395C" w:rsidRPr="00BE1578" w:rsidRDefault="00BC395C" w:rsidP="00655735">
      <w:pPr>
        <w:spacing w:after="120" w:line="360" w:lineRule="auto"/>
        <w:jc w:val="both"/>
        <w:rPr>
          <w:rFonts w:eastAsia="Times New Roman"/>
          <w:szCs w:val="18"/>
        </w:rPr>
      </w:pPr>
      <w:r w:rsidRPr="00BE1578">
        <w:rPr>
          <w:rFonts w:eastAsia="Times New Roman"/>
          <w:szCs w:val="18"/>
        </w:rPr>
        <w:t xml:space="preserve">Estas acciones se llevan a cabo desde el </w:t>
      </w:r>
      <w:r w:rsidRPr="00BE1578">
        <w:rPr>
          <w:rFonts w:eastAsia="Times New Roman"/>
          <w:b/>
          <w:i/>
          <w:szCs w:val="18"/>
        </w:rPr>
        <w:t>Departamento de Nutrición</w:t>
      </w:r>
      <w:r w:rsidRPr="00BE1578">
        <w:rPr>
          <w:rFonts w:eastAsia="Times New Roman"/>
          <w:szCs w:val="18"/>
        </w:rPr>
        <w:t xml:space="preserve">, que coordina y articula la planificación e implementación de programas, planes y proyectos que contribuyan al mejoramiento de la situación alimentaria de los estudiantes. Para estos fines cuenta con la </w:t>
      </w:r>
      <w:r w:rsidR="00F163FF" w:rsidRPr="00BE1578">
        <w:rPr>
          <w:rFonts w:eastAsia="Times New Roman"/>
          <w:b/>
          <w:i/>
          <w:szCs w:val="18"/>
        </w:rPr>
        <w:t>División de Vigilancia Alimentaria y Nutricional</w:t>
      </w:r>
      <w:r w:rsidR="00F163FF" w:rsidRPr="00BE1578">
        <w:rPr>
          <w:rFonts w:eastAsia="Times New Roman"/>
          <w:szCs w:val="18"/>
        </w:rPr>
        <w:t xml:space="preserve">, la cual promueve y facilita la recuperación nutricional de los estudiantes y </w:t>
      </w:r>
      <w:r w:rsidR="00567FB3" w:rsidRPr="00BE1578">
        <w:rPr>
          <w:rFonts w:eastAsia="Times New Roman"/>
          <w:szCs w:val="18"/>
        </w:rPr>
        <w:t xml:space="preserve">la </w:t>
      </w:r>
      <w:r w:rsidR="00567FB3" w:rsidRPr="00BE1578">
        <w:rPr>
          <w:rFonts w:eastAsia="Times New Roman"/>
          <w:b/>
          <w:i/>
          <w:szCs w:val="18"/>
        </w:rPr>
        <w:t>Sección</w:t>
      </w:r>
      <w:r w:rsidRPr="00BE1578">
        <w:rPr>
          <w:rFonts w:eastAsia="Times New Roman"/>
          <w:b/>
          <w:i/>
          <w:szCs w:val="18"/>
        </w:rPr>
        <w:t xml:space="preserve"> de Desarrollo de Productos</w:t>
      </w:r>
      <w:r w:rsidRPr="00BE1578">
        <w:rPr>
          <w:rFonts w:eastAsia="Times New Roman"/>
          <w:szCs w:val="18"/>
        </w:rPr>
        <w:t xml:space="preserve">, que diseña, </w:t>
      </w:r>
      <w:r w:rsidR="00F163FF" w:rsidRPr="00BE1578">
        <w:rPr>
          <w:rFonts w:eastAsia="Times New Roman"/>
          <w:szCs w:val="18"/>
        </w:rPr>
        <w:t xml:space="preserve">implementa nuevos productos y </w:t>
      </w:r>
      <w:r w:rsidRPr="00BE1578">
        <w:rPr>
          <w:rFonts w:eastAsia="Times New Roman"/>
          <w:szCs w:val="18"/>
        </w:rPr>
        <w:t xml:space="preserve">brinda orientación técnica para la elaboración de los menús de alimentos </w:t>
      </w:r>
    </w:p>
    <w:p w:rsidR="00F163FF" w:rsidRPr="00655735" w:rsidRDefault="00A82C82" w:rsidP="00655735">
      <w:pPr>
        <w:spacing w:line="360" w:lineRule="auto"/>
        <w:jc w:val="both"/>
        <w:rPr>
          <w:szCs w:val="18"/>
        </w:rPr>
      </w:pPr>
      <w:r w:rsidRPr="00BE1578">
        <w:rPr>
          <w:szCs w:val="18"/>
        </w:rPr>
        <w:t>E</w:t>
      </w:r>
      <w:r w:rsidR="00224C69" w:rsidRPr="00BE1578">
        <w:rPr>
          <w:szCs w:val="18"/>
        </w:rPr>
        <w:t xml:space="preserve">n </w:t>
      </w:r>
      <w:r w:rsidR="00F163FF" w:rsidRPr="00BE1578">
        <w:rPr>
          <w:szCs w:val="18"/>
        </w:rPr>
        <w:t>el 2020</w:t>
      </w:r>
      <w:r w:rsidRPr="00BE1578">
        <w:rPr>
          <w:szCs w:val="18"/>
        </w:rPr>
        <w:t xml:space="preserve"> </w:t>
      </w:r>
      <w:r w:rsidR="00224C69" w:rsidRPr="00BE1578">
        <w:rPr>
          <w:szCs w:val="18"/>
        </w:rPr>
        <w:t xml:space="preserve">se </w:t>
      </w:r>
      <w:r w:rsidR="00F163FF" w:rsidRPr="00BE1578">
        <w:rPr>
          <w:szCs w:val="18"/>
        </w:rPr>
        <w:t>continuó con el f</w:t>
      </w:r>
      <w:r w:rsidR="00224C69" w:rsidRPr="00BE1578">
        <w:rPr>
          <w:szCs w:val="18"/>
        </w:rPr>
        <w:t xml:space="preserve">ortalecimiento del Sistema de Gestión de la Calidad del </w:t>
      </w:r>
      <w:r w:rsidR="00224C69" w:rsidRPr="00655735">
        <w:rPr>
          <w:szCs w:val="18"/>
        </w:rPr>
        <w:t>Programa de Alimentación Escolar (SGC-PAE) e implementación de la Estrategia de Intervención Territorial</w:t>
      </w:r>
      <w:r w:rsidR="00F163FF" w:rsidRPr="00655735">
        <w:rPr>
          <w:szCs w:val="18"/>
        </w:rPr>
        <w:t xml:space="preserve">. Acompañar a los centros en la incorporación del sistema de gestión de calidad del PAE. Esta estrategia garantiza el diagnóstico, planificación inspección y elaboración de los planes de mejora y acompañamiento del programa de alimentación en cada centro educativo; permitiendo establecer puntuaciones de cumplimiento de los requisitos del programa, con lo cual se da lugar a los </w:t>
      </w:r>
      <w:r w:rsidR="00F163FF" w:rsidRPr="00655735">
        <w:rPr>
          <w:b/>
          <w:szCs w:val="18"/>
        </w:rPr>
        <w:t>Centros Educativos Modelos</w:t>
      </w:r>
      <w:r w:rsidR="00F163FF" w:rsidRPr="00655735">
        <w:rPr>
          <w:szCs w:val="18"/>
        </w:rPr>
        <w:t xml:space="preserve">; los cuales son centros que cumplen con los reglamentos y normativas requeridos por el INABIE para gestionar el PAE en un ambiente de inocuidad y manejo higiénico de los alimentos. </w:t>
      </w:r>
    </w:p>
    <w:p w:rsidR="00F87810" w:rsidRPr="00655735" w:rsidRDefault="00F87810" w:rsidP="00655735">
      <w:pPr>
        <w:spacing w:line="360" w:lineRule="auto"/>
        <w:jc w:val="both"/>
        <w:rPr>
          <w:b/>
          <w:szCs w:val="18"/>
        </w:rPr>
      </w:pPr>
      <w:r w:rsidRPr="00655735">
        <w:rPr>
          <w:b/>
          <w:szCs w:val="18"/>
        </w:rPr>
        <w:t>En 2020 en total de capacitaron 30,923 personas de las Comunidades Educativas</w:t>
      </w:r>
      <w:r w:rsidR="004D69C4" w:rsidRPr="00655735">
        <w:rPr>
          <w:b/>
          <w:szCs w:val="18"/>
        </w:rPr>
        <w:t>, logrando sólo un 10% de lo programado, debido al impacto del COVID-19</w:t>
      </w:r>
      <w:r w:rsidRPr="00655735">
        <w:rPr>
          <w:b/>
          <w:szCs w:val="18"/>
        </w:rPr>
        <w:t>.</w:t>
      </w:r>
    </w:p>
    <w:p w:rsidR="00F87810" w:rsidRPr="00BE1578" w:rsidRDefault="00C760E5" w:rsidP="004043F6">
      <w:pPr>
        <w:pStyle w:val="Caption"/>
        <w:keepNext/>
        <w:spacing w:after="0" w:line="276" w:lineRule="auto"/>
        <w:jc w:val="center"/>
        <w:rPr>
          <w:rFonts w:ascii="Artifex CF Light" w:hAnsi="Artifex CF Light"/>
          <w:b/>
          <w:i w:val="0"/>
          <w:color w:val="1F4E79"/>
        </w:rPr>
      </w:pPr>
      <w:r w:rsidRPr="00BE1578">
        <w:rPr>
          <w:rFonts w:ascii="Artifex CF Light" w:hAnsi="Artifex CF Light"/>
          <w:b/>
          <w:i w:val="0"/>
          <w:color w:val="1F4E79"/>
        </w:rPr>
        <w:t>Tabla No. 6</w:t>
      </w:r>
    </w:p>
    <w:p w:rsidR="00F87810" w:rsidRPr="00BE1578" w:rsidRDefault="00F87810" w:rsidP="004043F6">
      <w:pPr>
        <w:spacing w:after="0" w:line="276" w:lineRule="auto"/>
        <w:jc w:val="center"/>
        <w:rPr>
          <w:rFonts w:ascii="Artifex CF Light" w:hAnsi="Artifex CF Light"/>
          <w:b/>
          <w:szCs w:val="18"/>
        </w:rPr>
      </w:pPr>
      <w:r w:rsidRPr="00BE1578">
        <w:rPr>
          <w:rFonts w:ascii="Artifex CF Light" w:hAnsi="Artifex CF Light"/>
          <w:b/>
          <w:szCs w:val="18"/>
        </w:rPr>
        <w:t>Beneficiarios en Educación Alimentaria y Nutricional, Acumulado al mes de mayo 2020</w:t>
      </w:r>
    </w:p>
    <w:tbl>
      <w:tblPr>
        <w:tblW w:w="5000" w:type="pct"/>
        <w:tblCellMar>
          <w:left w:w="70" w:type="dxa"/>
          <w:right w:w="70" w:type="dxa"/>
        </w:tblCellMar>
        <w:tblLook w:val="04A0" w:firstRow="1" w:lastRow="0" w:firstColumn="1" w:lastColumn="0" w:noHBand="0" w:noVBand="1"/>
      </w:tblPr>
      <w:tblGrid>
        <w:gridCol w:w="4162"/>
        <w:gridCol w:w="1291"/>
        <w:gridCol w:w="1001"/>
        <w:gridCol w:w="1461"/>
      </w:tblGrid>
      <w:tr w:rsidR="00BE1578" w:rsidRPr="00BE1578" w:rsidTr="00ED4884">
        <w:trPr>
          <w:trHeight w:val="300"/>
        </w:trPr>
        <w:tc>
          <w:tcPr>
            <w:tcW w:w="2723" w:type="pct"/>
            <w:tcBorders>
              <w:top w:val="single" w:sz="4" w:space="0" w:color="auto"/>
              <w:left w:val="single" w:sz="8" w:space="0" w:color="auto"/>
              <w:bottom w:val="single" w:sz="4" w:space="0" w:color="auto"/>
              <w:right w:val="single" w:sz="4" w:space="0" w:color="auto"/>
            </w:tcBorders>
            <w:shd w:val="clear" w:color="000000" w:fill="9BC2E6"/>
            <w:noWrap/>
            <w:vAlign w:val="center"/>
            <w:hideMark/>
          </w:tcPr>
          <w:p w:rsidR="00F87810" w:rsidRPr="00BE1578" w:rsidRDefault="00F87810" w:rsidP="004043F6">
            <w:pPr>
              <w:spacing w:after="0" w:line="276" w:lineRule="auto"/>
              <w:rPr>
                <w:rFonts w:ascii="Artifex CF" w:eastAsia="Times New Roman" w:hAnsi="Artifex CF"/>
                <w:b/>
                <w:bCs/>
                <w:szCs w:val="18"/>
                <w:lang w:eastAsia="es-ES"/>
              </w:rPr>
            </w:pPr>
            <w:r w:rsidRPr="00BE1578">
              <w:rPr>
                <w:rFonts w:ascii="Artifex CF" w:eastAsia="Times New Roman" w:hAnsi="Artifex CF"/>
                <w:b/>
                <w:bCs/>
                <w:szCs w:val="18"/>
                <w:lang w:eastAsia="es-ES"/>
              </w:rPr>
              <w:t xml:space="preserve">BENEFICIARIOS </w:t>
            </w:r>
          </w:p>
        </w:tc>
        <w:tc>
          <w:tcPr>
            <w:tcW w:w="769" w:type="pct"/>
            <w:tcBorders>
              <w:top w:val="single" w:sz="4" w:space="0" w:color="auto"/>
              <w:left w:val="nil"/>
              <w:bottom w:val="single" w:sz="4" w:space="0" w:color="auto"/>
              <w:right w:val="single" w:sz="4" w:space="0" w:color="auto"/>
            </w:tcBorders>
            <w:shd w:val="clear" w:color="000000" w:fill="9BC2E6"/>
            <w:noWrap/>
            <w:vAlign w:val="center"/>
            <w:hideMark/>
          </w:tcPr>
          <w:p w:rsidR="00F87810" w:rsidRPr="00BE1578" w:rsidRDefault="00F87810" w:rsidP="004043F6">
            <w:pPr>
              <w:spacing w:after="0" w:line="276" w:lineRule="auto"/>
              <w:jc w:val="center"/>
              <w:rPr>
                <w:rFonts w:ascii="Artifex CF" w:eastAsia="Times New Roman" w:hAnsi="Artifex CF"/>
                <w:b/>
                <w:bCs/>
                <w:szCs w:val="18"/>
                <w:lang w:eastAsia="es-ES"/>
              </w:rPr>
            </w:pPr>
            <w:r w:rsidRPr="00BE1578">
              <w:rPr>
                <w:rFonts w:ascii="Artifex CF" w:eastAsia="Times New Roman" w:hAnsi="Artifex CF"/>
                <w:b/>
                <w:bCs/>
                <w:szCs w:val="18"/>
                <w:lang w:eastAsia="es-ES"/>
              </w:rPr>
              <w:t>Programado</w:t>
            </w:r>
          </w:p>
        </w:tc>
        <w:tc>
          <w:tcPr>
            <w:tcW w:w="646" w:type="pct"/>
            <w:tcBorders>
              <w:top w:val="single" w:sz="4" w:space="0" w:color="auto"/>
              <w:left w:val="nil"/>
              <w:bottom w:val="single" w:sz="4" w:space="0" w:color="auto"/>
              <w:right w:val="single" w:sz="4" w:space="0" w:color="auto"/>
            </w:tcBorders>
            <w:shd w:val="clear" w:color="000000" w:fill="9BC2E6"/>
            <w:noWrap/>
            <w:vAlign w:val="center"/>
            <w:hideMark/>
          </w:tcPr>
          <w:p w:rsidR="00F87810" w:rsidRPr="00BE1578" w:rsidRDefault="00F87810" w:rsidP="004043F6">
            <w:pPr>
              <w:spacing w:after="0" w:line="276" w:lineRule="auto"/>
              <w:jc w:val="center"/>
              <w:rPr>
                <w:rFonts w:ascii="Artifex CF" w:eastAsia="Times New Roman" w:hAnsi="Artifex CF"/>
                <w:b/>
                <w:bCs/>
                <w:szCs w:val="18"/>
                <w:lang w:eastAsia="es-ES"/>
              </w:rPr>
            </w:pPr>
            <w:r w:rsidRPr="00BE1578">
              <w:rPr>
                <w:rFonts w:ascii="Artifex CF" w:eastAsia="Times New Roman" w:hAnsi="Artifex CF"/>
                <w:b/>
                <w:bCs/>
                <w:szCs w:val="18"/>
                <w:lang w:eastAsia="es-ES"/>
              </w:rPr>
              <w:t>Ejecutado</w:t>
            </w:r>
          </w:p>
        </w:tc>
        <w:tc>
          <w:tcPr>
            <w:tcW w:w="863" w:type="pct"/>
            <w:tcBorders>
              <w:top w:val="single" w:sz="4" w:space="0" w:color="auto"/>
              <w:left w:val="single" w:sz="8" w:space="0" w:color="auto"/>
              <w:bottom w:val="single" w:sz="4" w:space="0" w:color="auto"/>
              <w:right w:val="nil"/>
            </w:tcBorders>
            <w:shd w:val="clear" w:color="000000" w:fill="9BC2E6"/>
            <w:noWrap/>
            <w:vAlign w:val="center"/>
            <w:hideMark/>
          </w:tcPr>
          <w:p w:rsidR="00F87810" w:rsidRPr="00BE1578" w:rsidRDefault="00F87810" w:rsidP="004043F6">
            <w:pPr>
              <w:spacing w:after="0" w:line="276" w:lineRule="auto"/>
              <w:jc w:val="center"/>
              <w:rPr>
                <w:rFonts w:ascii="Artifex CF" w:eastAsia="Times New Roman" w:hAnsi="Artifex CF"/>
                <w:b/>
                <w:bCs/>
                <w:szCs w:val="18"/>
                <w:lang w:eastAsia="es-ES"/>
              </w:rPr>
            </w:pPr>
            <w:r w:rsidRPr="00BE1578">
              <w:rPr>
                <w:rFonts w:ascii="Artifex CF" w:eastAsia="Times New Roman" w:hAnsi="Artifex CF"/>
                <w:b/>
                <w:bCs/>
                <w:szCs w:val="18"/>
                <w:lang w:eastAsia="es-ES"/>
              </w:rPr>
              <w:t>% de Ejecución</w:t>
            </w:r>
          </w:p>
        </w:tc>
      </w:tr>
      <w:tr w:rsidR="00BE1578" w:rsidRPr="00BE1578" w:rsidTr="00ED4884">
        <w:trPr>
          <w:trHeight w:val="300"/>
        </w:trPr>
        <w:tc>
          <w:tcPr>
            <w:tcW w:w="2723" w:type="pct"/>
            <w:tcBorders>
              <w:top w:val="nil"/>
              <w:left w:val="single" w:sz="8" w:space="0" w:color="auto"/>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rPr>
                <w:rFonts w:ascii="Artifex CF" w:eastAsia="Times New Roman" w:hAnsi="Artifex CF"/>
                <w:szCs w:val="18"/>
                <w:lang w:eastAsia="es-ES"/>
              </w:rPr>
            </w:pPr>
            <w:r w:rsidRPr="00BE1578">
              <w:rPr>
                <w:rFonts w:ascii="Artifex CF" w:eastAsia="Times New Roman" w:hAnsi="Artifex CF"/>
                <w:szCs w:val="18"/>
                <w:lang w:eastAsia="es-ES"/>
              </w:rPr>
              <w:t>Directores de Centros Educativos</w:t>
            </w:r>
          </w:p>
        </w:tc>
        <w:tc>
          <w:tcPr>
            <w:tcW w:w="769"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 xml:space="preserve">         4,084.00   </w:t>
            </w:r>
          </w:p>
        </w:tc>
        <w:tc>
          <w:tcPr>
            <w:tcW w:w="646"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4,780</w:t>
            </w:r>
          </w:p>
        </w:tc>
        <w:tc>
          <w:tcPr>
            <w:tcW w:w="863"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117%</w:t>
            </w:r>
          </w:p>
        </w:tc>
      </w:tr>
      <w:tr w:rsidR="00BE1578" w:rsidRPr="00BE1578" w:rsidTr="00ED4884">
        <w:trPr>
          <w:trHeight w:val="300"/>
        </w:trPr>
        <w:tc>
          <w:tcPr>
            <w:tcW w:w="2723" w:type="pct"/>
            <w:tcBorders>
              <w:top w:val="nil"/>
              <w:left w:val="single" w:sz="8" w:space="0" w:color="auto"/>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rPr>
                <w:rFonts w:ascii="Artifex CF" w:eastAsia="Times New Roman" w:hAnsi="Artifex CF"/>
                <w:szCs w:val="18"/>
                <w:lang w:eastAsia="es-ES"/>
              </w:rPr>
            </w:pPr>
            <w:r w:rsidRPr="00BE1578">
              <w:rPr>
                <w:rFonts w:ascii="Artifex CF" w:eastAsia="Times New Roman" w:hAnsi="Artifex CF"/>
                <w:szCs w:val="18"/>
                <w:lang w:eastAsia="es-ES"/>
              </w:rPr>
              <w:t>Docentes</w:t>
            </w:r>
          </w:p>
        </w:tc>
        <w:tc>
          <w:tcPr>
            <w:tcW w:w="769"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 xml:space="preserve">       12,132.00   </w:t>
            </w:r>
          </w:p>
        </w:tc>
        <w:tc>
          <w:tcPr>
            <w:tcW w:w="646"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2,823</w:t>
            </w:r>
          </w:p>
        </w:tc>
        <w:tc>
          <w:tcPr>
            <w:tcW w:w="863"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23%</w:t>
            </w:r>
          </w:p>
        </w:tc>
      </w:tr>
      <w:tr w:rsidR="00BE1578" w:rsidRPr="00BE1578" w:rsidTr="00ED4884">
        <w:trPr>
          <w:trHeight w:val="300"/>
        </w:trPr>
        <w:tc>
          <w:tcPr>
            <w:tcW w:w="2723" w:type="pct"/>
            <w:tcBorders>
              <w:top w:val="nil"/>
              <w:left w:val="single" w:sz="8" w:space="0" w:color="auto"/>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rPr>
                <w:rFonts w:ascii="Artifex CF" w:eastAsia="Times New Roman" w:hAnsi="Artifex CF"/>
                <w:szCs w:val="18"/>
                <w:lang w:eastAsia="es-ES"/>
              </w:rPr>
            </w:pPr>
            <w:r w:rsidRPr="00BE1578">
              <w:rPr>
                <w:rFonts w:ascii="Artifex CF" w:eastAsia="Times New Roman" w:hAnsi="Artifex CF"/>
                <w:szCs w:val="18"/>
                <w:lang w:eastAsia="es-ES"/>
              </w:rPr>
              <w:t xml:space="preserve">Estudiantes </w:t>
            </w:r>
          </w:p>
        </w:tc>
        <w:tc>
          <w:tcPr>
            <w:tcW w:w="769"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 xml:space="preserve">     252,150.00   </w:t>
            </w:r>
          </w:p>
        </w:tc>
        <w:tc>
          <w:tcPr>
            <w:tcW w:w="646"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18,370</w:t>
            </w:r>
          </w:p>
        </w:tc>
        <w:tc>
          <w:tcPr>
            <w:tcW w:w="863"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7%</w:t>
            </w:r>
          </w:p>
        </w:tc>
      </w:tr>
      <w:tr w:rsidR="00BE1578" w:rsidRPr="00BE1578" w:rsidTr="00ED4884">
        <w:trPr>
          <w:trHeight w:val="300"/>
        </w:trPr>
        <w:tc>
          <w:tcPr>
            <w:tcW w:w="2723" w:type="pct"/>
            <w:tcBorders>
              <w:top w:val="nil"/>
              <w:left w:val="single" w:sz="8" w:space="0" w:color="auto"/>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rPr>
                <w:rFonts w:ascii="Artifex CF" w:eastAsia="Times New Roman" w:hAnsi="Artifex CF"/>
                <w:szCs w:val="18"/>
                <w:lang w:eastAsia="es-ES"/>
              </w:rPr>
            </w:pPr>
            <w:r w:rsidRPr="00BE1578">
              <w:rPr>
                <w:rFonts w:ascii="Artifex CF" w:eastAsia="Times New Roman" w:hAnsi="Artifex CF"/>
                <w:szCs w:val="18"/>
                <w:lang w:eastAsia="es-ES"/>
              </w:rPr>
              <w:t xml:space="preserve">Técnicos Distritales </w:t>
            </w:r>
          </w:p>
        </w:tc>
        <w:tc>
          <w:tcPr>
            <w:tcW w:w="769"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 xml:space="preserve">            410.00   </w:t>
            </w:r>
          </w:p>
        </w:tc>
        <w:tc>
          <w:tcPr>
            <w:tcW w:w="646"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179</w:t>
            </w:r>
          </w:p>
        </w:tc>
        <w:tc>
          <w:tcPr>
            <w:tcW w:w="863"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44%</w:t>
            </w:r>
          </w:p>
        </w:tc>
      </w:tr>
      <w:tr w:rsidR="00BE1578" w:rsidRPr="00BE1578" w:rsidTr="00ED4884">
        <w:trPr>
          <w:trHeight w:val="300"/>
        </w:trPr>
        <w:tc>
          <w:tcPr>
            <w:tcW w:w="2723" w:type="pct"/>
            <w:tcBorders>
              <w:top w:val="nil"/>
              <w:left w:val="single" w:sz="8" w:space="0" w:color="auto"/>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rPr>
                <w:rFonts w:ascii="Artifex CF" w:eastAsia="Times New Roman" w:hAnsi="Artifex CF"/>
                <w:szCs w:val="18"/>
                <w:lang w:eastAsia="es-ES"/>
              </w:rPr>
            </w:pPr>
            <w:r w:rsidRPr="00BE1578">
              <w:rPr>
                <w:rFonts w:ascii="Artifex CF" w:eastAsia="Times New Roman" w:hAnsi="Artifex CF"/>
                <w:szCs w:val="18"/>
                <w:lang w:eastAsia="es-ES"/>
              </w:rPr>
              <w:t>Técnicos Regionales</w:t>
            </w:r>
          </w:p>
        </w:tc>
        <w:tc>
          <w:tcPr>
            <w:tcW w:w="769"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 xml:space="preserve">            156.00   </w:t>
            </w:r>
          </w:p>
        </w:tc>
        <w:tc>
          <w:tcPr>
            <w:tcW w:w="646"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74</w:t>
            </w:r>
          </w:p>
        </w:tc>
        <w:tc>
          <w:tcPr>
            <w:tcW w:w="863"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47%</w:t>
            </w:r>
          </w:p>
        </w:tc>
      </w:tr>
      <w:tr w:rsidR="00BE1578" w:rsidRPr="00BE1578" w:rsidTr="00ED4884">
        <w:trPr>
          <w:trHeight w:val="300"/>
        </w:trPr>
        <w:tc>
          <w:tcPr>
            <w:tcW w:w="2723" w:type="pct"/>
            <w:tcBorders>
              <w:top w:val="nil"/>
              <w:left w:val="single" w:sz="8" w:space="0" w:color="auto"/>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rPr>
                <w:rFonts w:ascii="Artifex CF" w:eastAsia="Times New Roman" w:hAnsi="Artifex CF"/>
                <w:szCs w:val="18"/>
                <w:lang w:eastAsia="es-ES"/>
              </w:rPr>
            </w:pPr>
            <w:r w:rsidRPr="00BE1578">
              <w:rPr>
                <w:rFonts w:ascii="Artifex CF" w:eastAsia="Times New Roman" w:hAnsi="Artifex CF"/>
                <w:szCs w:val="18"/>
                <w:lang w:eastAsia="es-ES"/>
              </w:rPr>
              <w:t>Directores Distritales</w:t>
            </w:r>
          </w:p>
        </w:tc>
        <w:tc>
          <w:tcPr>
            <w:tcW w:w="769"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 xml:space="preserve">            474.00   </w:t>
            </w:r>
          </w:p>
        </w:tc>
        <w:tc>
          <w:tcPr>
            <w:tcW w:w="646"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75</w:t>
            </w:r>
          </w:p>
        </w:tc>
        <w:tc>
          <w:tcPr>
            <w:tcW w:w="863"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16%</w:t>
            </w:r>
          </w:p>
        </w:tc>
      </w:tr>
      <w:tr w:rsidR="00BE1578" w:rsidRPr="00BE1578" w:rsidTr="00ED4884">
        <w:trPr>
          <w:trHeight w:val="300"/>
        </w:trPr>
        <w:tc>
          <w:tcPr>
            <w:tcW w:w="2723" w:type="pct"/>
            <w:tcBorders>
              <w:top w:val="nil"/>
              <w:left w:val="single" w:sz="8" w:space="0" w:color="auto"/>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rPr>
                <w:rFonts w:ascii="Artifex CF" w:eastAsia="Times New Roman" w:hAnsi="Artifex CF"/>
                <w:szCs w:val="18"/>
                <w:lang w:eastAsia="es-ES"/>
              </w:rPr>
            </w:pPr>
            <w:r w:rsidRPr="00BE1578">
              <w:rPr>
                <w:rFonts w:ascii="Artifex CF" w:eastAsia="Times New Roman" w:hAnsi="Artifex CF"/>
                <w:szCs w:val="18"/>
                <w:lang w:eastAsia="es-ES"/>
              </w:rPr>
              <w:t>Directores Regionales</w:t>
            </w:r>
          </w:p>
        </w:tc>
        <w:tc>
          <w:tcPr>
            <w:tcW w:w="769"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 xml:space="preserve">            150.00   </w:t>
            </w:r>
          </w:p>
        </w:tc>
        <w:tc>
          <w:tcPr>
            <w:tcW w:w="646"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15</w:t>
            </w:r>
          </w:p>
        </w:tc>
        <w:tc>
          <w:tcPr>
            <w:tcW w:w="863"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10%</w:t>
            </w:r>
          </w:p>
        </w:tc>
      </w:tr>
      <w:tr w:rsidR="00BE1578" w:rsidRPr="00BE1578" w:rsidTr="00ED4884">
        <w:trPr>
          <w:trHeight w:val="300"/>
        </w:trPr>
        <w:tc>
          <w:tcPr>
            <w:tcW w:w="2723" w:type="pct"/>
            <w:tcBorders>
              <w:top w:val="nil"/>
              <w:left w:val="single" w:sz="8" w:space="0" w:color="auto"/>
              <w:bottom w:val="single" w:sz="4" w:space="0" w:color="auto"/>
              <w:right w:val="single" w:sz="4" w:space="0" w:color="auto"/>
            </w:tcBorders>
            <w:shd w:val="clear" w:color="000000" w:fill="FFFFFF"/>
            <w:vAlign w:val="center"/>
            <w:hideMark/>
          </w:tcPr>
          <w:p w:rsidR="00F87810" w:rsidRPr="00BE1578" w:rsidRDefault="00F87810" w:rsidP="004043F6">
            <w:pPr>
              <w:spacing w:after="0" w:line="276" w:lineRule="auto"/>
              <w:rPr>
                <w:rFonts w:ascii="Artifex CF" w:eastAsia="Times New Roman" w:hAnsi="Artifex CF"/>
                <w:szCs w:val="18"/>
                <w:lang w:eastAsia="es-ES"/>
              </w:rPr>
            </w:pPr>
            <w:r w:rsidRPr="00BE1578">
              <w:rPr>
                <w:rFonts w:ascii="Artifex CF" w:eastAsia="Times New Roman" w:hAnsi="Artifex CF"/>
                <w:szCs w:val="18"/>
                <w:lang w:eastAsia="es-ES"/>
              </w:rPr>
              <w:t>Padres/Madres/ Tutores/</w:t>
            </w:r>
          </w:p>
        </w:tc>
        <w:tc>
          <w:tcPr>
            <w:tcW w:w="769"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 xml:space="preserve">       19,920.00   </w:t>
            </w:r>
          </w:p>
        </w:tc>
        <w:tc>
          <w:tcPr>
            <w:tcW w:w="646"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3,527</w:t>
            </w:r>
          </w:p>
        </w:tc>
        <w:tc>
          <w:tcPr>
            <w:tcW w:w="863"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18%</w:t>
            </w:r>
          </w:p>
        </w:tc>
      </w:tr>
      <w:tr w:rsidR="00BE1578" w:rsidRPr="00BE1578" w:rsidTr="00ED4884">
        <w:trPr>
          <w:trHeight w:val="300"/>
        </w:trPr>
        <w:tc>
          <w:tcPr>
            <w:tcW w:w="2723" w:type="pct"/>
            <w:tcBorders>
              <w:top w:val="nil"/>
              <w:left w:val="single" w:sz="8" w:space="0" w:color="auto"/>
              <w:bottom w:val="nil"/>
              <w:right w:val="single" w:sz="4" w:space="0" w:color="auto"/>
            </w:tcBorders>
            <w:shd w:val="clear" w:color="000000" w:fill="FFFFFF"/>
            <w:vAlign w:val="center"/>
            <w:hideMark/>
          </w:tcPr>
          <w:p w:rsidR="00F87810" w:rsidRPr="00BE1578" w:rsidRDefault="00F87810" w:rsidP="004043F6">
            <w:pPr>
              <w:spacing w:after="0" w:line="276" w:lineRule="auto"/>
              <w:rPr>
                <w:rFonts w:ascii="Artifex CF" w:eastAsia="Times New Roman" w:hAnsi="Artifex CF"/>
                <w:szCs w:val="18"/>
                <w:lang w:eastAsia="es-ES"/>
              </w:rPr>
            </w:pPr>
            <w:r w:rsidRPr="00BE1578">
              <w:rPr>
                <w:rFonts w:ascii="Artifex CF" w:eastAsia="Times New Roman" w:hAnsi="Artifex CF"/>
                <w:szCs w:val="18"/>
                <w:lang w:eastAsia="es-ES"/>
              </w:rPr>
              <w:t xml:space="preserve">Personal de apoyo de Centros Educativos </w:t>
            </w:r>
          </w:p>
        </w:tc>
        <w:tc>
          <w:tcPr>
            <w:tcW w:w="769"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 xml:space="preserve">         7,956.00   </w:t>
            </w:r>
          </w:p>
        </w:tc>
        <w:tc>
          <w:tcPr>
            <w:tcW w:w="646"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1,080</w:t>
            </w:r>
          </w:p>
        </w:tc>
        <w:tc>
          <w:tcPr>
            <w:tcW w:w="863" w:type="pct"/>
            <w:tcBorders>
              <w:top w:val="nil"/>
              <w:left w:val="nil"/>
              <w:bottom w:val="single" w:sz="4" w:space="0" w:color="auto"/>
              <w:right w:val="single" w:sz="4" w:space="0" w:color="auto"/>
            </w:tcBorders>
            <w:shd w:val="clear" w:color="000000" w:fill="FFFFFF"/>
            <w:noWrap/>
            <w:vAlign w:val="center"/>
            <w:hideMark/>
          </w:tcPr>
          <w:p w:rsidR="00F87810" w:rsidRPr="00BE1578" w:rsidRDefault="00F87810" w:rsidP="004043F6">
            <w:pPr>
              <w:spacing w:after="0" w:line="276" w:lineRule="auto"/>
              <w:jc w:val="center"/>
              <w:rPr>
                <w:rFonts w:ascii="Artifex CF" w:eastAsia="Times New Roman" w:hAnsi="Artifex CF"/>
                <w:szCs w:val="18"/>
                <w:lang w:eastAsia="es-ES"/>
              </w:rPr>
            </w:pPr>
            <w:r w:rsidRPr="00BE1578">
              <w:rPr>
                <w:rFonts w:ascii="Artifex CF" w:eastAsia="Times New Roman" w:hAnsi="Artifex CF"/>
                <w:szCs w:val="18"/>
                <w:lang w:eastAsia="es-ES"/>
              </w:rPr>
              <w:t>14%</w:t>
            </w:r>
          </w:p>
        </w:tc>
      </w:tr>
      <w:tr w:rsidR="00BE1578" w:rsidRPr="00BE1578" w:rsidTr="00ED4884">
        <w:trPr>
          <w:trHeight w:val="315"/>
        </w:trPr>
        <w:tc>
          <w:tcPr>
            <w:tcW w:w="2723" w:type="pct"/>
            <w:tcBorders>
              <w:top w:val="single" w:sz="4" w:space="0" w:color="auto"/>
              <w:left w:val="single" w:sz="8" w:space="0" w:color="auto"/>
              <w:bottom w:val="single" w:sz="8" w:space="0" w:color="auto"/>
              <w:right w:val="single" w:sz="4" w:space="0" w:color="auto"/>
            </w:tcBorders>
            <w:shd w:val="clear" w:color="000000" w:fill="9BC2E6"/>
            <w:noWrap/>
            <w:vAlign w:val="center"/>
            <w:hideMark/>
          </w:tcPr>
          <w:p w:rsidR="00F87810" w:rsidRPr="00BE1578" w:rsidRDefault="00F87810" w:rsidP="004043F6">
            <w:pPr>
              <w:spacing w:after="0" w:line="276" w:lineRule="auto"/>
              <w:rPr>
                <w:rFonts w:ascii="Artifex CF" w:eastAsia="Times New Roman" w:hAnsi="Artifex CF"/>
                <w:b/>
                <w:bCs/>
                <w:szCs w:val="18"/>
                <w:lang w:eastAsia="es-ES"/>
              </w:rPr>
            </w:pPr>
            <w:r w:rsidRPr="00BE1578">
              <w:rPr>
                <w:rFonts w:ascii="Artifex CF" w:eastAsia="Times New Roman" w:hAnsi="Artifex CF"/>
                <w:b/>
                <w:bCs/>
                <w:szCs w:val="18"/>
                <w:lang w:eastAsia="es-ES"/>
              </w:rPr>
              <w:t xml:space="preserve">TOTAL </w:t>
            </w:r>
          </w:p>
        </w:tc>
        <w:tc>
          <w:tcPr>
            <w:tcW w:w="769" w:type="pct"/>
            <w:tcBorders>
              <w:top w:val="nil"/>
              <w:left w:val="nil"/>
              <w:bottom w:val="single" w:sz="8" w:space="0" w:color="auto"/>
              <w:right w:val="single" w:sz="4" w:space="0" w:color="auto"/>
            </w:tcBorders>
            <w:shd w:val="clear" w:color="000000" w:fill="9BC2E6"/>
            <w:noWrap/>
            <w:vAlign w:val="center"/>
            <w:hideMark/>
          </w:tcPr>
          <w:p w:rsidR="00F87810" w:rsidRPr="00BE1578" w:rsidRDefault="00F87810" w:rsidP="004043F6">
            <w:pPr>
              <w:spacing w:after="0" w:line="276" w:lineRule="auto"/>
              <w:jc w:val="center"/>
              <w:rPr>
                <w:rFonts w:ascii="Artifex CF" w:eastAsia="Times New Roman" w:hAnsi="Artifex CF"/>
                <w:b/>
                <w:bCs/>
                <w:szCs w:val="18"/>
                <w:lang w:eastAsia="es-ES"/>
              </w:rPr>
            </w:pPr>
            <w:r w:rsidRPr="00BE1578">
              <w:rPr>
                <w:rFonts w:ascii="Artifex CF" w:eastAsia="Times New Roman" w:hAnsi="Artifex CF"/>
                <w:b/>
                <w:bCs/>
                <w:szCs w:val="18"/>
                <w:lang w:eastAsia="es-ES"/>
              </w:rPr>
              <w:t>297,432</w:t>
            </w:r>
          </w:p>
        </w:tc>
        <w:tc>
          <w:tcPr>
            <w:tcW w:w="646" w:type="pct"/>
            <w:tcBorders>
              <w:top w:val="nil"/>
              <w:left w:val="nil"/>
              <w:bottom w:val="single" w:sz="8" w:space="0" w:color="auto"/>
              <w:right w:val="single" w:sz="4" w:space="0" w:color="auto"/>
            </w:tcBorders>
            <w:shd w:val="clear" w:color="000000" w:fill="9BC2E6"/>
            <w:noWrap/>
            <w:vAlign w:val="center"/>
            <w:hideMark/>
          </w:tcPr>
          <w:p w:rsidR="00F87810" w:rsidRPr="00BE1578" w:rsidRDefault="00F87810" w:rsidP="004043F6">
            <w:pPr>
              <w:spacing w:after="0" w:line="276" w:lineRule="auto"/>
              <w:jc w:val="center"/>
              <w:rPr>
                <w:rFonts w:ascii="Artifex CF" w:eastAsia="Times New Roman" w:hAnsi="Artifex CF"/>
                <w:b/>
                <w:bCs/>
                <w:szCs w:val="18"/>
                <w:lang w:eastAsia="es-ES"/>
              </w:rPr>
            </w:pPr>
            <w:r w:rsidRPr="00BE1578">
              <w:rPr>
                <w:rFonts w:ascii="Artifex CF" w:eastAsia="Times New Roman" w:hAnsi="Artifex CF"/>
                <w:b/>
                <w:bCs/>
                <w:szCs w:val="18"/>
                <w:lang w:eastAsia="es-ES"/>
              </w:rPr>
              <w:t>30,923</w:t>
            </w:r>
          </w:p>
        </w:tc>
        <w:tc>
          <w:tcPr>
            <w:tcW w:w="863" w:type="pct"/>
            <w:tcBorders>
              <w:top w:val="nil"/>
              <w:left w:val="nil"/>
              <w:bottom w:val="single" w:sz="8" w:space="0" w:color="auto"/>
              <w:right w:val="single" w:sz="4" w:space="0" w:color="auto"/>
            </w:tcBorders>
            <w:shd w:val="clear" w:color="000000" w:fill="9BC2E6"/>
            <w:noWrap/>
            <w:vAlign w:val="center"/>
            <w:hideMark/>
          </w:tcPr>
          <w:p w:rsidR="00F87810" w:rsidRPr="00BE1578" w:rsidRDefault="00F87810" w:rsidP="004043F6">
            <w:pPr>
              <w:spacing w:after="0" w:line="276" w:lineRule="auto"/>
              <w:jc w:val="center"/>
              <w:rPr>
                <w:rFonts w:ascii="Artifex CF" w:eastAsia="Times New Roman" w:hAnsi="Artifex CF"/>
                <w:b/>
                <w:bCs/>
                <w:szCs w:val="18"/>
                <w:lang w:eastAsia="es-ES"/>
              </w:rPr>
            </w:pPr>
            <w:r w:rsidRPr="00BE1578">
              <w:rPr>
                <w:rFonts w:ascii="Artifex CF" w:eastAsia="Times New Roman" w:hAnsi="Artifex CF"/>
                <w:b/>
                <w:bCs/>
                <w:szCs w:val="18"/>
                <w:lang w:eastAsia="es-ES"/>
              </w:rPr>
              <w:t>10%</w:t>
            </w:r>
          </w:p>
        </w:tc>
      </w:tr>
    </w:tbl>
    <w:p w:rsidR="00F87810" w:rsidRPr="00BE1578" w:rsidRDefault="00F87810" w:rsidP="004043F6">
      <w:pPr>
        <w:spacing w:after="0" w:line="276" w:lineRule="auto"/>
        <w:rPr>
          <w:rFonts w:ascii="Artifex CF Light" w:hAnsi="Artifex CF Light"/>
          <w:szCs w:val="18"/>
        </w:rPr>
      </w:pPr>
      <w:r w:rsidRPr="00BE1578">
        <w:rPr>
          <w:rFonts w:ascii="Artifex CF Light" w:hAnsi="Artifex CF Light"/>
          <w:b/>
          <w:szCs w:val="18"/>
        </w:rPr>
        <w:t>Fuente</w:t>
      </w:r>
      <w:r w:rsidRPr="00BE1578">
        <w:rPr>
          <w:rFonts w:ascii="Artifex CF Light" w:hAnsi="Artifex CF Light"/>
          <w:szCs w:val="18"/>
        </w:rPr>
        <w:t>: INABIE</w:t>
      </w:r>
      <w:r w:rsidRPr="00BE1578">
        <w:rPr>
          <w:rFonts w:ascii="Artifex CF Light" w:hAnsi="Artifex CF Light"/>
          <w:b/>
          <w:szCs w:val="18"/>
        </w:rPr>
        <w:t xml:space="preserve">, </w:t>
      </w:r>
      <w:r w:rsidRPr="00BE1578">
        <w:rPr>
          <w:rFonts w:ascii="Artifex CF Light" w:hAnsi="Artifex CF Light"/>
          <w:szCs w:val="18"/>
        </w:rPr>
        <w:t>Departamento de Nutrición.</w:t>
      </w:r>
    </w:p>
    <w:p w:rsidR="00F87810" w:rsidRPr="00BE1578" w:rsidRDefault="00F87810" w:rsidP="004043F6">
      <w:pPr>
        <w:spacing w:after="0" w:line="276" w:lineRule="auto"/>
        <w:jc w:val="both"/>
        <w:rPr>
          <w:rFonts w:ascii="Times New Roman" w:hAnsi="Times New Roman"/>
          <w:b/>
          <w:sz w:val="24"/>
          <w:szCs w:val="24"/>
        </w:rPr>
      </w:pPr>
      <w:r w:rsidRPr="00BE1578">
        <w:rPr>
          <w:rFonts w:ascii="Times New Roman" w:hAnsi="Times New Roman"/>
          <w:b/>
          <w:sz w:val="24"/>
          <w:szCs w:val="24"/>
        </w:rPr>
        <w:t xml:space="preserve"> </w:t>
      </w:r>
    </w:p>
    <w:p w:rsidR="004043F6" w:rsidRPr="00BE1578" w:rsidRDefault="004043F6" w:rsidP="00655735">
      <w:pPr>
        <w:spacing w:after="120" w:line="360" w:lineRule="auto"/>
        <w:jc w:val="both"/>
        <w:rPr>
          <w:rFonts w:eastAsia="Times New Roman"/>
          <w:szCs w:val="18"/>
        </w:rPr>
      </w:pPr>
      <w:r w:rsidRPr="00BE1578">
        <w:rPr>
          <w:rFonts w:eastAsia="Times New Roman"/>
          <w:szCs w:val="18"/>
        </w:rPr>
        <w:t xml:space="preserve">Las principales actividades de Educación Alimentaria y Nutricional (EAN) y apoyo en la Gestión del </w:t>
      </w:r>
      <w:r w:rsidR="00567FB3" w:rsidRPr="00BE1578">
        <w:rPr>
          <w:rFonts w:eastAsia="Times New Roman"/>
          <w:szCs w:val="18"/>
        </w:rPr>
        <w:t>PAE, realizadas</w:t>
      </w:r>
      <w:r w:rsidRPr="00BE1578">
        <w:rPr>
          <w:rFonts w:eastAsia="Times New Roman"/>
          <w:szCs w:val="18"/>
        </w:rPr>
        <w:t xml:space="preserve"> </w:t>
      </w:r>
      <w:r w:rsidR="00567FB3" w:rsidRPr="00BE1578">
        <w:rPr>
          <w:rFonts w:eastAsia="Times New Roman"/>
          <w:szCs w:val="18"/>
        </w:rPr>
        <w:t>en el</w:t>
      </w:r>
      <w:r w:rsidRPr="00BE1578">
        <w:rPr>
          <w:rFonts w:eastAsia="Times New Roman"/>
          <w:szCs w:val="18"/>
        </w:rPr>
        <w:t xml:space="preserve"> 2020 a la fecha se encuentran:</w:t>
      </w:r>
    </w:p>
    <w:p w:rsidR="004043F6" w:rsidRPr="00655735" w:rsidRDefault="004043F6" w:rsidP="00BE1578">
      <w:pPr>
        <w:numPr>
          <w:ilvl w:val="0"/>
          <w:numId w:val="25"/>
        </w:numPr>
        <w:spacing w:before="240" w:after="120" w:line="360" w:lineRule="auto"/>
        <w:ind w:left="426" w:hanging="426"/>
        <w:contextualSpacing/>
        <w:jc w:val="both"/>
        <w:rPr>
          <w:szCs w:val="18"/>
        </w:rPr>
      </w:pPr>
      <w:r w:rsidRPr="00655735">
        <w:rPr>
          <w:szCs w:val="18"/>
        </w:rPr>
        <w:t>10,008 estudiantes participaron en las diferentes actividades de capacitación dirigida a la comunidad educativa a nivel nacional, con el propósito de fomentar hábitos alimentarios saludables, adecuada higiene y prevención de enfermedades; tras haber realizado 357 Charlas.</w:t>
      </w:r>
    </w:p>
    <w:p w:rsidR="004043F6" w:rsidRPr="00655735" w:rsidRDefault="004043F6" w:rsidP="00BE1578">
      <w:pPr>
        <w:numPr>
          <w:ilvl w:val="0"/>
          <w:numId w:val="25"/>
        </w:numPr>
        <w:spacing w:before="240" w:after="120" w:line="360" w:lineRule="auto"/>
        <w:ind w:left="426" w:hanging="426"/>
        <w:jc w:val="both"/>
        <w:rPr>
          <w:szCs w:val="18"/>
          <w:lang w:val="es-ES"/>
        </w:rPr>
      </w:pPr>
      <w:r w:rsidRPr="00655735">
        <w:rPr>
          <w:szCs w:val="18"/>
        </w:rPr>
        <w:lastRenderedPageBreak/>
        <w:t>3,905</w:t>
      </w:r>
      <w:r w:rsidRPr="00655735">
        <w:rPr>
          <w:szCs w:val="18"/>
          <w:lang w:val="es-ES"/>
        </w:rPr>
        <w:t xml:space="preserve"> participantes (miembros de la Asociación de Padres, Madres, Amigos de la escuela, escolares y personal docente) asistieron al proceso de gestión de la alimentación escolar en centros educativos, organizados en 275 nuevos Comités de Alimentación y Nutrición Escolar y 334 nuevos Comités de Recepción en las Regionales: Cibao Norte, Cibao Sur, Cibao Nordeste, Enriquillo, El Valle, Yuma y Metropolitana/Ozama.</w:t>
      </w:r>
    </w:p>
    <w:p w:rsidR="004043F6" w:rsidRPr="00655735" w:rsidRDefault="004043F6" w:rsidP="00BE1578">
      <w:pPr>
        <w:numPr>
          <w:ilvl w:val="0"/>
          <w:numId w:val="25"/>
        </w:numPr>
        <w:shd w:val="clear" w:color="auto" w:fill="FFFFFF"/>
        <w:spacing w:before="240" w:after="120" w:line="360" w:lineRule="auto"/>
        <w:ind w:left="426" w:hanging="426"/>
        <w:jc w:val="both"/>
        <w:rPr>
          <w:rFonts w:eastAsia="Times New Roman"/>
          <w:szCs w:val="18"/>
          <w:lang w:val="es-ES" w:eastAsia="es-DO"/>
        </w:rPr>
      </w:pPr>
      <w:r w:rsidRPr="00655735">
        <w:rPr>
          <w:rFonts w:eastAsia="Times New Roman"/>
          <w:szCs w:val="18"/>
          <w:lang w:val="es-ES"/>
        </w:rPr>
        <w:t>4,491 Directores, Técnicos Regionales y Distritales, Directores de Centros Educativos, docentes, Padres y Madres,</w:t>
      </w:r>
      <w:r w:rsidRPr="00655735">
        <w:rPr>
          <w:rFonts w:ascii="Calibri" w:eastAsia="Times New Roman" w:hAnsi="Calibri" w:cs="Calibri"/>
          <w:szCs w:val="18"/>
          <w:lang w:val="es-ES"/>
        </w:rPr>
        <w:t> </w:t>
      </w:r>
      <w:r w:rsidRPr="00655735">
        <w:rPr>
          <w:rFonts w:eastAsia="Times New Roman"/>
          <w:szCs w:val="18"/>
          <w:lang w:val="es-ES"/>
        </w:rPr>
        <w:t>fueron orientados sobre los lineamientos del Programa de Alimentaci</w:t>
      </w:r>
      <w:r w:rsidRPr="00655735">
        <w:rPr>
          <w:rFonts w:eastAsia="Times New Roman" w:cs="Artifex CF Extra Light"/>
          <w:szCs w:val="18"/>
          <w:lang w:val="es-ES"/>
        </w:rPr>
        <w:t>ó</w:t>
      </w:r>
      <w:r w:rsidRPr="00655735">
        <w:rPr>
          <w:rFonts w:eastAsia="Times New Roman"/>
          <w:szCs w:val="18"/>
          <w:lang w:val="es-ES"/>
        </w:rPr>
        <w:t xml:space="preserve">n Escolar y proyectos que desarrolla el INABIE. </w:t>
      </w:r>
    </w:p>
    <w:p w:rsidR="004043F6" w:rsidRPr="00655735" w:rsidRDefault="004043F6" w:rsidP="00BE1578">
      <w:pPr>
        <w:numPr>
          <w:ilvl w:val="0"/>
          <w:numId w:val="25"/>
        </w:numPr>
        <w:shd w:val="clear" w:color="auto" w:fill="FFFFFF"/>
        <w:spacing w:beforeAutospacing="1" w:after="0" w:afterAutospacing="1" w:line="360" w:lineRule="auto"/>
        <w:ind w:left="426" w:hanging="426"/>
        <w:jc w:val="both"/>
        <w:rPr>
          <w:rFonts w:eastAsia="Times New Roman"/>
          <w:color w:val="201F1E"/>
          <w:szCs w:val="18"/>
          <w:lang w:val="es-MX" w:eastAsia="es-MX"/>
        </w:rPr>
      </w:pPr>
      <w:r w:rsidRPr="00655735">
        <w:rPr>
          <w:rFonts w:eastAsia="Times New Roman"/>
          <w:szCs w:val="18"/>
          <w:lang w:val="es-ES"/>
        </w:rPr>
        <w:t>501 personas involucradas en la gestión del Programa de Alimentación Escolar (PAE) en los centros educativos capacitados sobre buenas prácticas en manipulación de alimentos.</w:t>
      </w:r>
      <w:r w:rsidRPr="00655735">
        <w:rPr>
          <w:rFonts w:eastAsia="Times New Roman"/>
          <w:szCs w:val="18"/>
          <w:lang w:val="es-MX"/>
        </w:rPr>
        <w:t xml:space="preserve"> </w:t>
      </w:r>
    </w:p>
    <w:p w:rsidR="004043F6" w:rsidRPr="00655735" w:rsidRDefault="004043F6" w:rsidP="00BE1578">
      <w:pPr>
        <w:numPr>
          <w:ilvl w:val="0"/>
          <w:numId w:val="25"/>
        </w:numPr>
        <w:shd w:val="clear" w:color="auto" w:fill="FFFFFF"/>
        <w:spacing w:beforeAutospacing="1" w:after="0" w:afterAutospacing="1" w:line="360" w:lineRule="auto"/>
        <w:ind w:left="426" w:hanging="426"/>
        <w:jc w:val="both"/>
        <w:rPr>
          <w:rFonts w:eastAsia="Times New Roman"/>
          <w:color w:val="201F1E"/>
          <w:szCs w:val="18"/>
          <w:lang w:val="es-MX" w:eastAsia="es-MX"/>
        </w:rPr>
      </w:pPr>
      <w:r w:rsidRPr="00655735">
        <w:rPr>
          <w:rFonts w:eastAsia="Times New Roman"/>
          <w:szCs w:val="18"/>
          <w:lang w:val="es-MX"/>
        </w:rPr>
        <w:t>En el marco de la implementación de la estrategia de intervención con enfoque territorial se realizaron 92 Seguimientos a Centros Educativos con la finalidad de ser gestionados como Modelos del PAE.</w:t>
      </w:r>
    </w:p>
    <w:p w:rsidR="004043F6" w:rsidRPr="00655735" w:rsidRDefault="004043F6" w:rsidP="00BE1578">
      <w:pPr>
        <w:numPr>
          <w:ilvl w:val="0"/>
          <w:numId w:val="25"/>
        </w:numPr>
        <w:shd w:val="clear" w:color="auto" w:fill="FFFFFF"/>
        <w:spacing w:beforeAutospacing="1" w:after="0" w:afterAutospacing="1" w:line="360" w:lineRule="auto"/>
        <w:ind w:left="426" w:hanging="426"/>
        <w:jc w:val="both"/>
        <w:rPr>
          <w:rFonts w:eastAsia="Times New Roman"/>
          <w:szCs w:val="18"/>
          <w:lang w:val="es-ES"/>
        </w:rPr>
      </w:pPr>
      <w:r w:rsidRPr="00655735">
        <w:rPr>
          <w:rFonts w:eastAsia="Times New Roman"/>
          <w:szCs w:val="18"/>
          <w:lang w:val="es-ES"/>
        </w:rPr>
        <w:t>Se han realizado</w:t>
      </w:r>
      <w:r w:rsidRPr="00655735">
        <w:rPr>
          <w:rFonts w:ascii="Calibri" w:eastAsia="Times New Roman" w:hAnsi="Calibri" w:cs="Calibri"/>
          <w:szCs w:val="18"/>
          <w:lang w:val="es-ES"/>
        </w:rPr>
        <w:t> </w:t>
      </w:r>
      <w:r w:rsidRPr="00655735">
        <w:rPr>
          <w:rFonts w:eastAsia="Times New Roman"/>
          <w:szCs w:val="18"/>
          <w:lang w:val="es-ES"/>
        </w:rPr>
        <w:t>6</w:t>
      </w:r>
      <w:r w:rsidRPr="00655735">
        <w:rPr>
          <w:rFonts w:ascii="Calibri" w:eastAsia="Times New Roman" w:hAnsi="Calibri" w:cs="Calibri"/>
          <w:szCs w:val="18"/>
          <w:lang w:val="es-ES"/>
        </w:rPr>
        <w:t> </w:t>
      </w:r>
      <w:r w:rsidRPr="00655735">
        <w:rPr>
          <w:rFonts w:eastAsia="Times New Roman"/>
          <w:szCs w:val="18"/>
          <w:lang w:val="es-ES"/>
        </w:rPr>
        <w:t>talleres de cocina saludable a nivel nacional, con el prop</w:t>
      </w:r>
      <w:r w:rsidRPr="00655735">
        <w:rPr>
          <w:rFonts w:eastAsia="Times New Roman" w:cs="Artifex CF Extra Light"/>
          <w:szCs w:val="18"/>
          <w:lang w:val="es-ES"/>
        </w:rPr>
        <w:t>ó</w:t>
      </w:r>
      <w:r w:rsidRPr="00655735">
        <w:rPr>
          <w:rFonts w:eastAsia="Times New Roman"/>
          <w:szCs w:val="18"/>
          <w:lang w:val="es-ES"/>
        </w:rPr>
        <w:t>sito de que los manipuladores de alimentos y cocineros conozcan los procedimientos y las t</w:t>
      </w:r>
      <w:r w:rsidRPr="00655735">
        <w:rPr>
          <w:rFonts w:eastAsia="Times New Roman" w:cs="Artifex CF Extra Light"/>
          <w:szCs w:val="18"/>
          <w:lang w:val="es-ES"/>
        </w:rPr>
        <w:t>é</w:t>
      </w:r>
      <w:r w:rsidRPr="00655735">
        <w:rPr>
          <w:rFonts w:eastAsia="Times New Roman"/>
          <w:szCs w:val="18"/>
          <w:lang w:val="es-ES"/>
        </w:rPr>
        <w:t>cnicas para la elaboraci</w:t>
      </w:r>
      <w:r w:rsidRPr="00655735">
        <w:rPr>
          <w:rFonts w:eastAsia="Times New Roman" w:cs="Artifex CF Extra Light"/>
          <w:szCs w:val="18"/>
          <w:lang w:val="es-ES"/>
        </w:rPr>
        <w:t>ó</w:t>
      </w:r>
      <w:r w:rsidRPr="00655735">
        <w:rPr>
          <w:rFonts w:eastAsia="Times New Roman"/>
          <w:szCs w:val="18"/>
          <w:lang w:val="es-ES"/>
        </w:rPr>
        <w:t>n de platos que presenta el PAE, Impactando un total</w:t>
      </w:r>
      <w:r w:rsidRPr="00655735">
        <w:rPr>
          <w:rFonts w:ascii="Calibri" w:eastAsia="Times New Roman" w:hAnsi="Calibri" w:cs="Calibri"/>
          <w:szCs w:val="18"/>
          <w:lang w:val="es-ES"/>
        </w:rPr>
        <w:t> </w:t>
      </w:r>
      <w:r w:rsidRPr="00655735">
        <w:rPr>
          <w:rFonts w:eastAsia="Times New Roman"/>
          <w:szCs w:val="18"/>
          <w:lang w:val="es-ES"/>
        </w:rPr>
        <w:t>80 personas relacionadas al servicio de la alimentaci</w:t>
      </w:r>
      <w:r w:rsidRPr="00655735">
        <w:rPr>
          <w:rFonts w:eastAsia="Times New Roman" w:cs="Artifex CF Extra Light"/>
          <w:szCs w:val="18"/>
          <w:lang w:val="es-ES"/>
        </w:rPr>
        <w:t>ó</w:t>
      </w:r>
      <w:r w:rsidRPr="00655735">
        <w:rPr>
          <w:rFonts w:eastAsia="Times New Roman"/>
          <w:szCs w:val="18"/>
          <w:lang w:val="es-ES"/>
        </w:rPr>
        <w:t xml:space="preserve">n escolar. </w:t>
      </w:r>
    </w:p>
    <w:p w:rsidR="004043F6" w:rsidRPr="00655735" w:rsidRDefault="004043F6" w:rsidP="00BE1578">
      <w:pPr>
        <w:numPr>
          <w:ilvl w:val="0"/>
          <w:numId w:val="25"/>
        </w:numPr>
        <w:shd w:val="clear" w:color="auto" w:fill="FFFFFF"/>
        <w:spacing w:beforeAutospacing="1" w:after="0" w:afterAutospacing="1" w:line="360" w:lineRule="auto"/>
        <w:ind w:left="426" w:hanging="426"/>
        <w:jc w:val="both"/>
        <w:rPr>
          <w:rFonts w:eastAsia="Times New Roman"/>
          <w:szCs w:val="18"/>
          <w:lang w:val="es-ES"/>
        </w:rPr>
      </w:pPr>
      <w:r w:rsidRPr="00655735">
        <w:rPr>
          <w:rFonts w:eastAsia="Times New Roman"/>
          <w:szCs w:val="18"/>
          <w:lang w:val="es-ES"/>
        </w:rPr>
        <w:t xml:space="preserve">Se realizaron siete (7) visitas a granjas de conejos en la ciudad de San Juan </w:t>
      </w:r>
      <w:r w:rsidRPr="00655735">
        <w:rPr>
          <w:rFonts w:eastAsia="Times New Roman"/>
          <w:szCs w:val="18"/>
          <w:bdr w:val="none" w:sz="0" w:space="0" w:color="auto" w:frame="1"/>
          <w:lang w:val="es-ES" w:eastAsia="es-MX"/>
        </w:rPr>
        <w:t xml:space="preserve">para verificar el cumplimiento de las Buenas Prácticas de producción y ver las instalaciones de </w:t>
      </w:r>
      <w:r w:rsidRPr="00655735">
        <w:rPr>
          <w:rFonts w:eastAsia="Times New Roman"/>
          <w:szCs w:val="18"/>
          <w:lang w:val="es-ES"/>
        </w:rPr>
        <w:t>la Cooperativa Agropecuaria Servicios Múltiples Mujeres de San Juan- COOPMUSAN.</w:t>
      </w:r>
    </w:p>
    <w:p w:rsidR="004043F6" w:rsidRPr="00655735" w:rsidRDefault="004043F6" w:rsidP="00BE1578">
      <w:pPr>
        <w:numPr>
          <w:ilvl w:val="0"/>
          <w:numId w:val="25"/>
        </w:numPr>
        <w:shd w:val="clear" w:color="auto" w:fill="FFFFFF"/>
        <w:spacing w:beforeAutospacing="1" w:after="0" w:afterAutospacing="1" w:line="360" w:lineRule="auto"/>
        <w:ind w:left="426" w:hanging="426"/>
        <w:jc w:val="both"/>
        <w:rPr>
          <w:rFonts w:eastAsia="Times New Roman"/>
          <w:szCs w:val="18"/>
          <w:lang w:val="es-ES"/>
        </w:rPr>
      </w:pPr>
      <w:r w:rsidRPr="00655735">
        <w:rPr>
          <w:rFonts w:eastAsia="Times New Roman"/>
          <w:szCs w:val="18"/>
          <w:lang w:val="es-ES"/>
        </w:rPr>
        <w:t xml:space="preserve">Se realizaron tres (3) degustaciones de platos preparados a partir de productos alimenticios deshidratados en Monte Plata, Hato viejo de Maimón y en el Municipio de Guerra, con el objetivo de ver su aceptación por los estudiantes y conocer la posibilidad de ser incluidos en el PAE. Participaron un total de 130 Estudiantes y 21 Docentes y Administrativo. </w:t>
      </w:r>
    </w:p>
    <w:p w:rsidR="004043F6" w:rsidRPr="004043F6" w:rsidRDefault="004043F6" w:rsidP="00BE1578">
      <w:pPr>
        <w:pStyle w:val="Heading4"/>
      </w:pPr>
      <w:bookmarkStart w:id="47" w:name="_Toc26273947"/>
      <w:r w:rsidRPr="004043F6">
        <w:t xml:space="preserve">Sistema </w:t>
      </w:r>
      <w:r w:rsidR="00567FB3" w:rsidRPr="004043F6">
        <w:t>Integral para</w:t>
      </w:r>
      <w:r w:rsidRPr="004043F6">
        <w:t xml:space="preserve"> la Vigilancia Alimentaria y Nutricional del Escolar (SISVANE)</w:t>
      </w:r>
      <w:bookmarkEnd w:id="47"/>
    </w:p>
    <w:p w:rsidR="004043F6" w:rsidRPr="00655735" w:rsidRDefault="004043F6" w:rsidP="00655735">
      <w:pPr>
        <w:spacing w:line="360" w:lineRule="auto"/>
        <w:jc w:val="both"/>
        <w:rPr>
          <w:rFonts w:eastAsia="Times New Roman"/>
          <w:szCs w:val="18"/>
        </w:rPr>
      </w:pPr>
      <w:r w:rsidRPr="00655735">
        <w:rPr>
          <w:szCs w:val="18"/>
        </w:rPr>
        <w:t xml:space="preserve">El Sistema Integral para la Vigilancia Alimentaria y Nutricional del Escolar  (SISVANE) es una estrategia de Educación Alimentaria y Nutricional que está implementando el INABIE a través del Departamento de Nutrición Monitorear y medir el impacto nutricional del Programa de Alimentación Escolar, (PAE) modalidad Jornada Escolar Extendida, con el propósito de fomentar hábitos alimentarios saludables que promuevan una vida activa y sana en la comunidad educativa y gestionar la atención de los escolares con malnutrición. </w:t>
      </w:r>
      <w:r w:rsidRPr="00655735">
        <w:rPr>
          <w:rFonts w:eastAsia="Times New Roman"/>
          <w:szCs w:val="18"/>
        </w:rPr>
        <w:t>En la actualidad se implementa en 56 Centros Educativos focalizados de las Regionales de Educación 08, 10, 15 y 17, impactando un total de 16,897 estudiantes de los niveles Inicial, Primaria y Secundaria.</w:t>
      </w:r>
    </w:p>
    <w:p w:rsidR="004043F6" w:rsidRPr="00655735" w:rsidRDefault="004043F6" w:rsidP="00655735">
      <w:pPr>
        <w:spacing w:after="120" w:line="360" w:lineRule="auto"/>
        <w:jc w:val="both"/>
        <w:rPr>
          <w:rFonts w:eastAsia="Times New Roman"/>
          <w:szCs w:val="18"/>
        </w:rPr>
      </w:pPr>
      <w:r w:rsidRPr="00655735">
        <w:rPr>
          <w:rFonts w:eastAsia="Times New Roman"/>
          <w:szCs w:val="18"/>
        </w:rPr>
        <w:t xml:space="preserve">En </w:t>
      </w:r>
      <w:r w:rsidR="00C760E5">
        <w:rPr>
          <w:rFonts w:eastAsia="Times New Roman"/>
          <w:szCs w:val="18"/>
        </w:rPr>
        <w:t xml:space="preserve">la </w:t>
      </w:r>
      <w:r w:rsidRPr="00655735">
        <w:rPr>
          <w:rFonts w:eastAsia="Times New Roman"/>
          <w:szCs w:val="18"/>
        </w:rPr>
        <w:t xml:space="preserve">siguiente </w:t>
      </w:r>
      <w:r w:rsidR="00C760E5">
        <w:rPr>
          <w:rFonts w:eastAsia="Times New Roman"/>
          <w:szCs w:val="18"/>
        </w:rPr>
        <w:t>tabla</w:t>
      </w:r>
      <w:r w:rsidRPr="00655735">
        <w:rPr>
          <w:rFonts w:eastAsia="Times New Roman"/>
          <w:szCs w:val="18"/>
        </w:rPr>
        <w:t xml:space="preserve"> se muestra la situación nutricional de los estudiantes de los Centros Educativos donde se implementa este sistema. </w:t>
      </w:r>
    </w:p>
    <w:p w:rsidR="004043F6" w:rsidRPr="00655735" w:rsidRDefault="00C760E5" w:rsidP="00C760E5">
      <w:pPr>
        <w:spacing w:after="120" w:line="360" w:lineRule="auto"/>
        <w:jc w:val="center"/>
        <w:rPr>
          <w:rFonts w:eastAsia="Times New Roman"/>
          <w:szCs w:val="18"/>
        </w:rPr>
      </w:pPr>
      <w:r>
        <w:rPr>
          <w:rFonts w:eastAsia="Times New Roman"/>
          <w:b/>
          <w:szCs w:val="18"/>
        </w:rPr>
        <w:t>Tabla 7</w:t>
      </w:r>
      <w:r w:rsidR="004043F6" w:rsidRPr="00655735">
        <w:rPr>
          <w:rFonts w:eastAsia="Times New Roman"/>
          <w:b/>
          <w:szCs w:val="18"/>
        </w:rPr>
        <w:t>.</w:t>
      </w:r>
      <w:r w:rsidR="004043F6" w:rsidRPr="00655735">
        <w:rPr>
          <w:rFonts w:eastAsia="Times New Roman"/>
          <w:szCs w:val="18"/>
        </w:rPr>
        <w:t xml:space="preserve"> Estadísticas de la situación nutricional de la población escolar, 2020.</w:t>
      </w:r>
    </w:p>
    <w:tbl>
      <w:tblPr>
        <w:tblW w:w="5940" w:type="dxa"/>
        <w:jc w:val="center"/>
        <w:tblCellMar>
          <w:left w:w="70" w:type="dxa"/>
          <w:right w:w="70" w:type="dxa"/>
        </w:tblCellMar>
        <w:tblLook w:val="04A0" w:firstRow="1" w:lastRow="0" w:firstColumn="1" w:lastColumn="0" w:noHBand="0" w:noVBand="1"/>
      </w:tblPr>
      <w:tblGrid>
        <w:gridCol w:w="3080"/>
        <w:gridCol w:w="1460"/>
        <w:gridCol w:w="1400"/>
      </w:tblGrid>
      <w:tr w:rsidR="004043F6" w:rsidRPr="00F03025" w:rsidTr="00C760E5">
        <w:trPr>
          <w:trHeight w:val="615"/>
          <w:jc w:val="center"/>
        </w:trPr>
        <w:tc>
          <w:tcPr>
            <w:tcW w:w="3080"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4043F6" w:rsidRPr="00BE1578" w:rsidRDefault="004043F6" w:rsidP="00C760E5">
            <w:pPr>
              <w:spacing w:after="0" w:line="276" w:lineRule="auto"/>
              <w:jc w:val="center"/>
              <w:rPr>
                <w:rFonts w:ascii="Artifex CF Light" w:eastAsia="Times New Roman" w:hAnsi="Artifex CF Light"/>
                <w:b/>
                <w:bCs/>
                <w:szCs w:val="18"/>
                <w:lang w:val="es-MX" w:eastAsia="es-MX"/>
              </w:rPr>
            </w:pPr>
            <w:r w:rsidRPr="00BE1578">
              <w:rPr>
                <w:rFonts w:ascii="Artifex CF Light" w:eastAsia="Times New Roman" w:hAnsi="Artifex CF Light"/>
                <w:b/>
                <w:bCs/>
                <w:szCs w:val="18"/>
                <w:lang w:val="es-MX" w:eastAsia="es-MX"/>
              </w:rPr>
              <w:lastRenderedPageBreak/>
              <w:t>RESUMEN GENERAL ESTADO NUTRICIONAL 2019-2020</w:t>
            </w:r>
          </w:p>
        </w:tc>
        <w:tc>
          <w:tcPr>
            <w:tcW w:w="1460" w:type="dxa"/>
            <w:tcBorders>
              <w:top w:val="single" w:sz="8" w:space="0" w:color="auto"/>
              <w:left w:val="nil"/>
              <w:bottom w:val="single" w:sz="4" w:space="0" w:color="auto"/>
              <w:right w:val="nil"/>
            </w:tcBorders>
            <w:shd w:val="clear" w:color="000000" w:fill="FFFFFF"/>
            <w:noWrap/>
            <w:vAlign w:val="center"/>
            <w:hideMark/>
          </w:tcPr>
          <w:p w:rsidR="004043F6" w:rsidRPr="00BE1578" w:rsidRDefault="004043F6" w:rsidP="00C760E5">
            <w:pPr>
              <w:spacing w:after="0" w:line="276" w:lineRule="auto"/>
              <w:jc w:val="center"/>
              <w:rPr>
                <w:rFonts w:ascii="Artifex CF Light" w:eastAsia="Times New Roman" w:hAnsi="Artifex CF Light"/>
                <w:szCs w:val="18"/>
                <w:lang w:val="es-MX" w:eastAsia="es-MX"/>
              </w:rPr>
            </w:pPr>
            <w:r w:rsidRPr="00BE1578">
              <w:rPr>
                <w:rFonts w:ascii="Artifex CF Light" w:eastAsia="Times New Roman" w:hAnsi="Artifex CF Light"/>
                <w:szCs w:val="18"/>
                <w:lang w:val="es-MX" w:eastAsia="es-MX"/>
              </w:rPr>
              <w:t>CANTIDAD</w:t>
            </w:r>
          </w:p>
        </w:tc>
        <w:tc>
          <w:tcPr>
            <w:tcW w:w="1400"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rsidR="004043F6" w:rsidRPr="00BE1578" w:rsidRDefault="004043F6" w:rsidP="00C760E5">
            <w:pPr>
              <w:spacing w:after="0" w:line="276" w:lineRule="auto"/>
              <w:jc w:val="center"/>
              <w:rPr>
                <w:rFonts w:ascii="Artifex CF Light" w:eastAsia="Times New Roman" w:hAnsi="Artifex CF Light"/>
                <w:szCs w:val="18"/>
                <w:lang w:val="es-MX" w:eastAsia="es-MX"/>
              </w:rPr>
            </w:pPr>
            <w:r w:rsidRPr="00BE1578">
              <w:rPr>
                <w:rFonts w:ascii="Artifex CF Light" w:eastAsia="Times New Roman" w:hAnsi="Artifex CF Light"/>
                <w:szCs w:val="18"/>
                <w:lang w:val="es-MX" w:eastAsia="es-MX"/>
              </w:rPr>
              <w:t>%</w:t>
            </w:r>
          </w:p>
        </w:tc>
      </w:tr>
      <w:tr w:rsidR="004043F6" w:rsidRPr="00F03025" w:rsidTr="00000D61">
        <w:trPr>
          <w:trHeight w:val="300"/>
          <w:jc w:val="center"/>
        </w:trPr>
        <w:tc>
          <w:tcPr>
            <w:tcW w:w="3080" w:type="dxa"/>
            <w:tcBorders>
              <w:top w:val="nil"/>
              <w:left w:val="single" w:sz="8" w:space="0" w:color="auto"/>
              <w:bottom w:val="single" w:sz="4" w:space="0" w:color="auto"/>
              <w:right w:val="single" w:sz="4" w:space="0" w:color="auto"/>
            </w:tcBorders>
            <w:shd w:val="clear" w:color="auto" w:fill="auto"/>
            <w:noWrap/>
            <w:vAlign w:val="bottom"/>
            <w:hideMark/>
          </w:tcPr>
          <w:p w:rsidR="004043F6" w:rsidRPr="00BE1578" w:rsidRDefault="004043F6" w:rsidP="004043F6">
            <w:pPr>
              <w:spacing w:after="0" w:line="276" w:lineRule="auto"/>
              <w:rPr>
                <w:rFonts w:ascii="Artifex CF Light" w:eastAsia="Times New Roman" w:hAnsi="Artifex CF Light"/>
                <w:szCs w:val="18"/>
                <w:lang w:val="es-MX" w:eastAsia="es-MX"/>
              </w:rPr>
            </w:pPr>
            <w:r w:rsidRPr="00BE1578">
              <w:rPr>
                <w:rFonts w:ascii="Artifex CF Light" w:eastAsia="Times New Roman" w:hAnsi="Artifex CF Light"/>
                <w:szCs w:val="18"/>
                <w:lang w:val="es-MX" w:eastAsia="es-MX"/>
              </w:rPr>
              <w:t>OBESIDAD</w:t>
            </w:r>
          </w:p>
        </w:tc>
        <w:tc>
          <w:tcPr>
            <w:tcW w:w="1460" w:type="dxa"/>
            <w:tcBorders>
              <w:top w:val="nil"/>
              <w:left w:val="nil"/>
              <w:bottom w:val="single" w:sz="4" w:space="0" w:color="auto"/>
              <w:right w:val="nil"/>
            </w:tcBorders>
            <w:shd w:val="clear" w:color="auto" w:fill="auto"/>
            <w:noWrap/>
            <w:vAlign w:val="bottom"/>
            <w:hideMark/>
          </w:tcPr>
          <w:p w:rsidR="004043F6" w:rsidRPr="00BE1578" w:rsidRDefault="004043F6" w:rsidP="004043F6">
            <w:pPr>
              <w:spacing w:after="0" w:line="276" w:lineRule="auto"/>
              <w:jc w:val="right"/>
              <w:rPr>
                <w:rFonts w:ascii="Artifex CF Light" w:eastAsia="Times New Roman" w:hAnsi="Artifex CF Light"/>
                <w:szCs w:val="18"/>
                <w:lang w:val="es-MX" w:eastAsia="es-MX"/>
              </w:rPr>
            </w:pPr>
            <w:r w:rsidRPr="00BE1578">
              <w:rPr>
                <w:rFonts w:ascii="Artifex CF Light" w:eastAsia="Times New Roman" w:hAnsi="Artifex CF Light"/>
                <w:szCs w:val="18"/>
                <w:lang w:val="es-MX" w:eastAsia="es-MX"/>
              </w:rPr>
              <w:t>1</w:t>
            </w:r>
            <w:r w:rsidR="00C760E5" w:rsidRPr="00BE1578">
              <w:rPr>
                <w:rFonts w:ascii="Artifex CF Light" w:eastAsia="Times New Roman" w:hAnsi="Artifex CF Light"/>
                <w:szCs w:val="18"/>
                <w:lang w:val="es-MX" w:eastAsia="es-MX"/>
              </w:rPr>
              <w:t>,</w:t>
            </w:r>
            <w:r w:rsidRPr="00BE1578">
              <w:rPr>
                <w:rFonts w:ascii="Artifex CF Light" w:eastAsia="Times New Roman" w:hAnsi="Artifex CF Light"/>
                <w:szCs w:val="18"/>
                <w:lang w:val="es-MX" w:eastAsia="es-MX"/>
              </w:rPr>
              <w:t>754</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rsidR="004043F6" w:rsidRPr="00BE1578" w:rsidRDefault="004043F6" w:rsidP="004043F6">
            <w:pPr>
              <w:spacing w:after="0" w:line="276" w:lineRule="auto"/>
              <w:jc w:val="right"/>
              <w:rPr>
                <w:rFonts w:ascii="Artifex CF Light" w:eastAsia="Times New Roman" w:hAnsi="Artifex CF Light"/>
                <w:b/>
                <w:bCs/>
                <w:szCs w:val="18"/>
                <w:lang w:val="es-MX" w:eastAsia="es-MX"/>
              </w:rPr>
            </w:pPr>
            <w:r w:rsidRPr="00BE1578">
              <w:rPr>
                <w:rFonts w:ascii="Artifex CF Light" w:eastAsia="Times New Roman" w:hAnsi="Artifex CF Light"/>
                <w:b/>
                <w:bCs/>
                <w:szCs w:val="18"/>
                <w:lang w:val="es-MX" w:eastAsia="es-MX"/>
              </w:rPr>
              <w:t>10.4</w:t>
            </w:r>
          </w:p>
        </w:tc>
      </w:tr>
      <w:tr w:rsidR="004043F6" w:rsidRPr="00F03025" w:rsidTr="00000D61">
        <w:trPr>
          <w:trHeight w:val="315"/>
          <w:jc w:val="center"/>
        </w:trPr>
        <w:tc>
          <w:tcPr>
            <w:tcW w:w="3080" w:type="dxa"/>
            <w:tcBorders>
              <w:top w:val="nil"/>
              <w:left w:val="single" w:sz="8" w:space="0" w:color="auto"/>
              <w:bottom w:val="single" w:sz="4" w:space="0" w:color="auto"/>
              <w:right w:val="single" w:sz="4" w:space="0" w:color="auto"/>
            </w:tcBorders>
            <w:shd w:val="clear" w:color="auto" w:fill="auto"/>
            <w:noWrap/>
            <w:vAlign w:val="bottom"/>
            <w:hideMark/>
          </w:tcPr>
          <w:p w:rsidR="004043F6" w:rsidRPr="00BE1578" w:rsidRDefault="004043F6" w:rsidP="004043F6">
            <w:pPr>
              <w:spacing w:after="0" w:line="276" w:lineRule="auto"/>
              <w:rPr>
                <w:rFonts w:ascii="Artifex CF Light" w:eastAsia="Times New Roman" w:hAnsi="Artifex CF Light"/>
                <w:szCs w:val="18"/>
                <w:lang w:val="es-MX" w:eastAsia="es-MX"/>
              </w:rPr>
            </w:pPr>
            <w:r w:rsidRPr="00BE1578">
              <w:rPr>
                <w:rFonts w:ascii="Artifex CF Light" w:eastAsia="Times New Roman" w:hAnsi="Artifex CF Light"/>
                <w:szCs w:val="18"/>
                <w:lang w:val="es-MX" w:eastAsia="es-MX"/>
              </w:rPr>
              <w:t>SOBREPESO</w:t>
            </w:r>
          </w:p>
        </w:tc>
        <w:tc>
          <w:tcPr>
            <w:tcW w:w="1460" w:type="dxa"/>
            <w:tcBorders>
              <w:top w:val="nil"/>
              <w:left w:val="nil"/>
              <w:bottom w:val="single" w:sz="4" w:space="0" w:color="auto"/>
              <w:right w:val="nil"/>
            </w:tcBorders>
            <w:shd w:val="clear" w:color="auto" w:fill="auto"/>
            <w:noWrap/>
            <w:vAlign w:val="bottom"/>
            <w:hideMark/>
          </w:tcPr>
          <w:p w:rsidR="004043F6" w:rsidRPr="00BE1578" w:rsidRDefault="004043F6" w:rsidP="004043F6">
            <w:pPr>
              <w:spacing w:after="0" w:line="276" w:lineRule="auto"/>
              <w:jc w:val="right"/>
              <w:rPr>
                <w:rFonts w:ascii="Artifex CF Light" w:eastAsia="Times New Roman" w:hAnsi="Artifex CF Light"/>
                <w:szCs w:val="18"/>
                <w:lang w:val="es-MX" w:eastAsia="es-MX"/>
              </w:rPr>
            </w:pPr>
            <w:r w:rsidRPr="00BE1578">
              <w:rPr>
                <w:rFonts w:ascii="Artifex CF Light" w:eastAsia="Times New Roman" w:hAnsi="Artifex CF Light"/>
                <w:szCs w:val="18"/>
                <w:lang w:val="es-MX" w:eastAsia="es-MX"/>
              </w:rPr>
              <w:t>2</w:t>
            </w:r>
            <w:r w:rsidR="00C760E5" w:rsidRPr="00BE1578">
              <w:rPr>
                <w:rFonts w:ascii="Artifex CF Light" w:eastAsia="Times New Roman" w:hAnsi="Artifex CF Light"/>
                <w:szCs w:val="18"/>
                <w:lang w:val="es-MX" w:eastAsia="es-MX"/>
              </w:rPr>
              <w:t>,</w:t>
            </w:r>
            <w:r w:rsidRPr="00BE1578">
              <w:rPr>
                <w:rFonts w:ascii="Artifex CF Light" w:eastAsia="Times New Roman" w:hAnsi="Artifex CF Light"/>
                <w:szCs w:val="18"/>
                <w:lang w:val="es-MX" w:eastAsia="es-MX"/>
              </w:rPr>
              <w:t>495</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rsidR="004043F6" w:rsidRPr="00BE1578" w:rsidRDefault="004043F6" w:rsidP="004043F6">
            <w:pPr>
              <w:spacing w:after="0" w:line="276" w:lineRule="auto"/>
              <w:jc w:val="right"/>
              <w:rPr>
                <w:rFonts w:ascii="Artifex CF Light" w:eastAsia="Times New Roman" w:hAnsi="Artifex CF Light"/>
                <w:b/>
                <w:bCs/>
                <w:szCs w:val="18"/>
                <w:lang w:val="es-MX" w:eastAsia="es-MX"/>
              </w:rPr>
            </w:pPr>
            <w:r w:rsidRPr="00BE1578">
              <w:rPr>
                <w:rFonts w:ascii="Artifex CF Light" w:eastAsia="Times New Roman" w:hAnsi="Artifex CF Light"/>
                <w:b/>
                <w:bCs/>
                <w:szCs w:val="18"/>
                <w:lang w:val="es-MX" w:eastAsia="es-MX"/>
              </w:rPr>
              <w:t>14.8</w:t>
            </w:r>
          </w:p>
        </w:tc>
      </w:tr>
      <w:tr w:rsidR="004043F6" w:rsidRPr="00F03025" w:rsidTr="00000D61">
        <w:trPr>
          <w:trHeight w:val="300"/>
          <w:jc w:val="center"/>
        </w:trPr>
        <w:tc>
          <w:tcPr>
            <w:tcW w:w="3080" w:type="dxa"/>
            <w:tcBorders>
              <w:top w:val="nil"/>
              <w:left w:val="single" w:sz="8" w:space="0" w:color="auto"/>
              <w:bottom w:val="single" w:sz="4" w:space="0" w:color="auto"/>
              <w:right w:val="single" w:sz="4" w:space="0" w:color="auto"/>
            </w:tcBorders>
            <w:shd w:val="clear" w:color="auto" w:fill="auto"/>
            <w:noWrap/>
            <w:vAlign w:val="bottom"/>
            <w:hideMark/>
          </w:tcPr>
          <w:p w:rsidR="004043F6" w:rsidRPr="00BE1578" w:rsidRDefault="004043F6" w:rsidP="004043F6">
            <w:pPr>
              <w:spacing w:after="0" w:line="276" w:lineRule="auto"/>
              <w:rPr>
                <w:rFonts w:ascii="Artifex CF Light" w:eastAsia="Times New Roman" w:hAnsi="Artifex CF Light"/>
                <w:szCs w:val="18"/>
                <w:lang w:val="es-MX" w:eastAsia="es-MX"/>
              </w:rPr>
            </w:pPr>
            <w:r w:rsidRPr="00BE1578">
              <w:rPr>
                <w:rFonts w:ascii="Artifex CF Light" w:eastAsia="Times New Roman" w:hAnsi="Artifex CF Light"/>
                <w:szCs w:val="18"/>
                <w:lang w:val="es-MX" w:eastAsia="es-MX"/>
              </w:rPr>
              <w:t>NORMOPESO</w:t>
            </w:r>
          </w:p>
        </w:tc>
        <w:tc>
          <w:tcPr>
            <w:tcW w:w="1460" w:type="dxa"/>
            <w:tcBorders>
              <w:top w:val="nil"/>
              <w:left w:val="nil"/>
              <w:bottom w:val="single" w:sz="4" w:space="0" w:color="auto"/>
              <w:right w:val="nil"/>
            </w:tcBorders>
            <w:shd w:val="clear" w:color="auto" w:fill="auto"/>
            <w:noWrap/>
            <w:vAlign w:val="bottom"/>
            <w:hideMark/>
          </w:tcPr>
          <w:p w:rsidR="004043F6" w:rsidRPr="00BE1578" w:rsidRDefault="004043F6" w:rsidP="004043F6">
            <w:pPr>
              <w:spacing w:after="0" w:line="276" w:lineRule="auto"/>
              <w:jc w:val="right"/>
              <w:rPr>
                <w:rFonts w:ascii="Artifex CF Light" w:eastAsia="Times New Roman" w:hAnsi="Artifex CF Light"/>
                <w:szCs w:val="18"/>
                <w:lang w:val="es-MX" w:eastAsia="es-MX"/>
              </w:rPr>
            </w:pPr>
            <w:r w:rsidRPr="00BE1578">
              <w:rPr>
                <w:rFonts w:ascii="Artifex CF Light" w:eastAsia="Times New Roman" w:hAnsi="Artifex CF Light"/>
                <w:szCs w:val="18"/>
                <w:lang w:val="es-MX" w:eastAsia="es-MX"/>
              </w:rPr>
              <w:t>12</w:t>
            </w:r>
            <w:r w:rsidR="00C760E5" w:rsidRPr="00BE1578">
              <w:rPr>
                <w:rFonts w:ascii="Artifex CF Light" w:eastAsia="Times New Roman" w:hAnsi="Artifex CF Light"/>
                <w:szCs w:val="18"/>
                <w:lang w:val="es-MX" w:eastAsia="es-MX"/>
              </w:rPr>
              <w:t>,</w:t>
            </w:r>
            <w:r w:rsidRPr="00BE1578">
              <w:rPr>
                <w:rFonts w:ascii="Artifex CF Light" w:eastAsia="Times New Roman" w:hAnsi="Artifex CF Light"/>
                <w:szCs w:val="18"/>
                <w:lang w:val="es-MX" w:eastAsia="es-MX"/>
              </w:rPr>
              <w:t>055</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rsidR="004043F6" w:rsidRPr="00BE1578" w:rsidRDefault="004043F6" w:rsidP="004043F6">
            <w:pPr>
              <w:spacing w:after="0" w:line="276" w:lineRule="auto"/>
              <w:jc w:val="right"/>
              <w:rPr>
                <w:rFonts w:ascii="Artifex CF Light" w:eastAsia="Times New Roman" w:hAnsi="Artifex CF Light"/>
                <w:b/>
                <w:bCs/>
                <w:szCs w:val="18"/>
                <w:lang w:val="es-MX" w:eastAsia="es-MX"/>
              </w:rPr>
            </w:pPr>
            <w:r w:rsidRPr="00BE1578">
              <w:rPr>
                <w:rFonts w:ascii="Artifex CF Light" w:eastAsia="Times New Roman" w:hAnsi="Artifex CF Light"/>
                <w:b/>
                <w:bCs/>
                <w:szCs w:val="18"/>
                <w:lang w:val="es-MX" w:eastAsia="es-MX"/>
              </w:rPr>
              <w:t>71.3</w:t>
            </w:r>
          </w:p>
        </w:tc>
      </w:tr>
      <w:tr w:rsidR="004043F6" w:rsidRPr="00F03025" w:rsidTr="00000D61">
        <w:trPr>
          <w:trHeight w:val="300"/>
          <w:jc w:val="center"/>
        </w:trPr>
        <w:tc>
          <w:tcPr>
            <w:tcW w:w="3080" w:type="dxa"/>
            <w:tcBorders>
              <w:top w:val="nil"/>
              <w:left w:val="single" w:sz="8" w:space="0" w:color="auto"/>
              <w:bottom w:val="single" w:sz="4" w:space="0" w:color="auto"/>
              <w:right w:val="single" w:sz="4" w:space="0" w:color="auto"/>
            </w:tcBorders>
            <w:shd w:val="clear" w:color="auto" w:fill="auto"/>
            <w:noWrap/>
            <w:vAlign w:val="bottom"/>
            <w:hideMark/>
          </w:tcPr>
          <w:p w:rsidR="004043F6" w:rsidRPr="00BE1578" w:rsidRDefault="004043F6" w:rsidP="004043F6">
            <w:pPr>
              <w:spacing w:after="0" w:line="276" w:lineRule="auto"/>
              <w:rPr>
                <w:rFonts w:ascii="Artifex CF Light" w:eastAsia="Times New Roman" w:hAnsi="Artifex CF Light"/>
                <w:szCs w:val="18"/>
                <w:lang w:val="es-MX" w:eastAsia="es-MX"/>
              </w:rPr>
            </w:pPr>
            <w:r w:rsidRPr="00BE1578">
              <w:rPr>
                <w:rFonts w:ascii="Artifex CF Light" w:eastAsia="Times New Roman" w:hAnsi="Artifex CF Light"/>
                <w:szCs w:val="18"/>
                <w:lang w:val="es-MX" w:eastAsia="es-MX"/>
              </w:rPr>
              <w:t>BAJOPESO MODERADO</w:t>
            </w:r>
          </w:p>
        </w:tc>
        <w:tc>
          <w:tcPr>
            <w:tcW w:w="1460" w:type="dxa"/>
            <w:tcBorders>
              <w:top w:val="nil"/>
              <w:left w:val="nil"/>
              <w:bottom w:val="single" w:sz="4" w:space="0" w:color="auto"/>
              <w:right w:val="nil"/>
            </w:tcBorders>
            <w:shd w:val="clear" w:color="auto" w:fill="auto"/>
            <w:noWrap/>
            <w:vAlign w:val="bottom"/>
            <w:hideMark/>
          </w:tcPr>
          <w:p w:rsidR="004043F6" w:rsidRPr="00BE1578" w:rsidRDefault="004043F6" w:rsidP="004043F6">
            <w:pPr>
              <w:spacing w:after="0" w:line="276" w:lineRule="auto"/>
              <w:jc w:val="right"/>
              <w:rPr>
                <w:rFonts w:ascii="Artifex CF Light" w:eastAsia="Times New Roman" w:hAnsi="Artifex CF Light"/>
                <w:szCs w:val="18"/>
                <w:lang w:val="es-MX" w:eastAsia="es-MX"/>
              </w:rPr>
            </w:pPr>
            <w:r w:rsidRPr="00BE1578">
              <w:rPr>
                <w:rFonts w:ascii="Artifex CF Light" w:eastAsia="Times New Roman" w:hAnsi="Artifex CF Light"/>
                <w:szCs w:val="18"/>
                <w:lang w:val="es-MX" w:eastAsia="es-MX"/>
              </w:rPr>
              <w:t>482</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rsidR="004043F6" w:rsidRPr="00BE1578" w:rsidRDefault="004043F6" w:rsidP="004043F6">
            <w:pPr>
              <w:spacing w:after="0" w:line="276" w:lineRule="auto"/>
              <w:jc w:val="right"/>
              <w:rPr>
                <w:rFonts w:ascii="Artifex CF Light" w:eastAsia="Times New Roman" w:hAnsi="Artifex CF Light"/>
                <w:b/>
                <w:bCs/>
                <w:szCs w:val="18"/>
                <w:lang w:val="es-MX" w:eastAsia="es-MX"/>
              </w:rPr>
            </w:pPr>
            <w:r w:rsidRPr="00BE1578">
              <w:rPr>
                <w:rFonts w:ascii="Artifex CF Light" w:eastAsia="Times New Roman" w:hAnsi="Artifex CF Light"/>
                <w:b/>
                <w:bCs/>
                <w:szCs w:val="18"/>
                <w:lang w:val="es-MX" w:eastAsia="es-MX"/>
              </w:rPr>
              <w:t>2.9</w:t>
            </w:r>
          </w:p>
        </w:tc>
      </w:tr>
      <w:tr w:rsidR="004043F6" w:rsidRPr="00F03025" w:rsidTr="00000D61">
        <w:trPr>
          <w:trHeight w:val="315"/>
          <w:jc w:val="center"/>
        </w:trPr>
        <w:tc>
          <w:tcPr>
            <w:tcW w:w="3080" w:type="dxa"/>
            <w:tcBorders>
              <w:top w:val="nil"/>
              <w:left w:val="single" w:sz="8" w:space="0" w:color="auto"/>
              <w:bottom w:val="single" w:sz="4" w:space="0" w:color="auto"/>
              <w:right w:val="single" w:sz="4" w:space="0" w:color="auto"/>
            </w:tcBorders>
            <w:shd w:val="clear" w:color="auto" w:fill="auto"/>
            <w:noWrap/>
            <w:vAlign w:val="bottom"/>
            <w:hideMark/>
          </w:tcPr>
          <w:p w:rsidR="004043F6" w:rsidRPr="00BE1578" w:rsidRDefault="004043F6" w:rsidP="004043F6">
            <w:pPr>
              <w:spacing w:after="0" w:line="276" w:lineRule="auto"/>
              <w:rPr>
                <w:rFonts w:ascii="Artifex CF Light" w:eastAsia="Times New Roman" w:hAnsi="Artifex CF Light"/>
                <w:szCs w:val="18"/>
                <w:lang w:val="es-MX" w:eastAsia="es-MX"/>
              </w:rPr>
            </w:pPr>
            <w:r w:rsidRPr="00BE1578">
              <w:rPr>
                <w:rFonts w:ascii="Artifex CF Light" w:eastAsia="Times New Roman" w:hAnsi="Artifex CF Light"/>
                <w:szCs w:val="18"/>
                <w:lang w:val="es-MX" w:eastAsia="es-MX"/>
              </w:rPr>
              <w:t>BAJOPESO SEVERO</w:t>
            </w:r>
          </w:p>
        </w:tc>
        <w:tc>
          <w:tcPr>
            <w:tcW w:w="1460" w:type="dxa"/>
            <w:tcBorders>
              <w:top w:val="nil"/>
              <w:left w:val="nil"/>
              <w:bottom w:val="single" w:sz="4" w:space="0" w:color="auto"/>
              <w:right w:val="nil"/>
            </w:tcBorders>
            <w:shd w:val="clear" w:color="auto" w:fill="auto"/>
            <w:noWrap/>
            <w:vAlign w:val="bottom"/>
            <w:hideMark/>
          </w:tcPr>
          <w:p w:rsidR="004043F6" w:rsidRPr="00BE1578" w:rsidRDefault="004043F6" w:rsidP="004043F6">
            <w:pPr>
              <w:spacing w:after="0" w:line="276" w:lineRule="auto"/>
              <w:jc w:val="right"/>
              <w:rPr>
                <w:rFonts w:ascii="Artifex CF Light" w:eastAsia="Times New Roman" w:hAnsi="Artifex CF Light"/>
                <w:szCs w:val="18"/>
                <w:lang w:val="es-MX" w:eastAsia="es-MX"/>
              </w:rPr>
            </w:pPr>
            <w:r w:rsidRPr="00BE1578">
              <w:rPr>
                <w:rFonts w:ascii="Artifex CF Light" w:eastAsia="Times New Roman" w:hAnsi="Artifex CF Light"/>
                <w:szCs w:val="18"/>
                <w:lang w:val="es-MX" w:eastAsia="es-MX"/>
              </w:rPr>
              <w:t>111</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rsidR="004043F6" w:rsidRPr="00BE1578" w:rsidRDefault="004043F6" w:rsidP="004043F6">
            <w:pPr>
              <w:spacing w:after="0" w:line="276" w:lineRule="auto"/>
              <w:jc w:val="right"/>
              <w:rPr>
                <w:rFonts w:ascii="Artifex CF Light" w:eastAsia="Times New Roman" w:hAnsi="Artifex CF Light"/>
                <w:b/>
                <w:bCs/>
                <w:szCs w:val="18"/>
                <w:lang w:val="es-MX" w:eastAsia="es-MX"/>
              </w:rPr>
            </w:pPr>
            <w:r w:rsidRPr="00BE1578">
              <w:rPr>
                <w:rFonts w:ascii="Artifex CF Light" w:eastAsia="Times New Roman" w:hAnsi="Artifex CF Light"/>
                <w:b/>
                <w:bCs/>
                <w:szCs w:val="18"/>
                <w:lang w:val="es-MX" w:eastAsia="es-MX"/>
              </w:rPr>
              <w:t>0.7</w:t>
            </w:r>
          </w:p>
        </w:tc>
      </w:tr>
      <w:tr w:rsidR="004043F6" w:rsidRPr="00F03025" w:rsidTr="00000D61">
        <w:trPr>
          <w:trHeight w:val="315"/>
          <w:jc w:val="center"/>
        </w:trPr>
        <w:tc>
          <w:tcPr>
            <w:tcW w:w="3080" w:type="dxa"/>
            <w:tcBorders>
              <w:top w:val="nil"/>
              <w:left w:val="single" w:sz="8" w:space="0" w:color="auto"/>
              <w:bottom w:val="single" w:sz="8" w:space="0" w:color="auto"/>
              <w:right w:val="single" w:sz="4" w:space="0" w:color="auto"/>
            </w:tcBorders>
            <w:shd w:val="clear" w:color="000000" w:fill="FFFFFF"/>
            <w:noWrap/>
            <w:vAlign w:val="bottom"/>
            <w:hideMark/>
          </w:tcPr>
          <w:p w:rsidR="004043F6" w:rsidRPr="00BE1578" w:rsidRDefault="004043F6" w:rsidP="004043F6">
            <w:pPr>
              <w:spacing w:after="0" w:line="276" w:lineRule="auto"/>
              <w:rPr>
                <w:rFonts w:ascii="Artifex CF Light" w:eastAsia="Times New Roman" w:hAnsi="Artifex CF Light"/>
                <w:szCs w:val="18"/>
                <w:lang w:val="es-MX" w:eastAsia="es-MX"/>
              </w:rPr>
            </w:pPr>
            <w:r w:rsidRPr="00BE1578">
              <w:rPr>
                <w:rFonts w:ascii="Artifex CF Light" w:eastAsia="Times New Roman" w:hAnsi="Artifex CF Light"/>
                <w:szCs w:val="18"/>
                <w:lang w:val="es-MX" w:eastAsia="es-MX"/>
              </w:rPr>
              <w:t>Total</w:t>
            </w:r>
          </w:p>
        </w:tc>
        <w:tc>
          <w:tcPr>
            <w:tcW w:w="1460" w:type="dxa"/>
            <w:tcBorders>
              <w:top w:val="nil"/>
              <w:left w:val="nil"/>
              <w:bottom w:val="single" w:sz="8" w:space="0" w:color="auto"/>
              <w:right w:val="nil"/>
            </w:tcBorders>
            <w:shd w:val="clear" w:color="000000" w:fill="FFFFFF"/>
            <w:noWrap/>
            <w:vAlign w:val="bottom"/>
            <w:hideMark/>
          </w:tcPr>
          <w:p w:rsidR="004043F6" w:rsidRPr="00BE1578" w:rsidRDefault="004043F6" w:rsidP="004043F6">
            <w:pPr>
              <w:spacing w:after="0" w:line="276" w:lineRule="auto"/>
              <w:jc w:val="right"/>
              <w:rPr>
                <w:rFonts w:ascii="Artifex CF Light" w:eastAsia="Times New Roman" w:hAnsi="Artifex CF Light"/>
                <w:b/>
                <w:bCs/>
                <w:szCs w:val="18"/>
                <w:lang w:val="es-MX" w:eastAsia="es-MX"/>
              </w:rPr>
            </w:pPr>
            <w:r w:rsidRPr="00BE1578">
              <w:rPr>
                <w:rFonts w:ascii="Artifex CF Light" w:eastAsia="Times New Roman" w:hAnsi="Artifex CF Light"/>
                <w:b/>
                <w:bCs/>
                <w:szCs w:val="18"/>
                <w:lang w:val="es-MX" w:eastAsia="es-MX"/>
              </w:rPr>
              <w:t>16</w:t>
            </w:r>
            <w:r w:rsidR="00C760E5" w:rsidRPr="00BE1578">
              <w:rPr>
                <w:rFonts w:ascii="Artifex CF Light" w:eastAsia="Times New Roman" w:hAnsi="Artifex CF Light"/>
                <w:b/>
                <w:bCs/>
                <w:szCs w:val="18"/>
                <w:lang w:val="es-MX" w:eastAsia="es-MX"/>
              </w:rPr>
              <w:t>,</w:t>
            </w:r>
            <w:r w:rsidRPr="00BE1578">
              <w:rPr>
                <w:rFonts w:ascii="Artifex CF Light" w:eastAsia="Times New Roman" w:hAnsi="Artifex CF Light"/>
                <w:b/>
                <w:bCs/>
                <w:szCs w:val="18"/>
                <w:lang w:val="es-MX" w:eastAsia="es-MX"/>
              </w:rPr>
              <w:t>897</w:t>
            </w:r>
          </w:p>
        </w:tc>
        <w:tc>
          <w:tcPr>
            <w:tcW w:w="1400" w:type="dxa"/>
            <w:tcBorders>
              <w:top w:val="nil"/>
              <w:left w:val="single" w:sz="8" w:space="0" w:color="auto"/>
              <w:bottom w:val="single" w:sz="8" w:space="0" w:color="auto"/>
              <w:right w:val="single" w:sz="8" w:space="0" w:color="auto"/>
            </w:tcBorders>
            <w:shd w:val="clear" w:color="000000" w:fill="FFFFFF"/>
            <w:noWrap/>
            <w:vAlign w:val="bottom"/>
            <w:hideMark/>
          </w:tcPr>
          <w:p w:rsidR="004043F6" w:rsidRPr="00BE1578" w:rsidRDefault="004043F6" w:rsidP="004043F6">
            <w:pPr>
              <w:spacing w:after="0" w:line="276" w:lineRule="auto"/>
              <w:jc w:val="right"/>
              <w:rPr>
                <w:rFonts w:ascii="Artifex CF Light" w:eastAsia="Times New Roman" w:hAnsi="Artifex CF Light"/>
                <w:b/>
                <w:bCs/>
                <w:szCs w:val="18"/>
                <w:lang w:val="es-MX" w:eastAsia="es-MX"/>
              </w:rPr>
            </w:pPr>
            <w:r w:rsidRPr="00BE1578">
              <w:rPr>
                <w:rFonts w:ascii="Artifex CF Light" w:eastAsia="Times New Roman" w:hAnsi="Artifex CF Light"/>
                <w:b/>
                <w:bCs/>
                <w:szCs w:val="18"/>
                <w:lang w:val="es-MX" w:eastAsia="es-MX"/>
              </w:rPr>
              <w:t>100.0</w:t>
            </w:r>
          </w:p>
        </w:tc>
      </w:tr>
    </w:tbl>
    <w:p w:rsidR="004043F6" w:rsidRPr="004043F6" w:rsidRDefault="004043F6" w:rsidP="004043F6">
      <w:pPr>
        <w:spacing w:after="120" w:line="276" w:lineRule="auto"/>
        <w:jc w:val="center"/>
        <w:rPr>
          <w:rFonts w:ascii="Times New Roman" w:eastAsia="Times New Roman" w:hAnsi="Times New Roman"/>
          <w:color w:val="FF0000"/>
          <w:sz w:val="24"/>
          <w:szCs w:val="24"/>
          <w:highlight w:val="yellow"/>
        </w:rPr>
      </w:pPr>
    </w:p>
    <w:p w:rsidR="004043F6" w:rsidRPr="00655735" w:rsidRDefault="004043F6" w:rsidP="00655735">
      <w:pPr>
        <w:spacing w:after="120" w:line="360" w:lineRule="auto"/>
        <w:jc w:val="both"/>
        <w:rPr>
          <w:rFonts w:eastAsia="Times New Roman"/>
          <w:szCs w:val="18"/>
        </w:rPr>
      </w:pPr>
      <w:r w:rsidRPr="00655735">
        <w:rPr>
          <w:rFonts w:eastAsia="Times New Roman"/>
          <w:szCs w:val="18"/>
        </w:rPr>
        <w:t xml:space="preserve">En coordinación con la Gerencia de Área de Salud (GAS) Monte Plata, trasladamos hacia los Centros de Primer Nivel de Atención (CPNA), de difícil acceso al personal de laboratorio y los instrumentos e insumos para </w:t>
      </w:r>
      <w:r w:rsidR="00567FB3" w:rsidRPr="00655735">
        <w:rPr>
          <w:rFonts w:eastAsia="Times New Roman"/>
          <w:szCs w:val="18"/>
        </w:rPr>
        <w:t>realizar toma</w:t>
      </w:r>
      <w:r w:rsidRPr="00655735">
        <w:rPr>
          <w:rFonts w:eastAsia="Times New Roman"/>
          <w:szCs w:val="18"/>
        </w:rPr>
        <w:t xml:space="preserve"> de muestras biológicas a los escolares identificados con malnutrición (obesidad y bajo peso), de bajos recursos económicos, el seguimiento clínico está realizando en los CPNA.</w:t>
      </w:r>
    </w:p>
    <w:p w:rsidR="004043F6" w:rsidRPr="00655735" w:rsidRDefault="004043F6" w:rsidP="00655735">
      <w:pPr>
        <w:spacing w:after="120" w:line="360" w:lineRule="auto"/>
        <w:jc w:val="both"/>
        <w:rPr>
          <w:rFonts w:eastAsia="Times New Roman"/>
          <w:szCs w:val="18"/>
        </w:rPr>
      </w:pPr>
      <w:r w:rsidRPr="00655735">
        <w:rPr>
          <w:rFonts w:eastAsia="Times New Roman"/>
          <w:szCs w:val="18"/>
        </w:rPr>
        <w:t xml:space="preserve">Se inició la implementación de las pausas activas y recreos </w:t>
      </w:r>
      <w:r w:rsidR="00567FB3" w:rsidRPr="00655735">
        <w:rPr>
          <w:rFonts w:eastAsia="Times New Roman"/>
          <w:szCs w:val="18"/>
        </w:rPr>
        <w:t>divertidos, para</w:t>
      </w:r>
      <w:r w:rsidRPr="00655735">
        <w:rPr>
          <w:rFonts w:eastAsia="Times New Roman"/>
          <w:szCs w:val="18"/>
        </w:rPr>
        <w:t xml:space="preserve"> aumentar la actividad física en los centros educativos, como estrategia de prevención y tratamiento del sobrepeso y obesidad.</w:t>
      </w:r>
    </w:p>
    <w:p w:rsidR="004043F6" w:rsidRDefault="004043F6" w:rsidP="00655735">
      <w:pPr>
        <w:spacing w:after="120" w:line="360" w:lineRule="auto"/>
        <w:jc w:val="both"/>
        <w:rPr>
          <w:rFonts w:eastAsia="Times New Roman"/>
          <w:szCs w:val="18"/>
        </w:rPr>
      </w:pPr>
      <w:r w:rsidRPr="00655735">
        <w:rPr>
          <w:rFonts w:eastAsia="Times New Roman"/>
          <w:szCs w:val="18"/>
        </w:rPr>
        <w:t>Se entregaron suplementos nutricionales (</w:t>
      </w:r>
      <w:proofErr w:type="spellStart"/>
      <w:r w:rsidRPr="00655735">
        <w:rPr>
          <w:rFonts w:eastAsia="Times New Roman"/>
          <w:szCs w:val="18"/>
        </w:rPr>
        <w:t>Ensure</w:t>
      </w:r>
      <w:proofErr w:type="spellEnd"/>
      <w:r w:rsidRPr="00655735">
        <w:rPr>
          <w:rFonts w:eastAsia="Times New Roman"/>
          <w:szCs w:val="18"/>
        </w:rPr>
        <w:t xml:space="preserve"> y </w:t>
      </w:r>
      <w:proofErr w:type="spellStart"/>
      <w:r w:rsidRPr="00655735">
        <w:rPr>
          <w:rFonts w:eastAsia="Times New Roman"/>
          <w:szCs w:val="18"/>
        </w:rPr>
        <w:t>Pediasure</w:t>
      </w:r>
      <w:proofErr w:type="spellEnd"/>
      <w:r w:rsidRPr="00655735">
        <w:rPr>
          <w:rFonts w:eastAsia="Times New Roman"/>
          <w:szCs w:val="18"/>
        </w:rPr>
        <w:t xml:space="preserve">) </w:t>
      </w:r>
      <w:r w:rsidR="00567FB3" w:rsidRPr="00655735">
        <w:rPr>
          <w:rFonts w:eastAsia="Times New Roman"/>
          <w:szCs w:val="18"/>
        </w:rPr>
        <w:t>a 124</w:t>
      </w:r>
      <w:r w:rsidRPr="00655735">
        <w:rPr>
          <w:rFonts w:eastAsia="Times New Roman"/>
          <w:szCs w:val="18"/>
        </w:rPr>
        <w:t xml:space="preserve"> </w:t>
      </w:r>
      <w:r w:rsidR="00567FB3" w:rsidRPr="00655735">
        <w:rPr>
          <w:rFonts w:eastAsia="Times New Roman"/>
          <w:szCs w:val="18"/>
        </w:rPr>
        <w:t>escolares con</w:t>
      </w:r>
      <w:r w:rsidRPr="00655735">
        <w:rPr>
          <w:rFonts w:eastAsia="Times New Roman"/>
          <w:szCs w:val="18"/>
        </w:rPr>
        <w:t xml:space="preserve"> desnutrición aguda moderada y severa; además del seguimiento nutricional, atención clínica, odontológica, oftalmológica y conserjería alimentaria.</w:t>
      </w:r>
    </w:p>
    <w:p w:rsidR="00C760E5" w:rsidRPr="00F03025" w:rsidRDefault="00C760E5" w:rsidP="00C760E5">
      <w:pPr>
        <w:pStyle w:val="Caption"/>
        <w:keepNext/>
        <w:spacing w:after="0" w:line="276" w:lineRule="auto"/>
        <w:jc w:val="center"/>
        <w:rPr>
          <w:rFonts w:ascii="Artifex CF Light" w:hAnsi="Artifex CF Light"/>
          <w:b/>
          <w:i w:val="0"/>
          <w:color w:val="000000" w:themeColor="text1"/>
        </w:rPr>
      </w:pPr>
      <w:r>
        <w:rPr>
          <w:rFonts w:ascii="Artifex CF Light" w:hAnsi="Artifex CF Light"/>
          <w:b/>
          <w:i w:val="0"/>
          <w:color w:val="000000" w:themeColor="text1"/>
        </w:rPr>
        <w:t>Tabla No. 8</w:t>
      </w:r>
    </w:p>
    <w:p w:rsidR="004043F6" w:rsidRPr="004043F6" w:rsidRDefault="004043F6" w:rsidP="004043F6">
      <w:pPr>
        <w:spacing w:after="120" w:line="276" w:lineRule="auto"/>
        <w:jc w:val="center"/>
        <w:rPr>
          <w:rFonts w:ascii="Times New Roman" w:eastAsia="Times New Roman" w:hAnsi="Times New Roman"/>
          <w:color w:val="FF0000"/>
          <w:sz w:val="24"/>
          <w:szCs w:val="24"/>
        </w:rPr>
      </w:pPr>
      <w:r w:rsidRPr="00F03025">
        <w:rPr>
          <w:rFonts w:ascii="Artifex CF Light" w:hAnsi="Artifex CF Light"/>
          <w:noProof/>
          <w:sz w:val="24"/>
          <w:szCs w:val="24"/>
          <w:lang w:eastAsia="es-DO"/>
        </w:rPr>
        <w:drawing>
          <wp:inline distT="0" distB="0" distL="0" distR="0" wp14:anchorId="4A1C180E" wp14:editId="32D3ABFA">
            <wp:extent cx="3260034" cy="16833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1343" cy="1694393"/>
                    </a:xfrm>
                    <a:prstGeom prst="rect">
                      <a:avLst/>
                    </a:prstGeom>
                    <a:noFill/>
                    <a:ln>
                      <a:noFill/>
                    </a:ln>
                  </pic:spPr>
                </pic:pic>
              </a:graphicData>
            </a:graphic>
          </wp:inline>
        </w:drawing>
      </w:r>
    </w:p>
    <w:p w:rsidR="00A82C82" w:rsidRPr="00655735" w:rsidRDefault="00567FB3" w:rsidP="00655735">
      <w:pPr>
        <w:spacing w:line="360" w:lineRule="auto"/>
        <w:jc w:val="both"/>
        <w:rPr>
          <w:szCs w:val="18"/>
        </w:rPr>
      </w:pPr>
      <w:r w:rsidRPr="00655735">
        <w:rPr>
          <w:b/>
          <w:szCs w:val="18"/>
        </w:rPr>
        <w:t>Asimismo,</w:t>
      </w:r>
      <w:r w:rsidR="004D69C4" w:rsidRPr="00655735">
        <w:rPr>
          <w:szCs w:val="18"/>
        </w:rPr>
        <w:t xml:space="preserve"> se</w:t>
      </w:r>
      <w:r w:rsidR="004D69C4" w:rsidRPr="00655735">
        <w:rPr>
          <w:b/>
          <w:szCs w:val="18"/>
        </w:rPr>
        <w:t xml:space="preserve"> </w:t>
      </w:r>
      <w:r w:rsidR="004D69C4" w:rsidRPr="00655735">
        <w:rPr>
          <w:szCs w:val="18"/>
        </w:rPr>
        <w:t>a</w:t>
      </w:r>
      <w:r w:rsidR="00A82C82" w:rsidRPr="00655735">
        <w:rPr>
          <w:szCs w:val="18"/>
        </w:rPr>
        <w:t>plica</w:t>
      </w:r>
      <w:r w:rsidR="004D69C4" w:rsidRPr="00655735">
        <w:rPr>
          <w:szCs w:val="18"/>
        </w:rPr>
        <w:t>ron</w:t>
      </w:r>
      <w:r w:rsidR="00A82C82" w:rsidRPr="00655735">
        <w:rPr>
          <w:szCs w:val="18"/>
        </w:rPr>
        <w:t xml:space="preserve"> 540 Evaluaciones de Infraestructura, de los cuales 490 fueron intervenidos parcialmente a través de la Evaluación de Puntos Críticos y 50 Evaluación Formal Completa para ser gestionados y desarrollados como Centros Educativos Modelos del Programa de Alimentación Escolar.</w:t>
      </w:r>
    </w:p>
    <w:p w:rsidR="004D69C4" w:rsidRPr="00F03025" w:rsidRDefault="00C760E5" w:rsidP="004043F6">
      <w:pPr>
        <w:spacing w:after="0" w:line="276" w:lineRule="auto"/>
        <w:jc w:val="center"/>
        <w:rPr>
          <w:rFonts w:ascii="Artifex CF Light" w:hAnsi="Artifex CF Light"/>
          <w:b/>
          <w:szCs w:val="18"/>
        </w:rPr>
      </w:pPr>
      <w:r>
        <w:rPr>
          <w:rFonts w:ascii="Artifex CF Light" w:hAnsi="Artifex CF Light"/>
          <w:b/>
          <w:szCs w:val="18"/>
        </w:rPr>
        <w:t>Tabla No.9</w:t>
      </w:r>
    </w:p>
    <w:p w:rsidR="004D69C4" w:rsidRPr="00F03025" w:rsidRDefault="004D69C4" w:rsidP="004043F6">
      <w:pPr>
        <w:spacing w:after="0" w:line="276" w:lineRule="auto"/>
        <w:jc w:val="center"/>
        <w:rPr>
          <w:rFonts w:ascii="Artifex CF Light" w:hAnsi="Artifex CF Light"/>
          <w:b/>
          <w:szCs w:val="18"/>
        </w:rPr>
      </w:pPr>
      <w:r w:rsidRPr="00F03025">
        <w:rPr>
          <w:rFonts w:ascii="Artifex CF Light" w:hAnsi="Artifex CF Light"/>
          <w:b/>
          <w:szCs w:val="18"/>
        </w:rPr>
        <w:t>Intervenciones En el Marco de Nuevo Modelo de Gestión del PAE Acumulado a mayo 2020</w:t>
      </w:r>
    </w:p>
    <w:tbl>
      <w:tblPr>
        <w:tblW w:w="5000" w:type="pct"/>
        <w:tblCellMar>
          <w:left w:w="70" w:type="dxa"/>
          <w:right w:w="70" w:type="dxa"/>
        </w:tblCellMar>
        <w:tblLook w:val="04A0" w:firstRow="1" w:lastRow="0" w:firstColumn="1" w:lastColumn="0" w:noHBand="0" w:noVBand="1"/>
      </w:tblPr>
      <w:tblGrid>
        <w:gridCol w:w="4227"/>
        <w:gridCol w:w="1214"/>
        <w:gridCol w:w="1013"/>
        <w:gridCol w:w="1461"/>
      </w:tblGrid>
      <w:tr w:rsidR="00BE1578" w:rsidRPr="00BE1578" w:rsidTr="00ED4884">
        <w:trPr>
          <w:trHeight w:val="300"/>
        </w:trPr>
        <w:tc>
          <w:tcPr>
            <w:tcW w:w="2677" w:type="pct"/>
            <w:tcBorders>
              <w:top w:val="single" w:sz="4" w:space="0" w:color="auto"/>
              <w:left w:val="single" w:sz="8" w:space="0" w:color="auto"/>
              <w:bottom w:val="nil"/>
              <w:right w:val="single" w:sz="4" w:space="0" w:color="auto"/>
            </w:tcBorders>
            <w:shd w:val="clear" w:color="000000" w:fill="9BC2E6"/>
            <w:noWrap/>
            <w:vAlign w:val="bottom"/>
            <w:hideMark/>
          </w:tcPr>
          <w:p w:rsidR="004D69C4" w:rsidRPr="00BE1578" w:rsidRDefault="004D69C4" w:rsidP="004043F6">
            <w:pPr>
              <w:spacing w:after="0" w:line="276" w:lineRule="auto"/>
              <w:rPr>
                <w:rFonts w:ascii="Artifex CF Light" w:eastAsia="Times New Roman" w:hAnsi="Artifex CF Light"/>
                <w:b/>
                <w:bCs/>
                <w:szCs w:val="18"/>
                <w:lang w:eastAsia="es-ES"/>
              </w:rPr>
            </w:pPr>
            <w:r w:rsidRPr="00BE1578">
              <w:rPr>
                <w:rFonts w:ascii="Artifex CF Light" w:eastAsia="Times New Roman" w:hAnsi="Artifex CF Light"/>
                <w:b/>
                <w:bCs/>
                <w:szCs w:val="18"/>
                <w:lang w:eastAsia="es-ES"/>
              </w:rPr>
              <w:t xml:space="preserve">TIPO DE INTERVENCIONES </w:t>
            </w:r>
          </w:p>
        </w:tc>
        <w:tc>
          <w:tcPr>
            <w:tcW w:w="774" w:type="pct"/>
            <w:tcBorders>
              <w:top w:val="single" w:sz="4" w:space="0" w:color="auto"/>
              <w:left w:val="nil"/>
              <w:bottom w:val="single" w:sz="4" w:space="0" w:color="auto"/>
              <w:right w:val="single" w:sz="4" w:space="0" w:color="auto"/>
            </w:tcBorders>
            <w:shd w:val="clear" w:color="000000" w:fill="9BC2E6"/>
            <w:noWrap/>
            <w:vAlign w:val="center"/>
            <w:hideMark/>
          </w:tcPr>
          <w:p w:rsidR="004D69C4" w:rsidRPr="00BE1578" w:rsidRDefault="004D69C4" w:rsidP="004043F6">
            <w:pPr>
              <w:spacing w:after="0" w:line="276" w:lineRule="auto"/>
              <w:jc w:val="center"/>
              <w:rPr>
                <w:rFonts w:ascii="Artifex CF Light" w:eastAsia="Times New Roman" w:hAnsi="Artifex CF Light"/>
                <w:b/>
                <w:bCs/>
                <w:szCs w:val="18"/>
                <w:lang w:eastAsia="es-ES"/>
              </w:rPr>
            </w:pPr>
            <w:r w:rsidRPr="00BE1578">
              <w:rPr>
                <w:rFonts w:ascii="Artifex CF Light" w:eastAsia="Times New Roman" w:hAnsi="Artifex CF Light"/>
                <w:b/>
                <w:bCs/>
                <w:szCs w:val="18"/>
                <w:lang w:eastAsia="es-ES"/>
              </w:rPr>
              <w:t>Programado</w:t>
            </w:r>
          </w:p>
        </w:tc>
        <w:tc>
          <w:tcPr>
            <w:tcW w:w="646" w:type="pct"/>
            <w:tcBorders>
              <w:top w:val="single" w:sz="4" w:space="0" w:color="auto"/>
              <w:left w:val="nil"/>
              <w:bottom w:val="single" w:sz="4" w:space="0" w:color="auto"/>
              <w:right w:val="single" w:sz="4" w:space="0" w:color="auto"/>
            </w:tcBorders>
            <w:shd w:val="clear" w:color="000000" w:fill="9BC2E6"/>
            <w:noWrap/>
            <w:vAlign w:val="center"/>
            <w:hideMark/>
          </w:tcPr>
          <w:p w:rsidR="004D69C4" w:rsidRPr="00BE1578" w:rsidRDefault="004D69C4" w:rsidP="004043F6">
            <w:pPr>
              <w:spacing w:after="0" w:line="276" w:lineRule="auto"/>
              <w:jc w:val="center"/>
              <w:rPr>
                <w:rFonts w:ascii="Artifex CF Light" w:eastAsia="Times New Roman" w:hAnsi="Artifex CF Light"/>
                <w:b/>
                <w:bCs/>
                <w:szCs w:val="18"/>
                <w:lang w:eastAsia="es-ES"/>
              </w:rPr>
            </w:pPr>
            <w:r w:rsidRPr="00BE1578">
              <w:rPr>
                <w:rFonts w:ascii="Artifex CF Light" w:eastAsia="Times New Roman" w:hAnsi="Artifex CF Light"/>
                <w:b/>
                <w:bCs/>
                <w:szCs w:val="18"/>
                <w:lang w:eastAsia="es-ES"/>
              </w:rPr>
              <w:t>Ejecutado</w:t>
            </w:r>
          </w:p>
        </w:tc>
        <w:tc>
          <w:tcPr>
            <w:tcW w:w="903" w:type="pct"/>
            <w:tcBorders>
              <w:top w:val="single" w:sz="4" w:space="0" w:color="auto"/>
              <w:left w:val="single" w:sz="8" w:space="0" w:color="auto"/>
              <w:bottom w:val="single" w:sz="4" w:space="0" w:color="auto"/>
              <w:right w:val="nil"/>
            </w:tcBorders>
            <w:shd w:val="clear" w:color="000000" w:fill="9BC2E6"/>
            <w:noWrap/>
            <w:vAlign w:val="center"/>
            <w:hideMark/>
          </w:tcPr>
          <w:p w:rsidR="004D69C4" w:rsidRPr="00BE1578" w:rsidRDefault="004D69C4" w:rsidP="004043F6">
            <w:pPr>
              <w:spacing w:after="0" w:line="276" w:lineRule="auto"/>
              <w:jc w:val="center"/>
              <w:rPr>
                <w:rFonts w:ascii="Artifex CF Light" w:eastAsia="Times New Roman" w:hAnsi="Artifex CF Light"/>
                <w:b/>
                <w:bCs/>
                <w:szCs w:val="18"/>
                <w:lang w:eastAsia="es-ES"/>
              </w:rPr>
            </w:pPr>
            <w:r w:rsidRPr="00BE1578">
              <w:rPr>
                <w:rFonts w:ascii="Artifex CF Light" w:eastAsia="Times New Roman" w:hAnsi="Artifex CF Light"/>
                <w:b/>
                <w:bCs/>
                <w:szCs w:val="18"/>
                <w:lang w:eastAsia="es-ES"/>
              </w:rPr>
              <w:t>% de Ejecución</w:t>
            </w:r>
          </w:p>
        </w:tc>
      </w:tr>
      <w:tr w:rsidR="00BE1578" w:rsidRPr="00BE1578" w:rsidTr="00ED4884">
        <w:trPr>
          <w:trHeight w:val="300"/>
        </w:trPr>
        <w:tc>
          <w:tcPr>
            <w:tcW w:w="2677"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4D69C4" w:rsidRPr="00BE1578" w:rsidRDefault="004D69C4" w:rsidP="004043F6">
            <w:pPr>
              <w:spacing w:after="0" w:line="276" w:lineRule="auto"/>
              <w:rPr>
                <w:rFonts w:ascii="Artifex CF Light" w:eastAsia="Times New Roman" w:hAnsi="Artifex CF Light"/>
                <w:szCs w:val="18"/>
                <w:lang w:eastAsia="es-ES"/>
              </w:rPr>
            </w:pPr>
            <w:r w:rsidRPr="00BE1578">
              <w:rPr>
                <w:rFonts w:ascii="Artifex CF Light" w:eastAsia="Times New Roman" w:hAnsi="Artifex CF Light"/>
                <w:szCs w:val="18"/>
                <w:lang w:eastAsia="es-ES"/>
              </w:rPr>
              <w:t>Evaluación de Infraestructura</w:t>
            </w:r>
          </w:p>
        </w:tc>
        <w:tc>
          <w:tcPr>
            <w:tcW w:w="774" w:type="pct"/>
            <w:tcBorders>
              <w:top w:val="nil"/>
              <w:left w:val="nil"/>
              <w:bottom w:val="single" w:sz="4" w:space="0" w:color="auto"/>
              <w:right w:val="single" w:sz="4" w:space="0" w:color="auto"/>
            </w:tcBorders>
            <w:shd w:val="clear" w:color="auto" w:fill="auto"/>
            <w:noWrap/>
            <w:vAlign w:val="center"/>
            <w:hideMark/>
          </w:tcPr>
          <w:p w:rsidR="004D69C4" w:rsidRPr="00BE1578" w:rsidRDefault="004D69C4" w:rsidP="004043F6">
            <w:pPr>
              <w:spacing w:after="0" w:line="276" w:lineRule="auto"/>
              <w:jc w:val="center"/>
              <w:rPr>
                <w:rFonts w:ascii="Artifex CF Light" w:eastAsia="Times New Roman" w:hAnsi="Artifex CF Light"/>
                <w:szCs w:val="18"/>
                <w:lang w:eastAsia="es-ES"/>
              </w:rPr>
            </w:pPr>
            <w:r w:rsidRPr="00BE1578">
              <w:rPr>
                <w:rFonts w:ascii="Artifex CF Light" w:eastAsia="Times New Roman" w:hAnsi="Artifex CF Light"/>
                <w:szCs w:val="18"/>
                <w:lang w:eastAsia="es-ES"/>
              </w:rPr>
              <w:t>935</w:t>
            </w:r>
          </w:p>
        </w:tc>
        <w:tc>
          <w:tcPr>
            <w:tcW w:w="646" w:type="pct"/>
            <w:tcBorders>
              <w:top w:val="nil"/>
              <w:left w:val="nil"/>
              <w:bottom w:val="single" w:sz="4" w:space="0" w:color="auto"/>
              <w:right w:val="single" w:sz="4" w:space="0" w:color="auto"/>
            </w:tcBorders>
            <w:shd w:val="clear" w:color="auto" w:fill="auto"/>
            <w:noWrap/>
            <w:vAlign w:val="center"/>
            <w:hideMark/>
          </w:tcPr>
          <w:p w:rsidR="004D69C4" w:rsidRPr="00BE1578" w:rsidRDefault="004D69C4" w:rsidP="004043F6">
            <w:pPr>
              <w:spacing w:after="0" w:line="276" w:lineRule="auto"/>
              <w:jc w:val="center"/>
              <w:rPr>
                <w:rFonts w:ascii="Artifex CF Light" w:eastAsia="Times New Roman" w:hAnsi="Artifex CF Light"/>
                <w:szCs w:val="18"/>
                <w:lang w:eastAsia="es-ES"/>
              </w:rPr>
            </w:pPr>
            <w:r w:rsidRPr="00BE1578">
              <w:rPr>
                <w:rFonts w:ascii="Artifex CF Light" w:eastAsia="Times New Roman" w:hAnsi="Artifex CF Light"/>
                <w:szCs w:val="18"/>
                <w:lang w:eastAsia="es-ES"/>
              </w:rPr>
              <w:t>64</w:t>
            </w:r>
          </w:p>
        </w:tc>
        <w:tc>
          <w:tcPr>
            <w:tcW w:w="903" w:type="pct"/>
            <w:tcBorders>
              <w:top w:val="nil"/>
              <w:left w:val="nil"/>
              <w:bottom w:val="single" w:sz="4" w:space="0" w:color="auto"/>
              <w:right w:val="single" w:sz="4" w:space="0" w:color="auto"/>
            </w:tcBorders>
            <w:shd w:val="clear" w:color="auto" w:fill="auto"/>
            <w:noWrap/>
            <w:vAlign w:val="center"/>
            <w:hideMark/>
          </w:tcPr>
          <w:p w:rsidR="004D69C4" w:rsidRPr="00BE1578" w:rsidRDefault="004D69C4" w:rsidP="004043F6">
            <w:pPr>
              <w:spacing w:after="0" w:line="276" w:lineRule="auto"/>
              <w:jc w:val="center"/>
              <w:rPr>
                <w:rFonts w:ascii="Artifex CF Light" w:eastAsia="Times New Roman" w:hAnsi="Artifex CF Light"/>
                <w:szCs w:val="18"/>
                <w:lang w:eastAsia="es-ES"/>
              </w:rPr>
            </w:pPr>
            <w:r w:rsidRPr="00BE1578">
              <w:rPr>
                <w:rFonts w:ascii="Artifex CF Light" w:eastAsia="Times New Roman" w:hAnsi="Artifex CF Light"/>
                <w:szCs w:val="18"/>
                <w:lang w:eastAsia="es-ES"/>
              </w:rPr>
              <w:t>7%</w:t>
            </w:r>
          </w:p>
        </w:tc>
      </w:tr>
      <w:tr w:rsidR="00BE1578" w:rsidRPr="00BE1578" w:rsidTr="00ED4884">
        <w:trPr>
          <w:trHeight w:val="300"/>
        </w:trPr>
        <w:tc>
          <w:tcPr>
            <w:tcW w:w="2677" w:type="pct"/>
            <w:tcBorders>
              <w:top w:val="nil"/>
              <w:left w:val="single" w:sz="8" w:space="0" w:color="auto"/>
              <w:bottom w:val="single" w:sz="4" w:space="0" w:color="auto"/>
              <w:right w:val="single" w:sz="4" w:space="0" w:color="auto"/>
            </w:tcBorders>
            <w:shd w:val="clear" w:color="000000" w:fill="FFFFFF"/>
            <w:noWrap/>
            <w:vAlign w:val="center"/>
            <w:hideMark/>
          </w:tcPr>
          <w:p w:rsidR="004D69C4" w:rsidRPr="00BE1578" w:rsidRDefault="004D69C4" w:rsidP="004043F6">
            <w:pPr>
              <w:spacing w:after="0" w:line="276" w:lineRule="auto"/>
              <w:rPr>
                <w:rFonts w:ascii="Artifex CF Light" w:eastAsia="Times New Roman" w:hAnsi="Artifex CF Light"/>
                <w:szCs w:val="18"/>
                <w:lang w:eastAsia="es-ES"/>
              </w:rPr>
            </w:pPr>
            <w:r w:rsidRPr="00BE1578">
              <w:rPr>
                <w:rFonts w:ascii="Artifex CF Light" w:eastAsia="Times New Roman" w:hAnsi="Artifex CF Light"/>
                <w:szCs w:val="18"/>
                <w:lang w:eastAsia="es-ES"/>
              </w:rPr>
              <w:lastRenderedPageBreak/>
              <w:t>Evaluación de Puntos Críticos</w:t>
            </w:r>
          </w:p>
        </w:tc>
        <w:tc>
          <w:tcPr>
            <w:tcW w:w="774" w:type="pct"/>
            <w:tcBorders>
              <w:top w:val="nil"/>
              <w:left w:val="nil"/>
              <w:bottom w:val="single" w:sz="4" w:space="0" w:color="auto"/>
              <w:right w:val="single" w:sz="4" w:space="0" w:color="auto"/>
            </w:tcBorders>
            <w:shd w:val="clear" w:color="auto" w:fill="auto"/>
            <w:noWrap/>
            <w:vAlign w:val="center"/>
            <w:hideMark/>
          </w:tcPr>
          <w:p w:rsidR="004D69C4" w:rsidRPr="00BE1578" w:rsidRDefault="004D69C4" w:rsidP="004043F6">
            <w:pPr>
              <w:spacing w:after="0" w:line="276" w:lineRule="auto"/>
              <w:jc w:val="center"/>
              <w:rPr>
                <w:rFonts w:ascii="Artifex CF Light" w:eastAsia="Times New Roman" w:hAnsi="Artifex CF Light"/>
                <w:szCs w:val="18"/>
                <w:lang w:eastAsia="es-ES"/>
              </w:rPr>
            </w:pPr>
            <w:r w:rsidRPr="00BE1578">
              <w:rPr>
                <w:rFonts w:ascii="Artifex CF Light" w:eastAsia="Times New Roman" w:hAnsi="Artifex CF Light"/>
                <w:szCs w:val="18"/>
                <w:lang w:eastAsia="es-ES"/>
              </w:rPr>
              <w:t>899</w:t>
            </w:r>
          </w:p>
        </w:tc>
        <w:tc>
          <w:tcPr>
            <w:tcW w:w="646" w:type="pct"/>
            <w:tcBorders>
              <w:top w:val="nil"/>
              <w:left w:val="nil"/>
              <w:bottom w:val="single" w:sz="4" w:space="0" w:color="auto"/>
              <w:right w:val="single" w:sz="4" w:space="0" w:color="auto"/>
            </w:tcBorders>
            <w:shd w:val="clear" w:color="auto" w:fill="auto"/>
            <w:noWrap/>
            <w:vAlign w:val="center"/>
            <w:hideMark/>
          </w:tcPr>
          <w:p w:rsidR="004D69C4" w:rsidRPr="00BE1578" w:rsidRDefault="004D69C4" w:rsidP="004043F6">
            <w:pPr>
              <w:spacing w:after="0" w:line="276" w:lineRule="auto"/>
              <w:jc w:val="center"/>
              <w:rPr>
                <w:rFonts w:ascii="Artifex CF Light" w:eastAsia="Times New Roman" w:hAnsi="Artifex CF Light"/>
                <w:szCs w:val="18"/>
                <w:lang w:eastAsia="es-ES"/>
              </w:rPr>
            </w:pPr>
            <w:r w:rsidRPr="00BE1578">
              <w:rPr>
                <w:rFonts w:ascii="Artifex CF Light" w:eastAsia="Times New Roman" w:hAnsi="Artifex CF Light"/>
                <w:szCs w:val="18"/>
                <w:lang w:eastAsia="es-ES"/>
              </w:rPr>
              <w:t>63</w:t>
            </w:r>
          </w:p>
        </w:tc>
        <w:tc>
          <w:tcPr>
            <w:tcW w:w="903" w:type="pct"/>
            <w:tcBorders>
              <w:top w:val="nil"/>
              <w:left w:val="nil"/>
              <w:bottom w:val="single" w:sz="4" w:space="0" w:color="auto"/>
              <w:right w:val="single" w:sz="4" w:space="0" w:color="auto"/>
            </w:tcBorders>
            <w:shd w:val="clear" w:color="auto" w:fill="auto"/>
            <w:noWrap/>
            <w:vAlign w:val="center"/>
            <w:hideMark/>
          </w:tcPr>
          <w:p w:rsidR="004D69C4" w:rsidRPr="00BE1578" w:rsidRDefault="004D69C4" w:rsidP="004043F6">
            <w:pPr>
              <w:spacing w:after="0" w:line="276" w:lineRule="auto"/>
              <w:jc w:val="center"/>
              <w:rPr>
                <w:rFonts w:ascii="Artifex CF Light" w:eastAsia="Times New Roman" w:hAnsi="Artifex CF Light"/>
                <w:szCs w:val="18"/>
                <w:lang w:eastAsia="es-ES"/>
              </w:rPr>
            </w:pPr>
            <w:r w:rsidRPr="00BE1578">
              <w:rPr>
                <w:rFonts w:ascii="Artifex CF Light" w:eastAsia="Times New Roman" w:hAnsi="Artifex CF Light"/>
                <w:szCs w:val="18"/>
                <w:lang w:eastAsia="es-ES"/>
              </w:rPr>
              <w:t>7%</w:t>
            </w:r>
          </w:p>
        </w:tc>
      </w:tr>
      <w:tr w:rsidR="00BE1578" w:rsidRPr="00BE1578" w:rsidTr="00ED4884">
        <w:trPr>
          <w:trHeight w:val="300"/>
        </w:trPr>
        <w:tc>
          <w:tcPr>
            <w:tcW w:w="2677" w:type="pct"/>
            <w:tcBorders>
              <w:top w:val="nil"/>
              <w:left w:val="single" w:sz="8" w:space="0" w:color="auto"/>
              <w:bottom w:val="single" w:sz="4" w:space="0" w:color="auto"/>
              <w:right w:val="single" w:sz="4" w:space="0" w:color="auto"/>
            </w:tcBorders>
            <w:shd w:val="clear" w:color="000000" w:fill="FFFFFF"/>
            <w:noWrap/>
            <w:vAlign w:val="center"/>
            <w:hideMark/>
          </w:tcPr>
          <w:p w:rsidR="004D69C4" w:rsidRPr="00BE1578" w:rsidRDefault="004D69C4" w:rsidP="004043F6">
            <w:pPr>
              <w:spacing w:after="0" w:line="276" w:lineRule="auto"/>
              <w:rPr>
                <w:rFonts w:ascii="Artifex CF Light" w:eastAsia="Times New Roman" w:hAnsi="Artifex CF Light"/>
                <w:szCs w:val="18"/>
                <w:lang w:eastAsia="es-ES"/>
              </w:rPr>
            </w:pPr>
            <w:r w:rsidRPr="00BE1578">
              <w:rPr>
                <w:rFonts w:ascii="Artifex CF Light" w:eastAsia="Times New Roman" w:hAnsi="Artifex CF Light"/>
                <w:szCs w:val="18"/>
                <w:lang w:eastAsia="es-ES"/>
              </w:rPr>
              <w:t>Evaluación Formal Completa</w:t>
            </w:r>
          </w:p>
        </w:tc>
        <w:tc>
          <w:tcPr>
            <w:tcW w:w="774" w:type="pct"/>
            <w:tcBorders>
              <w:top w:val="nil"/>
              <w:left w:val="nil"/>
              <w:bottom w:val="single" w:sz="4" w:space="0" w:color="auto"/>
              <w:right w:val="single" w:sz="4" w:space="0" w:color="auto"/>
            </w:tcBorders>
            <w:shd w:val="clear" w:color="auto" w:fill="auto"/>
            <w:noWrap/>
            <w:vAlign w:val="center"/>
            <w:hideMark/>
          </w:tcPr>
          <w:p w:rsidR="004D69C4" w:rsidRPr="00BE1578" w:rsidRDefault="004D69C4" w:rsidP="004043F6">
            <w:pPr>
              <w:spacing w:after="0" w:line="276" w:lineRule="auto"/>
              <w:jc w:val="center"/>
              <w:rPr>
                <w:rFonts w:ascii="Artifex CF Light" w:eastAsia="Times New Roman" w:hAnsi="Artifex CF Light"/>
                <w:szCs w:val="18"/>
                <w:lang w:eastAsia="es-ES"/>
              </w:rPr>
            </w:pPr>
            <w:r w:rsidRPr="00BE1578">
              <w:rPr>
                <w:rFonts w:ascii="Artifex CF Light" w:eastAsia="Times New Roman" w:hAnsi="Artifex CF Light"/>
                <w:szCs w:val="18"/>
                <w:lang w:eastAsia="es-ES"/>
              </w:rPr>
              <w:t>72</w:t>
            </w:r>
          </w:p>
        </w:tc>
        <w:tc>
          <w:tcPr>
            <w:tcW w:w="646" w:type="pct"/>
            <w:tcBorders>
              <w:top w:val="nil"/>
              <w:left w:val="nil"/>
              <w:bottom w:val="single" w:sz="4" w:space="0" w:color="auto"/>
              <w:right w:val="single" w:sz="4" w:space="0" w:color="auto"/>
            </w:tcBorders>
            <w:shd w:val="clear" w:color="auto" w:fill="auto"/>
            <w:noWrap/>
            <w:vAlign w:val="center"/>
            <w:hideMark/>
          </w:tcPr>
          <w:p w:rsidR="004D69C4" w:rsidRPr="00BE1578" w:rsidRDefault="004D69C4" w:rsidP="004043F6">
            <w:pPr>
              <w:spacing w:after="0" w:line="276" w:lineRule="auto"/>
              <w:jc w:val="center"/>
              <w:rPr>
                <w:rFonts w:ascii="Artifex CF Light" w:eastAsia="Times New Roman" w:hAnsi="Artifex CF Light"/>
                <w:szCs w:val="18"/>
                <w:lang w:eastAsia="es-ES"/>
              </w:rPr>
            </w:pPr>
            <w:r w:rsidRPr="00BE1578">
              <w:rPr>
                <w:rFonts w:ascii="Artifex CF Light" w:eastAsia="Times New Roman" w:hAnsi="Artifex CF Light"/>
                <w:szCs w:val="18"/>
                <w:lang w:eastAsia="es-ES"/>
              </w:rPr>
              <w:t>7</w:t>
            </w:r>
          </w:p>
        </w:tc>
        <w:tc>
          <w:tcPr>
            <w:tcW w:w="903" w:type="pct"/>
            <w:tcBorders>
              <w:top w:val="nil"/>
              <w:left w:val="nil"/>
              <w:bottom w:val="single" w:sz="4" w:space="0" w:color="auto"/>
              <w:right w:val="single" w:sz="4" w:space="0" w:color="auto"/>
            </w:tcBorders>
            <w:shd w:val="clear" w:color="auto" w:fill="auto"/>
            <w:noWrap/>
            <w:vAlign w:val="center"/>
            <w:hideMark/>
          </w:tcPr>
          <w:p w:rsidR="004D69C4" w:rsidRPr="00BE1578" w:rsidRDefault="004D69C4" w:rsidP="004043F6">
            <w:pPr>
              <w:spacing w:after="0" w:line="276" w:lineRule="auto"/>
              <w:jc w:val="center"/>
              <w:rPr>
                <w:rFonts w:ascii="Artifex CF Light" w:eastAsia="Times New Roman" w:hAnsi="Artifex CF Light"/>
                <w:szCs w:val="18"/>
                <w:lang w:eastAsia="es-ES"/>
              </w:rPr>
            </w:pPr>
            <w:r w:rsidRPr="00BE1578">
              <w:rPr>
                <w:rFonts w:ascii="Artifex CF Light" w:eastAsia="Times New Roman" w:hAnsi="Artifex CF Light"/>
                <w:szCs w:val="18"/>
                <w:lang w:eastAsia="es-ES"/>
              </w:rPr>
              <w:t>10%</w:t>
            </w:r>
          </w:p>
        </w:tc>
      </w:tr>
      <w:tr w:rsidR="00BE1578" w:rsidRPr="00BE1578" w:rsidTr="00ED4884">
        <w:trPr>
          <w:trHeight w:val="570"/>
        </w:trPr>
        <w:tc>
          <w:tcPr>
            <w:tcW w:w="2677" w:type="pct"/>
            <w:tcBorders>
              <w:top w:val="nil"/>
              <w:left w:val="single" w:sz="8" w:space="0" w:color="auto"/>
              <w:bottom w:val="single" w:sz="4" w:space="0" w:color="auto"/>
              <w:right w:val="single" w:sz="4" w:space="0" w:color="auto"/>
            </w:tcBorders>
            <w:shd w:val="clear" w:color="000000" w:fill="FFFFFF"/>
            <w:vAlign w:val="center"/>
            <w:hideMark/>
          </w:tcPr>
          <w:p w:rsidR="004D69C4" w:rsidRPr="00BE1578" w:rsidRDefault="004D69C4" w:rsidP="004043F6">
            <w:pPr>
              <w:spacing w:after="0" w:line="276" w:lineRule="auto"/>
              <w:rPr>
                <w:rFonts w:ascii="Artifex CF Light" w:eastAsia="Times New Roman" w:hAnsi="Artifex CF Light"/>
                <w:szCs w:val="18"/>
                <w:lang w:eastAsia="es-ES"/>
              </w:rPr>
            </w:pPr>
            <w:r w:rsidRPr="00BE1578">
              <w:rPr>
                <w:rFonts w:ascii="Artifex CF Light" w:eastAsia="Times New Roman" w:hAnsi="Artifex CF Light"/>
                <w:szCs w:val="18"/>
                <w:lang w:eastAsia="es-ES"/>
              </w:rPr>
              <w:t>Seguimiento a Centros Educativos a ser gestionados como Modelos del PAE</w:t>
            </w:r>
          </w:p>
        </w:tc>
        <w:tc>
          <w:tcPr>
            <w:tcW w:w="774" w:type="pct"/>
            <w:tcBorders>
              <w:top w:val="nil"/>
              <w:left w:val="nil"/>
              <w:bottom w:val="single" w:sz="4" w:space="0" w:color="auto"/>
              <w:right w:val="single" w:sz="4" w:space="0" w:color="auto"/>
            </w:tcBorders>
            <w:shd w:val="clear" w:color="auto" w:fill="auto"/>
            <w:noWrap/>
            <w:vAlign w:val="center"/>
            <w:hideMark/>
          </w:tcPr>
          <w:p w:rsidR="004D69C4" w:rsidRPr="00BE1578" w:rsidRDefault="004D69C4" w:rsidP="004043F6">
            <w:pPr>
              <w:spacing w:after="0" w:line="276" w:lineRule="auto"/>
              <w:jc w:val="center"/>
              <w:rPr>
                <w:rFonts w:ascii="Artifex CF Light" w:eastAsia="Times New Roman" w:hAnsi="Artifex CF Light"/>
                <w:szCs w:val="18"/>
                <w:lang w:eastAsia="es-ES"/>
              </w:rPr>
            </w:pPr>
            <w:r w:rsidRPr="00BE1578">
              <w:rPr>
                <w:rFonts w:ascii="Artifex CF Light" w:eastAsia="Times New Roman" w:hAnsi="Artifex CF Light"/>
                <w:szCs w:val="18"/>
                <w:lang w:eastAsia="es-ES"/>
              </w:rPr>
              <w:t>252</w:t>
            </w:r>
          </w:p>
        </w:tc>
        <w:tc>
          <w:tcPr>
            <w:tcW w:w="646" w:type="pct"/>
            <w:tcBorders>
              <w:top w:val="nil"/>
              <w:left w:val="nil"/>
              <w:bottom w:val="single" w:sz="4" w:space="0" w:color="auto"/>
              <w:right w:val="single" w:sz="4" w:space="0" w:color="auto"/>
            </w:tcBorders>
            <w:shd w:val="clear" w:color="auto" w:fill="auto"/>
            <w:noWrap/>
            <w:vAlign w:val="center"/>
            <w:hideMark/>
          </w:tcPr>
          <w:p w:rsidR="004D69C4" w:rsidRPr="00BE1578" w:rsidRDefault="004D69C4" w:rsidP="004043F6">
            <w:pPr>
              <w:spacing w:after="0" w:line="276" w:lineRule="auto"/>
              <w:jc w:val="center"/>
              <w:rPr>
                <w:rFonts w:ascii="Artifex CF Light" w:eastAsia="Times New Roman" w:hAnsi="Artifex CF Light"/>
                <w:szCs w:val="18"/>
                <w:lang w:eastAsia="es-ES"/>
              </w:rPr>
            </w:pPr>
            <w:r w:rsidRPr="00BE1578">
              <w:rPr>
                <w:rFonts w:ascii="Artifex CF Light" w:eastAsia="Times New Roman" w:hAnsi="Artifex CF Light"/>
                <w:szCs w:val="18"/>
                <w:lang w:eastAsia="es-ES"/>
              </w:rPr>
              <w:t>161</w:t>
            </w:r>
          </w:p>
        </w:tc>
        <w:tc>
          <w:tcPr>
            <w:tcW w:w="903" w:type="pct"/>
            <w:tcBorders>
              <w:top w:val="nil"/>
              <w:left w:val="nil"/>
              <w:bottom w:val="single" w:sz="4" w:space="0" w:color="auto"/>
              <w:right w:val="single" w:sz="4" w:space="0" w:color="auto"/>
            </w:tcBorders>
            <w:shd w:val="clear" w:color="auto" w:fill="auto"/>
            <w:noWrap/>
            <w:vAlign w:val="center"/>
            <w:hideMark/>
          </w:tcPr>
          <w:p w:rsidR="004D69C4" w:rsidRPr="00BE1578" w:rsidRDefault="004D69C4" w:rsidP="004043F6">
            <w:pPr>
              <w:spacing w:after="0" w:line="276" w:lineRule="auto"/>
              <w:jc w:val="center"/>
              <w:rPr>
                <w:rFonts w:ascii="Artifex CF Light" w:eastAsia="Times New Roman" w:hAnsi="Artifex CF Light"/>
                <w:szCs w:val="18"/>
                <w:lang w:eastAsia="es-ES"/>
              </w:rPr>
            </w:pPr>
            <w:r w:rsidRPr="00BE1578">
              <w:rPr>
                <w:rFonts w:ascii="Artifex CF Light" w:eastAsia="Times New Roman" w:hAnsi="Artifex CF Light"/>
                <w:szCs w:val="18"/>
                <w:lang w:eastAsia="es-ES"/>
              </w:rPr>
              <w:t>64%</w:t>
            </w:r>
          </w:p>
        </w:tc>
      </w:tr>
    </w:tbl>
    <w:p w:rsidR="004D69C4" w:rsidRPr="00BE1578" w:rsidRDefault="004D69C4" w:rsidP="004D69C4">
      <w:pPr>
        <w:spacing w:after="0" w:line="240" w:lineRule="auto"/>
        <w:rPr>
          <w:rFonts w:ascii="Artifex CF Light" w:eastAsia="Times New Roman" w:hAnsi="Artifex CF Light" w:cs="Arial"/>
          <w:szCs w:val="18"/>
          <w:lang w:eastAsia="es-DO"/>
        </w:rPr>
      </w:pPr>
      <w:r w:rsidRPr="00BE1578">
        <w:rPr>
          <w:rFonts w:ascii="Artifex CF Light" w:eastAsia="Times New Roman" w:hAnsi="Artifex CF Light" w:cs="Arial"/>
          <w:b/>
          <w:szCs w:val="18"/>
          <w:lang w:eastAsia="es-DO"/>
        </w:rPr>
        <w:t>Fuente:</w:t>
      </w:r>
      <w:r w:rsidRPr="00BE1578">
        <w:rPr>
          <w:rFonts w:ascii="Artifex CF Light" w:eastAsia="Times New Roman" w:hAnsi="Artifex CF Light" w:cs="Arial"/>
          <w:szCs w:val="18"/>
          <w:lang w:eastAsia="es-DO"/>
        </w:rPr>
        <w:t xml:space="preserve"> INABIE, Departamento de Nutrición </w:t>
      </w:r>
    </w:p>
    <w:p w:rsidR="00A15CEF" w:rsidRDefault="00A15CEF" w:rsidP="004D69C4">
      <w:pPr>
        <w:spacing w:after="0" w:line="240" w:lineRule="auto"/>
        <w:rPr>
          <w:rFonts w:ascii="Artifex CF Light" w:eastAsia="Times New Roman" w:hAnsi="Artifex CF Light" w:cs="Arial"/>
          <w:color w:val="000000"/>
          <w:szCs w:val="18"/>
          <w:lang w:eastAsia="es-DO"/>
        </w:rPr>
      </w:pPr>
    </w:p>
    <w:p w:rsidR="00A15CEF" w:rsidRDefault="00A15CEF">
      <w:pPr>
        <w:spacing w:after="0" w:line="240" w:lineRule="auto"/>
      </w:pPr>
      <w:bookmarkStart w:id="48" w:name="_Toc531935410"/>
      <w:bookmarkStart w:id="49" w:name="_Toc56366566"/>
    </w:p>
    <w:p w:rsidR="000C09A0" w:rsidRPr="00E8571F" w:rsidRDefault="000C09A0" w:rsidP="00794412">
      <w:pPr>
        <w:pStyle w:val="Heading2"/>
        <w:numPr>
          <w:ilvl w:val="1"/>
          <w:numId w:val="18"/>
        </w:numPr>
      </w:pPr>
      <w:bookmarkStart w:id="50" w:name="_Toc58597553"/>
      <w:r w:rsidRPr="00E8571F">
        <w:t>PROGRAMA DE SALUD ESCOLAR</w:t>
      </w:r>
      <w:bookmarkEnd w:id="48"/>
      <w:bookmarkEnd w:id="49"/>
      <w:bookmarkEnd w:id="50"/>
    </w:p>
    <w:p w:rsidR="000C09A0" w:rsidRPr="00655735" w:rsidRDefault="004F5EEA" w:rsidP="00655735">
      <w:pPr>
        <w:spacing w:line="360" w:lineRule="auto"/>
        <w:jc w:val="both"/>
        <w:rPr>
          <w:szCs w:val="18"/>
        </w:rPr>
      </w:pPr>
      <w:bookmarkStart w:id="51" w:name="_Toc532033854"/>
      <w:r w:rsidRPr="00655735">
        <w:rPr>
          <w:szCs w:val="18"/>
        </w:rPr>
        <w:t>En los programas de salud escolar, para el 2020 la inversión en Salud Escolar aumentó a RD$ 1</w:t>
      </w:r>
      <w:proofErr w:type="gramStart"/>
      <w:r w:rsidRPr="00655735">
        <w:rPr>
          <w:szCs w:val="18"/>
        </w:rPr>
        <w:t>,173,484,832.98</w:t>
      </w:r>
      <w:proofErr w:type="gramEnd"/>
      <w:r w:rsidRPr="00655735">
        <w:rPr>
          <w:szCs w:val="18"/>
        </w:rPr>
        <w:t>. Con estos recursos se atendieron 1</w:t>
      </w:r>
      <w:proofErr w:type="gramStart"/>
      <w:r w:rsidRPr="00655735">
        <w:rPr>
          <w:szCs w:val="18"/>
        </w:rPr>
        <w:t>,512,564</w:t>
      </w:r>
      <w:proofErr w:type="gramEnd"/>
      <w:r w:rsidRPr="00655735">
        <w:rPr>
          <w:szCs w:val="18"/>
        </w:rPr>
        <w:t xml:space="preserve"> niños y niñas con servicios de epidemiologia, nutrición, salud bucal, visual y auditiva</w:t>
      </w:r>
      <w:r w:rsidR="000C09A0" w:rsidRPr="00655735">
        <w:rPr>
          <w:szCs w:val="18"/>
        </w:rPr>
        <w:t>; con lo cual se complementa y dimensiona el impacto del PAE en la disminución de la malnutrición en los escolares y la vulnerabilidad educativa en general.</w:t>
      </w:r>
    </w:p>
    <w:p w:rsidR="000C09A0" w:rsidRPr="00A83CEF" w:rsidRDefault="000C09A0" w:rsidP="00BE1578">
      <w:pPr>
        <w:pStyle w:val="Heading4"/>
      </w:pPr>
      <w:bookmarkStart w:id="52" w:name="_Toc531935412"/>
      <w:bookmarkEnd w:id="51"/>
      <w:r w:rsidRPr="00A83CEF">
        <w:t>Epidemiologia e Investigación</w:t>
      </w:r>
      <w:bookmarkEnd w:id="52"/>
      <w:r w:rsidRPr="00A83CEF">
        <w:t xml:space="preserve"> </w:t>
      </w:r>
    </w:p>
    <w:p w:rsidR="000C09A0" w:rsidRPr="00655735" w:rsidRDefault="000C09A0" w:rsidP="00BE1578">
      <w:pPr>
        <w:pStyle w:val="NormalWeb"/>
        <w:spacing w:before="0" w:beforeAutospacing="0" w:line="360" w:lineRule="auto"/>
        <w:jc w:val="both"/>
        <w:rPr>
          <w:rStyle w:val="normaltextrun"/>
          <w:rFonts w:ascii="Artifex CF Extra Light" w:hAnsi="Artifex CF Extra Light"/>
          <w:color w:val="000000"/>
          <w:sz w:val="18"/>
          <w:szCs w:val="18"/>
        </w:rPr>
      </w:pPr>
      <w:bookmarkStart w:id="53" w:name="_Toc531935413"/>
      <w:r w:rsidRPr="00655735">
        <w:rPr>
          <w:rStyle w:val="normaltextrun"/>
          <w:rFonts w:ascii="Artifex CF Extra Light" w:hAnsi="Artifex CF Extra Light"/>
          <w:sz w:val="18"/>
          <w:szCs w:val="18"/>
          <w:lang w:eastAsia="en-US"/>
        </w:rPr>
        <w:t xml:space="preserve">El Programa de Salud de mayor alcance es el de Epidemiología e Investigación. </w:t>
      </w:r>
      <w:r w:rsidRPr="00655735">
        <w:rPr>
          <w:rStyle w:val="normaltextrun"/>
          <w:rFonts w:ascii="Artifex CF Extra Light" w:hAnsi="Artifex CF Extra Light"/>
          <w:sz w:val="18"/>
          <w:szCs w:val="18"/>
        </w:rPr>
        <w:t>En el 2020 a pesar que sólo tener disponibilidad de trabajo presencial hasta marzo, se logró desparasitar a 1</w:t>
      </w:r>
      <w:proofErr w:type="gramStart"/>
      <w:r w:rsidRPr="00655735">
        <w:rPr>
          <w:rStyle w:val="normaltextrun"/>
          <w:rFonts w:ascii="Artifex CF Extra Light" w:hAnsi="Artifex CF Extra Light"/>
          <w:sz w:val="18"/>
          <w:szCs w:val="18"/>
        </w:rPr>
        <w:t>,350,400</w:t>
      </w:r>
      <w:proofErr w:type="gramEnd"/>
      <w:r w:rsidRPr="00655735">
        <w:rPr>
          <w:rStyle w:val="normaltextrun"/>
          <w:rFonts w:ascii="Artifex CF Extra Light" w:hAnsi="Artifex CF Extra Light"/>
          <w:sz w:val="18"/>
          <w:szCs w:val="18"/>
        </w:rPr>
        <w:t xml:space="preserve"> estudiantes y se administraron 2,700,000 tratamientos. Las actividades desarrolladas tuvieron que ser descontinuadas desde abril 2020.</w:t>
      </w:r>
    </w:p>
    <w:p w:rsidR="000C09A0" w:rsidRPr="00BE1578" w:rsidRDefault="000C09A0" w:rsidP="00655735">
      <w:pPr>
        <w:pStyle w:val="Textbody"/>
        <w:spacing w:after="0" w:line="360" w:lineRule="auto"/>
        <w:rPr>
          <w:rFonts w:ascii="Artifex CF Extra Light" w:hAnsi="Artifex CF Extra Light"/>
          <w:b/>
          <w:i/>
          <w:szCs w:val="18"/>
        </w:rPr>
      </w:pPr>
      <w:r w:rsidRPr="00BE1578">
        <w:rPr>
          <w:rFonts w:ascii="Artifex CF Extra Light" w:hAnsi="Artifex CF Extra Light"/>
          <w:b/>
          <w:i/>
          <w:szCs w:val="18"/>
        </w:rPr>
        <w:t>Jornadas de salud integral y atención a enfermedades desatendidas en centros educativos.</w:t>
      </w:r>
    </w:p>
    <w:p w:rsidR="000C09A0" w:rsidRPr="00BE1578" w:rsidRDefault="000C09A0" w:rsidP="00655735">
      <w:pPr>
        <w:pStyle w:val="Textbody"/>
        <w:spacing w:after="0" w:line="360" w:lineRule="auto"/>
        <w:rPr>
          <w:rFonts w:ascii="Artifex CF Extra Light" w:hAnsi="Artifex CF Extra Light" w:cs="Times New Roman"/>
          <w:szCs w:val="18"/>
        </w:rPr>
      </w:pPr>
      <w:r w:rsidRPr="00BE1578">
        <w:rPr>
          <w:rFonts w:ascii="Artifex CF Extra Light" w:hAnsi="Artifex CF Extra Light"/>
          <w:szCs w:val="18"/>
        </w:rPr>
        <w:t xml:space="preserve">En el 2020 se realizaron 4 jornadas con la participación de estudiantes en situación de vulnerabilidad, con la finalidad de promover la prevención y el autocuidado. En el marco de las mismas se entregaron 50,264 tratamientos contra la pediculosis (piojos), 30,000 </w:t>
      </w:r>
      <w:proofErr w:type="spellStart"/>
      <w:r w:rsidRPr="00BE1578">
        <w:rPr>
          <w:rFonts w:ascii="Artifex CF Extra Light" w:hAnsi="Artifex CF Extra Light"/>
          <w:szCs w:val="18"/>
        </w:rPr>
        <w:t>permetrina</w:t>
      </w:r>
      <w:proofErr w:type="spellEnd"/>
      <w:r w:rsidRPr="00BE1578">
        <w:rPr>
          <w:rFonts w:ascii="Artifex CF Extra Light" w:hAnsi="Artifex CF Extra Light"/>
          <w:szCs w:val="18"/>
        </w:rPr>
        <w:t xml:space="preserve"> champú, </w:t>
      </w:r>
      <w:proofErr w:type="spellStart"/>
      <w:r w:rsidRPr="00BE1578">
        <w:rPr>
          <w:rFonts w:ascii="Artifex CF Extra Light" w:hAnsi="Artifex CF Extra Light"/>
          <w:szCs w:val="18"/>
        </w:rPr>
        <w:t>ketoconazol</w:t>
      </w:r>
      <w:proofErr w:type="spellEnd"/>
      <w:r w:rsidRPr="00BE1578">
        <w:rPr>
          <w:rFonts w:ascii="Artifex CF Extra Light" w:hAnsi="Artifex CF Extra Light"/>
          <w:szCs w:val="18"/>
        </w:rPr>
        <w:t xml:space="preserve"> champú (hongos). </w:t>
      </w:r>
    </w:p>
    <w:p w:rsidR="000C09A0" w:rsidRPr="00655735" w:rsidRDefault="000C09A0" w:rsidP="00BE1578">
      <w:pPr>
        <w:pStyle w:val="Heading4"/>
      </w:pPr>
      <w:r w:rsidRPr="00655735">
        <w:t>Capacitación e Investigaciones sobre enfermedades transmitidas por alimentos en el ámbito escolar (ETA).</w:t>
      </w:r>
    </w:p>
    <w:p w:rsidR="000C09A0" w:rsidRPr="00655735" w:rsidRDefault="000C09A0" w:rsidP="00655735">
      <w:pPr>
        <w:pStyle w:val="Textbody"/>
        <w:spacing w:line="360" w:lineRule="auto"/>
        <w:rPr>
          <w:rFonts w:ascii="Artifex CF Extra Light" w:hAnsi="Artifex CF Extra Light" w:cs="Times New Roman"/>
          <w:szCs w:val="18"/>
        </w:rPr>
      </w:pPr>
      <w:r w:rsidRPr="00655735">
        <w:rPr>
          <w:rFonts w:ascii="Artifex CF Extra Light" w:hAnsi="Artifex CF Extra Light" w:cs="Times New Roman"/>
          <w:szCs w:val="18"/>
        </w:rPr>
        <w:t xml:space="preserve">Como parte de la estrategia de Gestión de la Calidad del Programa de Alimentación Escolar, se han realizado 19 talleres a través de los cuales fueron capacitados 464 directores del Nivel Primario del sector público, para fortalecer las capacidades de respuesta ante enfermedades del entorno escolar y sobre la implementación del protocolo de actuación en caso de brotes de </w:t>
      </w:r>
      <w:r w:rsidRPr="00655735">
        <w:rPr>
          <w:rFonts w:ascii="Artifex CF Extra Light" w:hAnsi="Artifex CF Extra Light" w:cs="Times New Roman"/>
          <w:i/>
          <w:szCs w:val="18"/>
        </w:rPr>
        <w:t>Enfermedades Transmitida por Alimentos (ETA)</w:t>
      </w:r>
      <w:r w:rsidRPr="00655735">
        <w:rPr>
          <w:rFonts w:ascii="Artifex CF Extra Light" w:hAnsi="Artifex CF Extra Light" w:cs="Times New Roman"/>
          <w:szCs w:val="18"/>
        </w:rPr>
        <w:t xml:space="preserve">. Estos talleres incluyen los </w:t>
      </w:r>
      <w:r w:rsidR="00C53061" w:rsidRPr="00655735">
        <w:rPr>
          <w:rFonts w:ascii="Artifex CF Extra Light" w:hAnsi="Artifex CF Extra Light" w:cs="Times New Roman"/>
          <w:szCs w:val="18"/>
        </w:rPr>
        <w:t>talleres</w:t>
      </w:r>
      <w:r w:rsidRPr="00655735">
        <w:rPr>
          <w:rFonts w:ascii="Artifex CF Extra Light" w:hAnsi="Artifex CF Extra Light" w:cs="Times New Roman"/>
          <w:szCs w:val="18"/>
        </w:rPr>
        <w:t xml:space="preserve"> virtuales realizados con personal clave. Tamaño de los talleres presenciales fueron reducidos de forma drástica por la situación de la pandemia. </w:t>
      </w:r>
    </w:p>
    <w:p w:rsidR="000C09A0" w:rsidRPr="00655735" w:rsidRDefault="000C09A0" w:rsidP="00655735">
      <w:pPr>
        <w:pStyle w:val="Textbody"/>
        <w:spacing w:line="360" w:lineRule="auto"/>
        <w:rPr>
          <w:rFonts w:ascii="Artifex CF Extra Light" w:eastAsia="Times New Roman" w:hAnsi="Artifex CF Extra Light"/>
          <w:szCs w:val="18"/>
        </w:rPr>
      </w:pPr>
      <w:r w:rsidRPr="00655735">
        <w:rPr>
          <w:rFonts w:ascii="Artifex CF Extra Light" w:hAnsi="Artifex CF Extra Light" w:cs="Times New Roman"/>
          <w:szCs w:val="18"/>
        </w:rPr>
        <w:t xml:space="preserve">Asimismo </w:t>
      </w:r>
      <w:r w:rsidRPr="00655735">
        <w:rPr>
          <w:rFonts w:ascii="Artifex CF Extra Light" w:eastAsia="Times New Roman" w:hAnsi="Artifex CF Extra Light"/>
          <w:szCs w:val="18"/>
        </w:rPr>
        <w:t xml:space="preserve">218,304 estudiantes integran CE con protocolo de atención ante Enfermedades transmitidas por alimentos y otras enfermedades frecuentes en el </w:t>
      </w:r>
      <w:r w:rsidR="00C53061" w:rsidRPr="00655735">
        <w:rPr>
          <w:rFonts w:ascii="Artifex CF Extra Light" w:eastAsia="Times New Roman" w:hAnsi="Artifex CF Extra Light"/>
          <w:szCs w:val="18"/>
        </w:rPr>
        <w:t>ámbito</w:t>
      </w:r>
      <w:r w:rsidRPr="00655735">
        <w:rPr>
          <w:rFonts w:ascii="Artifex CF Extra Light" w:eastAsia="Times New Roman" w:hAnsi="Artifex CF Extra Light"/>
          <w:szCs w:val="18"/>
        </w:rPr>
        <w:t xml:space="preserve"> escolar. Son los beneficiarios de los materiales impresos entregados a los centros educativos.</w:t>
      </w:r>
    </w:p>
    <w:p w:rsidR="000C09A0" w:rsidRPr="00A83CEF" w:rsidRDefault="000C09A0" w:rsidP="00BE1578">
      <w:pPr>
        <w:pStyle w:val="Heading4"/>
      </w:pPr>
      <w:r w:rsidRPr="00A83CEF">
        <w:lastRenderedPageBreak/>
        <w:t>Salud Bucal</w:t>
      </w:r>
      <w:bookmarkEnd w:id="53"/>
    </w:p>
    <w:p w:rsidR="000C09A0" w:rsidRPr="00BE1578" w:rsidRDefault="000C09A0" w:rsidP="00655735">
      <w:pPr>
        <w:spacing w:line="360" w:lineRule="auto"/>
        <w:jc w:val="both"/>
        <w:rPr>
          <w:rFonts w:eastAsia="Arial Unicode MS" w:cs="Tahoma"/>
          <w:b/>
          <w:kern w:val="3"/>
          <w:szCs w:val="18"/>
          <w:lang w:val="es-ES" w:eastAsia="es-DO"/>
        </w:rPr>
      </w:pPr>
      <w:bookmarkStart w:id="54" w:name="_Toc531935414"/>
      <w:bookmarkStart w:id="55" w:name="_Toc531935411"/>
      <w:r w:rsidRPr="00BE1578">
        <w:rPr>
          <w:rFonts w:eastAsia="Arial Unicode MS" w:cs="Tahoma"/>
          <w:kern w:val="3"/>
          <w:szCs w:val="18"/>
          <w:vertAlign w:val="superscript"/>
          <w:lang w:val="es-ES" w:eastAsia="es-DO"/>
        </w:rPr>
        <w:t>1</w:t>
      </w:r>
      <w:r w:rsidRPr="00BE1578">
        <w:rPr>
          <w:rFonts w:eastAsia="Arial Unicode MS" w:cs="Tahoma"/>
          <w:kern w:val="3"/>
          <w:szCs w:val="18"/>
          <w:lang w:val="es-ES" w:eastAsia="es-DO"/>
        </w:rPr>
        <w:t xml:space="preserve">El programa de Salud Bucal, atendió durante el primer trimestre del año 2020, a 70,402 estudiantes, con las intervenciones que realizan los odontólogos del INABIE en regionales educativas del país. Luego las actividades debieron ser disminuidas por las disposiciones de distanciamiento social. Este programa ha experimentado un incremento en el número de beneficiarios de un 1% respecto al año 2018, </w:t>
      </w:r>
      <w:r w:rsidRPr="00BE1578">
        <w:rPr>
          <w:rFonts w:eastAsia="Arial Unicode MS" w:cs="Tahoma"/>
          <w:b/>
          <w:kern w:val="3"/>
          <w:szCs w:val="18"/>
          <w:lang w:val="es-ES" w:eastAsia="es-DO"/>
        </w:rPr>
        <w:t>logrando de esta manera cumplir con la meta presidencial de incrementar la cobertura de los programas focalizados de Salud que ejecuta el INABIE para romper las barreras físicas que impiden el aprendizaje de calidad del estudiantado dominicano.</w:t>
      </w:r>
    </w:p>
    <w:p w:rsidR="000C09A0" w:rsidRPr="00BE1578" w:rsidRDefault="00C760E5" w:rsidP="000C09A0">
      <w:pPr>
        <w:pStyle w:val="Caption"/>
        <w:spacing w:after="0"/>
        <w:jc w:val="center"/>
        <w:rPr>
          <w:rFonts w:ascii="Artifex CF Light" w:hAnsi="Artifex CF Light"/>
          <w:b/>
          <w:i w:val="0"/>
          <w:color w:val="1F4E79"/>
        </w:rPr>
      </w:pPr>
      <w:r w:rsidRPr="00BE1578">
        <w:rPr>
          <w:rFonts w:ascii="Artifex CF Light" w:hAnsi="Artifex CF Light"/>
          <w:b/>
          <w:i w:val="0"/>
          <w:color w:val="1F4E79"/>
        </w:rPr>
        <w:t>Tabla 10</w:t>
      </w:r>
      <w:r w:rsidR="000C09A0" w:rsidRPr="00BE1578">
        <w:rPr>
          <w:rFonts w:ascii="Artifex CF Light" w:hAnsi="Artifex CF Light"/>
          <w:b/>
          <w:i w:val="0"/>
          <w:color w:val="1F4E79"/>
        </w:rPr>
        <w:t xml:space="preserve">. Procedimientos Odontológicos realizados en el Salud Bucal, </w:t>
      </w:r>
      <w:r w:rsidR="00B3725E" w:rsidRPr="00BE1578">
        <w:rPr>
          <w:rFonts w:ascii="Artifex CF Light" w:hAnsi="Artifex CF Light"/>
          <w:b/>
          <w:i w:val="0"/>
          <w:color w:val="1F4E79"/>
        </w:rPr>
        <w:t>2020</w:t>
      </w:r>
      <w:r w:rsidR="000C09A0" w:rsidRPr="00BE1578">
        <w:rPr>
          <w:rFonts w:ascii="Artifex CF Light" w:hAnsi="Artifex CF Light"/>
          <w:b/>
          <w:i w:val="0"/>
          <w:color w:val="1F4E79"/>
        </w:rPr>
        <w:t>.</w:t>
      </w:r>
    </w:p>
    <w:tbl>
      <w:tblPr>
        <w:tblW w:w="5000" w:type="pct"/>
        <w:tblCellMar>
          <w:left w:w="70" w:type="dxa"/>
          <w:right w:w="70" w:type="dxa"/>
        </w:tblCellMar>
        <w:tblLook w:val="04A0" w:firstRow="1" w:lastRow="0" w:firstColumn="1" w:lastColumn="0" w:noHBand="0" w:noVBand="1"/>
      </w:tblPr>
      <w:tblGrid>
        <w:gridCol w:w="6111"/>
        <w:gridCol w:w="1809"/>
      </w:tblGrid>
      <w:tr w:rsidR="00BE1578" w:rsidRPr="00BE1578" w:rsidTr="000C09A0">
        <w:trPr>
          <w:trHeight w:val="315"/>
        </w:trPr>
        <w:tc>
          <w:tcPr>
            <w:tcW w:w="3858" w:type="pct"/>
            <w:tcBorders>
              <w:top w:val="single" w:sz="8" w:space="0" w:color="auto"/>
              <w:left w:val="single" w:sz="8" w:space="0" w:color="auto"/>
              <w:bottom w:val="single" w:sz="4" w:space="0" w:color="auto"/>
              <w:right w:val="single" w:sz="8" w:space="0" w:color="auto"/>
            </w:tcBorders>
            <w:shd w:val="clear" w:color="000000" w:fill="1F4E78"/>
            <w:noWrap/>
            <w:vAlign w:val="center"/>
            <w:hideMark/>
          </w:tcPr>
          <w:p w:rsidR="000C09A0" w:rsidRPr="00BE1578" w:rsidRDefault="000C09A0" w:rsidP="000C09A0">
            <w:pPr>
              <w:spacing w:after="0" w:line="240" w:lineRule="auto"/>
              <w:rPr>
                <w:rFonts w:ascii="Artifex CF Light" w:eastAsia="Times New Roman" w:hAnsi="Artifex CF Light" w:cs="Calibri"/>
                <w:szCs w:val="18"/>
                <w:lang w:eastAsia="es-DO"/>
              </w:rPr>
            </w:pPr>
            <w:r w:rsidRPr="00BE1578">
              <w:rPr>
                <w:rFonts w:ascii="Artifex CF Light" w:eastAsia="Times New Roman" w:hAnsi="Artifex CF Light" w:cs="Calibri"/>
                <w:szCs w:val="18"/>
                <w:lang w:eastAsia="es-DO"/>
              </w:rPr>
              <w:t>ACTIVIDAD/PROCEDIMIENTOS</w:t>
            </w:r>
          </w:p>
        </w:tc>
        <w:tc>
          <w:tcPr>
            <w:tcW w:w="1142" w:type="pct"/>
            <w:tcBorders>
              <w:top w:val="single" w:sz="8" w:space="0" w:color="auto"/>
              <w:left w:val="nil"/>
              <w:bottom w:val="single" w:sz="4" w:space="0" w:color="auto"/>
              <w:right w:val="single" w:sz="8" w:space="0" w:color="auto"/>
            </w:tcBorders>
            <w:shd w:val="clear" w:color="000000" w:fill="1F4E78"/>
            <w:noWrap/>
            <w:vAlign w:val="center"/>
            <w:hideMark/>
          </w:tcPr>
          <w:p w:rsidR="000C09A0" w:rsidRPr="00BE1578" w:rsidRDefault="000C09A0" w:rsidP="000C09A0">
            <w:pPr>
              <w:spacing w:after="0" w:line="240" w:lineRule="auto"/>
              <w:rPr>
                <w:rFonts w:ascii="Artifex CF Light" w:eastAsia="Times New Roman" w:hAnsi="Artifex CF Light" w:cs="Calibri"/>
                <w:szCs w:val="18"/>
                <w:lang w:eastAsia="es-DO"/>
              </w:rPr>
            </w:pPr>
            <w:r w:rsidRPr="00BE1578">
              <w:rPr>
                <w:rFonts w:ascii="Artifex CF Light" w:eastAsia="Times New Roman" w:hAnsi="Artifex CF Light" w:cs="Calibri"/>
                <w:szCs w:val="18"/>
                <w:lang w:eastAsia="es-DO"/>
              </w:rPr>
              <w:t xml:space="preserve">CANTIDAD </w:t>
            </w:r>
          </w:p>
        </w:tc>
      </w:tr>
      <w:tr w:rsidR="00BE1578" w:rsidRPr="00BE1578" w:rsidTr="000C09A0">
        <w:trPr>
          <w:trHeight w:val="315"/>
        </w:trPr>
        <w:tc>
          <w:tcPr>
            <w:tcW w:w="3858" w:type="pct"/>
            <w:tcBorders>
              <w:top w:val="single" w:sz="4" w:space="0" w:color="auto"/>
              <w:left w:val="single" w:sz="4" w:space="0" w:color="auto"/>
            </w:tcBorders>
            <w:shd w:val="clear" w:color="000000" w:fill="FFFFFF"/>
            <w:noWrap/>
            <w:vAlign w:val="center"/>
            <w:hideMark/>
          </w:tcPr>
          <w:p w:rsidR="000C09A0" w:rsidRPr="00BE1578" w:rsidRDefault="000C09A0" w:rsidP="000C09A0">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eastAsia="es-DO"/>
              </w:rPr>
              <w:t>IHO</w:t>
            </w:r>
          </w:p>
        </w:tc>
        <w:tc>
          <w:tcPr>
            <w:tcW w:w="1142" w:type="pct"/>
            <w:tcBorders>
              <w:top w:val="single" w:sz="4" w:space="0" w:color="auto"/>
              <w:right w:val="single" w:sz="4" w:space="0" w:color="auto"/>
            </w:tcBorders>
            <w:shd w:val="clear" w:color="000000" w:fill="FFFFFF"/>
            <w:noWrap/>
            <w:vAlign w:val="center"/>
            <w:hideMark/>
          </w:tcPr>
          <w:p w:rsidR="000C09A0" w:rsidRPr="00BE1578" w:rsidRDefault="000C09A0" w:rsidP="000C09A0">
            <w:pPr>
              <w:spacing w:after="0" w:line="240" w:lineRule="auto"/>
              <w:jc w:val="center"/>
              <w:rPr>
                <w:rFonts w:ascii="Artifex CF Light" w:eastAsia="Times New Roman" w:hAnsi="Artifex CF Light" w:cs="Calibri"/>
                <w:b/>
                <w:bCs/>
                <w:szCs w:val="18"/>
                <w:lang w:eastAsia="es-DO"/>
              </w:rPr>
            </w:pPr>
            <w:r w:rsidRPr="00BE1578">
              <w:rPr>
                <w:rFonts w:ascii="Artifex CF Light" w:eastAsia="Times New Roman" w:hAnsi="Artifex CF Light" w:cs="Calibri"/>
                <w:b/>
                <w:bCs/>
                <w:szCs w:val="18"/>
                <w:lang w:eastAsia="es-DO"/>
              </w:rPr>
              <w:t>25</w:t>
            </w:r>
          </w:p>
        </w:tc>
      </w:tr>
      <w:tr w:rsidR="00BE1578" w:rsidRPr="00BE1578" w:rsidTr="000C09A0">
        <w:trPr>
          <w:trHeight w:val="315"/>
        </w:trPr>
        <w:tc>
          <w:tcPr>
            <w:tcW w:w="3858" w:type="pct"/>
            <w:tcBorders>
              <w:top w:val="nil"/>
              <w:left w:val="single" w:sz="4" w:space="0" w:color="auto"/>
            </w:tcBorders>
            <w:shd w:val="clear" w:color="000000" w:fill="FFFFFF"/>
            <w:noWrap/>
            <w:vAlign w:val="center"/>
            <w:hideMark/>
          </w:tcPr>
          <w:p w:rsidR="000C09A0" w:rsidRPr="00BE1578" w:rsidRDefault="000C09A0" w:rsidP="000C09A0">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eastAsia="es-DO"/>
              </w:rPr>
              <w:t>Profilaxis</w:t>
            </w:r>
          </w:p>
        </w:tc>
        <w:tc>
          <w:tcPr>
            <w:tcW w:w="1142" w:type="pct"/>
            <w:tcBorders>
              <w:top w:val="nil"/>
              <w:right w:val="single" w:sz="4" w:space="0" w:color="auto"/>
            </w:tcBorders>
            <w:shd w:val="clear" w:color="000000" w:fill="FFFFFF"/>
            <w:noWrap/>
            <w:vAlign w:val="center"/>
            <w:hideMark/>
          </w:tcPr>
          <w:p w:rsidR="000C09A0" w:rsidRPr="00BE1578" w:rsidRDefault="000C09A0" w:rsidP="000C09A0">
            <w:pPr>
              <w:spacing w:after="0" w:line="240" w:lineRule="auto"/>
              <w:jc w:val="center"/>
              <w:rPr>
                <w:rFonts w:ascii="Artifex CF Light" w:eastAsia="Times New Roman" w:hAnsi="Artifex CF Light" w:cs="Calibri"/>
                <w:szCs w:val="18"/>
                <w:lang w:eastAsia="es-DO"/>
              </w:rPr>
            </w:pPr>
            <w:r w:rsidRPr="00BE1578">
              <w:rPr>
                <w:rFonts w:ascii="Artifex CF Light" w:eastAsia="Times New Roman" w:hAnsi="Artifex CF Light" w:cs="Calibri"/>
                <w:szCs w:val="18"/>
                <w:lang w:eastAsia="es-DO"/>
              </w:rPr>
              <w:t>5,605</w:t>
            </w:r>
          </w:p>
        </w:tc>
      </w:tr>
      <w:tr w:rsidR="00BE1578" w:rsidRPr="00BE1578" w:rsidTr="000C09A0">
        <w:trPr>
          <w:trHeight w:val="315"/>
        </w:trPr>
        <w:tc>
          <w:tcPr>
            <w:tcW w:w="3858" w:type="pct"/>
            <w:tcBorders>
              <w:top w:val="nil"/>
              <w:left w:val="single" w:sz="4" w:space="0" w:color="auto"/>
            </w:tcBorders>
            <w:shd w:val="clear" w:color="000000" w:fill="FFFFFF"/>
            <w:noWrap/>
            <w:vAlign w:val="center"/>
            <w:hideMark/>
          </w:tcPr>
          <w:p w:rsidR="000C09A0" w:rsidRPr="00BE1578" w:rsidRDefault="000C09A0" w:rsidP="000C09A0">
            <w:pPr>
              <w:spacing w:after="0" w:line="240" w:lineRule="auto"/>
              <w:rPr>
                <w:rFonts w:ascii="Artifex CF Light" w:eastAsia="Times New Roman" w:hAnsi="Artifex CF Light"/>
                <w:szCs w:val="18"/>
                <w:lang w:eastAsia="es-DO"/>
              </w:rPr>
            </w:pPr>
            <w:proofErr w:type="spellStart"/>
            <w:r w:rsidRPr="00BE1578">
              <w:rPr>
                <w:rFonts w:ascii="Artifex CF Light" w:eastAsia="Times New Roman" w:hAnsi="Artifex CF Light"/>
                <w:szCs w:val="18"/>
                <w:lang w:eastAsia="es-DO"/>
              </w:rPr>
              <w:t>Destartraje</w:t>
            </w:r>
            <w:proofErr w:type="spellEnd"/>
          </w:p>
        </w:tc>
        <w:tc>
          <w:tcPr>
            <w:tcW w:w="1142" w:type="pct"/>
            <w:tcBorders>
              <w:top w:val="nil"/>
              <w:right w:val="single" w:sz="4" w:space="0" w:color="auto"/>
            </w:tcBorders>
            <w:shd w:val="clear" w:color="000000" w:fill="FFFFFF"/>
            <w:noWrap/>
            <w:vAlign w:val="center"/>
            <w:hideMark/>
          </w:tcPr>
          <w:p w:rsidR="000C09A0" w:rsidRPr="00BE1578" w:rsidRDefault="000C09A0" w:rsidP="000C09A0">
            <w:pPr>
              <w:spacing w:after="0" w:line="240" w:lineRule="auto"/>
              <w:jc w:val="center"/>
              <w:rPr>
                <w:rFonts w:ascii="Artifex CF Light" w:eastAsia="Times New Roman" w:hAnsi="Artifex CF Light" w:cs="Calibri"/>
                <w:szCs w:val="18"/>
                <w:lang w:eastAsia="es-DO"/>
              </w:rPr>
            </w:pPr>
            <w:r w:rsidRPr="00BE1578">
              <w:rPr>
                <w:rFonts w:ascii="Artifex CF Light" w:eastAsia="Times New Roman" w:hAnsi="Artifex CF Light" w:cs="Calibri"/>
                <w:szCs w:val="18"/>
                <w:lang w:eastAsia="es-DO"/>
              </w:rPr>
              <w:t>686</w:t>
            </w:r>
          </w:p>
        </w:tc>
      </w:tr>
      <w:tr w:rsidR="00BE1578" w:rsidRPr="00BE1578" w:rsidTr="000C09A0">
        <w:trPr>
          <w:trHeight w:val="315"/>
        </w:trPr>
        <w:tc>
          <w:tcPr>
            <w:tcW w:w="3858" w:type="pct"/>
            <w:tcBorders>
              <w:top w:val="nil"/>
              <w:left w:val="single" w:sz="4" w:space="0" w:color="auto"/>
            </w:tcBorders>
            <w:shd w:val="clear" w:color="000000" w:fill="FFFFFF"/>
            <w:noWrap/>
            <w:vAlign w:val="center"/>
            <w:hideMark/>
          </w:tcPr>
          <w:p w:rsidR="000C09A0" w:rsidRPr="00BE1578" w:rsidRDefault="000C09A0" w:rsidP="000C09A0">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eastAsia="es-DO"/>
              </w:rPr>
              <w:t>Aplicación de flúor</w:t>
            </w:r>
          </w:p>
        </w:tc>
        <w:tc>
          <w:tcPr>
            <w:tcW w:w="1142" w:type="pct"/>
            <w:tcBorders>
              <w:top w:val="nil"/>
              <w:right w:val="single" w:sz="4" w:space="0" w:color="auto"/>
            </w:tcBorders>
            <w:shd w:val="clear" w:color="000000" w:fill="FFFFFF"/>
            <w:noWrap/>
            <w:vAlign w:val="center"/>
            <w:hideMark/>
          </w:tcPr>
          <w:p w:rsidR="000C09A0" w:rsidRPr="00BE1578" w:rsidRDefault="000C09A0" w:rsidP="000C09A0">
            <w:pPr>
              <w:spacing w:after="0" w:line="240" w:lineRule="auto"/>
              <w:jc w:val="center"/>
              <w:rPr>
                <w:rFonts w:ascii="Artifex CF Light" w:eastAsia="Times New Roman" w:hAnsi="Artifex CF Light" w:cs="Calibri"/>
                <w:szCs w:val="18"/>
                <w:lang w:eastAsia="es-DO"/>
              </w:rPr>
            </w:pPr>
            <w:r w:rsidRPr="00BE1578">
              <w:rPr>
                <w:rFonts w:ascii="Artifex CF Light" w:eastAsia="Times New Roman" w:hAnsi="Artifex CF Light" w:cs="Calibri"/>
                <w:szCs w:val="18"/>
                <w:lang w:eastAsia="es-DO"/>
              </w:rPr>
              <w:t>7,400</w:t>
            </w:r>
          </w:p>
        </w:tc>
      </w:tr>
      <w:tr w:rsidR="00BE1578" w:rsidRPr="00BE1578" w:rsidTr="000C09A0">
        <w:trPr>
          <w:trHeight w:val="315"/>
        </w:trPr>
        <w:tc>
          <w:tcPr>
            <w:tcW w:w="3858" w:type="pct"/>
            <w:tcBorders>
              <w:top w:val="nil"/>
              <w:left w:val="single" w:sz="4" w:space="0" w:color="auto"/>
            </w:tcBorders>
            <w:shd w:val="clear" w:color="000000" w:fill="FFFFFF"/>
            <w:noWrap/>
            <w:vAlign w:val="center"/>
            <w:hideMark/>
          </w:tcPr>
          <w:p w:rsidR="000C09A0" w:rsidRPr="00BE1578" w:rsidRDefault="000C09A0" w:rsidP="000C09A0">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eastAsia="es-DO"/>
              </w:rPr>
              <w:t>Sellantes de fosas y fisuras</w:t>
            </w:r>
          </w:p>
        </w:tc>
        <w:tc>
          <w:tcPr>
            <w:tcW w:w="1142" w:type="pct"/>
            <w:tcBorders>
              <w:top w:val="nil"/>
              <w:right w:val="single" w:sz="4" w:space="0" w:color="auto"/>
            </w:tcBorders>
            <w:shd w:val="clear" w:color="000000" w:fill="FFFFFF"/>
            <w:noWrap/>
            <w:vAlign w:val="center"/>
            <w:hideMark/>
          </w:tcPr>
          <w:p w:rsidR="000C09A0" w:rsidRPr="00BE1578" w:rsidRDefault="000C09A0" w:rsidP="000C09A0">
            <w:pPr>
              <w:spacing w:after="0" w:line="240" w:lineRule="auto"/>
              <w:jc w:val="center"/>
              <w:rPr>
                <w:rFonts w:ascii="Artifex CF Light" w:eastAsia="Times New Roman" w:hAnsi="Artifex CF Light" w:cs="Calibri"/>
                <w:szCs w:val="18"/>
                <w:lang w:eastAsia="es-DO"/>
              </w:rPr>
            </w:pPr>
            <w:r w:rsidRPr="00BE1578">
              <w:rPr>
                <w:rFonts w:ascii="Artifex CF Light" w:eastAsia="Times New Roman" w:hAnsi="Artifex CF Light" w:cs="Calibri"/>
                <w:szCs w:val="18"/>
                <w:lang w:eastAsia="es-DO"/>
              </w:rPr>
              <w:t>890</w:t>
            </w:r>
          </w:p>
        </w:tc>
      </w:tr>
      <w:tr w:rsidR="00BE1578" w:rsidRPr="00BE1578" w:rsidTr="000C09A0">
        <w:trPr>
          <w:trHeight w:val="315"/>
        </w:trPr>
        <w:tc>
          <w:tcPr>
            <w:tcW w:w="3858" w:type="pct"/>
            <w:tcBorders>
              <w:top w:val="nil"/>
              <w:left w:val="single" w:sz="4" w:space="0" w:color="auto"/>
            </w:tcBorders>
            <w:shd w:val="clear" w:color="000000" w:fill="FFFFFF"/>
            <w:noWrap/>
            <w:vAlign w:val="center"/>
            <w:hideMark/>
          </w:tcPr>
          <w:p w:rsidR="000C09A0" w:rsidRPr="00BE1578" w:rsidRDefault="000C09A0" w:rsidP="000C09A0">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eastAsia="es-DO"/>
              </w:rPr>
              <w:t xml:space="preserve">Recubrimiento </w:t>
            </w:r>
            <w:proofErr w:type="spellStart"/>
            <w:r w:rsidRPr="00BE1578">
              <w:rPr>
                <w:rFonts w:ascii="Artifex CF Light" w:eastAsia="Times New Roman" w:hAnsi="Artifex CF Light"/>
                <w:szCs w:val="18"/>
                <w:lang w:eastAsia="es-DO"/>
              </w:rPr>
              <w:t>pulpar</w:t>
            </w:r>
            <w:proofErr w:type="spellEnd"/>
          </w:p>
        </w:tc>
        <w:tc>
          <w:tcPr>
            <w:tcW w:w="1142" w:type="pct"/>
            <w:tcBorders>
              <w:top w:val="nil"/>
              <w:right w:val="single" w:sz="4" w:space="0" w:color="auto"/>
            </w:tcBorders>
            <w:shd w:val="clear" w:color="000000" w:fill="FFFFFF"/>
            <w:noWrap/>
            <w:vAlign w:val="center"/>
            <w:hideMark/>
          </w:tcPr>
          <w:p w:rsidR="000C09A0" w:rsidRPr="00BE1578" w:rsidRDefault="000C09A0" w:rsidP="000C09A0">
            <w:pPr>
              <w:spacing w:after="0" w:line="240" w:lineRule="auto"/>
              <w:jc w:val="center"/>
              <w:rPr>
                <w:rFonts w:ascii="Artifex CF Light" w:eastAsia="Times New Roman" w:hAnsi="Artifex CF Light" w:cs="Calibri"/>
                <w:szCs w:val="18"/>
                <w:lang w:eastAsia="es-DO"/>
              </w:rPr>
            </w:pPr>
            <w:r w:rsidRPr="00BE1578">
              <w:rPr>
                <w:rFonts w:ascii="Artifex CF Light" w:eastAsia="Times New Roman" w:hAnsi="Artifex CF Light" w:cs="Calibri"/>
                <w:szCs w:val="18"/>
                <w:lang w:eastAsia="es-DO"/>
              </w:rPr>
              <w:t>346</w:t>
            </w:r>
          </w:p>
        </w:tc>
      </w:tr>
      <w:tr w:rsidR="00BE1578" w:rsidRPr="00BE1578" w:rsidTr="000C09A0">
        <w:trPr>
          <w:trHeight w:val="315"/>
        </w:trPr>
        <w:tc>
          <w:tcPr>
            <w:tcW w:w="3858" w:type="pct"/>
            <w:tcBorders>
              <w:top w:val="nil"/>
              <w:left w:val="single" w:sz="4" w:space="0" w:color="auto"/>
            </w:tcBorders>
            <w:shd w:val="clear" w:color="000000" w:fill="FFFFFF"/>
            <w:noWrap/>
            <w:vAlign w:val="center"/>
            <w:hideMark/>
          </w:tcPr>
          <w:p w:rsidR="000C09A0" w:rsidRPr="00BE1578" w:rsidRDefault="000C09A0" w:rsidP="000C09A0">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eastAsia="es-DO"/>
              </w:rPr>
              <w:t>Obturación amalgama</w:t>
            </w:r>
          </w:p>
        </w:tc>
        <w:tc>
          <w:tcPr>
            <w:tcW w:w="1142" w:type="pct"/>
            <w:tcBorders>
              <w:top w:val="nil"/>
              <w:right w:val="single" w:sz="4" w:space="0" w:color="auto"/>
            </w:tcBorders>
            <w:shd w:val="clear" w:color="000000" w:fill="FFFFFF"/>
            <w:noWrap/>
            <w:vAlign w:val="center"/>
            <w:hideMark/>
          </w:tcPr>
          <w:p w:rsidR="000C09A0" w:rsidRPr="00BE1578" w:rsidRDefault="000C09A0" w:rsidP="000C09A0">
            <w:pPr>
              <w:spacing w:after="0" w:line="240" w:lineRule="auto"/>
              <w:jc w:val="center"/>
              <w:rPr>
                <w:rFonts w:ascii="Artifex CF Light" w:eastAsia="Times New Roman" w:hAnsi="Artifex CF Light" w:cs="Calibri"/>
                <w:szCs w:val="18"/>
                <w:lang w:eastAsia="es-DO"/>
              </w:rPr>
            </w:pPr>
            <w:r w:rsidRPr="00BE1578">
              <w:rPr>
                <w:rFonts w:ascii="Artifex CF Light" w:eastAsia="Times New Roman" w:hAnsi="Artifex CF Light" w:cs="Calibri"/>
                <w:szCs w:val="18"/>
                <w:lang w:eastAsia="es-DO"/>
              </w:rPr>
              <w:t>318</w:t>
            </w:r>
          </w:p>
        </w:tc>
      </w:tr>
      <w:tr w:rsidR="00BE1578" w:rsidRPr="00BE1578" w:rsidTr="000C09A0">
        <w:trPr>
          <w:trHeight w:val="315"/>
        </w:trPr>
        <w:tc>
          <w:tcPr>
            <w:tcW w:w="3858" w:type="pct"/>
            <w:tcBorders>
              <w:top w:val="nil"/>
              <w:left w:val="single" w:sz="4" w:space="0" w:color="auto"/>
            </w:tcBorders>
            <w:shd w:val="clear" w:color="000000" w:fill="FFFFFF"/>
            <w:noWrap/>
            <w:vAlign w:val="center"/>
            <w:hideMark/>
          </w:tcPr>
          <w:p w:rsidR="000C09A0" w:rsidRPr="00BE1578" w:rsidRDefault="000C09A0" w:rsidP="000C09A0">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eastAsia="es-DO"/>
              </w:rPr>
              <w:t>Obturación resina</w:t>
            </w:r>
          </w:p>
        </w:tc>
        <w:tc>
          <w:tcPr>
            <w:tcW w:w="1142" w:type="pct"/>
            <w:tcBorders>
              <w:top w:val="nil"/>
              <w:right w:val="single" w:sz="4" w:space="0" w:color="auto"/>
            </w:tcBorders>
            <w:shd w:val="clear" w:color="000000" w:fill="FFFFFF"/>
            <w:noWrap/>
            <w:vAlign w:val="center"/>
            <w:hideMark/>
          </w:tcPr>
          <w:p w:rsidR="000C09A0" w:rsidRPr="00BE1578" w:rsidRDefault="000C09A0" w:rsidP="000C09A0">
            <w:pPr>
              <w:spacing w:after="0" w:line="240" w:lineRule="auto"/>
              <w:jc w:val="center"/>
              <w:rPr>
                <w:rFonts w:ascii="Artifex CF Light" w:eastAsia="Times New Roman" w:hAnsi="Artifex CF Light" w:cs="Calibri"/>
                <w:szCs w:val="18"/>
                <w:lang w:eastAsia="es-DO"/>
              </w:rPr>
            </w:pPr>
            <w:r w:rsidRPr="00BE1578">
              <w:rPr>
                <w:rFonts w:ascii="Artifex CF Light" w:eastAsia="Times New Roman" w:hAnsi="Artifex CF Light" w:cs="Calibri"/>
                <w:szCs w:val="18"/>
                <w:lang w:eastAsia="es-DO"/>
              </w:rPr>
              <w:t>785</w:t>
            </w:r>
          </w:p>
        </w:tc>
      </w:tr>
      <w:tr w:rsidR="00BE1578" w:rsidRPr="00BE1578" w:rsidTr="000C09A0">
        <w:trPr>
          <w:trHeight w:val="315"/>
        </w:trPr>
        <w:tc>
          <w:tcPr>
            <w:tcW w:w="3858" w:type="pct"/>
            <w:tcBorders>
              <w:top w:val="nil"/>
              <w:left w:val="single" w:sz="4" w:space="0" w:color="auto"/>
            </w:tcBorders>
            <w:shd w:val="clear" w:color="000000" w:fill="FFFFFF"/>
            <w:noWrap/>
            <w:vAlign w:val="center"/>
            <w:hideMark/>
          </w:tcPr>
          <w:p w:rsidR="000C09A0" w:rsidRPr="00BE1578" w:rsidRDefault="000C09A0" w:rsidP="000C09A0">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eastAsia="es-DO"/>
              </w:rPr>
              <w:t>Exodoncia permanentes</w:t>
            </w:r>
          </w:p>
        </w:tc>
        <w:tc>
          <w:tcPr>
            <w:tcW w:w="1142" w:type="pct"/>
            <w:tcBorders>
              <w:top w:val="nil"/>
              <w:right w:val="single" w:sz="4" w:space="0" w:color="auto"/>
            </w:tcBorders>
            <w:shd w:val="clear" w:color="000000" w:fill="FFFFFF"/>
            <w:noWrap/>
            <w:vAlign w:val="center"/>
            <w:hideMark/>
          </w:tcPr>
          <w:p w:rsidR="000C09A0" w:rsidRPr="00BE1578" w:rsidRDefault="000C09A0" w:rsidP="000C09A0">
            <w:pPr>
              <w:spacing w:after="0" w:line="240" w:lineRule="auto"/>
              <w:jc w:val="center"/>
              <w:rPr>
                <w:rFonts w:ascii="Artifex CF Light" w:eastAsia="Times New Roman" w:hAnsi="Artifex CF Light" w:cs="Calibri"/>
                <w:szCs w:val="18"/>
                <w:lang w:eastAsia="es-DO"/>
              </w:rPr>
            </w:pPr>
            <w:r w:rsidRPr="00BE1578">
              <w:rPr>
                <w:rFonts w:ascii="Artifex CF Light" w:eastAsia="Times New Roman" w:hAnsi="Artifex CF Light" w:cs="Calibri"/>
                <w:szCs w:val="18"/>
                <w:lang w:eastAsia="es-DO"/>
              </w:rPr>
              <w:t>100</w:t>
            </w:r>
          </w:p>
        </w:tc>
      </w:tr>
      <w:tr w:rsidR="00BE1578" w:rsidRPr="00BE1578" w:rsidTr="000C09A0">
        <w:trPr>
          <w:trHeight w:val="315"/>
        </w:trPr>
        <w:tc>
          <w:tcPr>
            <w:tcW w:w="3858" w:type="pct"/>
            <w:tcBorders>
              <w:top w:val="nil"/>
              <w:left w:val="single" w:sz="4" w:space="0" w:color="auto"/>
            </w:tcBorders>
            <w:shd w:val="clear" w:color="000000" w:fill="FFFFFF"/>
            <w:noWrap/>
            <w:vAlign w:val="center"/>
            <w:hideMark/>
          </w:tcPr>
          <w:p w:rsidR="000C09A0" w:rsidRPr="00BE1578" w:rsidRDefault="000C09A0" w:rsidP="000C09A0">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eastAsia="es-DO"/>
              </w:rPr>
              <w:t>Exodoncia temporales</w:t>
            </w:r>
          </w:p>
        </w:tc>
        <w:tc>
          <w:tcPr>
            <w:tcW w:w="1142" w:type="pct"/>
            <w:tcBorders>
              <w:top w:val="nil"/>
              <w:right w:val="single" w:sz="4" w:space="0" w:color="auto"/>
            </w:tcBorders>
            <w:shd w:val="clear" w:color="000000" w:fill="FFFFFF"/>
            <w:noWrap/>
            <w:vAlign w:val="center"/>
            <w:hideMark/>
          </w:tcPr>
          <w:p w:rsidR="000C09A0" w:rsidRPr="00BE1578" w:rsidRDefault="000C09A0" w:rsidP="000C09A0">
            <w:pPr>
              <w:spacing w:after="0" w:line="240" w:lineRule="auto"/>
              <w:jc w:val="center"/>
              <w:rPr>
                <w:rFonts w:ascii="Artifex CF Light" w:eastAsia="Times New Roman" w:hAnsi="Artifex CF Light" w:cs="Calibri"/>
                <w:szCs w:val="18"/>
                <w:lang w:eastAsia="es-DO"/>
              </w:rPr>
            </w:pPr>
            <w:r w:rsidRPr="00BE1578">
              <w:rPr>
                <w:rFonts w:ascii="Artifex CF Light" w:eastAsia="Times New Roman" w:hAnsi="Artifex CF Light" w:cs="Calibri"/>
                <w:szCs w:val="18"/>
                <w:lang w:eastAsia="es-DO"/>
              </w:rPr>
              <w:t>1,089</w:t>
            </w:r>
          </w:p>
        </w:tc>
      </w:tr>
      <w:tr w:rsidR="00BE1578" w:rsidRPr="00BE1578" w:rsidTr="000C09A0">
        <w:trPr>
          <w:trHeight w:val="315"/>
        </w:trPr>
        <w:tc>
          <w:tcPr>
            <w:tcW w:w="3858" w:type="pct"/>
            <w:tcBorders>
              <w:top w:val="nil"/>
              <w:left w:val="single" w:sz="4" w:space="0" w:color="auto"/>
            </w:tcBorders>
            <w:shd w:val="clear" w:color="000000" w:fill="FFFFFF"/>
            <w:noWrap/>
            <w:vAlign w:val="center"/>
            <w:hideMark/>
          </w:tcPr>
          <w:p w:rsidR="000C09A0" w:rsidRPr="00BE1578" w:rsidRDefault="000C09A0" w:rsidP="000C09A0">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eastAsia="es-DO"/>
              </w:rPr>
              <w:t>Otros tratamientos</w:t>
            </w:r>
          </w:p>
        </w:tc>
        <w:tc>
          <w:tcPr>
            <w:tcW w:w="1142" w:type="pct"/>
            <w:tcBorders>
              <w:top w:val="nil"/>
              <w:right w:val="single" w:sz="4" w:space="0" w:color="auto"/>
            </w:tcBorders>
            <w:shd w:val="clear" w:color="000000" w:fill="FFFFFF"/>
            <w:noWrap/>
            <w:vAlign w:val="center"/>
            <w:hideMark/>
          </w:tcPr>
          <w:p w:rsidR="000C09A0" w:rsidRPr="00BE1578" w:rsidRDefault="000C09A0" w:rsidP="000C09A0">
            <w:pPr>
              <w:spacing w:after="0" w:line="240" w:lineRule="auto"/>
              <w:jc w:val="center"/>
              <w:rPr>
                <w:rFonts w:ascii="Artifex CF Light" w:eastAsia="Times New Roman" w:hAnsi="Artifex CF Light" w:cs="Calibri"/>
                <w:szCs w:val="18"/>
                <w:lang w:eastAsia="es-DO"/>
              </w:rPr>
            </w:pPr>
            <w:r w:rsidRPr="00BE1578">
              <w:rPr>
                <w:rFonts w:ascii="Artifex CF Light" w:eastAsia="Times New Roman" w:hAnsi="Artifex CF Light" w:cs="Calibri"/>
                <w:szCs w:val="18"/>
                <w:lang w:eastAsia="es-DO"/>
              </w:rPr>
              <w:t>408</w:t>
            </w:r>
          </w:p>
        </w:tc>
      </w:tr>
      <w:tr w:rsidR="00BE1578" w:rsidRPr="00BE1578" w:rsidTr="000C09A0">
        <w:trPr>
          <w:trHeight w:val="315"/>
        </w:trPr>
        <w:tc>
          <w:tcPr>
            <w:tcW w:w="3858" w:type="pct"/>
            <w:tcBorders>
              <w:top w:val="nil"/>
              <w:left w:val="single" w:sz="4" w:space="0" w:color="auto"/>
            </w:tcBorders>
            <w:shd w:val="clear" w:color="000000" w:fill="FFFFFF"/>
            <w:noWrap/>
            <w:vAlign w:val="center"/>
            <w:hideMark/>
          </w:tcPr>
          <w:p w:rsidR="000C09A0" w:rsidRPr="00BE1578" w:rsidRDefault="000C09A0" w:rsidP="000C09A0">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eastAsia="es-DO"/>
              </w:rPr>
              <w:t>Pacientes de alta</w:t>
            </w:r>
          </w:p>
        </w:tc>
        <w:tc>
          <w:tcPr>
            <w:tcW w:w="1142" w:type="pct"/>
            <w:tcBorders>
              <w:top w:val="nil"/>
              <w:right w:val="single" w:sz="4" w:space="0" w:color="auto"/>
            </w:tcBorders>
            <w:shd w:val="clear" w:color="000000" w:fill="FFFFFF"/>
            <w:noWrap/>
            <w:vAlign w:val="center"/>
            <w:hideMark/>
          </w:tcPr>
          <w:p w:rsidR="000C09A0" w:rsidRPr="00BE1578" w:rsidRDefault="000C09A0" w:rsidP="000C09A0">
            <w:pPr>
              <w:spacing w:after="0" w:line="240" w:lineRule="auto"/>
              <w:jc w:val="center"/>
              <w:rPr>
                <w:rFonts w:ascii="Artifex CF Light" w:eastAsia="Times New Roman" w:hAnsi="Artifex CF Light" w:cs="Calibri"/>
                <w:szCs w:val="18"/>
                <w:lang w:eastAsia="es-DO"/>
              </w:rPr>
            </w:pPr>
            <w:r w:rsidRPr="00BE1578">
              <w:rPr>
                <w:rFonts w:ascii="Artifex CF Light" w:eastAsia="Times New Roman" w:hAnsi="Artifex CF Light" w:cs="Calibri"/>
                <w:szCs w:val="18"/>
                <w:lang w:eastAsia="es-DO"/>
              </w:rPr>
              <w:t>1,225</w:t>
            </w:r>
          </w:p>
        </w:tc>
      </w:tr>
      <w:tr w:rsidR="00BE1578" w:rsidRPr="00BE1578" w:rsidTr="000C09A0">
        <w:trPr>
          <w:trHeight w:val="315"/>
        </w:trPr>
        <w:tc>
          <w:tcPr>
            <w:tcW w:w="3858" w:type="pct"/>
            <w:tcBorders>
              <w:top w:val="nil"/>
              <w:left w:val="single" w:sz="4" w:space="0" w:color="auto"/>
              <w:bottom w:val="single" w:sz="4" w:space="0" w:color="auto"/>
            </w:tcBorders>
            <w:shd w:val="clear" w:color="000000" w:fill="FFFFFF"/>
            <w:noWrap/>
            <w:vAlign w:val="center"/>
            <w:hideMark/>
          </w:tcPr>
          <w:p w:rsidR="000C09A0" w:rsidRPr="00BE1578" w:rsidRDefault="000C09A0" w:rsidP="000C09A0">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eastAsia="es-DO"/>
              </w:rPr>
              <w:t>Kits de higiene oral</w:t>
            </w:r>
          </w:p>
        </w:tc>
        <w:tc>
          <w:tcPr>
            <w:tcW w:w="1142" w:type="pct"/>
            <w:tcBorders>
              <w:top w:val="nil"/>
              <w:bottom w:val="single" w:sz="4" w:space="0" w:color="auto"/>
              <w:right w:val="single" w:sz="4" w:space="0" w:color="auto"/>
            </w:tcBorders>
            <w:shd w:val="clear" w:color="000000" w:fill="FFFFFF"/>
            <w:noWrap/>
            <w:vAlign w:val="center"/>
            <w:hideMark/>
          </w:tcPr>
          <w:p w:rsidR="000C09A0" w:rsidRPr="00BE1578" w:rsidRDefault="000C09A0" w:rsidP="000C09A0">
            <w:pPr>
              <w:spacing w:after="0" w:line="240" w:lineRule="auto"/>
              <w:jc w:val="center"/>
              <w:rPr>
                <w:rFonts w:ascii="Artifex CF Light" w:eastAsia="Times New Roman" w:hAnsi="Artifex CF Light" w:cs="Calibri"/>
                <w:szCs w:val="18"/>
                <w:lang w:eastAsia="es-DO"/>
              </w:rPr>
            </w:pPr>
            <w:r w:rsidRPr="00BE1578">
              <w:rPr>
                <w:rFonts w:ascii="Artifex CF Light" w:eastAsia="Times New Roman" w:hAnsi="Artifex CF Light" w:cs="Calibri"/>
                <w:szCs w:val="18"/>
                <w:lang w:eastAsia="es-DO"/>
              </w:rPr>
              <w:t>18,278</w:t>
            </w:r>
          </w:p>
        </w:tc>
      </w:tr>
    </w:tbl>
    <w:p w:rsidR="000C09A0" w:rsidRPr="00BE1578" w:rsidRDefault="000C09A0" w:rsidP="000C09A0">
      <w:pPr>
        <w:spacing w:line="360" w:lineRule="auto"/>
        <w:jc w:val="both"/>
        <w:rPr>
          <w:rFonts w:ascii="Artifex CF Light" w:hAnsi="Artifex CF Light"/>
          <w:szCs w:val="18"/>
        </w:rPr>
      </w:pPr>
      <w:r w:rsidRPr="00BE1578">
        <w:rPr>
          <w:rFonts w:ascii="Artifex CF Light" w:hAnsi="Artifex CF Light"/>
          <w:szCs w:val="18"/>
        </w:rPr>
        <w:t>Fuente: Departamento de Salud.</w:t>
      </w:r>
    </w:p>
    <w:p w:rsidR="000C09A0" w:rsidRPr="00655735" w:rsidRDefault="000C09A0" w:rsidP="00655735">
      <w:pPr>
        <w:spacing w:line="360" w:lineRule="auto"/>
        <w:jc w:val="both"/>
        <w:rPr>
          <w:szCs w:val="18"/>
        </w:rPr>
      </w:pPr>
      <w:r w:rsidRPr="00655735">
        <w:rPr>
          <w:szCs w:val="18"/>
        </w:rPr>
        <w:t xml:space="preserve">Este impacto se logró a través de jornadas de instrucción de higiene oral, espacios Cero Caries y cepillado supervisado, organizados por la División de Salud Bucal del INABIE, en los Centros Educativos de las Regionales Barahona 01, Azua 03, San Cristóbal 04, San Pedro 05, La Vega 06, San Francisco 07, Santiago 08, Mao 09, Santo Domingo 10, </w:t>
      </w:r>
      <w:proofErr w:type="spellStart"/>
      <w:r w:rsidRPr="00655735">
        <w:rPr>
          <w:szCs w:val="18"/>
        </w:rPr>
        <w:t>Higüey</w:t>
      </w:r>
      <w:proofErr w:type="spellEnd"/>
      <w:r w:rsidRPr="00655735">
        <w:rPr>
          <w:szCs w:val="18"/>
        </w:rPr>
        <w:t xml:space="preserve"> 12, Maria Trinidad Sánchez 14, Santo Domingo 15, </w:t>
      </w:r>
      <w:proofErr w:type="spellStart"/>
      <w:r w:rsidRPr="00655735">
        <w:rPr>
          <w:szCs w:val="18"/>
        </w:rPr>
        <w:t>Cotuí</w:t>
      </w:r>
      <w:proofErr w:type="spellEnd"/>
      <w:r w:rsidRPr="00655735">
        <w:rPr>
          <w:szCs w:val="18"/>
        </w:rPr>
        <w:t xml:space="preserve"> 16.</w:t>
      </w:r>
    </w:p>
    <w:p w:rsidR="000C09A0" w:rsidRPr="00655735" w:rsidRDefault="000C09A0" w:rsidP="00655735">
      <w:pPr>
        <w:spacing w:line="360" w:lineRule="auto"/>
        <w:jc w:val="both"/>
        <w:rPr>
          <w:szCs w:val="18"/>
        </w:rPr>
      </w:pPr>
      <w:r w:rsidRPr="00655735">
        <w:rPr>
          <w:szCs w:val="18"/>
        </w:rPr>
        <w:t>En la Regional Educativa 08 Santiago, se realizaron con el apoyo de la Fundación Divino Niño a través del proyecto “</w:t>
      </w:r>
      <w:r w:rsidRPr="00655735">
        <w:rPr>
          <w:i/>
          <w:szCs w:val="18"/>
        </w:rPr>
        <w:t>Asistencia odontológica y oftalmológica a niños de edad escolar de la Regional de Educación Santiago 08</w:t>
      </w:r>
      <w:r w:rsidRPr="00655735">
        <w:rPr>
          <w:szCs w:val="18"/>
        </w:rPr>
        <w:t>”</w:t>
      </w:r>
    </w:p>
    <w:p w:rsidR="000C09A0" w:rsidRPr="00A83CEF" w:rsidRDefault="000C09A0" w:rsidP="00BE1578">
      <w:pPr>
        <w:pStyle w:val="Heading4"/>
      </w:pPr>
      <w:r w:rsidRPr="00A83CEF">
        <w:t>Salud Visual</w:t>
      </w:r>
      <w:bookmarkEnd w:id="54"/>
    </w:p>
    <w:p w:rsidR="000C09A0" w:rsidRPr="00655735" w:rsidRDefault="000C09A0" w:rsidP="00655735">
      <w:pPr>
        <w:spacing w:line="360" w:lineRule="auto"/>
        <w:jc w:val="both"/>
        <w:rPr>
          <w:szCs w:val="18"/>
        </w:rPr>
      </w:pPr>
      <w:r w:rsidRPr="00655735">
        <w:rPr>
          <w:szCs w:val="18"/>
        </w:rPr>
        <w:t>A través de los servicios de Salud Visual se ha atendido 1,762 estudiantes en el año 2020, estos servicios inciden directamente en garantizar el aprendizaje de los niños y niñas, ya que los impedimentos y defectos auditivos y visuales no detectados o no atendidos adecuadamente disminuye la capacidad de aprendizaje y la autoestima del estudiante afectado</w:t>
      </w:r>
    </w:p>
    <w:p w:rsidR="000C09A0" w:rsidRPr="00655735" w:rsidRDefault="000C09A0" w:rsidP="00655735">
      <w:pPr>
        <w:spacing w:line="360" w:lineRule="auto"/>
        <w:jc w:val="both"/>
        <w:rPr>
          <w:szCs w:val="18"/>
        </w:rPr>
      </w:pPr>
      <w:r w:rsidRPr="00655735">
        <w:rPr>
          <w:szCs w:val="18"/>
        </w:rPr>
        <w:lastRenderedPageBreak/>
        <w:t xml:space="preserve">A través de los servicios de Salud Visual, 920 estudiantes prescritos con lentes donados por el INABIE. </w:t>
      </w:r>
    </w:p>
    <w:p w:rsidR="000C09A0" w:rsidRPr="00655735" w:rsidRDefault="000C09A0" w:rsidP="00655735">
      <w:pPr>
        <w:spacing w:line="360" w:lineRule="auto"/>
        <w:jc w:val="both"/>
        <w:rPr>
          <w:szCs w:val="18"/>
        </w:rPr>
      </w:pPr>
      <w:r w:rsidRPr="00655735">
        <w:rPr>
          <w:szCs w:val="18"/>
        </w:rPr>
        <w:t>En lo relativo a las intervenciones quirúrgicas, se evidencia una sub-ejecución de esta actividad debido a la pandemia del Covid-19, ya que los hospitales donde se realizan las cirugías fueron ocupados por los pacientes positivos a coronavirus.</w:t>
      </w:r>
    </w:p>
    <w:p w:rsidR="000C09A0" w:rsidRPr="00BE1578" w:rsidRDefault="00C760E5" w:rsidP="000C09A0">
      <w:pPr>
        <w:pStyle w:val="Caption"/>
        <w:spacing w:after="0"/>
        <w:jc w:val="center"/>
        <w:rPr>
          <w:rFonts w:ascii="Artifex CF Light" w:hAnsi="Artifex CF Light"/>
          <w:b/>
          <w:i w:val="0"/>
          <w:color w:val="1F4E79"/>
        </w:rPr>
      </w:pPr>
      <w:r w:rsidRPr="00BE1578">
        <w:rPr>
          <w:rFonts w:ascii="Artifex CF Light" w:hAnsi="Artifex CF Light"/>
          <w:b/>
          <w:i w:val="0"/>
          <w:color w:val="1F4E79"/>
        </w:rPr>
        <w:t>Tabla 11</w:t>
      </w:r>
      <w:r w:rsidR="000C09A0" w:rsidRPr="00BE1578">
        <w:rPr>
          <w:rFonts w:ascii="Artifex CF Light" w:hAnsi="Artifex CF Light"/>
          <w:b/>
          <w:i w:val="0"/>
          <w:color w:val="1F4E79"/>
        </w:rPr>
        <w:t xml:space="preserve">. Beneficiarios Evaluados y Prescriptos en el Salud Visual, </w:t>
      </w:r>
      <w:r w:rsidR="00B3725E" w:rsidRPr="00BE1578">
        <w:rPr>
          <w:rFonts w:ascii="Artifex CF Light" w:hAnsi="Artifex CF Light"/>
          <w:b/>
          <w:i w:val="0"/>
          <w:color w:val="1F4E79"/>
        </w:rPr>
        <w:t>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0"/>
        <w:gridCol w:w="3260"/>
      </w:tblGrid>
      <w:tr w:rsidR="00BE1578" w:rsidRPr="00BE1578" w:rsidTr="00ED4884">
        <w:trPr>
          <w:trHeight w:val="645"/>
        </w:trPr>
        <w:tc>
          <w:tcPr>
            <w:tcW w:w="2942" w:type="pct"/>
            <w:shd w:val="clear" w:color="000000" w:fill="1F4E79"/>
            <w:vAlign w:val="center"/>
            <w:hideMark/>
          </w:tcPr>
          <w:p w:rsidR="000C09A0" w:rsidRPr="00ED4884" w:rsidRDefault="000C09A0" w:rsidP="000C09A0">
            <w:pPr>
              <w:spacing w:after="0" w:line="240" w:lineRule="auto"/>
              <w:jc w:val="center"/>
              <w:rPr>
                <w:rFonts w:ascii="Artifex CF Light" w:eastAsia="Times New Roman" w:hAnsi="Artifex CF Light"/>
                <w:b/>
                <w:bCs/>
                <w:color w:val="FFFFFF" w:themeColor="background1"/>
                <w:szCs w:val="18"/>
                <w:lang w:eastAsia="es-DO"/>
              </w:rPr>
            </w:pPr>
            <w:r w:rsidRPr="00ED4884">
              <w:rPr>
                <w:rFonts w:ascii="Artifex CF Light" w:eastAsia="Times New Roman" w:hAnsi="Artifex CF Light"/>
                <w:b/>
                <w:bCs/>
                <w:color w:val="FFFFFF" w:themeColor="background1"/>
                <w:szCs w:val="18"/>
                <w:lang w:val="es-ES" w:eastAsia="es-DO"/>
              </w:rPr>
              <w:t>Servicios de Salud Visual</w:t>
            </w:r>
          </w:p>
        </w:tc>
        <w:tc>
          <w:tcPr>
            <w:tcW w:w="2058" w:type="pct"/>
            <w:shd w:val="clear" w:color="000000" w:fill="1F4E79"/>
            <w:noWrap/>
            <w:vAlign w:val="center"/>
            <w:hideMark/>
          </w:tcPr>
          <w:p w:rsidR="000C09A0" w:rsidRPr="00ED4884" w:rsidRDefault="000C09A0" w:rsidP="000C09A0">
            <w:pPr>
              <w:spacing w:after="0" w:line="240" w:lineRule="auto"/>
              <w:jc w:val="center"/>
              <w:rPr>
                <w:rFonts w:ascii="Artifex CF Light" w:eastAsia="Times New Roman" w:hAnsi="Artifex CF Light"/>
                <w:b/>
                <w:bCs/>
                <w:color w:val="FFFFFF" w:themeColor="background1"/>
                <w:szCs w:val="18"/>
                <w:lang w:eastAsia="es-DO"/>
              </w:rPr>
            </w:pPr>
            <w:r w:rsidRPr="00ED4884">
              <w:rPr>
                <w:rFonts w:ascii="Artifex CF Light" w:eastAsia="Times New Roman" w:hAnsi="Artifex CF Light"/>
                <w:b/>
                <w:bCs/>
                <w:color w:val="FFFFFF" w:themeColor="background1"/>
                <w:szCs w:val="18"/>
                <w:lang w:val="es-ES" w:eastAsia="es-DO"/>
              </w:rPr>
              <w:t>Ejecución</w:t>
            </w:r>
          </w:p>
        </w:tc>
      </w:tr>
      <w:tr w:rsidR="00BE1578" w:rsidRPr="00BE1578" w:rsidTr="00ED4884">
        <w:trPr>
          <w:trHeight w:val="330"/>
        </w:trPr>
        <w:tc>
          <w:tcPr>
            <w:tcW w:w="2942" w:type="pct"/>
            <w:shd w:val="clear" w:color="auto" w:fill="auto"/>
            <w:vAlign w:val="center"/>
            <w:hideMark/>
          </w:tcPr>
          <w:p w:rsidR="000C09A0" w:rsidRPr="00BE1578" w:rsidRDefault="000C09A0" w:rsidP="000C09A0">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val="es-ES" w:eastAsia="es-DO"/>
              </w:rPr>
              <w:t>Evaluaciones visuales</w:t>
            </w:r>
          </w:p>
        </w:tc>
        <w:tc>
          <w:tcPr>
            <w:tcW w:w="2058" w:type="pct"/>
            <w:shd w:val="clear" w:color="auto" w:fill="auto"/>
            <w:noWrap/>
            <w:vAlign w:val="center"/>
            <w:hideMark/>
          </w:tcPr>
          <w:p w:rsidR="000C09A0" w:rsidRPr="00BE1578" w:rsidRDefault="000C09A0" w:rsidP="000C09A0">
            <w:pPr>
              <w:spacing w:after="0" w:line="240" w:lineRule="auto"/>
              <w:jc w:val="right"/>
              <w:rPr>
                <w:rFonts w:ascii="Artifex CF Light" w:eastAsia="Times New Roman" w:hAnsi="Artifex CF Light"/>
                <w:szCs w:val="18"/>
                <w:lang w:eastAsia="es-DO"/>
              </w:rPr>
            </w:pPr>
            <w:r w:rsidRPr="00BE1578">
              <w:rPr>
                <w:rFonts w:ascii="Artifex CF Light" w:eastAsia="Times New Roman" w:hAnsi="Artifex CF Light"/>
                <w:szCs w:val="18"/>
                <w:lang w:eastAsia="es-DO"/>
              </w:rPr>
              <w:t>680</w:t>
            </w:r>
          </w:p>
        </w:tc>
      </w:tr>
      <w:tr w:rsidR="00BE1578" w:rsidRPr="00BE1578" w:rsidTr="00ED4884">
        <w:trPr>
          <w:trHeight w:val="330"/>
        </w:trPr>
        <w:tc>
          <w:tcPr>
            <w:tcW w:w="2942" w:type="pct"/>
            <w:shd w:val="clear" w:color="auto" w:fill="auto"/>
            <w:vAlign w:val="center"/>
            <w:hideMark/>
          </w:tcPr>
          <w:p w:rsidR="000C09A0" w:rsidRPr="00BE1578" w:rsidRDefault="000C09A0" w:rsidP="000C09A0">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val="es-ES" w:eastAsia="es-DO"/>
              </w:rPr>
              <w:t>Entrega de lentes</w:t>
            </w:r>
          </w:p>
        </w:tc>
        <w:tc>
          <w:tcPr>
            <w:tcW w:w="2058" w:type="pct"/>
            <w:shd w:val="clear" w:color="auto" w:fill="auto"/>
            <w:noWrap/>
            <w:vAlign w:val="center"/>
            <w:hideMark/>
          </w:tcPr>
          <w:p w:rsidR="000C09A0" w:rsidRPr="00BE1578" w:rsidRDefault="000C09A0" w:rsidP="000C09A0">
            <w:pPr>
              <w:spacing w:after="0" w:line="240" w:lineRule="auto"/>
              <w:jc w:val="right"/>
              <w:rPr>
                <w:rFonts w:ascii="Artifex CF Light" w:eastAsia="Times New Roman" w:hAnsi="Artifex CF Light"/>
                <w:szCs w:val="18"/>
                <w:lang w:eastAsia="es-DO"/>
              </w:rPr>
            </w:pPr>
            <w:r w:rsidRPr="00BE1578">
              <w:rPr>
                <w:rFonts w:ascii="Artifex CF Light" w:eastAsia="Times New Roman" w:hAnsi="Artifex CF Light"/>
                <w:szCs w:val="18"/>
                <w:lang w:eastAsia="es-DO"/>
              </w:rPr>
              <w:t>920</w:t>
            </w:r>
          </w:p>
        </w:tc>
      </w:tr>
      <w:tr w:rsidR="00BE1578" w:rsidRPr="00BE1578" w:rsidTr="00ED4884">
        <w:trPr>
          <w:trHeight w:val="339"/>
        </w:trPr>
        <w:tc>
          <w:tcPr>
            <w:tcW w:w="2942" w:type="pct"/>
            <w:shd w:val="clear" w:color="auto" w:fill="auto"/>
            <w:vAlign w:val="center"/>
            <w:hideMark/>
          </w:tcPr>
          <w:p w:rsidR="000C09A0" w:rsidRPr="00BE1578" w:rsidRDefault="000C09A0" w:rsidP="000C09A0">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val="es-ES" w:eastAsia="es-DO"/>
              </w:rPr>
              <w:t>Intervenciones quirúrgicas</w:t>
            </w:r>
          </w:p>
        </w:tc>
        <w:tc>
          <w:tcPr>
            <w:tcW w:w="2058" w:type="pct"/>
            <w:shd w:val="clear" w:color="auto" w:fill="auto"/>
            <w:noWrap/>
            <w:vAlign w:val="bottom"/>
            <w:hideMark/>
          </w:tcPr>
          <w:p w:rsidR="000C09A0" w:rsidRPr="00BE1578" w:rsidRDefault="000C09A0" w:rsidP="000C09A0">
            <w:pPr>
              <w:spacing w:after="0" w:line="240" w:lineRule="auto"/>
              <w:jc w:val="right"/>
              <w:rPr>
                <w:rFonts w:ascii="Artifex CF Light" w:eastAsia="Times New Roman" w:hAnsi="Artifex CF Light" w:cs="Calibri"/>
                <w:szCs w:val="18"/>
                <w:lang w:eastAsia="es-DO"/>
              </w:rPr>
            </w:pPr>
            <w:r w:rsidRPr="00BE1578">
              <w:rPr>
                <w:rFonts w:ascii="Artifex CF Light" w:eastAsia="Times New Roman" w:hAnsi="Artifex CF Light" w:cs="Calibri"/>
                <w:szCs w:val="18"/>
                <w:lang w:eastAsia="es-DO"/>
              </w:rPr>
              <w:t>0</w:t>
            </w:r>
          </w:p>
        </w:tc>
      </w:tr>
    </w:tbl>
    <w:p w:rsidR="000C09A0" w:rsidRPr="00BE1578" w:rsidRDefault="000C09A0" w:rsidP="000C09A0">
      <w:pPr>
        <w:pStyle w:val="Caption"/>
        <w:spacing w:after="0"/>
        <w:rPr>
          <w:rFonts w:ascii="Artifex CF Light" w:hAnsi="Artifex CF Light"/>
          <w:b/>
          <w:i w:val="0"/>
          <w:color w:val="1F4E79"/>
        </w:rPr>
      </w:pPr>
      <w:r w:rsidRPr="00BE1578">
        <w:rPr>
          <w:rFonts w:ascii="Artifex CF Light" w:hAnsi="Artifex CF Light"/>
          <w:i w:val="0"/>
          <w:color w:val="1F4E79"/>
        </w:rPr>
        <w:t xml:space="preserve"> Fuente: Reporte  de monitoreo del POA.</w:t>
      </w:r>
    </w:p>
    <w:p w:rsidR="000C09A0" w:rsidRPr="00A83CEF" w:rsidRDefault="000C09A0" w:rsidP="00BE1578">
      <w:pPr>
        <w:pStyle w:val="Heading4"/>
      </w:pPr>
      <w:r w:rsidRPr="00A83CEF">
        <w:t>Salud Auditiva</w:t>
      </w:r>
      <w:bookmarkEnd w:id="55"/>
    </w:p>
    <w:p w:rsidR="000C09A0" w:rsidRPr="00BE1578" w:rsidRDefault="000C09A0" w:rsidP="00655735">
      <w:pPr>
        <w:spacing w:line="360" w:lineRule="auto"/>
        <w:jc w:val="both"/>
        <w:rPr>
          <w:szCs w:val="18"/>
        </w:rPr>
      </w:pPr>
      <w:r w:rsidRPr="00BE1578">
        <w:rPr>
          <w:szCs w:val="18"/>
        </w:rPr>
        <w:t xml:space="preserve">Contempló actividades de prevención, promoción de la salud auditiva y atención a escolares que requerían ser diagnosticados por padecimientos que afectaban su audición y garantizar su posterior rehabilitación a través la adaptación de auxiliares auditivos y/o intervenciones quirúrgicas. </w:t>
      </w:r>
    </w:p>
    <w:p w:rsidR="000C09A0" w:rsidRPr="00BE1578" w:rsidRDefault="000C09A0" w:rsidP="00655735">
      <w:pPr>
        <w:spacing w:line="360" w:lineRule="auto"/>
        <w:jc w:val="both"/>
        <w:rPr>
          <w:szCs w:val="18"/>
          <w:lang w:val="es-ES"/>
        </w:rPr>
      </w:pPr>
      <w:r w:rsidRPr="00BE1578">
        <w:rPr>
          <w:szCs w:val="18"/>
        </w:rPr>
        <w:t xml:space="preserve">90,000 estudiantes fueron intervenidos por salud audiológicas, al ser orientados en preservación del órgano auditivo. 1,024 estudiantes fueron evaluados y tratados, 397 estudiantes rehabilitados y 27 adaptados con sus auxiliares auditivos. </w:t>
      </w:r>
    </w:p>
    <w:p w:rsidR="000C09A0" w:rsidRPr="00BE1578" w:rsidRDefault="00C760E5" w:rsidP="000C09A0">
      <w:pPr>
        <w:pStyle w:val="Caption"/>
        <w:spacing w:after="0"/>
        <w:jc w:val="center"/>
        <w:rPr>
          <w:rFonts w:ascii="Artifex CF Light" w:hAnsi="Artifex CF Light"/>
          <w:b/>
          <w:i w:val="0"/>
          <w:color w:val="1F4E79"/>
        </w:rPr>
      </w:pPr>
      <w:r w:rsidRPr="00BE1578">
        <w:rPr>
          <w:rFonts w:ascii="Artifex CF Light" w:hAnsi="Artifex CF Light"/>
          <w:b/>
          <w:i w:val="0"/>
          <w:color w:val="1F4E79"/>
        </w:rPr>
        <w:t>Tabla 12</w:t>
      </w:r>
      <w:r w:rsidR="000C09A0" w:rsidRPr="00BE1578">
        <w:rPr>
          <w:rFonts w:ascii="Artifex CF Light" w:hAnsi="Artifex CF Light"/>
          <w:b/>
          <w:i w:val="0"/>
          <w:color w:val="1F4E79"/>
        </w:rPr>
        <w:t>. Beneficiarios según Género de Salud Auditiva, 2018</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9"/>
        <w:gridCol w:w="2911"/>
      </w:tblGrid>
      <w:tr w:rsidR="00BE1578" w:rsidRPr="00BE1578" w:rsidTr="00ED4884">
        <w:trPr>
          <w:trHeight w:val="454"/>
        </w:trPr>
        <w:tc>
          <w:tcPr>
            <w:tcW w:w="3162" w:type="pct"/>
            <w:shd w:val="clear" w:color="auto" w:fill="1F4E79"/>
            <w:vAlign w:val="center"/>
            <w:hideMark/>
          </w:tcPr>
          <w:p w:rsidR="000C09A0" w:rsidRPr="00BE1578" w:rsidRDefault="000C09A0" w:rsidP="00ED4884">
            <w:pPr>
              <w:spacing w:after="0" w:line="240" w:lineRule="auto"/>
              <w:rPr>
                <w:rFonts w:ascii="Artifex CF Light" w:eastAsia="Times New Roman" w:hAnsi="Artifex CF Light"/>
                <w:b/>
                <w:bCs/>
                <w:color w:val="FFFFFF" w:themeColor="background1"/>
                <w:szCs w:val="18"/>
                <w:lang w:eastAsia="es-DO"/>
              </w:rPr>
            </w:pPr>
            <w:r w:rsidRPr="00BE1578">
              <w:rPr>
                <w:rFonts w:ascii="Artifex CF Light" w:eastAsia="Times New Roman" w:hAnsi="Artifex CF Light"/>
                <w:b/>
                <w:bCs/>
                <w:color w:val="FFFFFF" w:themeColor="background1"/>
                <w:szCs w:val="18"/>
                <w:lang w:val="es-ES" w:eastAsia="es-DO"/>
              </w:rPr>
              <w:t>Servicios de Salud Auditiva</w:t>
            </w:r>
          </w:p>
        </w:tc>
        <w:tc>
          <w:tcPr>
            <w:tcW w:w="1838" w:type="pct"/>
            <w:shd w:val="clear" w:color="auto" w:fill="1F4E79"/>
            <w:noWrap/>
            <w:vAlign w:val="center"/>
            <w:hideMark/>
          </w:tcPr>
          <w:p w:rsidR="000C09A0" w:rsidRPr="00BE1578" w:rsidRDefault="000C09A0" w:rsidP="00ED4884">
            <w:pPr>
              <w:spacing w:after="0" w:line="240" w:lineRule="auto"/>
              <w:jc w:val="center"/>
              <w:rPr>
                <w:rFonts w:ascii="Artifex CF Light" w:eastAsia="Times New Roman" w:hAnsi="Artifex CF Light"/>
                <w:b/>
                <w:bCs/>
                <w:color w:val="FFFFFF" w:themeColor="background1"/>
                <w:szCs w:val="18"/>
                <w:lang w:eastAsia="es-DO"/>
              </w:rPr>
            </w:pPr>
            <w:r w:rsidRPr="00BE1578">
              <w:rPr>
                <w:rFonts w:ascii="Artifex CF Light" w:eastAsia="Times New Roman" w:hAnsi="Artifex CF Light"/>
                <w:b/>
                <w:bCs/>
                <w:color w:val="FFFFFF" w:themeColor="background1"/>
                <w:szCs w:val="18"/>
                <w:lang w:val="es-ES" w:eastAsia="es-DO"/>
              </w:rPr>
              <w:t xml:space="preserve">Ejecutado </w:t>
            </w:r>
          </w:p>
        </w:tc>
      </w:tr>
      <w:tr w:rsidR="00BE1578" w:rsidRPr="00BE1578" w:rsidTr="00ED4884">
        <w:trPr>
          <w:trHeight w:val="397"/>
        </w:trPr>
        <w:tc>
          <w:tcPr>
            <w:tcW w:w="3162" w:type="pct"/>
            <w:shd w:val="clear" w:color="auto" w:fill="auto"/>
            <w:vAlign w:val="center"/>
            <w:hideMark/>
          </w:tcPr>
          <w:p w:rsidR="000C09A0" w:rsidRPr="00BE1578" w:rsidRDefault="000C09A0" w:rsidP="00ED4884">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val="es-ES" w:eastAsia="es-DO"/>
              </w:rPr>
              <w:t>Estudiantes orientados</w:t>
            </w:r>
          </w:p>
        </w:tc>
        <w:tc>
          <w:tcPr>
            <w:tcW w:w="1838" w:type="pct"/>
            <w:shd w:val="clear" w:color="auto" w:fill="auto"/>
            <w:noWrap/>
            <w:vAlign w:val="center"/>
            <w:hideMark/>
          </w:tcPr>
          <w:p w:rsidR="000C09A0" w:rsidRPr="00BE1578" w:rsidRDefault="000C09A0" w:rsidP="00ED4884">
            <w:pPr>
              <w:spacing w:after="0" w:line="240" w:lineRule="auto"/>
              <w:jc w:val="right"/>
              <w:rPr>
                <w:rFonts w:ascii="Artifex CF Light" w:eastAsia="Times New Roman" w:hAnsi="Artifex CF Light"/>
                <w:szCs w:val="18"/>
                <w:lang w:eastAsia="es-DO"/>
              </w:rPr>
            </w:pPr>
            <w:r w:rsidRPr="00BE1578">
              <w:rPr>
                <w:rFonts w:ascii="Artifex CF Light" w:eastAsia="Times New Roman" w:hAnsi="Artifex CF Light"/>
                <w:szCs w:val="18"/>
                <w:lang w:eastAsia="es-DO"/>
              </w:rPr>
              <w:t>90,000</w:t>
            </w:r>
          </w:p>
        </w:tc>
      </w:tr>
      <w:tr w:rsidR="00BE1578" w:rsidRPr="00BE1578" w:rsidTr="00ED4884">
        <w:trPr>
          <w:trHeight w:val="397"/>
        </w:trPr>
        <w:tc>
          <w:tcPr>
            <w:tcW w:w="3162" w:type="pct"/>
            <w:shd w:val="clear" w:color="auto" w:fill="auto"/>
            <w:vAlign w:val="center"/>
            <w:hideMark/>
          </w:tcPr>
          <w:p w:rsidR="000C09A0" w:rsidRPr="00BE1578" w:rsidRDefault="000C09A0" w:rsidP="00ED4884">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val="es-ES" w:eastAsia="es-DO"/>
              </w:rPr>
              <w:t>Estudiantes evaluados y tratados</w:t>
            </w:r>
          </w:p>
        </w:tc>
        <w:tc>
          <w:tcPr>
            <w:tcW w:w="1838" w:type="pct"/>
            <w:shd w:val="clear" w:color="auto" w:fill="auto"/>
            <w:noWrap/>
            <w:vAlign w:val="center"/>
            <w:hideMark/>
          </w:tcPr>
          <w:p w:rsidR="000C09A0" w:rsidRPr="00BE1578" w:rsidRDefault="000C09A0" w:rsidP="00ED4884">
            <w:pPr>
              <w:spacing w:after="0" w:line="240" w:lineRule="auto"/>
              <w:jc w:val="right"/>
              <w:rPr>
                <w:rFonts w:ascii="Artifex CF Light" w:eastAsia="Times New Roman" w:hAnsi="Artifex CF Light"/>
                <w:szCs w:val="18"/>
                <w:lang w:eastAsia="es-DO"/>
              </w:rPr>
            </w:pPr>
            <w:r w:rsidRPr="00BE1578">
              <w:rPr>
                <w:rFonts w:ascii="Artifex CF Light" w:eastAsia="Times New Roman" w:hAnsi="Artifex CF Light"/>
                <w:szCs w:val="18"/>
                <w:lang w:val="es-ES" w:eastAsia="es-DO"/>
              </w:rPr>
              <w:t>1,024</w:t>
            </w:r>
          </w:p>
        </w:tc>
      </w:tr>
      <w:tr w:rsidR="00BE1578" w:rsidRPr="00BE1578" w:rsidTr="00ED4884">
        <w:trPr>
          <w:trHeight w:val="397"/>
        </w:trPr>
        <w:tc>
          <w:tcPr>
            <w:tcW w:w="3162" w:type="pct"/>
            <w:shd w:val="clear" w:color="auto" w:fill="auto"/>
            <w:vAlign w:val="center"/>
            <w:hideMark/>
          </w:tcPr>
          <w:p w:rsidR="000C09A0" w:rsidRPr="00BE1578" w:rsidRDefault="000C09A0" w:rsidP="00ED4884">
            <w:pPr>
              <w:spacing w:after="0" w:line="240" w:lineRule="auto"/>
              <w:rPr>
                <w:rFonts w:ascii="Artifex CF Light" w:eastAsia="Times New Roman" w:hAnsi="Artifex CF Light"/>
                <w:szCs w:val="18"/>
                <w:lang w:eastAsia="es-DO"/>
              </w:rPr>
            </w:pPr>
            <w:r w:rsidRPr="00BE1578">
              <w:rPr>
                <w:rFonts w:ascii="Artifex CF Light" w:eastAsia="Times New Roman" w:hAnsi="Artifex CF Light"/>
                <w:szCs w:val="18"/>
                <w:lang w:val="es-ES" w:eastAsia="es-DO"/>
              </w:rPr>
              <w:t>Rehabilitación y adaptación de auxiliares auditivos</w:t>
            </w:r>
          </w:p>
        </w:tc>
        <w:tc>
          <w:tcPr>
            <w:tcW w:w="1838" w:type="pct"/>
            <w:shd w:val="clear" w:color="auto" w:fill="auto"/>
            <w:noWrap/>
            <w:vAlign w:val="center"/>
            <w:hideMark/>
          </w:tcPr>
          <w:p w:rsidR="000C09A0" w:rsidRPr="00BE1578" w:rsidRDefault="000C09A0" w:rsidP="00ED4884">
            <w:pPr>
              <w:spacing w:after="0" w:line="240" w:lineRule="auto"/>
              <w:jc w:val="right"/>
              <w:rPr>
                <w:rFonts w:ascii="Artifex CF Light" w:eastAsia="Times New Roman" w:hAnsi="Artifex CF Light"/>
                <w:szCs w:val="18"/>
                <w:lang w:eastAsia="es-DO"/>
              </w:rPr>
            </w:pPr>
            <w:r w:rsidRPr="00BE1578">
              <w:rPr>
                <w:rFonts w:ascii="Artifex CF Light" w:eastAsia="Times New Roman" w:hAnsi="Artifex CF Light"/>
                <w:szCs w:val="18"/>
                <w:lang w:val="es-ES" w:eastAsia="es-DO"/>
              </w:rPr>
              <w:t>397</w:t>
            </w:r>
          </w:p>
        </w:tc>
      </w:tr>
    </w:tbl>
    <w:p w:rsidR="000C09A0" w:rsidRDefault="000C09A0" w:rsidP="000C09A0">
      <w:pPr>
        <w:spacing w:line="360" w:lineRule="auto"/>
        <w:jc w:val="both"/>
        <w:rPr>
          <w:rFonts w:ascii="Artifex CF Light" w:hAnsi="Artifex CF Light"/>
          <w:szCs w:val="18"/>
          <w:lang w:val="es-ES"/>
        </w:rPr>
      </w:pPr>
      <w:r w:rsidRPr="00BE1578">
        <w:rPr>
          <w:rFonts w:ascii="Artifex CF Light" w:hAnsi="Artifex CF Light"/>
          <w:szCs w:val="18"/>
          <w:lang w:val="es-ES"/>
        </w:rPr>
        <w:t xml:space="preserve">Fuente: Registros de participantes.             </w:t>
      </w:r>
    </w:p>
    <w:p w:rsidR="00284B8D" w:rsidRPr="00BE1578" w:rsidRDefault="00284B8D" w:rsidP="000C09A0">
      <w:pPr>
        <w:spacing w:line="360" w:lineRule="auto"/>
        <w:jc w:val="both"/>
        <w:rPr>
          <w:rFonts w:ascii="Artifex CF Light" w:hAnsi="Artifex CF Light"/>
          <w:szCs w:val="18"/>
          <w:lang w:val="es-ES"/>
        </w:rPr>
      </w:pPr>
    </w:p>
    <w:p w:rsidR="000C09A0" w:rsidRPr="00CE45DB" w:rsidRDefault="000C09A0" w:rsidP="00794412">
      <w:pPr>
        <w:pStyle w:val="Heading2"/>
        <w:numPr>
          <w:ilvl w:val="1"/>
          <w:numId w:val="18"/>
        </w:numPr>
      </w:pPr>
      <w:bookmarkStart w:id="56" w:name="_Toc56366567"/>
      <w:bookmarkStart w:id="57" w:name="_Toc58597554"/>
      <w:r w:rsidRPr="00CE45DB">
        <w:t>PROGRAMA DE SERVICIOS SOCIALES ESTUDIANTILES</w:t>
      </w:r>
      <w:bookmarkEnd w:id="56"/>
      <w:bookmarkEnd w:id="57"/>
      <w:r w:rsidRPr="00CE45DB">
        <w:t xml:space="preserve"> </w:t>
      </w:r>
    </w:p>
    <w:p w:rsidR="000C09A0" w:rsidRPr="00BE1578" w:rsidRDefault="000C09A0" w:rsidP="00655735">
      <w:pPr>
        <w:spacing w:line="360" w:lineRule="auto"/>
        <w:jc w:val="both"/>
        <w:rPr>
          <w:szCs w:val="18"/>
          <w:shd w:val="clear" w:color="auto" w:fill="FFFFFF"/>
        </w:rPr>
      </w:pPr>
      <w:r w:rsidRPr="00BE1578">
        <w:rPr>
          <w:szCs w:val="18"/>
          <w:shd w:val="clear" w:color="auto" w:fill="FFFFFF"/>
        </w:rPr>
        <w:t>El Programa de Servicios Sociales tiene como propósito garantizar el acceso a servicios de apoyo que impulsen mejoras en las condiciones socio-educativas de los niños y adolescentes, para su permanencia en el sistema educativo y mejora del rendimiento escolar. A través de este programa se ofrece servicios de asistencia a estudiantes en situación de vulnerabilidad, becas, Utilería Escolar, actividades de extensión cultural y fomento de la cultura cooperativista en los centros educativos a través de la creación de las cooperativas escolares.</w:t>
      </w:r>
    </w:p>
    <w:p w:rsidR="000C09A0" w:rsidRPr="00A83CEF" w:rsidRDefault="000C09A0" w:rsidP="00BE1578">
      <w:pPr>
        <w:pStyle w:val="Heading4"/>
      </w:pPr>
      <w:r w:rsidRPr="00A83CEF">
        <w:lastRenderedPageBreak/>
        <w:t>Uniformes y Útiles Escolares</w:t>
      </w:r>
    </w:p>
    <w:p w:rsidR="000C09A0" w:rsidRPr="00BE1578" w:rsidRDefault="00EC105B" w:rsidP="00655735">
      <w:pPr>
        <w:spacing w:line="360" w:lineRule="auto"/>
        <w:jc w:val="both"/>
        <w:rPr>
          <w:szCs w:val="18"/>
        </w:rPr>
      </w:pPr>
      <w:r w:rsidRPr="00BE1578">
        <w:rPr>
          <w:szCs w:val="18"/>
          <w:lang w:val="es-ES"/>
        </w:rPr>
        <w:t>En 2020, la inversión programada en Utilería Escolar ascendió a RD$ 1, 064, 057,204.21, monto que fue destinado para la atención de aquellos estudiantes que se encuentran en las peores condiciones de vulnerabilidad en el sistema de educativo</w:t>
      </w:r>
      <w:r w:rsidR="000C09A0" w:rsidRPr="00BE1578">
        <w:rPr>
          <w:szCs w:val="18"/>
        </w:rPr>
        <w:t>. Priorizando aquellos territorios que presentan los niveles más altos de pobreza de nuestro país. Se adjudicó la compra de todos los artículos escolares, excepto de los zapatos. Se ha iniciado el proceso de distribución de 750,000, logrando avanzar con la entrega del 31% lo cual representan los 234,074 kits entregados.</w:t>
      </w:r>
    </w:p>
    <w:p w:rsidR="000C09A0" w:rsidRPr="00BE1578" w:rsidRDefault="000C09A0" w:rsidP="00655735">
      <w:pPr>
        <w:spacing w:line="360" w:lineRule="auto"/>
        <w:jc w:val="both"/>
        <w:rPr>
          <w:szCs w:val="18"/>
        </w:rPr>
      </w:pPr>
      <w:r w:rsidRPr="00BE1578">
        <w:rPr>
          <w:szCs w:val="18"/>
        </w:rPr>
        <w:t xml:space="preserve">A la fecha se han distribuido 234,074 </w:t>
      </w:r>
      <w:proofErr w:type="spellStart"/>
      <w:r w:rsidRPr="00BE1578">
        <w:rPr>
          <w:szCs w:val="18"/>
        </w:rPr>
        <w:t>poloshirts</w:t>
      </w:r>
      <w:proofErr w:type="spellEnd"/>
      <w:r w:rsidRPr="00BE1578">
        <w:rPr>
          <w:szCs w:val="18"/>
        </w:rPr>
        <w:t>. Adicional se adjudicó la compra de 55,397, para completar la meta de distribución de 750,000.</w:t>
      </w:r>
    </w:p>
    <w:p w:rsidR="000C09A0" w:rsidRPr="00BE1578" w:rsidRDefault="000C09A0" w:rsidP="00655735">
      <w:pPr>
        <w:spacing w:line="360" w:lineRule="auto"/>
        <w:jc w:val="both"/>
        <w:rPr>
          <w:szCs w:val="18"/>
        </w:rPr>
      </w:pPr>
      <w:r w:rsidRPr="00BE1578">
        <w:rPr>
          <w:szCs w:val="18"/>
        </w:rPr>
        <w:t>Se han distribuido 234,074 pantalones, de un total de 750,000 que se tiene como meta de distribución. Se adjudicó la compra de 538,339 para completar la distribución de 750,000 kit.</w:t>
      </w:r>
    </w:p>
    <w:p w:rsidR="000C09A0" w:rsidRPr="00BE1578" w:rsidRDefault="000C09A0" w:rsidP="00655735">
      <w:pPr>
        <w:spacing w:line="360" w:lineRule="auto"/>
        <w:jc w:val="both"/>
        <w:rPr>
          <w:szCs w:val="18"/>
        </w:rPr>
      </w:pPr>
      <w:r w:rsidRPr="00BE1578">
        <w:rPr>
          <w:szCs w:val="18"/>
        </w:rPr>
        <w:t>Se han distribuido 234,074 kits que contenían medias. Se adjudicó la compra de 578,000 medias adicionales porque se pretende distribuir hasta alcanzar la meta de 750,000 entre noviembre 2020 y enero 2021.</w:t>
      </w:r>
    </w:p>
    <w:p w:rsidR="000C09A0" w:rsidRPr="00BE1578" w:rsidRDefault="000C09A0" w:rsidP="00655735">
      <w:pPr>
        <w:spacing w:line="360" w:lineRule="auto"/>
        <w:jc w:val="both"/>
        <w:rPr>
          <w:szCs w:val="18"/>
        </w:rPr>
      </w:pPr>
      <w:r w:rsidRPr="00BE1578">
        <w:rPr>
          <w:szCs w:val="18"/>
        </w:rPr>
        <w:t>Se distribuyeron 234,074 kits que incluían mochilas.  Se ha adjudicado la compra de 680,400 adicionales, con las que se pretende completar la meta de entregar 750,000.</w:t>
      </w:r>
    </w:p>
    <w:p w:rsidR="000C09A0" w:rsidRPr="00BE1578" w:rsidRDefault="000C09A0" w:rsidP="00655735">
      <w:pPr>
        <w:spacing w:line="360" w:lineRule="auto"/>
        <w:jc w:val="both"/>
        <w:rPr>
          <w:szCs w:val="18"/>
        </w:rPr>
      </w:pPr>
      <w:r w:rsidRPr="00BE1578">
        <w:rPr>
          <w:szCs w:val="18"/>
        </w:rPr>
        <w:t>Se distribuyeron 234,074 kits que incluían zapato. Se tomó la decisión de no distribuir más zapatos en el reinicio de la distribución, por lo que no fueron adjudicados y no hubo compras.</w:t>
      </w:r>
    </w:p>
    <w:p w:rsidR="000C09A0" w:rsidRPr="00BE1578" w:rsidRDefault="000C09A0" w:rsidP="00655735">
      <w:pPr>
        <w:spacing w:line="360" w:lineRule="auto"/>
        <w:jc w:val="both"/>
        <w:rPr>
          <w:szCs w:val="18"/>
        </w:rPr>
      </w:pPr>
      <w:r w:rsidRPr="00BE1578">
        <w:rPr>
          <w:szCs w:val="18"/>
        </w:rPr>
        <w:t>Asimismo, se creó la política de distribución de utilería escolar, se actualizó el procedimiento y se crearon los protocolos para la entrega a los directores de centros educativos. De igual forma, se creó el protocolo mediante el cual se indica al director del centro a cómo entregar a los beneficiarios.</w:t>
      </w:r>
    </w:p>
    <w:p w:rsidR="000C09A0" w:rsidRPr="00BE1578" w:rsidRDefault="000C09A0" w:rsidP="00655735">
      <w:pPr>
        <w:spacing w:line="360" w:lineRule="auto"/>
        <w:jc w:val="both"/>
        <w:rPr>
          <w:szCs w:val="18"/>
        </w:rPr>
      </w:pPr>
      <w:r w:rsidRPr="00BE1578">
        <w:rPr>
          <w:szCs w:val="18"/>
        </w:rPr>
        <w:t>Se automatizó el proceso de carga de pedidos de utilería escolar.</w:t>
      </w:r>
    </w:p>
    <w:p w:rsidR="000C09A0" w:rsidRPr="00794412" w:rsidRDefault="000C09A0" w:rsidP="00BE1578">
      <w:pPr>
        <w:pStyle w:val="Heading4"/>
      </w:pPr>
      <w:r w:rsidRPr="00794412">
        <w:t>Becas Escolares.</w:t>
      </w:r>
    </w:p>
    <w:p w:rsidR="000C09A0" w:rsidRPr="00923C52" w:rsidRDefault="000C09A0" w:rsidP="00655735">
      <w:pPr>
        <w:spacing w:line="360" w:lineRule="auto"/>
        <w:jc w:val="both"/>
        <w:rPr>
          <w:szCs w:val="18"/>
        </w:rPr>
      </w:pPr>
      <w:r w:rsidRPr="00923C52">
        <w:rPr>
          <w:szCs w:val="18"/>
        </w:rPr>
        <w:t>Seguimiento a los estudiantes que se mantienen becados. Se realizó un seguimiento general, vía telefónica y digital, a un total de 705 estudiantes becados en 184 centros educativos privados correspondientes a 39 Distritos y 16 Regionales Educativas que contenía la base de datos del programa a la fecha 20/07/2020. Se logró un 120% de lo programado. Como resultado de dicho seguimiento se evidenció que a la fecha 14/10/2020 la cantidad de becados disminuyó a 536 estudiantes de 143 centros educativos privados ubicados en 33 Distritos de 12 Regionales Educativas.</w:t>
      </w:r>
    </w:p>
    <w:p w:rsidR="000C09A0" w:rsidRPr="000B756B" w:rsidRDefault="000C09A0" w:rsidP="00BE1578">
      <w:pPr>
        <w:pStyle w:val="Heading4"/>
      </w:pPr>
      <w:r w:rsidRPr="000B756B">
        <w:t>Apoyo a la participación estudiantil en actividades socioeducativas.</w:t>
      </w:r>
    </w:p>
    <w:p w:rsidR="000C09A0" w:rsidRPr="00923C52" w:rsidRDefault="000C09A0" w:rsidP="00F03025">
      <w:pPr>
        <w:spacing w:line="360" w:lineRule="auto"/>
        <w:jc w:val="both"/>
        <w:rPr>
          <w:szCs w:val="18"/>
        </w:rPr>
      </w:pPr>
      <w:r w:rsidRPr="00923C52">
        <w:rPr>
          <w:szCs w:val="18"/>
        </w:rPr>
        <w:t xml:space="preserve">Para apoyar la participación estudiantil en actividades socioeducativas y para el desarrollo del liderazgo pro-social, orientado a la solución de problemas en el contexto escolar y comunitario.  </w:t>
      </w:r>
    </w:p>
    <w:p w:rsidR="000C09A0" w:rsidRPr="00923C52" w:rsidRDefault="000C09A0" w:rsidP="00F03025">
      <w:pPr>
        <w:spacing w:line="360" w:lineRule="auto"/>
        <w:jc w:val="both"/>
        <w:rPr>
          <w:szCs w:val="18"/>
        </w:rPr>
      </w:pPr>
      <w:r w:rsidRPr="00923C52">
        <w:rPr>
          <w:szCs w:val="18"/>
        </w:rPr>
        <w:lastRenderedPageBreak/>
        <w:t xml:space="preserve">Sólo se realizaron tres (3) recorridos educativos de turismo estudiantil por monumentos y lugares históricos de la Ciudad Colonial, Altar de la Patria, Panteón Nacional, Museo </w:t>
      </w:r>
      <w:proofErr w:type="spellStart"/>
      <w:r w:rsidRPr="00923C52">
        <w:rPr>
          <w:szCs w:val="18"/>
        </w:rPr>
        <w:t>Duartiano</w:t>
      </w:r>
      <w:proofErr w:type="spellEnd"/>
      <w:r w:rsidRPr="00923C52">
        <w:rPr>
          <w:szCs w:val="18"/>
        </w:rPr>
        <w:t>, Jardín Botánico Nacional y el Palacio Nacional de Gobierno, en los cuales 176 participantes (165 estudiantes y 11 maestros, técnicos y directores) de las Regionales 04 de San Cristóbal y 15 Santo Domingo  reforzaron conocimientos históricos culturales y adquirieron nuevas experiencias sobre los acontecimientos más recientes de nuestra historia. Los demás recorridos de turismo, la Feria del Libro y el concurso estudiantil para desarrollo de valores y liderazgo fueron suspendidos debido a la pandemia.</w:t>
      </w:r>
    </w:p>
    <w:p w:rsidR="000C09A0" w:rsidRDefault="000C09A0" w:rsidP="00BE1578">
      <w:pPr>
        <w:pStyle w:val="Heading4"/>
      </w:pPr>
      <w:r w:rsidRPr="000B756B">
        <w:t>Cooperativas Escolares.</w:t>
      </w:r>
    </w:p>
    <w:p w:rsidR="000C09A0" w:rsidRPr="00923C52" w:rsidRDefault="000C09A0" w:rsidP="00655735">
      <w:pPr>
        <w:spacing w:line="360" w:lineRule="auto"/>
        <w:jc w:val="both"/>
        <w:rPr>
          <w:szCs w:val="18"/>
        </w:rPr>
      </w:pPr>
      <w:r w:rsidRPr="00923C52">
        <w:rPr>
          <w:szCs w:val="18"/>
        </w:rPr>
        <w:t xml:space="preserve">Se realizaron 29 revisiones e inventarios, en igual número de cooperativas escolares en el Distrito 04-04 Villa Altagracia, y las Regionales 10 y 15 de Santo Domingo. Esto representa un 32% de los programados. No fue posible continuar su desarrollo debido a la pandemia global que nos afecta actualmente. </w:t>
      </w:r>
    </w:p>
    <w:p w:rsidR="000C09A0" w:rsidRDefault="000C09A0" w:rsidP="00655735">
      <w:pPr>
        <w:spacing w:line="360" w:lineRule="auto"/>
        <w:jc w:val="both"/>
        <w:rPr>
          <w:szCs w:val="18"/>
        </w:rPr>
      </w:pPr>
      <w:r w:rsidRPr="00923C52">
        <w:rPr>
          <w:szCs w:val="18"/>
        </w:rPr>
        <w:t xml:space="preserve">Las 35 asambleas estaban proyectadas a realizarse, en el periodo octubre-noviembre </w:t>
      </w:r>
      <w:r w:rsidR="0092204B" w:rsidRPr="00923C52">
        <w:rPr>
          <w:szCs w:val="18"/>
        </w:rPr>
        <w:t>2020, no</w:t>
      </w:r>
      <w:r w:rsidRPr="00923C52">
        <w:rPr>
          <w:szCs w:val="18"/>
        </w:rPr>
        <w:t xml:space="preserve"> se realizaron debido a la pandemia global que nos afecta actualmente. Como parte de esta actividad estaban programadas 1,750 capacitaciones que no fueron realizadas por las restricciones presenciales ni el congreso estudiantil con líderes cooperativistas con 165 participantes de las Regionales 04 San Cristóbal, 08 de Santiago 10 y 15 de Santo Domingo. </w:t>
      </w:r>
    </w:p>
    <w:p w:rsidR="00ED4884" w:rsidRPr="00923C52" w:rsidRDefault="00ED4884" w:rsidP="00655735">
      <w:pPr>
        <w:spacing w:line="360" w:lineRule="auto"/>
        <w:jc w:val="both"/>
        <w:rPr>
          <w:szCs w:val="18"/>
        </w:rPr>
      </w:pPr>
    </w:p>
    <w:p w:rsidR="000C09A0" w:rsidRPr="0077146B" w:rsidRDefault="000C09A0" w:rsidP="00794412">
      <w:pPr>
        <w:pStyle w:val="Heading2"/>
        <w:numPr>
          <w:ilvl w:val="1"/>
          <w:numId w:val="18"/>
        </w:numPr>
      </w:pPr>
      <w:bookmarkStart w:id="58" w:name="_Toc532295868"/>
      <w:bookmarkStart w:id="59" w:name="_Toc56366568"/>
      <w:bookmarkStart w:id="60" w:name="_Toc58597555"/>
      <w:r w:rsidRPr="0077146B">
        <w:t>FORTALECIMIENTO INSTITUCIONAL</w:t>
      </w:r>
      <w:bookmarkEnd w:id="58"/>
      <w:bookmarkEnd w:id="59"/>
      <w:bookmarkEnd w:id="60"/>
      <w:r w:rsidRPr="0077146B">
        <w:t xml:space="preserve"> </w:t>
      </w:r>
    </w:p>
    <w:p w:rsidR="000C09A0" w:rsidRPr="00923C52" w:rsidRDefault="000C09A0" w:rsidP="00655735">
      <w:pPr>
        <w:spacing w:line="360" w:lineRule="auto"/>
        <w:jc w:val="both"/>
        <w:rPr>
          <w:szCs w:val="18"/>
        </w:rPr>
      </w:pPr>
      <w:r w:rsidRPr="00923C52">
        <w:rPr>
          <w:szCs w:val="18"/>
        </w:rPr>
        <w:t>En el año 2020, el INABIE ha obtenido importantes avances en el proceso de fortalecimiento institucional, desde la Dirección Ejecutiva; la Dirección de Planificación y Desarrollo; y loa Dirección Administrativa y Financiera.</w:t>
      </w:r>
    </w:p>
    <w:p w:rsidR="000C09A0" w:rsidRPr="00794412" w:rsidRDefault="00923C52" w:rsidP="00BE1578">
      <w:pPr>
        <w:pStyle w:val="Heading3"/>
      </w:pPr>
      <w:bookmarkStart w:id="61" w:name="_Toc56366569"/>
      <w:bookmarkStart w:id="62" w:name="_Toc58597556"/>
      <w:bookmarkStart w:id="63" w:name="_Toc26394688"/>
      <w:r w:rsidRPr="00794412">
        <w:t>DIRECCIÓN EJECUTIVA</w:t>
      </w:r>
      <w:bookmarkEnd w:id="61"/>
      <w:bookmarkEnd w:id="62"/>
    </w:p>
    <w:p w:rsidR="000C09A0" w:rsidRPr="00D12F4B" w:rsidRDefault="000C09A0" w:rsidP="004F5198">
      <w:pPr>
        <w:pStyle w:val="Heading4"/>
      </w:pPr>
      <w:r w:rsidRPr="00D12F4B">
        <w:t>Tecnologías de la Información y Comunicación (TIC)</w:t>
      </w:r>
    </w:p>
    <w:p w:rsidR="000C09A0" w:rsidRPr="00923C52" w:rsidRDefault="000C09A0" w:rsidP="00655735">
      <w:pPr>
        <w:spacing w:line="360" w:lineRule="auto"/>
        <w:jc w:val="both"/>
        <w:rPr>
          <w:szCs w:val="18"/>
        </w:rPr>
      </w:pPr>
      <w:r w:rsidRPr="00923C52">
        <w:rPr>
          <w:szCs w:val="18"/>
        </w:rPr>
        <w:t>En el año 2020, el INABIE continua los esfuerzos para obtener las certificaciones NORTIC, que son Normas de Tecnologías de la Información y Comunicación creadas por la Oficina Presidencial de Tecnologías de la Información y Comunicación (OPTIC), para normalizar, estandarizar, y tener una herramienta de auditoría para el efectivo uso e implementación de las TIC en el Gobierno Dominicano.  En ese orden INABIE: ha mantenido las siguientes certificaciones:</w:t>
      </w:r>
    </w:p>
    <w:p w:rsidR="000C09A0" w:rsidRPr="00655735" w:rsidRDefault="000C09A0" w:rsidP="00BE1578">
      <w:pPr>
        <w:pStyle w:val="ListParagraph"/>
        <w:numPr>
          <w:ilvl w:val="0"/>
          <w:numId w:val="22"/>
        </w:numPr>
        <w:spacing w:line="360" w:lineRule="auto"/>
        <w:ind w:left="284" w:hanging="284"/>
        <w:jc w:val="both"/>
        <w:rPr>
          <w:iCs/>
          <w:szCs w:val="18"/>
          <w:lang w:val="es-DO"/>
        </w:rPr>
      </w:pPr>
      <w:r w:rsidRPr="00655735">
        <w:rPr>
          <w:b/>
          <w:iCs/>
          <w:szCs w:val="18"/>
          <w:lang w:val="es-DO"/>
        </w:rPr>
        <w:t>NORTIC A3</w:t>
      </w:r>
      <w:r w:rsidRPr="00655735">
        <w:rPr>
          <w:iCs/>
          <w:szCs w:val="18"/>
          <w:lang w:val="es-DO"/>
        </w:rPr>
        <w:t xml:space="preserve">, la </w:t>
      </w:r>
      <w:r w:rsidR="0092204B" w:rsidRPr="00655735">
        <w:rPr>
          <w:iCs/>
          <w:szCs w:val="18"/>
          <w:lang w:val="es-DO"/>
        </w:rPr>
        <w:t>cual establece</w:t>
      </w:r>
      <w:r w:rsidRPr="00655735">
        <w:rPr>
          <w:iCs/>
          <w:szCs w:val="18"/>
          <w:lang w:val="es-DO"/>
        </w:rPr>
        <w:t xml:space="preserve"> las directrices para la publicación de los datos que produce</w:t>
      </w:r>
      <w:r w:rsidRPr="00655735">
        <w:rPr>
          <w:rFonts w:ascii="Calibri" w:hAnsi="Calibri" w:cs="Calibri"/>
          <w:iCs/>
          <w:szCs w:val="18"/>
          <w:lang w:val="es-DO"/>
        </w:rPr>
        <w:t> </w:t>
      </w:r>
      <w:r w:rsidRPr="00655735">
        <w:rPr>
          <w:iCs/>
          <w:szCs w:val="18"/>
          <w:lang w:val="es-DO"/>
        </w:rPr>
        <w:t>y transformarlos en información reutilizable, desde la sociedad civil.</w:t>
      </w:r>
    </w:p>
    <w:p w:rsidR="000C09A0" w:rsidRPr="00655735" w:rsidRDefault="000C09A0" w:rsidP="00BE1578">
      <w:pPr>
        <w:pStyle w:val="ListParagraph"/>
        <w:numPr>
          <w:ilvl w:val="0"/>
          <w:numId w:val="22"/>
        </w:numPr>
        <w:spacing w:line="360" w:lineRule="auto"/>
        <w:ind w:left="284" w:hanging="284"/>
        <w:jc w:val="both"/>
        <w:rPr>
          <w:iCs/>
          <w:szCs w:val="18"/>
          <w:lang w:val="es-DO"/>
        </w:rPr>
      </w:pPr>
      <w:r w:rsidRPr="00655735">
        <w:rPr>
          <w:b/>
          <w:iCs/>
          <w:szCs w:val="18"/>
          <w:lang w:val="es-DO"/>
        </w:rPr>
        <w:t>NORTIC A2</w:t>
      </w:r>
      <w:r w:rsidRPr="00655735">
        <w:rPr>
          <w:iCs/>
          <w:szCs w:val="18"/>
          <w:lang w:val="es-DO"/>
        </w:rPr>
        <w:t xml:space="preserve"> que establece directrices de creación y gestión del portal web, la versión móvil del mismo y el sub-portal de transparencia.</w:t>
      </w:r>
    </w:p>
    <w:p w:rsidR="000C09A0" w:rsidRPr="00923C52" w:rsidRDefault="000C09A0" w:rsidP="00655735">
      <w:pPr>
        <w:spacing w:line="360" w:lineRule="auto"/>
        <w:jc w:val="both"/>
        <w:rPr>
          <w:szCs w:val="18"/>
        </w:rPr>
      </w:pPr>
      <w:r w:rsidRPr="00923C52">
        <w:rPr>
          <w:szCs w:val="18"/>
        </w:rPr>
        <w:lastRenderedPageBreak/>
        <w:t xml:space="preserve">Otros logros tecnológicos del INABIE en 2020 son: </w:t>
      </w:r>
    </w:p>
    <w:p w:rsidR="000C09A0" w:rsidRPr="00923C52" w:rsidRDefault="000C09A0" w:rsidP="00BE1578">
      <w:pPr>
        <w:pStyle w:val="ListParagraph"/>
        <w:numPr>
          <w:ilvl w:val="0"/>
          <w:numId w:val="22"/>
        </w:numPr>
        <w:spacing w:line="360" w:lineRule="auto"/>
        <w:ind w:left="284" w:hanging="284"/>
        <w:jc w:val="both"/>
        <w:rPr>
          <w:szCs w:val="18"/>
          <w:lang w:val="es-DO"/>
        </w:rPr>
      </w:pPr>
      <w:r w:rsidRPr="00923C52">
        <w:rPr>
          <w:szCs w:val="18"/>
          <w:lang w:val="es-DO"/>
        </w:rPr>
        <w:t>1 Reforzamiento en la seguridad perimetral de la red de datos institucional con la adquisición de un segundo UTM o Firewall.</w:t>
      </w:r>
    </w:p>
    <w:p w:rsidR="000C09A0" w:rsidRPr="00923C52" w:rsidRDefault="000C09A0" w:rsidP="00BE1578">
      <w:pPr>
        <w:pStyle w:val="ListParagraph"/>
        <w:numPr>
          <w:ilvl w:val="0"/>
          <w:numId w:val="22"/>
        </w:numPr>
        <w:spacing w:line="360" w:lineRule="auto"/>
        <w:ind w:left="284" w:hanging="284"/>
        <w:jc w:val="both"/>
        <w:rPr>
          <w:szCs w:val="18"/>
          <w:lang w:val="es-DO"/>
        </w:rPr>
      </w:pPr>
      <w:r w:rsidRPr="00923C52">
        <w:rPr>
          <w:szCs w:val="18"/>
          <w:lang w:val="es-DO"/>
        </w:rPr>
        <w:t>1 Garantizar el respaldo de la Data Institucional en contratación de un DRAAS (Recuperación ante Desastres como Servicio) para respaldar 5 servidores de la institución en la nube.</w:t>
      </w:r>
    </w:p>
    <w:p w:rsidR="000C09A0" w:rsidRPr="00923C52" w:rsidRDefault="000C09A0" w:rsidP="00BE1578">
      <w:pPr>
        <w:pStyle w:val="ListParagraph"/>
        <w:numPr>
          <w:ilvl w:val="0"/>
          <w:numId w:val="22"/>
        </w:numPr>
        <w:spacing w:line="360" w:lineRule="auto"/>
        <w:ind w:left="284" w:hanging="284"/>
        <w:jc w:val="both"/>
        <w:rPr>
          <w:szCs w:val="18"/>
          <w:lang w:val="es-DO"/>
        </w:rPr>
      </w:pPr>
      <w:r w:rsidRPr="00923C52">
        <w:rPr>
          <w:szCs w:val="18"/>
          <w:lang w:val="es-DO"/>
        </w:rPr>
        <w:t>1 Culminación del Centro de Datos de acuerdo a certificaciones internacionales en la nueva Sede Institucional de la Av. 27 de febrero, con cableado estructurado y certificado de la red de datos institucional.</w:t>
      </w:r>
    </w:p>
    <w:p w:rsidR="000C09A0" w:rsidRPr="00923C52" w:rsidRDefault="000C09A0" w:rsidP="00BE1578">
      <w:pPr>
        <w:pStyle w:val="ListParagraph"/>
        <w:numPr>
          <w:ilvl w:val="0"/>
          <w:numId w:val="22"/>
        </w:numPr>
        <w:spacing w:line="360" w:lineRule="auto"/>
        <w:ind w:left="284" w:hanging="284"/>
        <w:jc w:val="both"/>
        <w:rPr>
          <w:szCs w:val="18"/>
          <w:lang w:val="es-DO"/>
        </w:rPr>
      </w:pPr>
      <w:r w:rsidRPr="00923C52">
        <w:rPr>
          <w:szCs w:val="18"/>
          <w:lang w:val="es-DO"/>
        </w:rPr>
        <w:t>37 Se incrementó la cantidad de equipos tecnológicos de la institución, mediante la adquisición de 25 computadoras de escritorio y 12 impresoras multifuncionales para así proporcionar las herramientas tecnológicas necesarias para un mejor desempeño del personal del INABIE</w:t>
      </w:r>
    </w:p>
    <w:p w:rsidR="000C09A0" w:rsidRPr="00923C52" w:rsidRDefault="000C09A0" w:rsidP="00BE1578">
      <w:pPr>
        <w:pStyle w:val="ListParagraph"/>
        <w:numPr>
          <w:ilvl w:val="0"/>
          <w:numId w:val="22"/>
        </w:numPr>
        <w:spacing w:line="360" w:lineRule="auto"/>
        <w:ind w:left="284" w:hanging="284"/>
        <w:jc w:val="both"/>
        <w:rPr>
          <w:szCs w:val="18"/>
          <w:lang w:val="es-DO"/>
        </w:rPr>
      </w:pPr>
      <w:r w:rsidRPr="00923C52">
        <w:rPr>
          <w:szCs w:val="18"/>
          <w:lang w:val="es-DO"/>
        </w:rPr>
        <w:t>1 Adquisición de los sistemas de multimedia, sistema de seguridad perimetral, contra incendio, video vigilancia, control de acceso y biométrico en la nueva Sede Institucional de la Av. 27 de febrero</w:t>
      </w:r>
    </w:p>
    <w:p w:rsidR="000C09A0" w:rsidRPr="00923C52" w:rsidRDefault="000C09A0" w:rsidP="00BE1578">
      <w:pPr>
        <w:pStyle w:val="ListParagraph"/>
        <w:numPr>
          <w:ilvl w:val="0"/>
          <w:numId w:val="22"/>
        </w:numPr>
        <w:spacing w:line="360" w:lineRule="auto"/>
        <w:ind w:left="284" w:hanging="284"/>
        <w:jc w:val="both"/>
        <w:rPr>
          <w:szCs w:val="18"/>
          <w:lang w:val="es-DO"/>
        </w:rPr>
      </w:pPr>
      <w:r w:rsidRPr="00923C52">
        <w:rPr>
          <w:szCs w:val="18"/>
          <w:lang w:val="es-DO"/>
        </w:rPr>
        <w:t>1 Migración de telefonía IP HPBX (Central telefónica) en la nueva Sede del INABIE de la Av. 27 de febrero.</w:t>
      </w:r>
    </w:p>
    <w:p w:rsidR="000C09A0" w:rsidRPr="00923C52" w:rsidRDefault="000C09A0" w:rsidP="00655735">
      <w:pPr>
        <w:pStyle w:val="ListParagraph"/>
        <w:numPr>
          <w:ilvl w:val="0"/>
          <w:numId w:val="22"/>
        </w:numPr>
        <w:spacing w:line="360" w:lineRule="auto"/>
        <w:jc w:val="both"/>
        <w:rPr>
          <w:szCs w:val="18"/>
          <w:lang w:val="es-DO"/>
        </w:rPr>
      </w:pPr>
      <w:r w:rsidRPr="00923C52">
        <w:rPr>
          <w:szCs w:val="18"/>
          <w:lang w:val="es-DO"/>
        </w:rPr>
        <w:t>1 Habilitación del Almacén de Santiago. Este cuenta con los equipos tecnológicos y servicios de telefonía y red necesarios para su funcionamiento.</w:t>
      </w:r>
    </w:p>
    <w:p w:rsidR="000C09A0" w:rsidRPr="00D12F4B" w:rsidRDefault="000C09A0" w:rsidP="004F5198">
      <w:pPr>
        <w:pStyle w:val="Heading4"/>
      </w:pPr>
      <w:r w:rsidRPr="00D12F4B">
        <w:t>Atención a Solicitudes de Información Pública y Sistema 311</w:t>
      </w:r>
    </w:p>
    <w:p w:rsidR="000C09A0" w:rsidRPr="00923C52" w:rsidRDefault="000C09A0" w:rsidP="00655735">
      <w:pPr>
        <w:spacing w:line="360" w:lineRule="auto"/>
        <w:jc w:val="both"/>
        <w:rPr>
          <w:szCs w:val="18"/>
        </w:rPr>
      </w:pPr>
      <w:r w:rsidRPr="00923C52">
        <w:rPr>
          <w:szCs w:val="18"/>
        </w:rPr>
        <w:t xml:space="preserve">Desde la Oficina de Libre Acceso a la Información (OAI) el INABIE ha dado respuesta a Veintisiete (27) solicitudes de información de los ciudadanos, las cuales han sido canalizadas y respondidas satisfactoriamente en los plazos establecidos en la ley 200-04 sobre libre acceso a la información pública, y colocadas a través del portal único de solicitud de información pública SAIP.GOB.DO. </w:t>
      </w:r>
    </w:p>
    <w:p w:rsidR="000C09A0" w:rsidRPr="00923C52" w:rsidRDefault="0092204B" w:rsidP="00655735">
      <w:pPr>
        <w:spacing w:line="360" w:lineRule="auto"/>
        <w:jc w:val="both"/>
        <w:rPr>
          <w:szCs w:val="18"/>
        </w:rPr>
      </w:pPr>
      <w:r w:rsidRPr="00923C52">
        <w:rPr>
          <w:szCs w:val="18"/>
        </w:rPr>
        <w:t>Asimismo,</w:t>
      </w:r>
      <w:r w:rsidR="000C09A0" w:rsidRPr="00923C52">
        <w:rPr>
          <w:szCs w:val="18"/>
        </w:rPr>
        <w:t xml:space="preserve"> el INABIE a través del Sistema 311 sobre quejas, reclamaciones y sugerencias ha recibido una sugerencia atendida en el plazo correspondiente satisfactoriamente.</w:t>
      </w:r>
    </w:p>
    <w:p w:rsidR="000C09A0" w:rsidRPr="00923C52" w:rsidRDefault="000C09A0" w:rsidP="00655735">
      <w:pPr>
        <w:spacing w:line="360" w:lineRule="auto"/>
        <w:jc w:val="both"/>
        <w:rPr>
          <w:szCs w:val="18"/>
        </w:rPr>
      </w:pPr>
      <w:r w:rsidRPr="00923C52">
        <w:rPr>
          <w:szCs w:val="18"/>
        </w:rPr>
        <w:t xml:space="preserve">Sobre las Calificaciones de Las Evaluaciones realizadas por la Dirección General de </w:t>
      </w:r>
      <w:r w:rsidR="00C53061" w:rsidRPr="00923C52">
        <w:rPr>
          <w:szCs w:val="18"/>
        </w:rPr>
        <w:t>Ética</w:t>
      </w:r>
      <w:r w:rsidRPr="00923C52">
        <w:rPr>
          <w:szCs w:val="18"/>
        </w:rPr>
        <w:t xml:space="preserve"> e Integridad Gubernamental (DIGEIG) a través de la Resolución 01-2018 sobre políticas de estandarización de portales, el INABIE ha logrado las siguientes puntuaciones: </w:t>
      </w:r>
    </w:p>
    <w:tbl>
      <w:tblPr>
        <w:tblStyle w:val="GridTable4-Accent5"/>
        <w:tblW w:w="0" w:type="auto"/>
        <w:tblLook w:val="04A0" w:firstRow="1" w:lastRow="0" w:firstColumn="1" w:lastColumn="0" w:noHBand="0" w:noVBand="1"/>
      </w:tblPr>
      <w:tblGrid>
        <w:gridCol w:w="988"/>
        <w:gridCol w:w="1030"/>
        <w:gridCol w:w="999"/>
        <w:gridCol w:w="972"/>
        <w:gridCol w:w="981"/>
        <w:gridCol w:w="979"/>
        <w:gridCol w:w="965"/>
        <w:gridCol w:w="1006"/>
      </w:tblGrid>
      <w:tr w:rsidR="000C09A0" w:rsidRPr="00663521" w:rsidTr="00ED488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103" w:type="dxa"/>
            <w:vAlign w:val="center"/>
          </w:tcPr>
          <w:p w:rsidR="000C09A0" w:rsidRPr="00923C52" w:rsidRDefault="000C09A0" w:rsidP="000C09A0">
            <w:pPr>
              <w:jc w:val="center"/>
              <w:rPr>
                <w:rFonts w:ascii="Times New Roman" w:hAnsi="Times New Roman"/>
                <w:color w:val="FFFFFF" w:themeColor="background1"/>
              </w:rPr>
            </w:pPr>
            <w:r w:rsidRPr="00923C52">
              <w:rPr>
                <w:rFonts w:ascii="Times New Roman" w:hAnsi="Times New Roman"/>
                <w:color w:val="FFFFFF" w:themeColor="background1"/>
              </w:rPr>
              <w:t>Enero</w:t>
            </w:r>
          </w:p>
        </w:tc>
        <w:tc>
          <w:tcPr>
            <w:tcW w:w="1103" w:type="dxa"/>
            <w:vAlign w:val="center"/>
          </w:tcPr>
          <w:p w:rsidR="000C09A0" w:rsidRPr="00923C52" w:rsidRDefault="000C09A0" w:rsidP="000C09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923C52">
              <w:rPr>
                <w:rFonts w:ascii="Times New Roman" w:hAnsi="Times New Roman"/>
                <w:color w:val="FFFFFF" w:themeColor="background1"/>
              </w:rPr>
              <w:t>Febrero</w:t>
            </w:r>
          </w:p>
        </w:tc>
        <w:tc>
          <w:tcPr>
            <w:tcW w:w="1103" w:type="dxa"/>
            <w:vAlign w:val="center"/>
          </w:tcPr>
          <w:p w:rsidR="000C09A0" w:rsidRPr="00923C52" w:rsidRDefault="000C09A0" w:rsidP="000C09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923C52">
              <w:rPr>
                <w:rFonts w:ascii="Times New Roman" w:hAnsi="Times New Roman"/>
                <w:color w:val="FFFFFF" w:themeColor="background1"/>
              </w:rPr>
              <w:t>Marzo</w:t>
            </w:r>
          </w:p>
        </w:tc>
        <w:tc>
          <w:tcPr>
            <w:tcW w:w="1103" w:type="dxa"/>
            <w:vAlign w:val="center"/>
          </w:tcPr>
          <w:p w:rsidR="000C09A0" w:rsidRPr="00923C52" w:rsidRDefault="000C09A0" w:rsidP="000C09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923C52">
              <w:rPr>
                <w:rFonts w:ascii="Times New Roman" w:hAnsi="Times New Roman"/>
                <w:color w:val="FFFFFF" w:themeColor="background1"/>
              </w:rPr>
              <w:t>Abril</w:t>
            </w:r>
          </w:p>
        </w:tc>
        <w:tc>
          <w:tcPr>
            <w:tcW w:w="1104" w:type="dxa"/>
            <w:vAlign w:val="center"/>
          </w:tcPr>
          <w:p w:rsidR="000C09A0" w:rsidRPr="00923C52" w:rsidRDefault="000C09A0" w:rsidP="000C09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923C52">
              <w:rPr>
                <w:rFonts w:ascii="Times New Roman" w:hAnsi="Times New Roman"/>
                <w:color w:val="FFFFFF" w:themeColor="background1"/>
              </w:rPr>
              <w:t>Mayo</w:t>
            </w:r>
          </w:p>
        </w:tc>
        <w:tc>
          <w:tcPr>
            <w:tcW w:w="1104" w:type="dxa"/>
            <w:vAlign w:val="center"/>
          </w:tcPr>
          <w:p w:rsidR="000C09A0" w:rsidRPr="00923C52" w:rsidRDefault="000C09A0" w:rsidP="000C09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923C52">
              <w:rPr>
                <w:rFonts w:ascii="Times New Roman" w:hAnsi="Times New Roman"/>
                <w:color w:val="FFFFFF" w:themeColor="background1"/>
              </w:rPr>
              <w:t>Junio</w:t>
            </w:r>
          </w:p>
        </w:tc>
        <w:tc>
          <w:tcPr>
            <w:tcW w:w="1104" w:type="dxa"/>
            <w:vAlign w:val="center"/>
          </w:tcPr>
          <w:p w:rsidR="000C09A0" w:rsidRPr="00923C52" w:rsidRDefault="000C09A0" w:rsidP="000C09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923C52">
              <w:rPr>
                <w:rFonts w:ascii="Times New Roman" w:hAnsi="Times New Roman"/>
                <w:color w:val="FFFFFF" w:themeColor="background1"/>
              </w:rPr>
              <w:t>Julio</w:t>
            </w:r>
          </w:p>
        </w:tc>
        <w:tc>
          <w:tcPr>
            <w:tcW w:w="1104" w:type="dxa"/>
            <w:vAlign w:val="center"/>
          </w:tcPr>
          <w:p w:rsidR="000C09A0" w:rsidRPr="00923C52" w:rsidRDefault="000C09A0" w:rsidP="000C09A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rPr>
            </w:pPr>
            <w:r w:rsidRPr="00923C52">
              <w:rPr>
                <w:rFonts w:ascii="Times New Roman" w:hAnsi="Times New Roman"/>
                <w:color w:val="FFFFFF" w:themeColor="background1"/>
              </w:rPr>
              <w:t>Agosto</w:t>
            </w:r>
          </w:p>
        </w:tc>
      </w:tr>
      <w:tr w:rsidR="000C09A0" w:rsidRPr="00663521" w:rsidTr="00ED488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103" w:type="dxa"/>
            <w:vAlign w:val="center"/>
          </w:tcPr>
          <w:p w:rsidR="000C09A0" w:rsidRPr="00923C52" w:rsidRDefault="000C09A0" w:rsidP="00923C52">
            <w:pPr>
              <w:spacing w:after="0"/>
              <w:jc w:val="center"/>
              <w:rPr>
                <w:rFonts w:ascii="Times New Roman" w:hAnsi="Times New Roman"/>
              </w:rPr>
            </w:pPr>
            <w:r w:rsidRPr="00923C52">
              <w:rPr>
                <w:rFonts w:ascii="Times New Roman" w:hAnsi="Times New Roman"/>
              </w:rPr>
              <w:t>78</w:t>
            </w:r>
          </w:p>
        </w:tc>
        <w:tc>
          <w:tcPr>
            <w:tcW w:w="1103" w:type="dxa"/>
            <w:vAlign w:val="center"/>
          </w:tcPr>
          <w:p w:rsidR="000C09A0" w:rsidRPr="00923C52" w:rsidRDefault="000C09A0" w:rsidP="00923C52">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23C52">
              <w:rPr>
                <w:rFonts w:ascii="Times New Roman" w:hAnsi="Times New Roman"/>
              </w:rPr>
              <w:t>87</w:t>
            </w:r>
          </w:p>
        </w:tc>
        <w:tc>
          <w:tcPr>
            <w:tcW w:w="1103" w:type="dxa"/>
            <w:vAlign w:val="center"/>
          </w:tcPr>
          <w:p w:rsidR="000C09A0" w:rsidRPr="00923C52" w:rsidRDefault="000C09A0" w:rsidP="00923C52">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23C52">
              <w:rPr>
                <w:rFonts w:ascii="Times New Roman" w:hAnsi="Times New Roman"/>
              </w:rPr>
              <w:t>90</w:t>
            </w:r>
          </w:p>
        </w:tc>
        <w:tc>
          <w:tcPr>
            <w:tcW w:w="1103" w:type="dxa"/>
            <w:vAlign w:val="center"/>
          </w:tcPr>
          <w:p w:rsidR="000C09A0" w:rsidRPr="00923C52" w:rsidRDefault="000C09A0" w:rsidP="00923C52">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23C52">
              <w:rPr>
                <w:rFonts w:ascii="Times New Roman" w:hAnsi="Times New Roman"/>
              </w:rPr>
              <w:t>90</w:t>
            </w:r>
          </w:p>
        </w:tc>
        <w:tc>
          <w:tcPr>
            <w:tcW w:w="1104" w:type="dxa"/>
            <w:vAlign w:val="center"/>
          </w:tcPr>
          <w:p w:rsidR="000C09A0" w:rsidRPr="00923C52" w:rsidRDefault="000C09A0" w:rsidP="00923C52">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23C52">
              <w:rPr>
                <w:rFonts w:ascii="Times New Roman" w:hAnsi="Times New Roman"/>
              </w:rPr>
              <w:t>84</w:t>
            </w:r>
          </w:p>
        </w:tc>
        <w:tc>
          <w:tcPr>
            <w:tcW w:w="1104" w:type="dxa"/>
            <w:vAlign w:val="center"/>
          </w:tcPr>
          <w:p w:rsidR="000C09A0" w:rsidRPr="00923C52" w:rsidRDefault="000C09A0" w:rsidP="00923C52">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23C52">
              <w:rPr>
                <w:rFonts w:ascii="Times New Roman" w:hAnsi="Times New Roman"/>
              </w:rPr>
              <w:t>79</w:t>
            </w:r>
          </w:p>
        </w:tc>
        <w:tc>
          <w:tcPr>
            <w:tcW w:w="1104" w:type="dxa"/>
            <w:vAlign w:val="center"/>
          </w:tcPr>
          <w:p w:rsidR="000C09A0" w:rsidRPr="00923C52" w:rsidRDefault="000C09A0" w:rsidP="00923C52">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23C52">
              <w:rPr>
                <w:rFonts w:ascii="Times New Roman" w:hAnsi="Times New Roman"/>
              </w:rPr>
              <w:t>89</w:t>
            </w:r>
          </w:p>
        </w:tc>
        <w:tc>
          <w:tcPr>
            <w:tcW w:w="1104" w:type="dxa"/>
            <w:vAlign w:val="center"/>
          </w:tcPr>
          <w:p w:rsidR="000C09A0" w:rsidRPr="00923C52" w:rsidRDefault="000C09A0" w:rsidP="00923C52">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923C52">
              <w:rPr>
                <w:rFonts w:ascii="Times New Roman" w:hAnsi="Times New Roman"/>
              </w:rPr>
              <w:t>93</w:t>
            </w:r>
          </w:p>
        </w:tc>
      </w:tr>
    </w:tbl>
    <w:p w:rsidR="000C09A0" w:rsidRPr="00923C52" w:rsidRDefault="000C09A0" w:rsidP="00655735">
      <w:pPr>
        <w:spacing w:before="240" w:line="360" w:lineRule="auto"/>
        <w:jc w:val="both"/>
        <w:rPr>
          <w:szCs w:val="18"/>
        </w:rPr>
      </w:pPr>
      <w:r w:rsidRPr="00923C52">
        <w:rPr>
          <w:szCs w:val="18"/>
        </w:rPr>
        <w:t>Actualmente DIGEID se encuentra procesando la evaluación de Septiembre -2020.</w:t>
      </w:r>
    </w:p>
    <w:p w:rsidR="000C09A0" w:rsidRPr="00D12F4B" w:rsidRDefault="000C09A0" w:rsidP="004F5198">
      <w:pPr>
        <w:pStyle w:val="Heading4"/>
      </w:pPr>
      <w:r w:rsidRPr="00D12F4B">
        <w:lastRenderedPageBreak/>
        <w:t xml:space="preserve">Datos abiertos  </w:t>
      </w:r>
    </w:p>
    <w:p w:rsidR="000C09A0" w:rsidRPr="00923C52" w:rsidRDefault="000C09A0" w:rsidP="00655735">
      <w:pPr>
        <w:spacing w:line="360" w:lineRule="auto"/>
        <w:jc w:val="both"/>
        <w:rPr>
          <w:szCs w:val="18"/>
        </w:rPr>
      </w:pPr>
      <w:r w:rsidRPr="00923C52">
        <w:rPr>
          <w:szCs w:val="18"/>
        </w:rPr>
        <w:t>En base a los requerimientos de la Oficina Presidencial de Tecnología de la Información y Comunicación (OPTIC) y la Dirección General de Ética e Integridad (DIGEIG), fueron liberados 10 conjuntos de datos sobre beneficiarios de los programas que implementa el INABIE.</w:t>
      </w:r>
    </w:p>
    <w:p w:rsidR="000C09A0" w:rsidRPr="00D12F4B" w:rsidRDefault="000C09A0" w:rsidP="004F5198">
      <w:pPr>
        <w:pStyle w:val="Heading4"/>
      </w:pPr>
      <w:r w:rsidRPr="00D12F4B">
        <w:t>Área Jurídica</w:t>
      </w:r>
    </w:p>
    <w:p w:rsidR="000C09A0" w:rsidRPr="00923C52" w:rsidRDefault="000C09A0" w:rsidP="00655735">
      <w:pPr>
        <w:spacing w:line="360" w:lineRule="auto"/>
        <w:jc w:val="both"/>
        <w:rPr>
          <w:szCs w:val="18"/>
        </w:rPr>
      </w:pPr>
      <w:r w:rsidRPr="00923C52">
        <w:rPr>
          <w:szCs w:val="18"/>
        </w:rPr>
        <w:t xml:space="preserve">Este Departamento a través de su División de Litigios, condujo 12 investigaciones legales demandadas por los programas de la institución para su buen funcionamiento. </w:t>
      </w:r>
    </w:p>
    <w:p w:rsidR="000C09A0" w:rsidRPr="00923C52" w:rsidRDefault="000C09A0" w:rsidP="00655735">
      <w:pPr>
        <w:spacing w:line="360" w:lineRule="auto"/>
        <w:jc w:val="both"/>
        <w:rPr>
          <w:szCs w:val="18"/>
        </w:rPr>
      </w:pPr>
      <w:r w:rsidRPr="00923C52">
        <w:rPr>
          <w:szCs w:val="18"/>
        </w:rPr>
        <w:t>Por su parte, la División de elaboración de documentos legales, elaboró, revisó y legalizó 150 contratos, adendas de contratos, actas de adjudicación de compras de bienes y servicios (aperturas) y otras documentaciones internas.</w:t>
      </w:r>
    </w:p>
    <w:p w:rsidR="000C09A0" w:rsidRPr="00D12F4B" w:rsidRDefault="000C09A0" w:rsidP="004F5198">
      <w:pPr>
        <w:pStyle w:val="Heading4"/>
      </w:pPr>
      <w:r w:rsidRPr="00D12F4B">
        <w:t>Recursos Humanos</w:t>
      </w:r>
    </w:p>
    <w:p w:rsidR="000C09A0" w:rsidRPr="00923C52" w:rsidRDefault="000C09A0" w:rsidP="00655735">
      <w:pPr>
        <w:spacing w:line="360" w:lineRule="auto"/>
        <w:jc w:val="both"/>
        <w:rPr>
          <w:szCs w:val="18"/>
        </w:rPr>
      </w:pPr>
      <w:r w:rsidRPr="00923C52">
        <w:rPr>
          <w:szCs w:val="18"/>
        </w:rPr>
        <w:t xml:space="preserve">Este Departamento, a través de la Sección de Reclutamiento y Selección de Personal, la Sección de Registro, Control y Nómina de Personal y la División de Capacitación y Desarrollo, en 2020 tuvo los siguientes resultados: </w:t>
      </w:r>
    </w:p>
    <w:p w:rsidR="000C09A0" w:rsidRPr="00923C52" w:rsidRDefault="000C09A0" w:rsidP="00BE1578">
      <w:pPr>
        <w:pStyle w:val="ListParagraph"/>
        <w:numPr>
          <w:ilvl w:val="0"/>
          <w:numId w:val="22"/>
        </w:numPr>
        <w:spacing w:line="360" w:lineRule="auto"/>
        <w:ind w:left="284" w:hanging="284"/>
        <w:jc w:val="both"/>
        <w:rPr>
          <w:szCs w:val="18"/>
          <w:lang w:val="es-DO"/>
        </w:rPr>
      </w:pPr>
      <w:r w:rsidRPr="00923C52">
        <w:rPr>
          <w:szCs w:val="18"/>
          <w:lang w:val="es-DO"/>
        </w:rPr>
        <w:t>Logró fomentar el desarrollo profesional de los colaboradores a través de 61 especializaciones (Maestrías), Licenciaturas, Diplomados y Cursos virtuales de conocimientos específicos. Impactando un total de 570 servidores, representando el 94% de la población total. Para un total de 1,303 horas de capacitación.</w:t>
      </w:r>
    </w:p>
    <w:p w:rsidR="00C3563D" w:rsidRPr="00923C52" w:rsidRDefault="00C3563D" w:rsidP="00BE1578">
      <w:pPr>
        <w:pStyle w:val="ListParagraph"/>
        <w:numPr>
          <w:ilvl w:val="0"/>
          <w:numId w:val="22"/>
        </w:numPr>
        <w:spacing w:line="360" w:lineRule="auto"/>
        <w:ind w:left="284" w:hanging="284"/>
        <w:jc w:val="both"/>
        <w:rPr>
          <w:szCs w:val="18"/>
          <w:lang w:val="es-DO"/>
        </w:rPr>
      </w:pPr>
      <w:r w:rsidRPr="00923C52">
        <w:rPr>
          <w:szCs w:val="18"/>
          <w:lang w:val="es-DO"/>
        </w:rPr>
        <w:t>Para el fortalecimiento institucional y rapidez en los procesos internos, fueron incorporados un total de 210 servidores.</w:t>
      </w:r>
    </w:p>
    <w:p w:rsidR="000C09A0" w:rsidRPr="00923C52" w:rsidRDefault="000C09A0" w:rsidP="00BE1578">
      <w:pPr>
        <w:pStyle w:val="ListParagraph"/>
        <w:numPr>
          <w:ilvl w:val="0"/>
          <w:numId w:val="22"/>
        </w:numPr>
        <w:spacing w:line="360" w:lineRule="auto"/>
        <w:ind w:left="284" w:hanging="284"/>
        <w:jc w:val="both"/>
        <w:rPr>
          <w:szCs w:val="18"/>
          <w:lang w:val="es-DO"/>
        </w:rPr>
      </w:pPr>
      <w:r w:rsidRPr="00923C52">
        <w:rPr>
          <w:szCs w:val="18"/>
          <w:lang w:val="es-DO"/>
        </w:rPr>
        <w:t>178 Para el fortalecimiento institucional y rapidez en los procesos internos, fueron incorporados un total de 210 servidores.</w:t>
      </w:r>
    </w:p>
    <w:p w:rsidR="000C09A0" w:rsidRPr="00923C52" w:rsidRDefault="000C09A0" w:rsidP="00BE1578">
      <w:pPr>
        <w:pStyle w:val="ListParagraph"/>
        <w:numPr>
          <w:ilvl w:val="0"/>
          <w:numId w:val="22"/>
        </w:numPr>
        <w:spacing w:line="360" w:lineRule="auto"/>
        <w:ind w:left="284" w:hanging="284"/>
        <w:jc w:val="both"/>
        <w:rPr>
          <w:szCs w:val="18"/>
          <w:lang w:val="es-DO"/>
        </w:rPr>
      </w:pPr>
      <w:r w:rsidRPr="00923C52">
        <w:rPr>
          <w:szCs w:val="18"/>
          <w:lang w:val="es-DO"/>
        </w:rPr>
        <w:t>268 Para la selección de los candidatos idóneos fueron evaluados un total de 310 postulantes.</w:t>
      </w:r>
    </w:p>
    <w:p w:rsidR="000C09A0" w:rsidRPr="00923C52" w:rsidRDefault="000C09A0" w:rsidP="00BE1578">
      <w:pPr>
        <w:pStyle w:val="ListParagraph"/>
        <w:numPr>
          <w:ilvl w:val="0"/>
          <w:numId w:val="22"/>
        </w:numPr>
        <w:spacing w:line="360" w:lineRule="auto"/>
        <w:ind w:left="284" w:hanging="284"/>
        <w:jc w:val="both"/>
        <w:rPr>
          <w:szCs w:val="18"/>
          <w:lang w:val="es-DO"/>
        </w:rPr>
      </w:pPr>
      <w:r w:rsidRPr="00923C52">
        <w:rPr>
          <w:szCs w:val="18"/>
          <w:lang w:val="es-DO"/>
        </w:rPr>
        <w:t>76.00 solicitudes en tiempo record</w:t>
      </w:r>
    </w:p>
    <w:p w:rsidR="000C09A0" w:rsidRPr="00D12F4B" w:rsidRDefault="000C09A0" w:rsidP="004F5198">
      <w:pPr>
        <w:pStyle w:val="Heading4"/>
      </w:pPr>
      <w:r w:rsidRPr="00D12F4B">
        <w:t xml:space="preserve">Fiscalización y Control </w:t>
      </w:r>
    </w:p>
    <w:p w:rsidR="000C09A0" w:rsidRPr="00923C52" w:rsidRDefault="000C09A0" w:rsidP="00655735">
      <w:pPr>
        <w:spacing w:line="360" w:lineRule="auto"/>
        <w:jc w:val="both"/>
        <w:rPr>
          <w:szCs w:val="18"/>
        </w:rPr>
      </w:pPr>
      <w:r w:rsidRPr="00923C52">
        <w:rPr>
          <w:szCs w:val="18"/>
        </w:rPr>
        <w:t xml:space="preserve">Esta unidad tiene provee al INABIE de sistemas de fiscalización eficaces, que aseguren el cumplimiento de las políticas, leyes y reglamentos aplicables a la institución, mediante la realización de análisis y control de los procedimientos que faciliten la toma de decisiones, promoviendo así las buenas prácticas administrativas y financieras. </w:t>
      </w:r>
    </w:p>
    <w:p w:rsidR="000C09A0" w:rsidRPr="00923C52" w:rsidRDefault="000C09A0" w:rsidP="00655735">
      <w:pPr>
        <w:spacing w:line="360" w:lineRule="auto"/>
        <w:jc w:val="both"/>
        <w:rPr>
          <w:szCs w:val="18"/>
        </w:rPr>
      </w:pPr>
      <w:r w:rsidRPr="00923C52">
        <w:rPr>
          <w:szCs w:val="18"/>
        </w:rPr>
        <w:t xml:space="preserve">Este departamento mantuvo en funcionamiento la </w:t>
      </w:r>
      <w:r w:rsidRPr="00923C52">
        <w:rPr>
          <w:b/>
          <w:i/>
          <w:szCs w:val="18"/>
        </w:rPr>
        <w:t>División de Fiscalización de Transferencias a Centros Educativos</w:t>
      </w:r>
      <w:r w:rsidRPr="00923C52">
        <w:rPr>
          <w:szCs w:val="18"/>
        </w:rPr>
        <w:t xml:space="preserve">, analizando y controlando el uso de fondos transferidos a Centros Educativos de Jornada Escolar Extendida a nivel Nacional. Por su lado </w:t>
      </w:r>
      <w:r w:rsidRPr="00923C52">
        <w:rPr>
          <w:b/>
          <w:i/>
          <w:szCs w:val="18"/>
        </w:rPr>
        <w:t>la División de Control Financiero</w:t>
      </w:r>
      <w:r w:rsidRPr="00923C52">
        <w:rPr>
          <w:szCs w:val="18"/>
        </w:rPr>
        <w:t xml:space="preserve">, evaluó el cumplimiento de las normas administrativas y financieras establecidos en el INABIE.  </w:t>
      </w:r>
    </w:p>
    <w:p w:rsidR="000C09A0" w:rsidRPr="00923C52" w:rsidRDefault="000C09A0" w:rsidP="00655735">
      <w:pPr>
        <w:spacing w:line="360" w:lineRule="auto"/>
        <w:rPr>
          <w:szCs w:val="18"/>
        </w:rPr>
      </w:pPr>
      <w:r w:rsidRPr="00923C52">
        <w:rPr>
          <w:szCs w:val="18"/>
        </w:rPr>
        <w:t xml:space="preserve">Para 2020 se resaltan los siguientes logros para esta unidad: </w:t>
      </w:r>
    </w:p>
    <w:p w:rsidR="000C09A0" w:rsidRPr="00923C52" w:rsidRDefault="000C09A0" w:rsidP="00923C52">
      <w:pPr>
        <w:pStyle w:val="ListParagraph"/>
        <w:numPr>
          <w:ilvl w:val="0"/>
          <w:numId w:val="22"/>
        </w:numPr>
        <w:spacing w:line="360" w:lineRule="auto"/>
        <w:ind w:left="142" w:hanging="142"/>
        <w:jc w:val="both"/>
        <w:rPr>
          <w:szCs w:val="18"/>
          <w:lang w:val="es-DO"/>
        </w:rPr>
      </w:pPr>
      <w:r w:rsidRPr="00923C52">
        <w:rPr>
          <w:szCs w:val="18"/>
          <w:lang w:val="es-DO"/>
        </w:rPr>
        <w:lastRenderedPageBreak/>
        <w:t xml:space="preserve">867.00 Centros Educativos supervisados a través de la metodología </w:t>
      </w:r>
      <w:r w:rsidR="0092204B" w:rsidRPr="00923C52">
        <w:rPr>
          <w:szCs w:val="18"/>
          <w:lang w:val="es-DO"/>
        </w:rPr>
        <w:t>específica</w:t>
      </w:r>
      <w:r w:rsidRPr="00923C52">
        <w:rPr>
          <w:szCs w:val="18"/>
          <w:lang w:val="es-DO"/>
        </w:rPr>
        <w:t xml:space="preserve"> para validar la recepción de los productos y servicios ofrecidos por el INABIE a los centros educativos.</w:t>
      </w:r>
    </w:p>
    <w:p w:rsidR="000C09A0" w:rsidRPr="00923C52" w:rsidRDefault="000C09A0" w:rsidP="00923C52">
      <w:pPr>
        <w:pStyle w:val="ListParagraph"/>
        <w:numPr>
          <w:ilvl w:val="0"/>
          <w:numId w:val="22"/>
        </w:numPr>
        <w:spacing w:line="360" w:lineRule="auto"/>
        <w:ind w:left="142" w:hanging="142"/>
        <w:jc w:val="both"/>
        <w:rPr>
          <w:szCs w:val="18"/>
          <w:lang w:val="es-DO"/>
        </w:rPr>
      </w:pPr>
      <w:r w:rsidRPr="00923C52">
        <w:rPr>
          <w:szCs w:val="18"/>
          <w:lang w:val="es-DO"/>
        </w:rPr>
        <w:t>Relación de inventarios para mantener actualizado la relación de inventarios de activo fijo y Material de consumo.</w:t>
      </w:r>
    </w:p>
    <w:p w:rsidR="000C09A0" w:rsidRPr="00923C52" w:rsidRDefault="000C09A0" w:rsidP="00923C52">
      <w:pPr>
        <w:pStyle w:val="ListParagraph"/>
        <w:numPr>
          <w:ilvl w:val="0"/>
          <w:numId w:val="22"/>
        </w:numPr>
        <w:spacing w:line="360" w:lineRule="auto"/>
        <w:ind w:left="142" w:hanging="142"/>
        <w:jc w:val="both"/>
        <w:rPr>
          <w:szCs w:val="18"/>
          <w:lang w:val="es-DO"/>
        </w:rPr>
      </w:pPr>
      <w:r w:rsidRPr="00923C52">
        <w:rPr>
          <w:szCs w:val="18"/>
          <w:lang w:val="es-DO"/>
        </w:rPr>
        <w:t>Conciliación Bancaria con sus respectivos Informes sobre conciliación bancaria en el periodo Enero-Marzo 2020</w:t>
      </w:r>
    </w:p>
    <w:p w:rsidR="000C09A0" w:rsidRPr="00923C52" w:rsidRDefault="000C09A0" w:rsidP="00923C52">
      <w:pPr>
        <w:pStyle w:val="ListParagraph"/>
        <w:numPr>
          <w:ilvl w:val="0"/>
          <w:numId w:val="22"/>
        </w:numPr>
        <w:spacing w:line="360" w:lineRule="auto"/>
        <w:ind w:left="142" w:hanging="142"/>
        <w:jc w:val="both"/>
        <w:rPr>
          <w:szCs w:val="18"/>
          <w:lang w:val="es-DO"/>
        </w:rPr>
      </w:pPr>
      <w:r w:rsidRPr="00923C52">
        <w:rPr>
          <w:szCs w:val="18"/>
          <w:lang w:val="es-DO"/>
        </w:rPr>
        <w:t xml:space="preserve">6.00 capacitación para fortalecimiento académico con 2 maestrías, 2 Diplomados y 5 cursos-talleres. </w:t>
      </w:r>
    </w:p>
    <w:p w:rsidR="000C09A0" w:rsidRPr="00923C52" w:rsidRDefault="000C09A0" w:rsidP="00923C52">
      <w:pPr>
        <w:pStyle w:val="ListParagraph"/>
        <w:numPr>
          <w:ilvl w:val="0"/>
          <w:numId w:val="22"/>
        </w:numPr>
        <w:spacing w:line="360" w:lineRule="auto"/>
        <w:ind w:left="142" w:hanging="142"/>
        <w:jc w:val="both"/>
        <w:rPr>
          <w:szCs w:val="18"/>
          <w:lang w:val="es-DO"/>
        </w:rPr>
      </w:pPr>
      <w:r w:rsidRPr="00923C52">
        <w:rPr>
          <w:szCs w:val="18"/>
          <w:lang w:val="es-DO"/>
        </w:rPr>
        <w:t xml:space="preserve">Revisión de las políticas y procedimientos establecidos en las liquidaciones de fondos </w:t>
      </w:r>
      <w:proofErr w:type="spellStart"/>
      <w:r w:rsidRPr="00923C52">
        <w:rPr>
          <w:szCs w:val="18"/>
          <w:lang w:val="es-DO"/>
        </w:rPr>
        <w:t>reponibles</w:t>
      </w:r>
      <w:proofErr w:type="spellEnd"/>
      <w:r w:rsidRPr="00923C52">
        <w:rPr>
          <w:szCs w:val="18"/>
          <w:lang w:val="es-DO"/>
        </w:rPr>
        <w:t>.</w:t>
      </w:r>
    </w:p>
    <w:p w:rsidR="000C09A0" w:rsidRPr="00D12F4B" w:rsidRDefault="000C09A0" w:rsidP="004F5198">
      <w:pPr>
        <w:pStyle w:val="Heading4"/>
      </w:pPr>
      <w:r w:rsidRPr="00D12F4B">
        <w:t>Comunicaciones</w:t>
      </w:r>
    </w:p>
    <w:p w:rsidR="000C09A0" w:rsidRPr="00923C52" w:rsidRDefault="000C09A0" w:rsidP="00655735">
      <w:pPr>
        <w:spacing w:line="360" w:lineRule="auto"/>
        <w:rPr>
          <w:szCs w:val="18"/>
        </w:rPr>
      </w:pPr>
      <w:r w:rsidRPr="00923C52">
        <w:rPr>
          <w:szCs w:val="18"/>
        </w:rPr>
        <w:t xml:space="preserve">El INABIE logró definir, establecer y desarrollar canales de información que permitieron conocer a la comunidad en general el operar institucional en tiempos tan desafiantes como los actuales de la Pandemia COVID-19, a través de este Departamento. </w:t>
      </w:r>
    </w:p>
    <w:p w:rsidR="000C09A0" w:rsidRPr="00923C52" w:rsidRDefault="000C09A0" w:rsidP="00655735">
      <w:pPr>
        <w:spacing w:line="360" w:lineRule="auto"/>
        <w:rPr>
          <w:szCs w:val="18"/>
        </w:rPr>
      </w:pPr>
      <w:r w:rsidRPr="00923C52">
        <w:rPr>
          <w:szCs w:val="18"/>
        </w:rPr>
        <w:t xml:space="preserve">Las informaciones sobre los programas institucionales fueron suministradas en tiempo real y de manera oportuna al total de la población dominicana, a través de los diferentes medios de comunicación disponibles. </w:t>
      </w:r>
    </w:p>
    <w:p w:rsidR="000C09A0" w:rsidRPr="00923C52" w:rsidRDefault="000C09A0" w:rsidP="00655735">
      <w:pPr>
        <w:spacing w:line="360" w:lineRule="auto"/>
        <w:rPr>
          <w:szCs w:val="18"/>
        </w:rPr>
      </w:pPr>
      <w:r w:rsidRPr="00923C52">
        <w:rPr>
          <w:szCs w:val="18"/>
        </w:rPr>
        <w:t>Tanto la División de Relaciones Públicas, con la planificación y desarrollo de estrategias comunicacionales; como la División de Eventos y Protocolos lograron desarrollar acciones que se traducen en 2020 a:</w:t>
      </w:r>
    </w:p>
    <w:p w:rsidR="000C09A0" w:rsidRPr="00923C52" w:rsidRDefault="000C09A0" w:rsidP="00923C52">
      <w:pPr>
        <w:pStyle w:val="ListParagraph"/>
        <w:numPr>
          <w:ilvl w:val="0"/>
          <w:numId w:val="22"/>
        </w:numPr>
        <w:spacing w:line="360" w:lineRule="auto"/>
        <w:ind w:left="142" w:hanging="142"/>
        <w:jc w:val="both"/>
        <w:rPr>
          <w:szCs w:val="18"/>
          <w:lang w:val="es-DO"/>
        </w:rPr>
      </w:pPr>
      <w:r w:rsidRPr="00923C52">
        <w:rPr>
          <w:szCs w:val="18"/>
          <w:lang w:val="es-DO"/>
        </w:rPr>
        <w:t>20.00 publicaciones de un promedio de 20 notas de prensa en los medios de comunicación (escritos, televisivo, radiales, digitales y en las redes sociales del INABIE sobre los distintos programas que ejecuta el INABIE.</w:t>
      </w:r>
    </w:p>
    <w:p w:rsidR="000C09A0" w:rsidRPr="00923C52" w:rsidRDefault="000C09A0" w:rsidP="00923C52">
      <w:pPr>
        <w:pStyle w:val="ListParagraph"/>
        <w:numPr>
          <w:ilvl w:val="0"/>
          <w:numId w:val="22"/>
        </w:numPr>
        <w:spacing w:line="360" w:lineRule="auto"/>
        <w:ind w:left="142" w:hanging="142"/>
        <w:jc w:val="both"/>
        <w:rPr>
          <w:szCs w:val="18"/>
          <w:lang w:val="es-DO"/>
        </w:rPr>
      </w:pPr>
      <w:r w:rsidRPr="00923C52">
        <w:rPr>
          <w:szCs w:val="18"/>
          <w:lang w:val="es-DO"/>
        </w:rPr>
        <w:t>800.00 envío de un aproximado de 800 correos electrónicos internos, conteniendo la Síntesis Informativa y la Agenda INABIE 2020 y elaboración de análisis FODA de la síntesis informativa y el análisis estadístico comparativo de las informaciones que salen publicadas en los medios de comunicación ( edición escrita y digital) para ser colocadas en la memoria anual del Departamento de Comunicaciones.( El envío de la agenda , la cual varía de acuerdo a la cantidad de actividades que son reportadas por los diferentes departamentos;</w:t>
      </w:r>
    </w:p>
    <w:p w:rsidR="000C09A0" w:rsidRPr="00923C52" w:rsidRDefault="000C09A0" w:rsidP="00923C52">
      <w:pPr>
        <w:pStyle w:val="ListParagraph"/>
        <w:numPr>
          <w:ilvl w:val="0"/>
          <w:numId w:val="22"/>
        </w:numPr>
        <w:spacing w:line="360" w:lineRule="auto"/>
        <w:ind w:left="142" w:hanging="142"/>
        <w:jc w:val="both"/>
        <w:rPr>
          <w:szCs w:val="18"/>
          <w:lang w:val="es-DO"/>
        </w:rPr>
      </w:pPr>
      <w:r w:rsidRPr="00923C52">
        <w:rPr>
          <w:szCs w:val="18"/>
          <w:lang w:val="es-DO"/>
        </w:rPr>
        <w:t>150.00 Alrededor de 150 banners y videos colgados en las Redes Sociales (FACEBOOK, INSTAGRAM Y TWITTER);</w:t>
      </w:r>
    </w:p>
    <w:p w:rsidR="000C09A0" w:rsidRPr="00923C52" w:rsidRDefault="000C09A0" w:rsidP="00923C52">
      <w:pPr>
        <w:pStyle w:val="ListParagraph"/>
        <w:numPr>
          <w:ilvl w:val="0"/>
          <w:numId w:val="22"/>
        </w:numPr>
        <w:spacing w:line="360" w:lineRule="auto"/>
        <w:ind w:left="142" w:hanging="142"/>
        <w:jc w:val="both"/>
        <w:rPr>
          <w:szCs w:val="18"/>
          <w:lang w:val="es-DO"/>
        </w:rPr>
      </w:pPr>
      <w:r w:rsidRPr="00923C52">
        <w:rPr>
          <w:szCs w:val="18"/>
          <w:lang w:val="es-DO"/>
        </w:rPr>
        <w:t xml:space="preserve">Atención oportuna a todas las solicitudes de eventos, reuniones interinstitucionales e internas de la institución. </w:t>
      </w:r>
    </w:p>
    <w:p w:rsidR="000C09A0" w:rsidRDefault="00177456" w:rsidP="00BE1578">
      <w:pPr>
        <w:pStyle w:val="Heading3"/>
      </w:pPr>
      <w:bookmarkStart w:id="64" w:name="_Toc56366570"/>
      <w:bookmarkStart w:id="65" w:name="_Toc58597557"/>
      <w:r>
        <w:t>DIRECCIÓN ADMINISTRATIVA Y FINANCIERA</w:t>
      </w:r>
      <w:bookmarkEnd w:id="64"/>
      <w:bookmarkEnd w:id="65"/>
    </w:p>
    <w:p w:rsidR="000C09A0" w:rsidRPr="00D12F4B" w:rsidRDefault="000C09A0" w:rsidP="004F5198">
      <w:pPr>
        <w:pStyle w:val="Heading4"/>
      </w:pPr>
      <w:r w:rsidRPr="00D12F4B">
        <w:t xml:space="preserve">Sistema de compras y contrataciones </w:t>
      </w:r>
    </w:p>
    <w:p w:rsidR="000C09A0" w:rsidRPr="00923C52" w:rsidRDefault="000C09A0" w:rsidP="00FE7655">
      <w:pPr>
        <w:spacing w:line="360" w:lineRule="auto"/>
        <w:jc w:val="both"/>
        <w:rPr>
          <w:szCs w:val="18"/>
        </w:rPr>
      </w:pPr>
      <w:r w:rsidRPr="00923C52">
        <w:rPr>
          <w:szCs w:val="18"/>
        </w:rPr>
        <w:t xml:space="preserve">Para este año 2020 el Departamento dio respuesta a las solicitudes institucionales, atendiendo a los lineamientos de la Ley 340-06, a través de la División de Compras, la cual condujo procesos de </w:t>
      </w:r>
      <w:r w:rsidRPr="00923C52">
        <w:rPr>
          <w:szCs w:val="18"/>
        </w:rPr>
        <w:lastRenderedPageBreak/>
        <w:t xml:space="preserve">compras menores, directas y por comparación de precios y la División de Licitaciones, que atendió las compras por licitación pública nacional y licitación restringida. </w:t>
      </w:r>
    </w:p>
    <w:p w:rsidR="000C09A0" w:rsidRPr="00D12F4B" w:rsidRDefault="000C09A0" w:rsidP="004F5198">
      <w:pPr>
        <w:pStyle w:val="Heading4"/>
      </w:pPr>
      <w:r w:rsidRPr="00D12F4B">
        <w:t>Administrativo</w:t>
      </w:r>
    </w:p>
    <w:p w:rsidR="000C09A0" w:rsidRPr="00FE7655" w:rsidRDefault="000C09A0" w:rsidP="00FE7655">
      <w:pPr>
        <w:spacing w:line="360" w:lineRule="auto"/>
        <w:jc w:val="both"/>
        <w:rPr>
          <w:szCs w:val="18"/>
        </w:rPr>
      </w:pPr>
      <w:r w:rsidRPr="00FE7655">
        <w:rPr>
          <w:szCs w:val="18"/>
        </w:rPr>
        <w:t>El INABIE a través del Departamento Administrativo tuvo los siguientes resultados:</w:t>
      </w:r>
    </w:p>
    <w:p w:rsidR="000C09A0" w:rsidRPr="00FE7655" w:rsidRDefault="000C09A0" w:rsidP="00FE7655">
      <w:pPr>
        <w:spacing w:line="360" w:lineRule="auto"/>
        <w:jc w:val="both"/>
        <w:rPr>
          <w:szCs w:val="18"/>
        </w:rPr>
      </w:pPr>
      <w:r w:rsidRPr="00FE7655">
        <w:rPr>
          <w:szCs w:val="18"/>
        </w:rPr>
        <w:t>Inauguración de las nuevas instalaciones del INABIE, en fecha 30 de julio 2020, en el edificio Sede ubicado en la Avenida 27 de Febrero, número 559,</w:t>
      </w:r>
      <w:r w:rsidRPr="00FE7655">
        <w:rPr>
          <w:rFonts w:ascii="Calibri" w:hAnsi="Calibri" w:cs="Calibri"/>
          <w:szCs w:val="18"/>
        </w:rPr>
        <w:t> </w:t>
      </w:r>
      <w:r w:rsidRPr="00FE7655">
        <w:rPr>
          <w:szCs w:val="18"/>
        </w:rPr>
        <w:t xml:space="preserve">Sector </w:t>
      </w:r>
      <w:proofErr w:type="spellStart"/>
      <w:r w:rsidRPr="00FE7655">
        <w:rPr>
          <w:szCs w:val="18"/>
        </w:rPr>
        <w:t>Manganagua</w:t>
      </w:r>
      <w:proofErr w:type="spellEnd"/>
      <w:r w:rsidRPr="00FE7655">
        <w:rPr>
          <w:szCs w:val="18"/>
        </w:rPr>
        <w:t xml:space="preserve">, Santo Domingo, Distrito Nacional. Este edificio concentra 6 dependencias institucionales que anteriormente estaban dispersas en Santo Domingo, aumentando así la efectividad institucional en el desarrollo de gestiones administrativas y de servicios a los usuarios. </w:t>
      </w:r>
    </w:p>
    <w:p w:rsidR="000C09A0" w:rsidRPr="00FE7655" w:rsidRDefault="000C09A0" w:rsidP="00FE7655">
      <w:pPr>
        <w:spacing w:line="360" w:lineRule="auto"/>
        <w:jc w:val="both"/>
        <w:rPr>
          <w:szCs w:val="18"/>
        </w:rPr>
      </w:pPr>
      <w:r w:rsidRPr="00FE7655">
        <w:rPr>
          <w:szCs w:val="18"/>
        </w:rPr>
        <w:t xml:space="preserve">También se realizó el proceso de equipamiento de mobiliario y adecuación de todas las áreas de la institución para el adecuado funcionamiento de los mismos. </w:t>
      </w:r>
    </w:p>
    <w:p w:rsidR="000C09A0" w:rsidRPr="00FE7655" w:rsidRDefault="000C09A0" w:rsidP="00FE7655">
      <w:pPr>
        <w:spacing w:line="360" w:lineRule="auto"/>
        <w:jc w:val="both"/>
        <w:rPr>
          <w:szCs w:val="18"/>
        </w:rPr>
      </w:pPr>
      <w:r w:rsidRPr="00FE7655">
        <w:rPr>
          <w:szCs w:val="18"/>
        </w:rPr>
        <w:t>En 2020 se retomó el proceso de regionalización del INABIE, iniciando con 3 regionales a nivel nacional, 07 San Francisco de Macorís, 06 La Vega y 05 San Pedro de Macorís, con un presupuesto en mobiliario de RD$4, 056,597.09 e incluyendo los Distritos que dependerán de estas regionales.</w:t>
      </w:r>
    </w:p>
    <w:p w:rsidR="000C09A0" w:rsidRPr="00D12F4B" w:rsidRDefault="000C09A0" w:rsidP="004F5198">
      <w:pPr>
        <w:pStyle w:val="Heading4"/>
      </w:pPr>
      <w:r w:rsidRPr="00D12F4B">
        <w:t>Financiero</w:t>
      </w:r>
    </w:p>
    <w:p w:rsidR="000C09A0" w:rsidRPr="00FE7655" w:rsidRDefault="000C09A0" w:rsidP="00FE7655">
      <w:pPr>
        <w:spacing w:line="360" w:lineRule="auto"/>
        <w:jc w:val="both"/>
        <w:rPr>
          <w:szCs w:val="18"/>
        </w:rPr>
      </w:pPr>
      <w:r w:rsidRPr="00FE7655">
        <w:rPr>
          <w:szCs w:val="18"/>
        </w:rPr>
        <w:t>En medio de la situación sanitarias a la que se enfrenta el país, hemos logrado salir adelante y realizar los pagos a los proveedores de la institución, logrando efectuar 10,761 pagos a proveedores (libramientos emitidos) durante 2020.Las deudas institucionales con proveedores han disminuido en un 90%, Cuando iniciamos el año la institución tenía una deuda ascendente a $7,702,054,229.00, sin embargo al mes de Noviembre nuestra deuda actual asciende a $764,423,234.21 aproximadamente, para una reducción de un 90%.</w:t>
      </w:r>
    </w:p>
    <w:p w:rsidR="000C09A0" w:rsidRPr="00FE7655" w:rsidRDefault="000C09A0" w:rsidP="00FE7655">
      <w:pPr>
        <w:spacing w:line="360" w:lineRule="auto"/>
        <w:jc w:val="both"/>
        <w:rPr>
          <w:szCs w:val="18"/>
        </w:rPr>
      </w:pPr>
      <w:r w:rsidRPr="00FE7655">
        <w:rPr>
          <w:szCs w:val="18"/>
        </w:rPr>
        <w:t xml:space="preserve">El área financiera fue fortalecida con la contratación de 25 nuevos empleados para los procesos del área. </w:t>
      </w:r>
    </w:p>
    <w:p w:rsidR="000C09A0" w:rsidRPr="00FE7655" w:rsidRDefault="000C09A0" w:rsidP="00FE7655">
      <w:pPr>
        <w:spacing w:line="360" w:lineRule="auto"/>
        <w:jc w:val="both"/>
        <w:rPr>
          <w:szCs w:val="18"/>
        </w:rPr>
      </w:pPr>
      <w:r w:rsidRPr="00FE7655">
        <w:rPr>
          <w:szCs w:val="18"/>
        </w:rPr>
        <w:t xml:space="preserve">Con la intención de mejorar la eficiencia con la revisión y elaboración de los documentos de </w:t>
      </w:r>
      <w:r w:rsidR="0092204B" w:rsidRPr="00FE7655">
        <w:rPr>
          <w:szCs w:val="18"/>
        </w:rPr>
        <w:t>las juntas</w:t>
      </w:r>
      <w:r w:rsidRPr="00FE7655">
        <w:rPr>
          <w:szCs w:val="18"/>
        </w:rPr>
        <w:t xml:space="preserve"> de centros se realizaron 176 capacitaciones para Directores, contadores y Técnicos Regionales y Distritales de los centros que cocinan.</w:t>
      </w:r>
    </w:p>
    <w:p w:rsidR="000C09A0" w:rsidRPr="00FE7655" w:rsidRDefault="000C09A0" w:rsidP="00FE7655">
      <w:pPr>
        <w:spacing w:line="360" w:lineRule="auto"/>
        <w:jc w:val="both"/>
        <w:rPr>
          <w:szCs w:val="18"/>
        </w:rPr>
      </w:pPr>
      <w:r w:rsidRPr="00FE7655">
        <w:rPr>
          <w:szCs w:val="18"/>
        </w:rPr>
        <w:t xml:space="preserve">Se realizaron mejoras en los procesos de pagos que han impactado de manera positiva, ahorrando tiempo y eficiencia en la </w:t>
      </w:r>
      <w:r w:rsidR="0092204B" w:rsidRPr="00FE7655">
        <w:rPr>
          <w:szCs w:val="18"/>
        </w:rPr>
        <w:t>ejecución</w:t>
      </w:r>
      <w:r w:rsidRPr="00FE7655">
        <w:rPr>
          <w:szCs w:val="18"/>
        </w:rPr>
        <w:t xml:space="preserve"> de los pagos a los diferentes proveedores </w:t>
      </w:r>
      <w:r w:rsidR="0092204B" w:rsidRPr="00FE7655">
        <w:rPr>
          <w:szCs w:val="18"/>
        </w:rPr>
        <w:t>de este</w:t>
      </w:r>
      <w:r w:rsidRPr="00FE7655">
        <w:rPr>
          <w:szCs w:val="18"/>
        </w:rPr>
        <w:t xml:space="preserve"> Instituto.</w:t>
      </w:r>
    </w:p>
    <w:p w:rsidR="000C09A0" w:rsidRDefault="00177456" w:rsidP="00BE1578">
      <w:pPr>
        <w:pStyle w:val="Heading3"/>
      </w:pPr>
      <w:bookmarkStart w:id="66" w:name="_Toc56366571"/>
      <w:bookmarkStart w:id="67" w:name="_Toc58597558"/>
      <w:r>
        <w:t>DIRECCIÓN DE PLANIFICACIÓN Y DESARROLLO</w:t>
      </w:r>
      <w:bookmarkEnd w:id="66"/>
      <w:bookmarkEnd w:id="67"/>
      <w:r>
        <w:t xml:space="preserve"> </w:t>
      </w:r>
    </w:p>
    <w:p w:rsidR="000C09A0" w:rsidRPr="00D12F4B" w:rsidRDefault="000C09A0" w:rsidP="004F5198">
      <w:pPr>
        <w:pStyle w:val="Heading4"/>
      </w:pPr>
      <w:r w:rsidRPr="00D12F4B">
        <w:t>Formulación, Monitoreo y Evaluación de Planes, Programas y Proyectos</w:t>
      </w:r>
      <w:bookmarkEnd w:id="63"/>
      <w:r w:rsidRPr="00D12F4B">
        <w:t xml:space="preserve"> </w:t>
      </w:r>
    </w:p>
    <w:p w:rsidR="000C09A0" w:rsidRPr="00FE7655" w:rsidRDefault="000C09A0" w:rsidP="00FE7655">
      <w:pPr>
        <w:spacing w:line="360" w:lineRule="auto"/>
        <w:jc w:val="both"/>
        <w:rPr>
          <w:szCs w:val="18"/>
        </w:rPr>
      </w:pPr>
      <w:r w:rsidRPr="00FE7655">
        <w:rPr>
          <w:szCs w:val="18"/>
        </w:rPr>
        <w:t xml:space="preserve">Desde esta área se logró coordinar y conducir con los actores institucionales los procesos de formulación tanto del POA 2021 y Plan Estratégico Institucional (PEI) 2021/2024. En paralelo se mantuvo el Monitoreo de todas las actividades institucionales, con la generación de los respectivos informes mensuales, trimestrales y semestrales, para insumo tanto de las áreas Directivas </w:t>
      </w:r>
      <w:r w:rsidRPr="00FE7655">
        <w:rPr>
          <w:szCs w:val="18"/>
        </w:rPr>
        <w:lastRenderedPageBreak/>
        <w:t>Institucionales como de los Órganos rectores, demandantes de estas informaciones. También se realizaron las evaluaciones y análisis estadísticos pertinentes para identificación de resultados e impactos de los programas instituciones.</w:t>
      </w:r>
    </w:p>
    <w:p w:rsidR="000C09A0" w:rsidRPr="00FE7655" w:rsidRDefault="000C09A0" w:rsidP="00FE7655">
      <w:pPr>
        <w:spacing w:line="360" w:lineRule="auto"/>
        <w:jc w:val="both"/>
        <w:rPr>
          <w:szCs w:val="18"/>
        </w:rPr>
      </w:pPr>
      <w:r w:rsidRPr="00FE7655">
        <w:rPr>
          <w:szCs w:val="18"/>
        </w:rPr>
        <w:t>A nivel de resultados e impactos para el año 2020 se ejecutaron 2 talleres para el fortalecimiento de capacidades en formulación y monitoreo de POA y Presupuesto, permitiendo el registro oportuno del presupuesto en el Sistema de DIGEPRES y del POA en el Sistema MINERD, logrando cumplir el 100% de la meta programada.</w:t>
      </w:r>
    </w:p>
    <w:p w:rsidR="000C09A0" w:rsidRPr="00FE7655" w:rsidRDefault="000C09A0" w:rsidP="00FE7655">
      <w:pPr>
        <w:spacing w:line="360" w:lineRule="auto"/>
        <w:jc w:val="both"/>
        <w:rPr>
          <w:szCs w:val="18"/>
        </w:rPr>
      </w:pPr>
      <w:r w:rsidRPr="00FE7655">
        <w:rPr>
          <w:szCs w:val="18"/>
        </w:rPr>
        <w:t>Se elaboró y publicó de manera oportuna el Informe de Monitoreo del POA de Medio Término.</w:t>
      </w:r>
    </w:p>
    <w:p w:rsidR="000C09A0" w:rsidRPr="00FE7655" w:rsidRDefault="000C09A0" w:rsidP="00FE7655">
      <w:pPr>
        <w:spacing w:line="360" w:lineRule="auto"/>
        <w:jc w:val="both"/>
        <w:rPr>
          <w:szCs w:val="18"/>
        </w:rPr>
      </w:pPr>
      <w:r w:rsidRPr="00FE7655">
        <w:rPr>
          <w:szCs w:val="18"/>
        </w:rPr>
        <w:t>Se logró un 60% de avance en la elaboración del Plan Estratégico Institucional 2021-2024, logrando 2 productos de 3 programados, y teniendo que detener los trabajos debido a la Pandemia COVID-19.</w:t>
      </w:r>
    </w:p>
    <w:p w:rsidR="000C09A0" w:rsidRPr="00FE7655" w:rsidRDefault="000C09A0" w:rsidP="00FE7655">
      <w:pPr>
        <w:spacing w:line="360" w:lineRule="auto"/>
        <w:jc w:val="both"/>
        <w:rPr>
          <w:szCs w:val="18"/>
        </w:rPr>
      </w:pPr>
      <w:r w:rsidRPr="00FE7655">
        <w:rPr>
          <w:szCs w:val="18"/>
        </w:rPr>
        <w:t xml:space="preserve">Se logró la puesta en funcionamiento de un Sistema de Gestión de Base de Datos de todos los programas institucionales, con 8 módulos que permiten el registro de todos los beneficiarios, intervenciones y datos de salida resultantes de cada programa. </w:t>
      </w:r>
    </w:p>
    <w:p w:rsidR="000C09A0" w:rsidRPr="00FE7655" w:rsidRDefault="000C09A0" w:rsidP="00FE7655">
      <w:pPr>
        <w:spacing w:line="360" w:lineRule="auto"/>
        <w:jc w:val="both"/>
        <w:rPr>
          <w:szCs w:val="18"/>
        </w:rPr>
      </w:pPr>
      <w:r w:rsidRPr="00FE7655">
        <w:rPr>
          <w:szCs w:val="18"/>
        </w:rPr>
        <w:t xml:space="preserve">Se logró insertar 23 unidades ejecutoras en el Sistema de Monitoreo Institucional del INABIE. </w:t>
      </w:r>
    </w:p>
    <w:p w:rsidR="000C09A0" w:rsidRPr="00FE7655" w:rsidRDefault="000C09A0" w:rsidP="00FE7655">
      <w:pPr>
        <w:spacing w:line="360" w:lineRule="auto"/>
        <w:jc w:val="both"/>
        <w:rPr>
          <w:szCs w:val="18"/>
        </w:rPr>
      </w:pPr>
      <w:r w:rsidRPr="00FE7655">
        <w:rPr>
          <w:szCs w:val="18"/>
        </w:rPr>
        <w:t xml:space="preserve">Se realizó el </w:t>
      </w:r>
      <w:proofErr w:type="spellStart"/>
      <w:r w:rsidR="0092204B" w:rsidRPr="00FE7655">
        <w:rPr>
          <w:szCs w:val="18"/>
        </w:rPr>
        <w:t>costeo</w:t>
      </w:r>
      <w:proofErr w:type="spellEnd"/>
      <w:r w:rsidRPr="00FE7655">
        <w:rPr>
          <w:szCs w:val="18"/>
        </w:rPr>
        <w:t xml:space="preserve"> para la Canasta de Alimentación Escolar y el Programa de Utilería Escolar. </w:t>
      </w:r>
    </w:p>
    <w:p w:rsidR="000C09A0" w:rsidRPr="00FE7655" w:rsidRDefault="000C09A0" w:rsidP="00FE7655">
      <w:pPr>
        <w:spacing w:line="360" w:lineRule="auto"/>
        <w:jc w:val="both"/>
        <w:rPr>
          <w:szCs w:val="18"/>
        </w:rPr>
      </w:pPr>
      <w:r w:rsidRPr="00FE7655">
        <w:rPr>
          <w:szCs w:val="18"/>
        </w:rPr>
        <w:t xml:space="preserve">Se hizo entrega satisfactoriamente con los plazos establecidos de los Datos de Beneficiarios Asistenciales, que alimentan el portal de Datos Abiertos, exigidos por la DIGEIG. </w:t>
      </w:r>
    </w:p>
    <w:p w:rsidR="000C09A0" w:rsidRPr="00D12F4B" w:rsidRDefault="000C09A0" w:rsidP="004F5198">
      <w:pPr>
        <w:pStyle w:val="Heading4"/>
      </w:pPr>
      <w:bookmarkStart w:id="68" w:name="_Toc26394689"/>
      <w:r w:rsidRPr="00D12F4B">
        <w:t>Desarrollo Institucional y Gestión de la Calidad</w:t>
      </w:r>
      <w:bookmarkEnd w:id="68"/>
    </w:p>
    <w:p w:rsidR="000C09A0" w:rsidRPr="00FE7655" w:rsidRDefault="000C09A0" w:rsidP="00FE7655">
      <w:pPr>
        <w:spacing w:line="360" w:lineRule="auto"/>
        <w:jc w:val="both"/>
        <w:rPr>
          <w:szCs w:val="18"/>
        </w:rPr>
      </w:pPr>
      <w:r w:rsidRPr="00FE7655">
        <w:rPr>
          <w:szCs w:val="18"/>
        </w:rPr>
        <w:t xml:space="preserve">En el año 2020, el INABIE ha logrado calificaciones altas en cuanto a los indicadores de gestión basados en las normas establecidas por el gobierno dominicano para monitorear y estandarizar la gestión pública y brindar servicios eficientes a los ciudadanos y las ciudadanas, a </w:t>
      </w:r>
      <w:r w:rsidR="0092204B" w:rsidRPr="00FE7655">
        <w:rPr>
          <w:szCs w:val="18"/>
        </w:rPr>
        <w:t>continuación,</w:t>
      </w:r>
      <w:r w:rsidRPr="00FE7655">
        <w:rPr>
          <w:szCs w:val="18"/>
        </w:rPr>
        <w:t xml:space="preserve"> resumen en la aplicación de las mismas. </w:t>
      </w:r>
    </w:p>
    <w:p w:rsidR="000C09A0" w:rsidRPr="004F5198" w:rsidRDefault="000C09A0" w:rsidP="00D12F4B">
      <w:pPr>
        <w:rPr>
          <w:lang w:val="es-MX"/>
        </w:rPr>
      </w:pPr>
      <w:r w:rsidRPr="004F5198">
        <w:rPr>
          <w:lang w:val="es-MX"/>
        </w:rPr>
        <w:t xml:space="preserve">Indicadores de gestión al cierre 2019.- </w:t>
      </w:r>
    </w:p>
    <w:tbl>
      <w:tblPr>
        <w:tblW w:w="8330" w:type="dxa"/>
        <w:jc w:val="center"/>
        <w:tblLook w:val="04A0" w:firstRow="1" w:lastRow="0" w:firstColumn="1" w:lastColumn="0" w:noHBand="0" w:noVBand="1"/>
      </w:tblPr>
      <w:tblGrid>
        <w:gridCol w:w="2079"/>
        <w:gridCol w:w="1431"/>
        <w:gridCol w:w="1561"/>
        <w:gridCol w:w="141"/>
        <w:gridCol w:w="3118"/>
      </w:tblGrid>
      <w:tr w:rsidR="000C09A0" w:rsidRPr="00F03025" w:rsidTr="00ED4884">
        <w:trPr>
          <w:trHeight w:val="20"/>
          <w:jc w:val="center"/>
        </w:trPr>
        <w:tc>
          <w:tcPr>
            <w:tcW w:w="2079" w:type="dxa"/>
            <w:shd w:val="clear" w:color="auto" w:fill="CEDAC4"/>
            <w:vAlign w:val="center"/>
          </w:tcPr>
          <w:p w:rsidR="000C09A0" w:rsidRPr="00923C52" w:rsidRDefault="003B0837" w:rsidP="00ED4884">
            <w:pPr>
              <w:spacing w:before="240"/>
              <w:jc w:val="center"/>
              <w:rPr>
                <w:sz w:val="24"/>
              </w:rPr>
            </w:pPr>
            <w:r w:rsidRPr="00923C52">
              <w:rPr>
                <w:sz w:val="24"/>
              </w:rPr>
              <w:t>93</w:t>
            </w:r>
            <w:r w:rsidR="000C09A0" w:rsidRPr="00923C52">
              <w:rPr>
                <w:sz w:val="24"/>
              </w:rPr>
              <w:t>%</w:t>
            </w:r>
          </w:p>
        </w:tc>
        <w:tc>
          <w:tcPr>
            <w:tcW w:w="1431" w:type="dxa"/>
            <w:shd w:val="clear" w:color="auto" w:fill="CEDAC4"/>
            <w:vAlign w:val="center"/>
          </w:tcPr>
          <w:p w:rsidR="000C09A0" w:rsidRPr="00923C52" w:rsidRDefault="000C09A0" w:rsidP="00ED4884">
            <w:pPr>
              <w:spacing w:before="240"/>
              <w:jc w:val="center"/>
              <w:rPr>
                <w:sz w:val="24"/>
              </w:rPr>
            </w:pPr>
            <w:r w:rsidRPr="00923C52">
              <w:rPr>
                <w:sz w:val="24"/>
              </w:rPr>
              <w:t>85.79%</w:t>
            </w:r>
          </w:p>
        </w:tc>
        <w:tc>
          <w:tcPr>
            <w:tcW w:w="1702" w:type="dxa"/>
            <w:gridSpan w:val="2"/>
            <w:shd w:val="clear" w:color="auto" w:fill="CEDAC4"/>
            <w:vAlign w:val="center"/>
          </w:tcPr>
          <w:p w:rsidR="000C09A0" w:rsidRPr="00923C52" w:rsidRDefault="000C09A0" w:rsidP="00ED4884">
            <w:pPr>
              <w:spacing w:before="240"/>
              <w:jc w:val="center"/>
              <w:rPr>
                <w:sz w:val="24"/>
              </w:rPr>
            </w:pPr>
            <w:r w:rsidRPr="00923C52">
              <w:rPr>
                <w:sz w:val="24"/>
              </w:rPr>
              <w:t>89.75%</w:t>
            </w:r>
          </w:p>
        </w:tc>
        <w:tc>
          <w:tcPr>
            <w:tcW w:w="3118" w:type="dxa"/>
            <w:shd w:val="clear" w:color="auto" w:fill="CEDAC4"/>
            <w:vAlign w:val="center"/>
          </w:tcPr>
          <w:p w:rsidR="000C09A0" w:rsidRPr="00923C52" w:rsidRDefault="000C09A0" w:rsidP="00ED4884">
            <w:pPr>
              <w:spacing w:before="240"/>
              <w:jc w:val="center"/>
              <w:rPr>
                <w:sz w:val="24"/>
              </w:rPr>
            </w:pPr>
            <w:r w:rsidRPr="00923C52">
              <w:rPr>
                <w:sz w:val="24"/>
              </w:rPr>
              <w:t>89.98%       93%</w:t>
            </w:r>
          </w:p>
        </w:tc>
      </w:tr>
      <w:tr w:rsidR="000C09A0" w:rsidRPr="00F03025" w:rsidTr="00FE7655">
        <w:trPr>
          <w:jc w:val="center"/>
        </w:trPr>
        <w:tc>
          <w:tcPr>
            <w:tcW w:w="2079" w:type="dxa"/>
            <w:shd w:val="clear" w:color="auto" w:fill="auto"/>
          </w:tcPr>
          <w:p w:rsidR="000C09A0" w:rsidRPr="00923C52" w:rsidRDefault="000C09A0" w:rsidP="00FE7655">
            <w:pPr>
              <w:jc w:val="center"/>
              <w:rPr>
                <w:sz w:val="22"/>
              </w:rPr>
            </w:pPr>
            <w:r w:rsidRPr="00923C52">
              <w:rPr>
                <w:sz w:val="22"/>
              </w:rPr>
              <w:t>Índice de  Transparencia</w:t>
            </w:r>
          </w:p>
        </w:tc>
        <w:tc>
          <w:tcPr>
            <w:tcW w:w="1431" w:type="dxa"/>
            <w:shd w:val="clear" w:color="auto" w:fill="auto"/>
          </w:tcPr>
          <w:p w:rsidR="000C09A0" w:rsidRPr="00923C52" w:rsidRDefault="000C09A0" w:rsidP="00FE7655">
            <w:pPr>
              <w:jc w:val="center"/>
              <w:rPr>
                <w:sz w:val="22"/>
              </w:rPr>
            </w:pPr>
            <w:proofErr w:type="spellStart"/>
            <w:r w:rsidRPr="00923C52">
              <w:rPr>
                <w:sz w:val="22"/>
              </w:rPr>
              <w:t>SISTICge</w:t>
            </w:r>
            <w:proofErr w:type="spellEnd"/>
          </w:p>
        </w:tc>
        <w:tc>
          <w:tcPr>
            <w:tcW w:w="1561" w:type="dxa"/>
            <w:shd w:val="clear" w:color="auto" w:fill="auto"/>
          </w:tcPr>
          <w:p w:rsidR="000C09A0" w:rsidRPr="00923C52" w:rsidRDefault="000C09A0" w:rsidP="00FE7655">
            <w:pPr>
              <w:jc w:val="center"/>
              <w:rPr>
                <w:sz w:val="22"/>
              </w:rPr>
            </w:pPr>
            <w:r w:rsidRPr="00923C52">
              <w:rPr>
                <w:noProof/>
                <w:sz w:val="22"/>
                <w:lang w:eastAsia="es-DO"/>
              </w:rPr>
              <w:drawing>
                <wp:inline distT="0" distB="0" distL="0" distR="0" wp14:anchorId="311AA250" wp14:editId="65D194F4">
                  <wp:extent cx="664210" cy="32702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210" cy="327025"/>
                          </a:xfrm>
                          <a:prstGeom prst="rect">
                            <a:avLst/>
                          </a:prstGeom>
                          <a:noFill/>
                          <a:ln>
                            <a:noFill/>
                          </a:ln>
                        </pic:spPr>
                      </pic:pic>
                    </a:graphicData>
                  </a:graphic>
                </wp:inline>
              </w:drawing>
            </w:r>
          </w:p>
        </w:tc>
        <w:tc>
          <w:tcPr>
            <w:tcW w:w="3259" w:type="dxa"/>
            <w:gridSpan w:val="2"/>
            <w:shd w:val="clear" w:color="auto" w:fill="auto"/>
          </w:tcPr>
          <w:p w:rsidR="000C09A0" w:rsidRPr="00923C52" w:rsidRDefault="000C09A0" w:rsidP="00FE7655">
            <w:pPr>
              <w:jc w:val="center"/>
              <w:rPr>
                <w:sz w:val="22"/>
              </w:rPr>
            </w:pPr>
            <w:r w:rsidRPr="00923C52">
              <w:rPr>
                <w:sz w:val="22"/>
              </w:rPr>
              <w:t>NOBACI          Gestión Presupuestaria</w:t>
            </w:r>
          </w:p>
        </w:tc>
      </w:tr>
    </w:tbl>
    <w:p w:rsidR="000C09A0" w:rsidRPr="00923C52" w:rsidRDefault="00B3725E" w:rsidP="00FE7655">
      <w:pPr>
        <w:rPr>
          <w:szCs w:val="18"/>
          <w:shd w:val="clear" w:color="auto" w:fill="FFFFFF"/>
        </w:rPr>
      </w:pPr>
      <w:r w:rsidRPr="00923C52">
        <w:rPr>
          <w:szCs w:val="18"/>
          <w:shd w:val="clear" w:color="auto" w:fill="FFFFFF"/>
        </w:rPr>
        <w:t xml:space="preserve">Nota: Hasta las nuevas mediciones de Diciembre 2020, estos son los indicadores vigentes. </w:t>
      </w:r>
    </w:p>
    <w:p w:rsidR="00152BB9" w:rsidRDefault="00152BB9" w:rsidP="00FE7655">
      <w:pPr>
        <w:spacing w:line="360" w:lineRule="auto"/>
        <w:jc w:val="both"/>
        <w:rPr>
          <w:szCs w:val="18"/>
        </w:rPr>
      </w:pPr>
    </w:p>
    <w:p w:rsidR="000C09A0" w:rsidRPr="00923C52" w:rsidRDefault="000C09A0" w:rsidP="00FE7655">
      <w:pPr>
        <w:spacing w:line="360" w:lineRule="auto"/>
        <w:jc w:val="both"/>
        <w:rPr>
          <w:szCs w:val="18"/>
        </w:rPr>
      </w:pPr>
      <w:r w:rsidRPr="00923C52">
        <w:rPr>
          <w:szCs w:val="18"/>
        </w:rPr>
        <w:t xml:space="preserve">El INABIE se encuentra en la Posición 39 de 184 instituciones que conforman el Sistema de Monitoreo de la Administración Pública (SISMAP), con una puntuación de 89,75%. Esto es debido a la realización del Autodiagnóstico Institucional CAF, el Plan de Mejora CAF y la estandarización de procesos de gestión, elaboración de manuales de funciones, manuales de procesos y aprobación </w:t>
      </w:r>
      <w:r w:rsidRPr="00923C52">
        <w:rPr>
          <w:szCs w:val="18"/>
        </w:rPr>
        <w:lastRenderedPageBreak/>
        <w:t xml:space="preserve">de la estructura organizacional, así como el desarrollo de planes y diagnósticos de Recursos Humanos, implementación del plan de capacitación, cierre del plan de mejora del clima organizacional. El INABIE se encuentra en la Posición 85 de 189 instituciones que conforman el Sistema de Monitoreo de la Administración Pública (SISMAP). </w:t>
      </w:r>
    </w:p>
    <w:p w:rsidR="000C09A0" w:rsidRPr="00655735" w:rsidRDefault="000C09A0" w:rsidP="00FE7655">
      <w:pPr>
        <w:spacing w:line="360" w:lineRule="auto"/>
        <w:jc w:val="both"/>
        <w:rPr>
          <w:shd w:val="clear" w:color="auto" w:fill="FFFFFF"/>
        </w:rPr>
      </w:pPr>
      <w:r w:rsidRPr="00923C52">
        <w:rPr>
          <w:shd w:val="clear" w:color="auto" w:fill="FFFFFF"/>
        </w:rPr>
        <w:t xml:space="preserve">El proceso de implementación de las Normas Básicas de Control Interno (NOBACI), iniciado </w:t>
      </w:r>
      <w:r w:rsidRPr="00655735">
        <w:rPr>
          <w:shd w:val="clear" w:color="auto" w:fill="FFFFFF"/>
        </w:rPr>
        <w:t>en octubre del 2017 con una puntuación de 13.77%, a noviembre del 2020 hemos dado cumplimiento al 89,98% de los indicadores establecidos en dichas normas.</w:t>
      </w:r>
    </w:p>
    <w:p w:rsidR="000C09A0" w:rsidRPr="00923C52" w:rsidRDefault="000C09A0" w:rsidP="00FE7655">
      <w:pPr>
        <w:spacing w:line="360" w:lineRule="auto"/>
        <w:jc w:val="both"/>
        <w:rPr>
          <w:shd w:val="clear" w:color="auto" w:fill="FFFFFF"/>
        </w:rPr>
      </w:pPr>
      <w:r w:rsidRPr="00923C52">
        <w:rPr>
          <w:shd w:val="clear" w:color="auto" w:fill="FFFFFF"/>
        </w:rPr>
        <w:t xml:space="preserve">El INABIE se encuentra en la posición No. 59 de 277 del ranking del “Índice de Uso de TIC e Implementación de e-Gobierno” (SISTICGE), con una puntuación de 85,79%. Esta herramienta mide y evalúa las instituciones del Estado dominicano en iniciativas TIC a través de cuatro componentes: </w:t>
      </w:r>
    </w:p>
    <w:p w:rsidR="000C09A0" w:rsidRPr="004F5198" w:rsidRDefault="000C09A0" w:rsidP="004F5198">
      <w:pPr>
        <w:pStyle w:val="ListParagraph"/>
        <w:numPr>
          <w:ilvl w:val="0"/>
          <w:numId w:val="22"/>
        </w:numPr>
        <w:spacing w:line="360" w:lineRule="auto"/>
        <w:ind w:left="142" w:hanging="142"/>
        <w:jc w:val="both"/>
        <w:rPr>
          <w:szCs w:val="18"/>
          <w:lang w:val="es-DO"/>
        </w:rPr>
      </w:pPr>
      <w:r w:rsidRPr="004F5198">
        <w:rPr>
          <w:szCs w:val="18"/>
          <w:lang w:val="es-DO"/>
        </w:rPr>
        <w:t xml:space="preserve">Uso de las TIC </w:t>
      </w:r>
    </w:p>
    <w:p w:rsidR="000C09A0" w:rsidRPr="004F5198" w:rsidRDefault="000C09A0" w:rsidP="004F5198">
      <w:pPr>
        <w:pStyle w:val="ListParagraph"/>
        <w:numPr>
          <w:ilvl w:val="0"/>
          <w:numId w:val="22"/>
        </w:numPr>
        <w:spacing w:line="360" w:lineRule="auto"/>
        <w:ind w:left="142" w:hanging="142"/>
        <w:jc w:val="both"/>
        <w:rPr>
          <w:szCs w:val="18"/>
          <w:lang w:val="es-DO"/>
        </w:rPr>
      </w:pPr>
      <w:r w:rsidRPr="004F5198">
        <w:rPr>
          <w:szCs w:val="18"/>
          <w:lang w:val="es-DO"/>
        </w:rPr>
        <w:t>Implementación de Gobierno Electrónico</w:t>
      </w:r>
    </w:p>
    <w:p w:rsidR="000C09A0" w:rsidRPr="004F5198" w:rsidRDefault="000C09A0" w:rsidP="004F5198">
      <w:pPr>
        <w:pStyle w:val="ListParagraph"/>
        <w:numPr>
          <w:ilvl w:val="0"/>
          <w:numId w:val="22"/>
        </w:numPr>
        <w:spacing w:line="360" w:lineRule="auto"/>
        <w:ind w:left="142" w:hanging="142"/>
        <w:jc w:val="both"/>
        <w:rPr>
          <w:szCs w:val="18"/>
          <w:lang w:val="es-DO"/>
        </w:rPr>
      </w:pPr>
      <w:r w:rsidRPr="004F5198">
        <w:rPr>
          <w:szCs w:val="18"/>
          <w:lang w:val="es-DO"/>
        </w:rPr>
        <w:t xml:space="preserve">Gobierno abierto y participación de la ciudadanía </w:t>
      </w:r>
    </w:p>
    <w:p w:rsidR="000C09A0" w:rsidRPr="004F5198" w:rsidRDefault="000C09A0" w:rsidP="004F5198">
      <w:pPr>
        <w:pStyle w:val="ListParagraph"/>
        <w:numPr>
          <w:ilvl w:val="0"/>
          <w:numId w:val="22"/>
        </w:numPr>
        <w:spacing w:line="360" w:lineRule="auto"/>
        <w:ind w:left="142" w:hanging="142"/>
        <w:jc w:val="both"/>
        <w:rPr>
          <w:szCs w:val="18"/>
          <w:lang w:val="es-DO"/>
        </w:rPr>
      </w:pPr>
      <w:r w:rsidRPr="004F5198">
        <w:rPr>
          <w:szCs w:val="18"/>
          <w:lang w:val="es-DO"/>
        </w:rPr>
        <w:t>Desarrollo de servicios en línea.</w:t>
      </w:r>
    </w:p>
    <w:p w:rsidR="000C09A0" w:rsidRPr="00923C52" w:rsidRDefault="000C09A0" w:rsidP="00FE7655">
      <w:pPr>
        <w:spacing w:line="360" w:lineRule="auto"/>
        <w:jc w:val="both"/>
        <w:rPr>
          <w:shd w:val="clear" w:color="auto" w:fill="FFFFFF"/>
        </w:rPr>
      </w:pPr>
      <w:r w:rsidRPr="00923C52">
        <w:rPr>
          <w:shd w:val="clear" w:color="auto" w:fill="FFFFFF"/>
        </w:rPr>
        <w:t>Han sido identificados, levantados y aprobados los distintos documentos que apoyan la operatividad de los departamentos y direcciones de la Instituto, contribuyendo a la institucionalidad y fortalecimiento de la Organización y sus servicios.</w:t>
      </w:r>
    </w:p>
    <w:p w:rsidR="000C09A0" w:rsidRPr="00923C52" w:rsidRDefault="000C09A0" w:rsidP="00FE7655">
      <w:pPr>
        <w:spacing w:line="360" w:lineRule="auto"/>
        <w:jc w:val="both"/>
      </w:pPr>
      <w:r w:rsidRPr="00923C52">
        <w:t xml:space="preserve">Otro logro importante de 2020 es la automatización de los procesos de 3 procedimientos de 4 que habían programadas. También se logró </w:t>
      </w:r>
      <w:r w:rsidR="0092204B" w:rsidRPr="00923C52">
        <w:t>un avance</w:t>
      </w:r>
      <w:r w:rsidRPr="00923C52">
        <w:t xml:space="preserve"> de 60% en la actualización del Manual de Funciones alineado a la estructura organizacional del INABIE acorde a los nuevos cambios institucionales. </w:t>
      </w:r>
    </w:p>
    <w:p w:rsidR="000C09A0" w:rsidRPr="004F5198" w:rsidRDefault="000C09A0" w:rsidP="004F5198">
      <w:pPr>
        <w:pStyle w:val="Heading4"/>
      </w:pPr>
      <w:r w:rsidRPr="004F5198">
        <w:t>Cooperación Internacional</w:t>
      </w:r>
    </w:p>
    <w:p w:rsidR="000C09A0" w:rsidRPr="00655735" w:rsidRDefault="000C09A0" w:rsidP="00D12F4B">
      <w:pPr>
        <w:spacing w:line="360" w:lineRule="auto"/>
        <w:jc w:val="both"/>
      </w:pPr>
      <w:r w:rsidRPr="00655735">
        <w:t xml:space="preserve">Este Departamento, coordinó la gestión de recursos financieros y técnicos para apoyar los programas y proyectos institucionales, a través del Sistema de oficiales y privado. </w:t>
      </w:r>
    </w:p>
    <w:p w:rsidR="000C09A0" w:rsidRPr="00D12F4B" w:rsidRDefault="000C09A0" w:rsidP="00D12F4B">
      <w:pPr>
        <w:spacing w:line="360" w:lineRule="auto"/>
        <w:jc w:val="both"/>
      </w:pPr>
      <w:r w:rsidRPr="00D12F4B">
        <w:t xml:space="preserve">En el año 2020 el INABIE, suscribió los siguientes acuerdos: </w:t>
      </w:r>
    </w:p>
    <w:p w:rsidR="000C09A0" w:rsidRPr="00FE7655" w:rsidRDefault="000C09A0" w:rsidP="00D12F4B">
      <w:pPr>
        <w:spacing w:line="360" w:lineRule="auto"/>
        <w:jc w:val="both"/>
      </w:pPr>
      <w:r w:rsidRPr="00FE7655">
        <w:t xml:space="preserve">Acuerdo Reglamento de Gobernanza para implementación del Proyecto CALAGRO; </w:t>
      </w:r>
    </w:p>
    <w:p w:rsidR="000C09A0" w:rsidRPr="00FE7655" w:rsidRDefault="000C09A0" w:rsidP="00D12F4B">
      <w:pPr>
        <w:spacing w:line="360" w:lineRule="auto"/>
        <w:jc w:val="both"/>
      </w:pPr>
      <w:r w:rsidRPr="00FE7655">
        <w:t>Inventario de Activos para Cesión en Usufructo para el Proyecto CALAGRO;</w:t>
      </w:r>
    </w:p>
    <w:p w:rsidR="000C09A0" w:rsidRPr="00FE7655" w:rsidRDefault="000C09A0" w:rsidP="00D12F4B">
      <w:pPr>
        <w:spacing w:line="360" w:lineRule="auto"/>
        <w:jc w:val="both"/>
      </w:pPr>
      <w:r w:rsidRPr="00FE7655">
        <w:t xml:space="preserve">Acta de entrega del Centro Asociativo de Logística Agroalimentaria CALAGRO. </w:t>
      </w:r>
    </w:p>
    <w:p w:rsidR="00FB2DA4" w:rsidRPr="004F5198" w:rsidRDefault="00FB2DA4" w:rsidP="004F5198">
      <w:pPr>
        <w:pStyle w:val="Heading4"/>
      </w:pPr>
      <w:r w:rsidRPr="004F5198">
        <w:t>Donaciones captadas</w:t>
      </w:r>
    </w:p>
    <w:p w:rsidR="00FB2DA4" w:rsidRPr="00FE7655" w:rsidRDefault="00FB2DA4" w:rsidP="00FE7655">
      <w:pPr>
        <w:spacing w:line="360" w:lineRule="auto"/>
        <w:jc w:val="both"/>
      </w:pPr>
      <w:r w:rsidRPr="00FE7655">
        <w:t xml:space="preserve">En el 2020 el INABIE recibió donaciones en especie (asistencia técnica e insumos para los programas) por un monto de RD$ 3,353,260.00, que fueron gestionados a través del Departamento de Cooperación Internacional, para el proyecto PAE Sostenible, específicamente el Componente Compras a la Agricultura Familiar. </w:t>
      </w:r>
    </w:p>
    <w:p w:rsidR="00FB2DA4" w:rsidRPr="00C760E5" w:rsidRDefault="00FB2DA4" w:rsidP="00C760E5">
      <w:pPr>
        <w:jc w:val="center"/>
        <w:rPr>
          <w:lang w:val="es-MX"/>
        </w:rPr>
      </w:pPr>
      <w:r w:rsidRPr="00C760E5">
        <w:rPr>
          <w:lang w:val="es-MX"/>
        </w:rPr>
        <w:lastRenderedPageBreak/>
        <w:t>Tabla 1</w:t>
      </w:r>
      <w:r w:rsidR="00C760E5" w:rsidRPr="00C760E5">
        <w:rPr>
          <w:lang w:val="es-MX"/>
        </w:rPr>
        <w:t>3</w:t>
      </w:r>
      <w:r w:rsidRPr="00C760E5">
        <w:rPr>
          <w:lang w:val="es-MX"/>
        </w:rPr>
        <w:t>. Donaciones realizadas por Organismos de Cooperación y Sector Privado</w:t>
      </w:r>
    </w:p>
    <w:tbl>
      <w:tblPr>
        <w:tblW w:w="5000" w:type="pct"/>
        <w:tblInd w:w="10" w:type="dxa"/>
        <w:tblCellMar>
          <w:left w:w="70" w:type="dxa"/>
          <w:right w:w="70" w:type="dxa"/>
        </w:tblCellMar>
        <w:tblLook w:val="04A0" w:firstRow="1" w:lastRow="0" w:firstColumn="1" w:lastColumn="0" w:noHBand="0" w:noVBand="1"/>
      </w:tblPr>
      <w:tblGrid>
        <w:gridCol w:w="3501"/>
        <w:gridCol w:w="1077"/>
        <w:gridCol w:w="840"/>
        <w:gridCol w:w="1052"/>
        <w:gridCol w:w="1440"/>
      </w:tblGrid>
      <w:tr w:rsidR="00FB2DA4" w:rsidRPr="00924844" w:rsidTr="00924844">
        <w:trPr>
          <w:trHeight w:val="20"/>
          <w:tblHeader/>
        </w:trPr>
        <w:tc>
          <w:tcPr>
            <w:tcW w:w="22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2DA4" w:rsidRPr="00923C52" w:rsidRDefault="00FB2DA4" w:rsidP="00D12F4B">
            <w:pPr>
              <w:rPr>
                <w:lang w:eastAsia="es-DO"/>
              </w:rPr>
            </w:pPr>
            <w:r w:rsidRPr="00923C52">
              <w:rPr>
                <w:lang w:eastAsia="es-DO"/>
              </w:rPr>
              <w:t>RELACIÓN DE ACTIVOS ENTREGADOS</w:t>
            </w:r>
          </w:p>
        </w:tc>
        <w:tc>
          <w:tcPr>
            <w:tcW w:w="2787"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B2DA4" w:rsidRPr="00923C52" w:rsidRDefault="00FB2DA4" w:rsidP="00D12F4B">
            <w:pPr>
              <w:rPr>
                <w:lang w:eastAsia="es-DO"/>
              </w:rPr>
            </w:pPr>
          </w:p>
        </w:tc>
      </w:tr>
      <w:tr w:rsidR="00FB2DA4" w:rsidRPr="00924844" w:rsidTr="00924844">
        <w:trPr>
          <w:trHeight w:val="20"/>
          <w:tblHeader/>
        </w:trPr>
        <w:tc>
          <w:tcPr>
            <w:tcW w:w="2213" w:type="pct"/>
            <w:vMerge/>
            <w:tcBorders>
              <w:top w:val="single" w:sz="4" w:space="0" w:color="auto"/>
              <w:left w:val="single" w:sz="4" w:space="0" w:color="auto"/>
              <w:bottom w:val="single" w:sz="4" w:space="0" w:color="auto"/>
              <w:right w:val="nil"/>
            </w:tcBorders>
            <w:vAlign w:val="center"/>
            <w:hideMark/>
          </w:tcPr>
          <w:p w:rsidR="00FB2DA4" w:rsidRPr="00923C52" w:rsidRDefault="00FB2DA4" w:rsidP="00D12F4B">
            <w:pPr>
              <w:rPr>
                <w:lang w:eastAsia="es-DO"/>
              </w:rPr>
            </w:pPr>
          </w:p>
        </w:tc>
        <w:tc>
          <w:tcPr>
            <w:tcW w:w="681" w:type="pct"/>
            <w:tcBorders>
              <w:top w:val="single" w:sz="4" w:space="0" w:color="auto"/>
              <w:left w:val="single" w:sz="4" w:space="0" w:color="auto"/>
              <w:bottom w:val="single" w:sz="4" w:space="0" w:color="auto"/>
              <w:right w:val="single" w:sz="4" w:space="0" w:color="auto"/>
            </w:tcBorders>
            <w:shd w:val="clear" w:color="000000" w:fill="BDD7EE"/>
            <w:vAlign w:val="center"/>
            <w:hideMark/>
          </w:tcPr>
          <w:p w:rsidR="00FB2DA4" w:rsidRPr="00923C52" w:rsidRDefault="00FB2DA4" w:rsidP="00D12F4B">
            <w:pPr>
              <w:rPr>
                <w:lang w:eastAsia="es-DO"/>
              </w:rPr>
            </w:pPr>
            <w:r w:rsidRPr="00923C52">
              <w:rPr>
                <w:lang w:eastAsia="es-DO"/>
              </w:rPr>
              <w:t>CANTIDAD</w:t>
            </w:r>
          </w:p>
        </w:tc>
        <w:tc>
          <w:tcPr>
            <w:tcW w:w="531" w:type="pct"/>
            <w:tcBorders>
              <w:top w:val="single" w:sz="4" w:space="0" w:color="auto"/>
              <w:left w:val="nil"/>
              <w:bottom w:val="single" w:sz="4" w:space="0" w:color="auto"/>
              <w:right w:val="nil"/>
            </w:tcBorders>
            <w:shd w:val="clear" w:color="000000" w:fill="BDD7EE"/>
            <w:vAlign w:val="center"/>
            <w:hideMark/>
          </w:tcPr>
          <w:p w:rsidR="00FB2DA4" w:rsidRPr="00923C52" w:rsidRDefault="00FB2DA4" w:rsidP="00D12F4B">
            <w:pPr>
              <w:rPr>
                <w:lang w:eastAsia="es-DO"/>
              </w:rPr>
            </w:pPr>
            <w:r w:rsidRPr="00923C52">
              <w:rPr>
                <w:lang w:eastAsia="es-DO"/>
              </w:rPr>
              <w:t>UNIDAD</w:t>
            </w:r>
          </w:p>
        </w:tc>
        <w:tc>
          <w:tcPr>
            <w:tcW w:w="665" w:type="pct"/>
            <w:tcBorders>
              <w:top w:val="single" w:sz="4" w:space="0" w:color="auto"/>
              <w:left w:val="single" w:sz="4" w:space="0" w:color="auto"/>
              <w:bottom w:val="single" w:sz="4" w:space="0" w:color="auto"/>
              <w:right w:val="single" w:sz="4" w:space="0" w:color="auto"/>
            </w:tcBorders>
            <w:shd w:val="clear" w:color="000000" w:fill="BDD7EE"/>
            <w:vAlign w:val="center"/>
            <w:hideMark/>
          </w:tcPr>
          <w:p w:rsidR="00FB2DA4" w:rsidRPr="00923C52" w:rsidRDefault="00FB2DA4" w:rsidP="00D12F4B">
            <w:pPr>
              <w:rPr>
                <w:lang w:eastAsia="es-DO"/>
              </w:rPr>
            </w:pPr>
            <w:r w:rsidRPr="00923C52">
              <w:rPr>
                <w:lang w:eastAsia="es-DO"/>
              </w:rPr>
              <w:t>VALOR</w:t>
            </w:r>
          </w:p>
        </w:tc>
        <w:tc>
          <w:tcPr>
            <w:tcW w:w="911" w:type="pct"/>
            <w:tcBorders>
              <w:top w:val="single" w:sz="4" w:space="0" w:color="auto"/>
              <w:left w:val="nil"/>
              <w:bottom w:val="single" w:sz="4" w:space="0" w:color="auto"/>
              <w:right w:val="single" w:sz="4" w:space="0" w:color="auto"/>
            </w:tcBorders>
            <w:shd w:val="clear" w:color="000000" w:fill="BDD7EE"/>
            <w:vAlign w:val="center"/>
            <w:hideMark/>
          </w:tcPr>
          <w:p w:rsidR="00FB2DA4" w:rsidRPr="00923C52" w:rsidRDefault="00FB2DA4" w:rsidP="00D12F4B">
            <w:pPr>
              <w:rPr>
                <w:lang w:eastAsia="es-DO"/>
              </w:rPr>
            </w:pPr>
            <w:r w:rsidRPr="00923C52">
              <w:rPr>
                <w:lang w:eastAsia="es-DO"/>
              </w:rPr>
              <w:t>SUBTOTAL</w:t>
            </w:r>
          </w:p>
          <w:p w:rsidR="00FB2DA4" w:rsidRPr="00923C52" w:rsidRDefault="00FB2DA4" w:rsidP="00D12F4B">
            <w:pPr>
              <w:rPr>
                <w:lang w:eastAsia="es-DO"/>
              </w:rPr>
            </w:pPr>
            <w:r w:rsidRPr="00923C52">
              <w:rPr>
                <w:lang w:eastAsia="es-DO"/>
              </w:rPr>
              <w:t>(RD$)</w:t>
            </w:r>
          </w:p>
        </w:tc>
      </w:tr>
      <w:tr w:rsidR="00FB2DA4" w:rsidRPr="00924844" w:rsidTr="00924844">
        <w:trPr>
          <w:trHeight w:val="20"/>
        </w:trPr>
        <w:tc>
          <w:tcPr>
            <w:tcW w:w="2213" w:type="pct"/>
            <w:tcBorders>
              <w:top w:val="single" w:sz="4" w:space="0" w:color="auto"/>
              <w:left w:val="single" w:sz="4" w:space="0" w:color="auto"/>
              <w:bottom w:val="single" w:sz="4" w:space="0" w:color="auto"/>
              <w:right w:val="nil"/>
            </w:tcBorders>
            <w:shd w:val="clear" w:color="000000" w:fill="DDEBF7"/>
            <w:vAlign w:val="center"/>
            <w:hideMark/>
          </w:tcPr>
          <w:p w:rsidR="00FB2DA4" w:rsidRPr="00923C52" w:rsidRDefault="00FB2DA4" w:rsidP="00D12F4B">
            <w:pPr>
              <w:rPr>
                <w:lang w:eastAsia="es-DO"/>
              </w:rPr>
            </w:pPr>
          </w:p>
        </w:tc>
        <w:tc>
          <w:tcPr>
            <w:tcW w:w="681" w:type="pct"/>
            <w:tcBorders>
              <w:top w:val="single" w:sz="4" w:space="0" w:color="auto"/>
              <w:left w:val="single" w:sz="4" w:space="0" w:color="auto"/>
              <w:bottom w:val="single" w:sz="4" w:space="0" w:color="auto"/>
              <w:right w:val="single" w:sz="4" w:space="0" w:color="auto"/>
            </w:tcBorders>
            <w:shd w:val="clear" w:color="000000" w:fill="DDEBF7"/>
            <w:vAlign w:val="center"/>
            <w:hideMark/>
          </w:tcPr>
          <w:p w:rsidR="00FB2DA4" w:rsidRPr="00923C52" w:rsidRDefault="00FB2DA4" w:rsidP="00D12F4B">
            <w:pPr>
              <w:rPr>
                <w:lang w:eastAsia="es-DO"/>
              </w:rPr>
            </w:pPr>
            <w:r w:rsidRPr="00923C52">
              <w:rPr>
                <w:rFonts w:ascii="Calibri" w:hAnsi="Calibri" w:cs="Calibri"/>
                <w:lang w:eastAsia="es-DO"/>
              </w:rPr>
              <w:t> </w:t>
            </w:r>
          </w:p>
        </w:tc>
        <w:tc>
          <w:tcPr>
            <w:tcW w:w="531" w:type="pct"/>
            <w:tcBorders>
              <w:top w:val="single" w:sz="4" w:space="0" w:color="auto"/>
              <w:left w:val="nil"/>
              <w:bottom w:val="single" w:sz="4" w:space="0" w:color="auto"/>
              <w:right w:val="nil"/>
            </w:tcBorders>
            <w:shd w:val="clear" w:color="000000" w:fill="DDEBF7"/>
            <w:vAlign w:val="center"/>
            <w:hideMark/>
          </w:tcPr>
          <w:p w:rsidR="00FB2DA4" w:rsidRPr="00923C52" w:rsidRDefault="00FB2DA4" w:rsidP="00D12F4B">
            <w:pPr>
              <w:rPr>
                <w:lang w:eastAsia="es-DO"/>
              </w:rPr>
            </w:pPr>
            <w:r w:rsidRPr="00923C52">
              <w:rPr>
                <w:rFonts w:ascii="Calibri" w:hAnsi="Calibri" w:cs="Calibri"/>
                <w:lang w:eastAsia="es-DO"/>
              </w:rPr>
              <w:t> </w:t>
            </w:r>
          </w:p>
        </w:tc>
        <w:tc>
          <w:tcPr>
            <w:tcW w:w="665" w:type="pct"/>
            <w:tcBorders>
              <w:top w:val="single" w:sz="4" w:space="0" w:color="auto"/>
              <w:left w:val="single" w:sz="4" w:space="0" w:color="auto"/>
              <w:bottom w:val="single" w:sz="4" w:space="0" w:color="auto"/>
              <w:right w:val="single" w:sz="4" w:space="0" w:color="auto"/>
            </w:tcBorders>
            <w:shd w:val="clear" w:color="000000" w:fill="DDEBF7"/>
            <w:vAlign w:val="center"/>
            <w:hideMark/>
          </w:tcPr>
          <w:p w:rsidR="00FB2DA4" w:rsidRPr="00923C52" w:rsidRDefault="00FB2DA4" w:rsidP="00D12F4B">
            <w:pPr>
              <w:rPr>
                <w:lang w:eastAsia="es-DO"/>
              </w:rPr>
            </w:pPr>
            <w:r w:rsidRPr="00923C52">
              <w:rPr>
                <w:rFonts w:ascii="Calibri" w:hAnsi="Calibri" w:cs="Calibri"/>
                <w:lang w:eastAsia="es-DO"/>
              </w:rPr>
              <w:t> </w:t>
            </w:r>
          </w:p>
        </w:tc>
        <w:tc>
          <w:tcPr>
            <w:tcW w:w="911" w:type="pct"/>
            <w:tcBorders>
              <w:top w:val="single" w:sz="4" w:space="0" w:color="auto"/>
              <w:left w:val="nil"/>
              <w:bottom w:val="single" w:sz="4" w:space="0" w:color="auto"/>
              <w:right w:val="single" w:sz="4" w:space="0" w:color="auto"/>
            </w:tcBorders>
            <w:shd w:val="clear" w:color="000000" w:fill="DDEBF7"/>
            <w:vAlign w:val="center"/>
            <w:hideMark/>
          </w:tcPr>
          <w:p w:rsidR="00FB2DA4" w:rsidRPr="00923C52" w:rsidRDefault="00FB2DA4" w:rsidP="00D12F4B">
            <w:pPr>
              <w:rPr>
                <w:lang w:eastAsia="es-DO"/>
              </w:rPr>
            </w:pPr>
            <w:r w:rsidRPr="00923C52">
              <w:rPr>
                <w:lang w:eastAsia="es-DO"/>
              </w:rPr>
              <w:t xml:space="preserve">3,353,260.00 </w:t>
            </w:r>
          </w:p>
        </w:tc>
      </w:tr>
      <w:tr w:rsidR="00FB2DA4" w:rsidRPr="00924844" w:rsidTr="00924844">
        <w:trPr>
          <w:trHeight w:val="20"/>
        </w:trPr>
        <w:tc>
          <w:tcPr>
            <w:tcW w:w="2213" w:type="pct"/>
            <w:tcBorders>
              <w:top w:val="nil"/>
              <w:left w:val="single" w:sz="8" w:space="0" w:color="auto"/>
              <w:bottom w:val="nil"/>
              <w:right w:val="nil"/>
            </w:tcBorders>
            <w:shd w:val="clear" w:color="auto" w:fill="auto"/>
            <w:vAlign w:val="center"/>
            <w:hideMark/>
          </w:tcPr>
          <w:p w:rsidR="00FB2DA4" w:rsidRPr="00923C52" w:rsidRDefault="00FB2DA4" w:rsidP="00D12F4B">
            <w:pPr>
              <w:rPr>
                <w:lang w:eastAsia="es-DO"/>
              </w:rPr>
            </w:pPr>
            <w:r w:rsidRPr="00923C52">
              <w:rPr>
                <w:lang w:eastAsia="es-DO"/>
              </w:rPr>
              <w:t xml:space="preserve">1.01 Preparación de terrenos para instalación Casas Sombras </w:t>
            </w:r>
          </w:p>
        </w:tc>
        <w:tc>
          <w:tcPr>
            <w:tcW w:w="681" w:type="pct"/>
            <w:tcBorders>
              <w:top w:val="nil"/>
              <w:left w:val="single" w:sz="4" w:space="0" w:color="auto"/>
              <w:bottom w:val="nil"/>
              <w:right w:val="single" w:sz="4" w:space="0" w:color="auto"/>
            </w:tcBorders>
            <w:shd w:val="clear" w:color="auto" w:fill="auto"/>
            <w:vAlign w:val="center"/>
            <w:hideMark/>
          </w:tcPr>
          <w:p w:rsidR="00FB2DA4" w:rsidRPr="00923C52" w:rsidRDefault="00FB2DA4" w:rsidP="00D12F4B">
            <w:pPr>
              <w:rPr>
                <w:lang w:eastAsia="es-DO"/>
              </w:rPr>
            </w:pPr>
            <w:r w:rsidRPr="00923C52">
              <w:rPr>
                <w:lang w:eastAsia="es-DO"/>
              </w:rPr>
              <w:t xml:space="preserve">8.00 </w:t>
            </w:r>
          </w:p>
        </w:tc>
        <w:tc>
          <w:tcPr>
            <w:tcW w:w="531" w:type="pct"/>
            <w:tcBorders>
              <w:top w:val="nil"/>
              <w:left w:val="nil"/>
              <w:bottom w:val="nil"/>
              <w:right w:val="nil"/>
            </w:tcBorders>
            <w:shd w:val="clear" w:color="auto" w:fill="auto"/>
            <w:vAlign w:val="center"/>
            <w:hideMark/>
          </w:tcPr>
          <w:p w:rsidR="00FB2DA4" w:rsidRPr="00923C52" w:rsidRDefault="00FB2DA4" w:rsidP="00D12F4B">
            <w:pPr>
              <w:rPr>
                <w:lang w:eastAsia="es-DO"/>
              </w:rPr>
            </w:pPr>
            <w:r w:rsidRPr="00923C52">
              <w:rPr>
                <w:lang w:eastAsia="es-DO"/>
              </w:rPr>
              <w:t xml:space="preserve">Terreno </w:t>
            </w:r>
          </w:p>
        </w:tc>
        <w:tc>
          <w:tcPr>
            <w:tcW w:w="665" w:type="pct"/>
            <w:tcBorders>
              <w:top w:val="nil"/>
              <w:left w:val="single" w:sz="4" w:space="0" w:color="auto"/>
              <w:bottom w:val="nil"/>
              <w:right w:val="single" w:sz="4" w:space="0" w:color="auto"/>
            </w:tcBorders>
            <w:shd w:val="clear" w:color="auto" w:fill="auto"/>
            <w:vAlign w:val="center"/>
            <w:hideMark/>
          </w:tcPr>
          <w:p w:rsidR="00FB2DA4" w:rsidRPr="00923C52" w:rsidRDefault="00FB2DA4" w:rsidP="00D12F4B">
            <w:pPr>
              <w:rPr>
                <w:lang w:eastAsia="es-DO"/>
              </w:rPr>
            </w:pPr>
            <w:r w:rsidRPr="00923C52">
              <w:rPr>
                <w:lang w:eastAsia="es-DO"/>
              </w:rPr>
              <w:t xml:space="preserve">5,000.00 </w:t>
            </w:r>
          </w:p>
        </w:tc>
        <w:tc>
          <w:tcPr>
            <w:tcW w:w="911" w:type="pct"/>
            <w:tcBorders>
              <w:top w:val="nil"/>
              <w:left w:val="nil"/>
              <w:bottom w:val="nil"/>
              <w:right w:val="single" w:sz="8" w:space="0" w:color="auto"/>
            </w:tcBorders>
            <w:shd w:val="clear" w:color="auto" w:fill="auto"/>
            <w:vAlign w:val="center"/>
            <w:hideMark/>
          </w:tcPr>
          <w:p w:rsidR="00FB2DA4" w:rsidRPr="00923C52" w:rsidRDefault="00FB2DA4" w:rsidP="00D12F4B">
            <w:pPr>
              <w:rPr>
                <w:lang w:eastAsia="es-DO"/>
              </w:rPr>
            </w:pPr>
            <w:r w:rsidRPr="00923C52">
              <w:rPr>
                <w:lang w:eastAsia="es-DO"/>
              </w:rPr>
              <w:t xml:space="preserve">40,000.00 </w:t>
            </w:r>
          </w:p>
        </w:tc>
      </w:tr>
      <w:tr w:rsidR="00FB2DA4" w:rsidRPr="00924844" w:rsidTr="00924844">
        <w:trPr>
          <w:trHeight w:val="20"/>
        </w:trPr>
        <w:tc>
          <w:tcPr>
            <w:tcW w:w="2213" w:type="pct"/>
            <w:tcBorders>
              <w:top w:val="nil"/>
              <w:left w:val="single" w:sz="8" w:space="0" w:color="auto"/>
              <w:bottom w:val="single" w:sz="4" w:space="0" w:color="auto"/>
              <w:right w:val="nil"/>
            </w:tcBorders>
            <w:shd w:val="clear" w:color="auto" w:fill="auto"/>
            <w:vAlign w:val="center"/>
            <w:hideMark/>
          </w:tcPr>
          <w:p w:rsidR="00FB2DA4" w:rsidRPr="00923C52" w:rsidRDefault="00FB2DA4" w:rsidP="00D12F4B">
            <w:pPr>
              <w:rPr>
                <w:lang w:eastAsia="es-DO"/>
              </w:rPr>
            </w:pPr>
            <w:r w:rsidRPr="00923C52">
              <w:rPr>
                <w:lang w:eastAsia="es-DO"/>
              </w:rPr>
              <w:t>1.02 Construcción e instalación de sistemas de riego</w:t>
            </w:r>
          </w:p>
        </w:tc>
        <w:tc>
          <w:tcPr>
            <w:tcW w:w="681" w:type="pct"/>
            <w:tcBorders>
              <w:top w:val="nil"/>
              <w:left w:val="single" w:sz="4" w:space="0" w:color="auto"/>
              <w:bottom w:val="single" w:sz="4" w:space="0" w:color="auto"/>
              <w:right w:val="single" w:sz="4" w:space="0" w:color="auto"/>
            </w:tcBorders>
            <w:shd w:val="clear" w:color="auto" w:fill="auto"/>
            <w:vAlign w:val="center"/>
            <w:hideMark/>
          </w:tcPr>
          <w:p w:rsidR="00FB2DA4" w:rsidRPr="00923C52" w:rsidRDefault="00FB2DA4" w:rsidP="00D12F4B">
            <w:pPr>
              <w:rPr>
                <w:lang w:eastAsia="es-DO"/>
              </w:rPr>
            </w:pPr>
            <w:r w:rsidRPr="00923C52">
              <w:rPr>
                <w:lang w:eastAsia="es-DO"/>
              </w:rPr>
              <w:t xml:space="preserve">7.00 </w:t>
            </w:r>
          </w:p>
        </w:tc>
        <w:tc>
          <w:tcPr>
            <w:tcW w:w="531" w:type="pct"/>
            <w:tcBorders>
              <w:top w:val="nil"/>
              <w:left w:val="nil"/>
              <w:bottom w:val="single" w:sz="4" w:space="0" w:color="auto"/>
              <w:right w:val="nil"/>
            </w:tcBorders>
            <w:shd w:val="clear" w:color="auto" w:fill="auto"/>
            <w:vAlign w:val="center"/>
            <w:hideMark/>
          </w:tcPr>
          <w:p w:rsidR="00FB2DA4" w:rsidRPr="00923C52" w:rsidRDefault="00FB2DA4" w:rsidP="00D12F4B">
            <w:pPr>
              <w:rPr>
                <w:lang w:eastAsia="es-DO"/>
              </w:rPr>
            </w:pPr>
            <w:r w:rsidRPr="00923C52">
              <w:rPr>
                <w:lang w:eastAsia="es-DO"/>
              </w:rPr>
              <w:t>Kit</w:t>
            </w:r>
          </w:p>
        </w:tc>
        <w:tc>
          <w:tcPr>
            <w:tcW w:w="665" w:type="pct"/>
            <w:tcBorders>
              <w:top w:val="nil"/>
              <w:left w:val="single" w:sz="4" w:space="0" w:color="auto"/>
              <w:bottom w:val="single" w:sz="4" w:space="0" w:color="auto"/>
              <w:right w:val="single" w:sz="4" w:space="0" w:color="auto"/>
            </w:tcBorders>
            <w:shd w:val="clear" w:color="auto" w:fill="auto"/>
            <w:vAlign w:val="center"/>
            <w:hideMark/>
          </w:tcPr>
          <w:p w:rsidR="00FB2DA4" w:rsidRPr="00923C52" w:rsidRDefault="00FB2DA4" w:rsidP="00D12F4B">
            <w:pPr>
              <w:rPr>
                <w:lang w:eastAsia="es-DO"/>
              </w:rPr>
            </w:pPr>
            <w:r w:rsidRPr="00923C52">
              <w:rPr>
                <w:lang w:eastAsia="es-DO"/>
              </w:rPr>
              <w:t xml:space="preserve">86,580.00 </w:t>
            </w:r>
          </w:p>
        </w:tc>
        <w:tc>
          <w:tcPr>
            <w:tcW w:w="911" w:type="pct"/>
            <w:tcBorders>
              <w:top w:val="nil"/>
              <w:left w:val="nil"/>
              <w:bottom w:val="single" w:sz="4" w:space="0" w:color="auto"/>
              <w:right w:val="single" w:sz="8" w:space="0" w:color="auto"/>
            </w:tcBorders>
            <w:shd w:val="clear" w:color="auto" w:fill="auto"/>
            <w:vAlign w:val="center"/>
            <w:hideMark/>
          </w:tcPr>
          <w:p w:rsidR="00FB2DA4" w:rsidRPr="00923C52" w:rsidRDefault="00FB2DA4" w:rsidP="00D12F4B">
            <w:pPr>
              <w:rPr>
                <w:lang w:eastAsia="es-DO"/>
              </w:rPr>
            </w:pPr>
            <w:r w:rsidRPr="00923C52">
              <w:rPr>
                <w:lang w:eastAsia="es-DO"/>
              </w:rPr>
              <w:t>606,060.00</w:t>
            </w:r>
          </w:p>
        </w:tc>
      </w:tr>
      <w:tr w:rsidR="00FB2DA4" w:rsidRPr="00924844" w:rsidTr="00924844">
        <w:trPr>
          <w:trHeight w:val="20"/>
        </w:trPr>
        <w:tc>
          <w:tcPr>
            <w:tcW w:w="2213" w:type="pct"/>
            <w:tcBorders>
              <w:top w:val="nil"/>
              <w:left w:val="single" w:sz="8" w:space="0" w:color="auto"/>
              <w:bottom w:val="single" w:sz="4" w:space="0" w:color="auto"/>
              <w:right w:val="nil"/>
            </w:tcBorders>
            <w:shd w:val="clear" w:color="auto" w:fill="auto"/>
            <w:vAlign w:val="center"/>
          </w:tcPr>
          <w:p w:rsidR="00FB2DA4" w:rsidRPr="00923C52" w:rsidRDefault="00FB2DA4" w:rsidP="00D12F4B">
            <w:pPr>
              <w:rPr>
                <w:lang w:eastAsia="es-DO"/>
              </w:rPr>
            </w:pPr>
            <w:r w:rsidRPr="00923C52">
              <w:rPr>
                <w:lang w:eastAsia="es-DO"/>
              </w:rPr>
              <w:t>1.03 Compra y entrega de Kit de higiene a Centros Educativos</w:t>
            </w:r>
          </w:p>
        </w:tc>
        <w:tc>
          <w:tcPr>
            <w:tcW w:w="681" w:type="pct"/>
            <w:tcBorders>
              <w:top w:val="nil"/>
              <w:left w:val="single" w:sz="4" w:space="0" w:color="auto"/>
              <w:bottom w:val="single" w:sz="4" w:space="0" w:color="auto"/>
              <w:right w:val="single" w:sz="4" w:space="0" w:color="auto"/>
            </w:tcBorders>
            <w:shd w:val="clear" w:color="auto" w:fill="auto"/>
            <w:vAlign w:val="center"/>
          </w:tcPr>
          <w:p w:rsidR="00FB2DA4" w:rsidRPr="00923C52" w:rsidRDefault="00FB2DA4" w:rsidP="00D12F4B">
            <w:pPr>
              <w:rPr>
                <w:lang w:eastAsia="es-DO"/>
              </w:rPr>
            </w:pPr>
            <w:r w:rsidRPr="00923C52">
              <w:rPr>
                <w:lang w:eastAsia="es-DO"/>
              </w:rPr>
              <w:t>26.00</w:t>
            </w:r>
          </w:p>
        </w:tc>
        <w:tc>
          <w:tcPr>
            <w:tcW w:w="531" w:type="pct"/>
            <w:tcBorders>
              <w:top w:val="nil"/>
              <w:left w:val="nil"/>
              <w:bottom w:val="single" w:sz="4" w:space="0" w:color="auto"/>
              <w:right w:val="nil"/>
            </w:tcBorders>
            <w:shd w:val="clear" w:color="auto" w:fill="auto"/>
            <w:vAlign w:val="center"/>
          </w:tcPr>
          <w:p w:rsidR="00FB2DA4" w:rsidRPr="00923C52" w:rsidRDefault="00FB2DA4" w:rsidP="00D12F4B">
            <w:pPr>
              <w:rPr>
                <w:lang w:eastAsia="es-DO"/>
              </w:rPr>
            </w:pPr>
            <w:r w:rsidRPr="00923C52">
              <w:rPr>
                <w:lang w:eastAsia="es-DO"/>
              </w:rPr>
              <w:t>Kit</w:t>
            </w:r>
          </w:p>
        </w:tc>
        <w:tc>
          <w:tcPr>
            <w:tcW w:w="665" w:type="pct"/>
            <w:tcBorders>
              <w:top w:val="nil"/>
              <w:left w:val="single" w:sz="4" w:space="0" w:color="auto"/>
              <w:bottom w:val="single" w:sz="4" w:space="0" w:color="auto"/>
              <w:right w:val="single" w:sz="4" w:space="0" w:color="auto"/>
            </w:tcBorders>
            <w:shd w:val="clear" w:color="auto" w:fill="auto"/>
            <w:vAlign w:val="center"/>
          </w:tcPr>
          <w:p w:rsidR="00FB2DA4" w:rsidRPr="00923C52" w:rsidRDefault="00FB2DA4" w:rsidP="00D12F4B">
            <w:pPr>
              <w:rPr>
                <w:lang w:eastAsia="es-DO"/>
              </w:rPr>
            </w:pPr>
            <w:r w:rsidRPr="00923C52">
              <w:rPr>
                <w:lang w:eastAsia="es-DO"/>
              </w:rPr>
              <w:t>104,123.00</w:t>
            </w:r>
          </w:p>
        </w:tc>
        <w:tc>
          <w:tcPr>
            <w:tcW w:w="911" w:type="pct"/>
            <w:tcBorders>
              <w:top w:val="nil"/>
              <w:left w:val="nil"/>
              <w:bottom w:val="single" w:sz="4" w:space="0" w:color="auto"/>
              <w:right w:val="single" w:sz="8" w:space="0" w:color="auto"/>
            </w:tcBorders>
            <w:shd w:val="clear" w:color="auto" w:fill="auto"/>
            <w:vAlign w:val="center"/>
          </w:tcPr>
          <w:p w:rsidR="00FB2DA4" w:rsidRPr="00923C52" w:rsidRDefault="00FB2DA4" w:rsidP="00D12F4B">
            <w:pPr>
              <w:rPr>
                <w:lang w:eastAsia="es-DO"/>
              </w:rPr>
            </w:pPr>
            <w:r w:rsidRPr="00923C52">
              <w:rPr>
                <w:lang w:eastAsia="es-DO"/>
              </w:rPr>
              <w:t>2,707,200.00</w:t>
            </w:r>
          </w:p>
        </w:tc>
      </w:tr>
      <w:tr w:rsidR="00FB2DA4" w:rsidRPr="00924844" w:rsidTr="00924844">
        <w:trPr>
          <w:trHeight w:val="20"/>
        </w:trPr>
        <w:tc>
          <w:tcPr>
            <w:tcW w:w="2213" w:type="pct"/>
            <w:tcBorders>
              <w:top w:val="nil"/>
              <w:left w:val="single" w:sz="8" w:space="0" w:color="auto"/>
              <w:bottom w:val="single" w:sz="8" w:space="0" w:color="auto"/>
              <w:right w:val="nil"/>
            </w:tcBorders>
            <w:shd w:val="clear" w:color="000000" w:fill="0070C0"/>
            <w:vAlign w:val="center"/>
            <w:hideMark/>
          </w:tcPr>
          <w:p w:rsidR="00FB2DA4" w:rsidRPr="00924844" w:rsidRDefault="00FB2DA4" w:rsidP="00D12F4B">
            <w:pPr>
              <w:rPr>
                <w:color w:val="FFFFFF"/>
                <w:lang w:eastAsia="es-DO"/>
              </w:rPr>
            </w:pPr>
            <w:r w:rsidRPr="00924844">
              <w:rPr>
                <w:color w:val="FFFFFF"/>
                <w:lang w:eastAsia="es-DO"/>
              </w:rPr>
              <w:t>TOTAL (EN RD$)</w:t>
            </w:r>
          </w:p>
        </w:tc>
        <w:tc>
          <w:tcPr>
            <w:tcW w:w="681" w:type="pct"/>
            <w:tcBorders>
              <w:top w:val="nil"/>
              <w:left w:val="nil"/>
              <w:bottom w:val="single" w:sz="8" w:space="0" w:color="auto"/>
              <w:right w:val="nil"/>
            </w:tcBorders>
            <w:shd w:val="clear" w:color="000000" w:fill="0070C0"/>
            <w:vAlign w:val="center"/>
            <w:hideMark/>
          </w:tcPr>
          <w:p w:rsidR="00FB2DA4" w:rsidRPr="00924844" w:rsidRDefault="00FB2DA4" w:rsidP="00D12F4B">
            <w:pPr>
              <w:rPr>
                <w:color w:val="FFFFFF"/>
                <w:lang w:eastAsia="es-DO"/>
              </w:rPr>
            </w:pPr>
            <w:r w:rsidRPr="00924844">
              <w:rPr>
                <w:rFonts w:ascii="Calibri" w:hAnsi="Calibri" w:cs="Calibri"/>
                <w:color w:val="FFFFFF"/>
                <w:lang w:eastAsia="es-DO"/>
              </w:rPr>
              <w:t> </w:t>
            </w:r>
          </w:p>
        </w:tc>
        <w:tc>
          <w:tcPr>
            <w:tcW w:w="531" w:type="pct"/>
            <w:tcBorders>
              <w:top w:val="nil"/>
              <w:left w:val="nil"/>
              <w:bottom w:val="single" w:sz="8" w:space="0" w:color="auto"/>
              <w:right w:val="nil"/>
            </w:tcBorders>
            <w:shd w:val="clear" w:color="000000" w:fill="0070C0"/>
            <w:vAlign w:val="center"/>
            <w:hideMark/>
          </w:tcPr>
          <w:p w:rsidR="00FB2DA4" w:rsidRPr="00924844" w:rsidRDefault="00FB2DA4" w:rsidP="00D12F4B">
            <w:pPr>
              <w:rPr>
                <w:color w:val="FFFFFF"/>
                <w:lang w:eastAsia="es-DO"/>
              </w:rPr>
            </w:pPr>
            <w:r w:rsidRPr="00924844">
              <w:rPr>
                <w:rFonts w:ascii="Calibri" w:hAnsi="Calibri" w:cs="Calibri"/>
                <w:color w:val="FFFFFF"/>
                <w:lang w:eastAsia="es-DO"/>
              </w:rPr>
              <w:t> </w:t>
            </w:r>
          </w:p>
        </w:tc>
        <w:tc>
          <w:tcPr>
            <w:tcW w:w="665" w:type="pct"/>
            <w:tcBorders>
              <w:top w:val="nil"/>
              <w:left w:val="nil"/>
              <w:bottom w:val="single" w:sz="8" w:space="0" w:color="auto"/>
              <w:right w:val="nil"/>
            </w:tcBorders>
            <w:shd w:val="clear" w:color="000000" w:fill="0070C0"/>
            <w:vAlign w:val="center"/>
            <w:hideMark/>
          </w:tcPr>
          <w:p w:rsidR="00FB2DA4" w:rsidRPr="00924844" w:rsidRDefault="00FB2DA4" w:rsidP="00D12F4B">
            <w:pPr>
              <w:rPr>
                <w:color w:val="FFFFFF"/>
                <w:lang w:eastAsia="es-DO"/>
              </w:rPr>
            </w:pPr>
            <w:r w:rsidRPr="00924844">
              <w:rPr>
                <w:rFonts w:ascii="Calibri" w:hAnsi="Calibri" w:cs="Calibri"/>
                <w:color w:val="FFFFFF"/>
                <w:lang w:eastAsia="es-DO"/>
              </w:rPr>
              <w:t> </w:t>
            </w:r>
          </w:p>
        </w:tc>
        <w:tc>
          <w:tcPr>
            <w:tcW w:w="911" w:type="pct"/>
            <w:tcBorders>
              <w:top w:val="nil"/>
              <w:left w:val="nil"/>
              <w:bottom w:val="single" w:sz="8" w:space="0" w:color="auto"/>
              <w:right w:val="single" w:sz="8" w:space="0" w:color="auto"/>
            </w:tcBorders>
            <w:shd w:val="clear" w:color="000000" w:fill="0070C0"/>
            <w:vAlign w:val="center"/>
            <w:hideMark/>
          </w:tcPr>
          <w:p w:rsidR="00FB2DA4" w:rsidRPr="00924844" w:rsidRDefault="00FB2DA4" w:rsidP="00D12F4B">
            <w:pPr>
              <w:rPr>
                <w:color w:val="FFFFFF"/>
                <w:lang w:eastAsia="es-DO"/>
              </w:rPr>
            </w:pPr>
            <w:r w:rsidRPr="00924844">
              <w:rPr>
                <w:color w:val="FFFFFF"/>
                <w:lang w:eastAsia="es-DO"/>
              </w:rPr>
              <w:t>3,353,260.00</w:t>
            </w:r>
          </w:p>
        </w:tc>
      </w:tr>
    </w:tbl>
    <w:p w:rsidR="00FB2DA4" w:rsidRPr="00924844" w:rsidRDefault="00FB2DA4" w:rsidP="00D12F4B">
      <w:r w:rsidRPr="00924844">
        <w:t xml:space="preserve">Fuente: Departamento de Cooperación y Articulación Interinstitucional </w:t>
      </w:r>
    </w:p>
    <w:p w:rsidR="000C09A0" w:rsidRPr="00655735" w:rsidRDefault="004F5198" w:rsidP="00BE1578">
      <w:pPr>
        <w:pStyle w:val="Heading3"/>
      </w:pPr>
      <w:bookmarkStart w:id="69" w:name="_Toc56366572"/>
      <w:bookmarkStart w:id="70" w:name="_Toc58597559"/>
      <w:r w:rsidRPr="00655735">
        <w:t>DIRECCIONES REGIONALES</w:t>
      </w:r>
      <w:bookmarkEnd w:id="69"/>
      <w:bookmarkEnd w:id="70"/>
    </w:p>
    <w:p w:rsidR="000C09A0" w:rsidRPr="00655735" w:rsidRDefault="000C09A0" w:rsidP="004F5198">
      <w:pPr>
        <w:pStyle w:val="Heading4"/>
      </w:pPr>
      <w:r w:rsidRPr="00655735">
        <w:t>Dirección Cibao Norte</w:t>
      </w:r>
    </w:p>
    <w:p w:rsidR="000C09A0" w:rsidRPr="00923C52" w:rsidRDefault="000C09A0" w:rsidP="00655735">
      <w:pPr>
        <w:spacing w:line="360" w:lineRule="auto"/>
        <w:jc w:val="both"/>
        <w:rPr>
          <w:szCs w:val="18"/>
        </w:rPr>
      </w:pPr>
      <w:r w:rsidRPr="00923C52">
        <w:rPr>
          <w:szCs w:val="18"/>
        </w:rPr>
        <w:t>Con sede en Santiago de los Caballeros, atiende las Regionales Educativas 06, 08 y 11.</w:t>
      </w:r>
    </w:p>
    <w:p w:rsidR="000C09A0" w:rsidRPr="00923C52" w:rsidRDefault="000C09A0" w:rsidP="00655735">
      <w:pPr>
        <w:spacing w:line="360" w:lineRule="auto"/>
        <w:jc w:val="both"/>
        <w:rPr>
          <w:szCs w:val="18"/>
        </w:rPr>
      </w:pPr>
      <w:r w:rsidRPr="00923C52">
        <w:rPr>
          <w:szCs w:val="18"/>
        </w:rPr>
        <w:t>Esta Dirección en 2020 logró:</w:t>
      </w:r>
    </w:p>
    <w:p w:rsidR="000C09A0" w:rsidRPr="00923C52" w:rsidRDefault="000C09A0" w:rsidP="00655735">
      <w:pPr>
        <w:pStyle w:val="ListParagraph"/>
        <w:numPr>
          <w:ilvl w:val="0"/>
          <w:numId w:val="24"/>
        </w:numPr>
        <w:spacing w:line="360" w:lineRule="auto"/>
        <w:jc w:val="both"/>
        <w:rPr>
          <w:szCs w:val="18"/>
          <w:lang w:val="es-DO"/>
        </w:rPr>
      </w:pPr>
      <w:r w:rsidRPr="00923C52">
        <w:rPr>
          <w:szCs w:val="18"/>
          <w:lang w:val="es-DO"/>
        </w:rPr>
        <w:t>Gestionar 1,314 procesos de pago de los proveedores de la Regional Cibao Norte, logrando un 90.62% de ejecución.</w:t>
      </w:r>
    </w:p>
    <w:p w:rsidR="000C09A0" w:rsidRPr="00923C52" w:rsidRDefault="000C09A0" w:rsidP="00655735">
      <w:pPr>
        <w:pStyle w:val="ListParagraph"/>
        <w:numPr>
          <w:ilvl w:val="0"/>
          <w:numId w:val="24"/>
        </w:numPr>
        <w:spacing w:line="360" w:lineRule="auto"/>
        <w:jc w:val="both"/>
        <w:rPr>
          <w:szCs w:val="18"/>
          <w:lang w:val="es-DO"/>
        </w:rPr>
      </w:pPr>
      <w:r w:rsidRPr="00923C52">
        <w:rPr>
          <w:szCs w:val="18"/>
          <w:lang w:val="es-DO"/>
        </w:rPr>
        <w:t>Realizar 35 visitas de seguimiento de 37 programadas, a las actividades de campo realizadas en la Regional Cibao Norte.</w:t>
      </w:r>
    </w:p>
    <w:p w:rsidR="000C09A0" w:rsidRPr="00923C52" w:rsidRDefault="000C09A0" w:rsidP="00655735">
      <w:pPr>
        <w:pStyle w:val="ListParagraph"/>
        <w:numPr>
          <w:ilvl w:val="0"/>
          <w:numId w:val="24"/>
        </w:numPr>
        <w:spacing w:line="360" w:lineRule="auto"/>
        <w:jc w:val="both"/>
        <w:rPr>
          <w:szCs w:val="18"/>
          <w:lang w:val="es-DO"/>
        </w:rPr>
      </w:pPr>
      <w:r w:rsidRPr="00923C52">
        <w:rPr>
          <w:szCs w:val="18"/>
          <w:lang w:val="es-DO"/>
        </w:rPr>
        <w:t>Realizar 3 mantenimientos y reparaciones de vehículos de motor de 4 previstos para el primer semestre.</w:t>
      </w:r>
    </w:p>
    <w:p w:rsidR="000C09A0" w:rsidRPr="00923C52" w:rsidRDefault="000C09A0" w:rsidP="00655735">
      <w:pPr>
        <w:pStyle w:val="ListParagraph"/>
        <w:numPr>
          <w:ilvl w:val="0"/>
          <w:numId w:val="24"/>
        </w:numPr>
        <w:spacing w:line="360" w:lineRule="auto"/>
        <w:jc w:val="both"/>
        <w:rPr>
          <w:szCs w:val="18"/>
          <w:lang w:val="es-DO"/>
        </w:rPr>
      </w:pPr>
      <w:r w:rsidRPr="00923C52">
        <w:rPr>
          <w:szCs w:val="18"/>
          <w:lang w:val="es-DO"/>
        </w:rPr>
        <w:t>Realizó 1 reunión de socialización y orientación del personal de estrategias y políticas institucionales.</w:t>
      </w:r>
    </w:p>
    <w:p w:rsidR="000C09A0" w:rsidRPr="00655735" w:rsidRDefault="000C09A0" w:rsidP="004F5198">
      <w:pPr>
        <w:pStyle w:val="Heading4"/>
      </w:pPr>
      <w:r w:rsidRPr="00655735">
        <w:t>Nuevas Direcciones del INABIE</w:t>
      </w:r>
    </w:p>
    <w:p w:rsidR="000C09A0" w:rsidRPr="00923C52" w:rsidRDefault="000C09A0" w:rsidP="00655735">
      <w:pPr>
        <w:spacing w:line="360" w:lineRule="auto"/>
        <w:jc w:val="both"/>
        <w:rPr>
          <w:szCs w:val="18"/>
        </w:rPr>
      </w:pPr>
      <w:r w:rsidRPr="00923C52">
        <w:rPr>
          <w:szCs w:val="18"/>
        </w:rPr>
        <w:t xml:space="preserve">Con la transición de Gobierno en Julio 2020, la nueva administración institucional ha puesto en marcha los procesos internos para </w:t>
      </w:r>
      <w:r w:rsidR="00A65EB8" w:rsidRPr="00923C52">
        <w:rPr>
          <w:szCs w:val="18"/>
        </w:rPr>
        <w:t>habilitación de</w:t>
      </w:r>
      <w:r w:rsidRPr="00923C52">
        <w:rPr>
          <w:szCs w:val="18"/>
        </w:rPr>
        <w:t xml:space="preserve"> la Regional Cibao Nordeste, y sus cuatro distritos: Duarte Norte, Duarte Sur, Maria Trinidad Sánchez y Samaná. </w:t>
      </w:r>
    </w:p>
    <w:p w:rsidR="000C09A0" w:rsidRPr="006C29F1" w:rsidRDefault="000C09A0" w:rsidP="004F5198">
      <w:pPr>
        <w:pStyle w:val="Heading2"/>
        <w:numPr>
          <w:ilvl w:val="1"/>
          <w:numId w:val="18"/>
        </w:numPr>
      </w:pPr>
      <w:bookmarkStart w:id="71" w:name="_Toc56366573"/>
      <w:bookmarkStart w:id="72" w:name="_Toc58597560"/>
      <w:r w:rsidRPr="006C29F1">
        <w:t>PROYECTO PAE SOSTENIBLE</w:t>
      </w:r>
      <w:bookmarkEnd w:id="71"/>
      <w:bookmarkEnd w:id="72"/>
      <w:r w:rsidRPr="006C29F1">
        <w:t xml:space="preserve"> </w:t>
      </w:r>
    </w:p>
    <w:p w:rsidR="000C09A0" w:rsidRPr="00655735" w:rsidRDefault="000C09A0" w:rsidP="00655735">
      <w:pPr>
        <w:spacing w:line="360" w:lineRule="auto"/>
        <w:jc w:val="both"/>
        <w:rPr>
          <w:szCs w:val="18"/>
        </w:rPr>
      </w:pPr>
      <w:r w:rsidRPr="00655735">
        <w:rPr>
          <w:szCs w:val="18"/>
        </w:rPr>
        <w:t xml:space="preserve">El Proyecto Piloto “FORTALECIMIENTO DEL PROGRAMA DE ALIMENTACIÓN ESCOLAR MEDIANTE LA IMPLEMENTACIÓN DE UN MODELO DE GESTIÓN DESCENTRALIZADO BASADO EN ESCUELAS SOSTENIBLES “ (con su nombre corto </w:t>
      </w:r>
      <w:r w:rsidRPr="00655735">
        <w:rPr>
          <w:i/>
          <w:szCs w:val="18"/>
        </w:rPr>
        <w:t>PAE Sostenible, Monte Plata</w:t>
      </w:r>
      <w:r w:rsidRPr="00655735">
        <w:rPr>
          <w:szCs w:val="18"/>
        </w:rPr>
        <w:t xml:space="preserve">) </w:t>
      </w:r>
      <w:r w:rsidRPr="00655735">
        <w:rPr>
          <w:rFonts w:eastAsia="Calibri"/>
          <w:iCs/>
          <w:szCs w:val="18"/>
        </w:rPr>
        <w:t xml:space="preserve">se diseñó en los primeros meses del 2014, y en junio de ese mismo año se realizó </w:t>
      </w:r>
      <w:r w:rsidRPr="00655735">
        <w:rPr>
          <w:szCs w:val="18"/>
        </w:rPr>
        <w:t xml:space="preserve">el acto de </w:t>
      </w:r>
      <w:r w:rsidRPr="00655735">
        <w:rPr>
          <w:szCs w:val="18"/>
        </w:rPr>
        <w:lastRenderedPageBreak/>
        <w:t>lanzamiento e iniciaron los trabajos del mismo</w:t>
      </w:r>
      <w:r w:rsidRPr="00655735">
        <w:rPr>
          <w:rFonts w:eastAsia="Calibri"/>
          <w:iCs/>
          <w:szCs w:val="18"/>
        </w:rPr>
        <w:t xml:space="preserve"> en el territorio.</w:t>
      </w:r>
      <w:r w:rsidRPr="00655735">
        <w:rPr>
          <w:rFonts w:eastAsia="Calibri"/>
          <w:szCs w:val="18"/>
        </w:rPr>
        <w:t xml:space="preserve"> Tiene por objetivo implementar un piloto de mejoramiento de la alimentación escolar, mediante un modelo de gestión descentralizado, que responda al perfil nutricional de la localidad, con l</w:t>
      </w:r>
      <w:r w:rsidR="00C53061" w:rsidRPr="00655735">
        <w:rPr>
          <w:rFonts w:eastAsia="Calibri"/>
          <w:szCs w:val="18"/>
        </w:rPr>
        <w:t xml:space="preserve">a participación de la comunidad, </w:t>
      </w:r>
      <w:proofErr w:type="spellStart"/>
      <w:r w:rsidRPr="00655735">
        <w:rPr>
          <w:rFonts w:eastAsia="Calibri"/>
          <w:szCs w:val="18"/>
        </w:rPr>
        <w:t>PyME</w:t>
      </w:r>
      <w:r w:rsidR="00867A7F" w:rsidRPr="00655735">
        <w:rPr>
          <w:rFonts w:eastAsia="Calibri"/>
          <w:szCs w:val="18"/>
        </w:rPr>
        <w:t>S</w:t>
      </w:r>
      <w:proofErr w:type="spellEnd"/>
      <w:r w:rsidRPr="00655735">
        <w:rPr>
          <w:rFonts w:eastAsia="Calibri"/>
          <w:szCs w:val="18"/>
        </w:rPr>
        <w:t xml:space="preserve"> y los productores de la agricultura familiar como suplidores de los alimentos que entrega el programa.</w:t>
      </w:r>
    </w:p>
    <w:p w:rsidR="000C09A0" w:rsidRPr="00655735" w:rsidRDefault="000C09A0" w:rsidP="00655735">
      <w:pPr>
        <w:spacing w:line="360" w:lineRule="auto"/>
        <w:jc w:val="both"/>
        <w:rPr>
          <w:rFonts w:eastAsia="Calibri"/>
          <w:szCs w:val="18"/>
        </w:rPr>
      </w:pPr>
      <w:r w:rsidRPr="00655735">
        <w:rPr>
          <w:szCs w:val="18"/>
          <w:lang w:val="es-ES_tradnl"/>
        </w:rPr>
        <w:t xml:space="preserve">El proyecto abarca 72 centros educativos del Distrito Educativo 17-02 de este Municipio, impactando 15,802 estudiantes de los niveles Inicial, Primaria y Secundaria, a través de 8 componentes. </w:t>
      </w:r>
      <w:r w:rsidRPr="00655735">
        <w:rPr>
          <w:rFonts w:eastAsia="Calibri"/>
          <w:szCs w:val="18"/>
          <w:lang w:val="es-ES_tradnl"/>
        </w:rPr>
        <w:t>En ese orden en el 2020 se</w:t>
      </w:r>
      <w:r w:rsidRPr="00655735">
        <w:rPr>
          <w:rFonts w:ascii="Calibri" w:eastAsia="Calibri" w:hAnsi="Calibri" w:cs="Calibri"/>
          <w:szCs w:val="18"/>
          <w:lang w:val="es-ES_tradnl"/>
        </w:rPr>
        <w:t> </w:t>
      </w:r>
      <w:r w:rsidRPr="00655735">
        <w:rPr>
          <w:rFonts w:eastAsia="Calibri"/>
          <w:szCs w:val="18"/>
          <w:lang w:val="es-ES_tradnl"/>
        </w:rPr>
        <w:t>obtuvieron los siguientes resultados</w:t>
      </w:r>
      <w:r w:rsidRPr="00655735">
        <w:rPr>
          <w:rFonts w:eastAsia="Calibri"/>
          <w:szCs w:val="18"/>
        </w:rPr>
        <w:t>.</w:t>
      </w:r>
    </w:p>
    <w:p w:rsidR="000C09A0" w:rsidRPr="00655735" w:rsidRDefault="000C09A0" w:rsidP="00655735">
      <w:pPr>
        <w:pBdr>
          <w:top w:val="nil"/>
          <w:left w:val="nil"/>
          <w:bottom w:val="nil"/>
          <w:right w:val="nil"/>
          <w:between w:val="nil"/>
        </w:pBdr>
        <w:spacing w:before="240" w:line="360" w:lineRule="auto"/>
        <w:jc w:val="both"/>
        <w:rPr>
          <w:szCs w:val="18"/>
          <w:highlight w:val="white"/>
        </w:rPr>
      </w:pPr>
      <w:r w:rsidRPr="00655735">
        <w:rPr>
          <w:rFonts w:eastAsia="Calibri"/>
          <w:iCs/>
          <w:szCs w:val="18"/>
        </w:rPr>
        <w:t xml:space="preserve">Con </w:t>
      </w:r>
      <w:r w:rsidRPr="00655735">
        <w:rPr>
          <w:szCs w:val="18"/>
          <w:highlight w:val="white"/>
        </w:rPr>
        <w:t xml:space="preserve">la creación de las </w:t>
      </w:r>
      <w:r w:rsidRPr="00655735">
        <w:rPr>
          <w:i/>
          <w:szCs w:val="18"/>
          <w:highlight w:val="white"/>
        </w:rPr>
        <w:t>Escuelas de Tanda Extendida</w:t>
      </w:r>
      <w:r w:rsidRPr="00655735">
        <w:rPr>
          <w:szCs w:val="18"/>
          <w:highlight w:val="white"/>
        </w:rPr>
        <w:t xml:space="preserve"> de 8 horas, por el Gobierno del Presidente Danilo Medina, se introduce el almuerzo y la merienda, con lo cual aumenta el reto del Programa de Alimentación Escolar</w:t>
      </w:r>
      <w:r w:rsidRPr="00655735">
        <w:rPr>
          <w:szCs w:val="18"/>
        </w:rPr>
        <w:t xml:space="preserve"> (PAE), por lo cual el Proyecto PAE Sostenible Monte Plata </w:t>
      </w:r>
      <w:r w:rsidRPr="00655735">
        <w:rPr>
          <w:szCs w:val="18"/>
          <w:highlight w:val="white"/>
        </w:rPr>
        <w:t>es asumido por el INABIE como una estrategia para generar las políticas y normativas que fortalecerían dicho Programa, poniendo en marcha la implementación de un Proyecto Piloto en 72 escuelas del Distrito Educativo 17.02 de Monte Plata.</w:t>
      </w:r>
    </w:p>
    <w:p w:rsidR="000C09A0" w:rsidRPr="00655735" w:rsidRDefault="000C09A0" w:rsidP="00655735">
      <w:pPr>
        <w:spacing w:line="360" w:lineRule="auto"/>
        <w:jc w:val="both"/>
        <w:rPr>
          <w:szCs w:val="18"/>
        </w:rPr>
      </w:pPr>
      <w:r w:rsidRPr="00655735">
        <w:rPr>
          <w:szCs w:val="18"/>
        </w:rPr>
        <w:t xml:space="preserve">Desde 2014 el PAE Sostenible Monte Plata ha tenido amplios logros, sirviendo de laboratorio para la mejora de la calidad y eficiencia en la ejecución del PAE y llegando inclusive al reconocimiento internacional, como en el caso del tercer lugar en el Concurso Regional de Buenas Prácticas de Alimentación Escolar en América Latina y el Caribe, organizado por la FAO (2018) y el primer lugar en el Concurso de Tecnologías Sociales de la Fundación Banco Do Brasil (2019). </w:t>
      </w:r>
    </w:p>
    <w:p w:rsidR="000C09A0" w:rsidRPr="00655735" w:rsidRDefault="000C09A0" w:rsidP="004F5198">
      <w:pPr>
        <w:spacing w:after="0" w:line="360" w:lineRule="auto"/>
        <w:jc w:val="both"/>
        <w:rPr>
          <w:szCs w:val="18"/>
        </w:rPr>
      </w:pPr>
      <w:r w:rsidRPr="00655735">
        <w:rPr>
          <w:szCs w:val="18"/>
        </w:rPr>
        <w:t xml:space="preserve">Se destacan los siguientes: </w:t>
      </w:r>
    </w:p>
    <w:p w:rsidR="000C09A0" w:rsidRPr="00655735" w:rsidRDefault="000C09A0" w:rsidP="00923C52">
      <w:pPr>
        <w:pStyle w:val="Heading4"/>
      </w:pPr>
      <w:r w:rsidRPr="00655735">
        <w:t>Gestión Descentralizada</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 xml:space="preserve">Se inauguró el centro de operaciones del proyecto con la Oficina Territorial en Monte Plata, que en 2020 se transformó en el primer Distrito del INABIE y se logró replicar la gestión descentralizada con la Regional Cibao Norte. </w:t>
      </w:r>
    </w:p>
    <w:p w:rsidR="000C09A0" w:rsidRPr="00655735" w:rsidRDefault="000C09A0" w:rsidP="00655735">
      <w:pPr>
        <w:pStyle w:val="ListParagraph"/>
        <w:numPr>
          <w:ilvl w:val="0"/>
          <w:numId w:val="20"/>
        </w:numPr>
        <w:spacing w:line="360" w:lineRule="auto"/>
        <w:ind w:left="284" w:hanging="284"/>
        <w:jc w:val="both"/>
        <w:rPr>
          <w:i/>
          <w:szCs w:val="18"/>
          <w:lang w:val="es-DO"/>
        </w:rPr>
      </w:pPr>
      <w:r w:rsidRPr="00655735">
        <w:rPr>
          <w:szCs w:val="18"/>
          <w:lang w:val="es-DO"/>
        </w:rPr>
        <w:t xml:space="preserve">Se puso en funcionamiento el Sistema de Gestión de Calidad del PAE y se rediseñó la Estructura Organizacional del Programa de Alimentación Escolar, mejorando la eficiencia, a través de puestos como </w:t>
      </w:r>
      <w:r w:rsidRPr="00655735">
        <w:rPr>
          <w:i/>
          <w:szCs w:val="18"/>
          <w:lang w:val="es-DO"/>
        </w:rPr>
        <w:t xml:space="preserve">el Coordinador Regional de Alimentación y Nutrición (CRAN), el Técnico de Alimentación Escolar (TAE) y los Coordinadores Regionales por Componentes; </w:t>
      </w:r>
    </w:p>
    <w:p w:rsidR="000C09A0" w:rsidRPr="00655735" w:rsidRDefault="000C09A0" w:rsidP="00923C52">
      <w:pPr>
        <w:pStyle w:val="Heading4"/>
      </w:pPr>
      <w:bookmarkStart w:id="73" w:name="_Toc532111234"/>
      <w:r w:rsidRPr="00655735">
        <w:t>Participación Social y Coordinación Interinstitucional</w:t>
      </w:r>
      <w:bookmarkEnd w:id="73"/>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 xml:space="preserve">1 Comité Interinstitucional Local con 25 </w:t>
      </w:r>
      <w:r w:rsidR="00A65EB8" w:rsidRPr="00655735">
        <w:rPr>
          <w:szCs w:val="18"/>
          <w:lang w:val="es-DO"/>
        </w:rPr>
        <w:t>instituciones,</w:t>
      </w:r>
      <w:r w:rsidRPr="00655735">
        <w:rPr>
          <w:szCs w:val="18"/>
          <w:lang w:val="es-DO"/>
        </w:rPr>
        <w:t xml:space="preserve"> así como mesas técnicas por componente, como son la </w:t>
      </w:r>
      <w:r w:rsidRPr="00655735">
        <w:rPr>
          <w:i/>
          <w:szCs w:val="18"/>
          <w:lang w:val="es-DO"/>
        </w:rPr>
        <w:t>Mesa de Nutrición y Salud</w:t>
      </w:r>
      <w:r w:rsidRPr="00655735">
        <w:rPr>
          <w:szCs w:val="18"/>
          <w:lang w:val="es-DO"/>
        </w:rPr>
        <w:t xml:space="preserve"> y la </w:t>
      </w:r>
      <w:r w:rsidRPr="00655735">
        <w:rPr>
          <w:i/>
          <w:szCs w:val="18"/>
          <w:lang w:val="es-DO"/>
        </w:rPr>
        <w:t xml:space="preserve">Mesa de Compras a la Agricultura Familiar, </w:t>
      </w:r>
      <w:r w:rsidRPr="00655735">
        <w:rPr>
          <w:szCs w:val="18"/>
          <w:lang w:val="es-DO"/>
        </w:rPr>
        <w:t>los cuales</w:t>
      </w:r>
      <w:r w:rsidRPr="00655735">
        <w:rPr>
          <w:i/>
          <w:szCs w:val="18"/>
          <w:lang w:val="es-DO"/>
        </w:rPr>
        <w:t xml:space="preserve"> </w:t>
      </w:r>
      <w:r w:rsidRPr="00655735">
        <w:rPr>
          <w:szCs w:val="18"/>
          <w:highlight w:val="white"/>
          <w:lang w:val="es-DO"/>
        </w:rPr>
        <w:t>y que sirven de instrumentos para control social del PAE por parte de las comunidades</w:t>
      </w:r>
      <w:r w:rsidRPr="00655735">
        <w:rPr>
          <w:szCs w:val="18"/>
          <w:lang w:val="es-DO"/>
        </w:rPr>
        <w:t>. Se hizo un levantamiento de información a 25 instituciones inscritas. A raíz a la Pandemia COVID-19 no se pudo realizar una sesión de dicho comité debido a las restricciones de actividades presenciales.</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22 visitas realizadas a los Comités de apoyo al PAE operando en cada Centro Educativo (CANE).</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lastRenderedPageBreak/>
        <w:t xml:space="preserve">Se realizaron 12 diagnóstico de los Comités de Alimentación y Nutrición Escolar (CANE) en los Centros Educativos de la zona de Chirino Monte Plata </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Participación en la formación de 5 nuevos CANE en CE de la zona de Monte Plata</w:t>
      </w:r>
    </w:p>
    <w:p w:rsidR="000C09A0" w:rsidRPr="00655735" w:rsidRDefault="000C09A0" w:rsidP="00923C52">
      <w:pPr>
        <w:pStyle w:val="Heading4"/>
      </w:pPr>
      <w:r w:rsidRPr="00655735">
        <w:t>Nutrición, Calidad Alimentaria y SISVANE</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Instaurado un Sistema de Vigilancia Alimentaria y Nutricional del Escolar (SISVANE) operando en 56 Centros Educativos (26 Distrito Educativo 17-02 Monte Plata; 13 Distrito Educativo 17-03 Bayaguana;12 Distrito Educativo 08-03 Santiago de los Caballeros; 15 Centros Educativos en la Regional 10 y 10 Centros Educativos en la Regional 15), a través de indicadores antropométricos, alimentarios, sociodemográficos y de actividad física para medir, dar seguimiento y mejorar el estado nutricional de los escolares.</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 xml:space="preserve">Se cuenta con un Sistema de Aseguramiento de la calidad alimentaria, que capacita, y vigila la manipulación e higiene alimentaria en los Centros educativos, realizando 1 taller por trimestre en cada Centro Escolar. </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 xml:space="preserve">Implementada la Estrategia de Intervención del Programa de Alimentación Escolar con Enfoque Territorial. </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Visitas de seguimiento realizadas a 10 Centros Educativos con SISVANE implementado.</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Realizado 1 Encuentros de socialización de resultados de la implementación del SISVANE.</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Adquiridos y distribuidos 52 instrumentos y equipos para la implementación SISVANE.</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Realizados 2 Talleres sobre Inocuidad y Manejo higiénico de los Alimentos.</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Realizadas 2 reuniones de socialización de los lineamientos del PAE con proveedores de almuerzo Escolar como encuentro de socialización</w:t>
      </w:r>
    </w:p>
    <w:p w:rsidR="000C09A0" w:rsidRPr="00655735" w:rsidRDefault="000C09A0" w:rsidP="00923C52">
      <w:pPr>
        <w:pStyle w:val="Heading4"/>
      </w:pPr>
      <w:r w:rsidRPr="00655735">
        <w:t>Compras a Productores Locales</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 xml:space="preserve">El mayor avance de este componente, enfocado a facilitar la compra directa de productos agropecuarios a agricultores familiares, fue la puesta en funcionamiento de la Fase Piloto con 35 productores, incluyendo instalación de 4 Centros de Producción, 8 terrenos de Casas Sombra para cultivo </w:t>
      </w:r>
      <w:proofErr w:type="spellStart"/>
      <w:r w:rsidRPr="00655735">
        <w:rPr>
          <w:szCs w:val="18"/>
          <w:lang w:val="es-DO"/>
        </w:rPr>
        <w:t>semi</w:t>
      </w:r>
      <w:proofErr w:type="spellEnd"/>
      <w:r w:rsidRPr="00655735">
        <w:rPr>
          <w:szCs w:val="18"/>
          <w:lang w:val="es-DO"/>
        </w:rPr>
        <w:t>-protegido de hortalizas y vegetales, y 500 tareas a Cielo Abierto para cultivo de frutas.  Esta Fase 1 dispone de una Nave industrial cedida por el Instituto Agrario Dominicano (IAD) fue inaugurada como centro de procesamiento y acopio con 630 m</w:t>
      </w:r>
      <w:r w:rsidRPr="00655735">
        <w:rPr>
          <w:rFonts w:ascii="Calibri" w:hAnsi="Calibri" w:cs="Calibri"/>
          <w:szCs w:val="18"/>
          <w:lang w:val="es-DO"/>
        </w:rPr>
        <w:t>²</w:t>
      </w:r>
      <w:r w:rsidRPr="00655735">
        <w:rPr>
          <w:szCs w:val="18"/>
          <w:lang w:val="es-DO"/>
        </w:rPr>
        <w:t xml:space="preserve"> </w:t>
      </w:r>
      <w:r w:rsidRPr="00655735">
        <w:rPr>
          <w:rFonts w:cs="Artifex CF Extra Light"/>
          <w:szCs w:val="18"/>
          <w:lang w:val="es-DO"/>
        </w:rPr>
        <w:t>ú</w:t>
      </w:r>
      <w:r w:rsidRPr="00655735">
        <w:rPr>
          <w:szCs w:val="18"/>
          <w:lang w:val="es-DO"/>
        </w:rPr>
        <w:t>tiles y entregado a la Cooperativa Agropecuaria y Servicios Múltiples de Productores y Agricultores Familiares de Monte Plata denominado Centro Asociativo de Logística Agroalimentaria (CALAGRO</w:t>
      </w:r>
      <w:r w:rsidR="00A65EB8" w:rsidRPr="00655735">
        <w:rPr>
          <w:szCs w:val="18"/>
          <w:lang w:val="es-DO"/>
        </w:rPr>
        <w:t>); para</w:t>
      </w:r>
      <w:r w:rsidRPr="00655735">
        <w:rPr>
          <w:szCs w:val="18"/>
          <w:lang w:val="es-DO"/>
        </w:rPr>
        <w:t xml:space="preserve"> fines de la puesta en marcha del CALAGRO.      </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 xml:space="preserve">Logrado un proceso de articulación interinstitucional, formalizado en el Consejo Interinstitucional Auspiciador (CIAP), que permitió la creación y puesta en funcionamiento del Proyecto Centro asociativo de logística agroalimentaria (CALAGRO) para la producción, almacenamiento y comercialización de hortalizas y vegetales para el programa de alimentación escolar y otros mercados locales, contando con 25 espacios para cultivo protegido (Casas Sombra), 1,275 tareas de terreno y 109 Agricultores Familiares formalizados en la Cooperativa COOPAPFAMOPLA, para operar dos unidades de negocio: una de producción agrícola y otra </w:t>
      </w:r>
      <w:r w:rsidRPr="00655735">
        <w:rPr>
          <w:szCs w:val="18"/>
          <w:lang w:val="es-DO"/>
        </w:rPr>
        <w:lastRenderedPageBreak/>
        <w:t>de acopio y comercialización de los productos, contando con un Centro de Acopio de 1,100 m</w:t>
      </w:r>
      <w:r w:rsidRPr="00655735">
        <w:rPr>
          <w:rFonts w:ascii="Calibri" w:hAnsi="Calibri" w:cs="Calibri"/>
          <w:szCs w:val="18"/>
          <w:lang w:val="es-DO"/>
        </w:rPr>
        <w:t>²</w:t>
      </w:r>
      <w:r w:rsidRPr="00655735">
        <w:rPr>
          <w:szCs w:val="18"/>
          <w:lang w:val="es-DO"/>
        </w:rPr>
        <w:t xml:space="preserve"> completamente equipado. </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 xml:space="preserve">Donaciones del CIAP a la cooperativa de agricultores por un monto de RD$ con una inversión de RD$18, 919,978.18, incluyendo infraestructuras para Centros de Producción Agrícola como sistemas de riego, </w:t>
      </w:r>
      <w:r w:rsidR="00C53061" w:rsidRPr="00655735">
        <w:rPr>
          <w:szCs w:val="18"/>
          <w:lang w:val="es-DO"/>
        </w:rPr>
        <w:t>etc.</w:t>
      </w:r>
      <w:r w:rsidRPr="00655735">
        <w:rPr>
          <w:szCs w:val="18"/>
          <w:lang w:val="es-DO"/>
        </w:rPr>
        <w:t xml:space="preserve"> y el Centro de Procesamiento.  </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 xml:space="preserve">Para estos fines se suscribieron documentos de Reglamento de Gobernanza, Inventario de Cesión Condicionada de Activos y Acta de Entrega CALAGRO.  </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Inauguración de una nave industrial (cedida por el Instituto Agrario Dominicano, IAD) adecuada para funcionar como centro de procesamiento y acopio de 630 m</w:t>
      </w:r>
      <w:r w:rsidRPr="00655735">
        <w:rPr>
          <w:rFonts w:ascii="Calibri" w:hAnsi="Calibri" w:cs="Calibri"/>
          <w:szCs w:val="18"/>
          <w:lang w:val="es-DO"/>
        </w:rPr>
        <w:t>²</w:t>
      </w:r>
      <w:r w:rsidRPr="00655735">
        <w:rPr>
          <w:szCs w:val="18"/>
          <w:lang w:val="es-DO"/>
        </w:rPr>
        <w:t xml:space="preserve"> con una inversi</w:t>
      </w:r>
      <w:r w:rsidRPr="00655735">
        <w:rPr>
          <w:rFonts w:cs="Artifex CF Extra Light"/>
          <w:szCs w:val="18"/>
          <w:lang w:val="es-DO"/>
        </w:rPr>
        <w:t>ó</w:t>
      </w:r>
      <w:r w:rsidRPr="00655735">
        <w:rPr>
          <w:szCs w:val="18"/>
          <w:lang w:val="es-DO"/>
        </w:rPr>
        <w:t>n del INABIE de RD$7, 438,857.32, denominado Centro Asociativo de Log</w:t>
      </w:r>
      <w:r w:rsidRPr="00655735">
        <w:rPr>
          <w:rFonts w:cs="Artifex CF Extra Light"/>
          <w:szCs w:val="18"/>
          <w:lang w:val="es-DO"/>
        </w:rPr>
        <w:t>í</w:t>
      </w:r>
      <w:r w:rsidRPr="00655735">
        <w:rPr>
          <w:szCs w:val="18"/>
          <w:lang w:val="es-DO"/>
        </w:rPr>
        <w:t xml:space="preserve">stica Agroalimentaria (CALAGRO); </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Esta nave cuenta con un Cuarto Frío de 30 m</w:t>
      </w:r>
      <w:r w:rsidRPr="00655735">
        <w:rPr>
          <w:rFonts w:ascii="Calibri" w:hAnsi="Calibri" w:cs="Calibri"/>
          <w:szCs w:val="18"/>
          <w:lang w:val="es-DO"/>
        </w:rPr>
        <w:t>²</w:t>
      </w:r>
      <w:r w:rsidRPr="00655735">
        <w:rPr>
          <w:szCs w:val="18"/>
          <w:lang w:val="es-DO"/>
        </w:rPr>
        <w:t xml:space="preserve"> dentro del CALAGRO para almacenamiento de vegetales, por un costo de RD$1,400,000 licitados por la Dirección General de Proyectos Especiales de la Presidencia (DIGEPEP);</w:t>
      </w:r>
    </w:p>
    <w:p w:rsidR="000C09A0" w:rsidRPr="00655735" w:rsidRDefault="000C09A0" w:rsidP="00923C52">
      <w:pPr>
        <w:pStyle w:val="Heading4"/>
      </w:pPr>
      <w:bookmarkStart w:id="74" w:name="_Toc531943497"/>
      <w:bookmarkStart w:id="75" w:name="_Toc532111236"/>
      <w:r w:rsidRPr="00655735">
        <w:t>Infraestructura y equipamiento escolar</w:t>
      </w:r>
      <w:bookmarkEnd w:id="74"/>
      <w:bookmarkEnd w:id="75"/>
      <w:r w:rsidRPr="00655735">
        <w:t xml:space="preserve">  </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 xml:space="preserve">Se definieron y presentaron al Ministerio de Educación 3 modelos de infraestructura escolar, que garantizan la higiene e inocuidad en el manejo del PAE, incluyendo la evaluación de 70 Centros Escolares y la inauguración de infraestructuras idóneas en 5 Comunidades Educativas; </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 xml:space="preserve">5 Centros Educativos adecuados y equipados con en cocinas, baños, </w:t>
      </w:r>
      <w:r w:rsidR="00C53061" w:rsidRPr="00655735">
        <w:rPr>
          <w:szCs w:val="18"/>
          <w:lang w:val="es-DO"/>
        </w:rPr>
        <w:t>áreas</w:t>
      </w:r>
      <w:r w:rsidRPr="00655735">
        <w:rPr>
          <w:szCs w:val="18"/>
          <w:lang w:val="es-DO"/>
        </w:rPr>
        <w:t xml:space="preserve"> de servicio, comedores y áreas de desecho modelos para la adecuada gestión del Programa de Alimentación Escolar en 5 Centros Educativos de Monte Plata. Específicamente las comunidades Batey Frías, El Prado, Hatillo, El Bosque y Vista Alegre, a un costo de RD$25</w:t>
      </w:r>
      <w:proofErr w:type="gramStart"/>
      <w:r w:rsidRPr="00655735">
        <w:rPr>
          <w:szCs w:val="18"/>
          <w:lang w:val="es-DO"/>
        </w:rPr>
        <w:t>,000,000</w:t>
      </w:r>
      <w:proofErr w:type="gramEnd"/>
      <w:r w:rsidRPr="00655735">
        <w:rPr>
          <w:szCs w:val="18"/>
          <w:lang w:val="es-DO"/>
        </w:rPr>
        <w:t xml:space="preserve">. </w:t>
      </w:r>
    </w:p>
    <w:p w:rsidR="000C09A0" w:rsidRPr="00655735" w:rsidRDefault="000C09A0" w:rsidP="00923C52">
      <w:pPr>
        <w:pStyle w:val="Heading4"/>
      </w:pPr>
      <w:r w:rsidRPr="00655735">
        <w:t>Huertos Escolares con Fines Pedagógicos</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36 Huertos Escolares habilitados y funcionando como espacios educativos en igual número de Centros Escolares (30 en Monte Plata + 4 en Santiago + 2 en Santo Domingo)</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 xml:space="preserve">58 Directores de Centros Educativos capacitados sobre la importancia de los Huertos Escolares. </w:t>
      </w:r>
      <w:r w:rsidRPr="00655735">
        <w:rPr>
          <w:b/>
          <w:szCs w:val="18"/>
          <w:lang w:val="es-DO"/>
        </w:rPr>
        <w:t>Desde el cese de la docencia en marzo, estos huertos no han podido ser monitoreados por el equipo técnico, debido a las restricciones por distanciamiento social.</w:t>
      </w:r>
      <w:r w:rsidRPr="00655735">
        <w:rPr>
          <w:szCs w:val="18"/>
          <w:lang w:val="es-DO"/>
        </w:rPr>
        <w:t xml:space="preserve">   </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108 docentes y 900 estudiantes capacitados en Educación Alimentaria y Nutricional (EAN) en los Huertos Escolares como Herramienta Pedagógica, utilizando diferentes metodologías de aprendizaje.</w:t>
      </w:r>
      <w:r w:rsidRPr="00655735">
        <w:rPr>
          <w:rFonts w:ascii="Calibri" w:hAnsi="Calibri" w:cs="Calibri"/>
          <w:szCs w:val="18"/>
          <w:lang w:val="es-DO"/>
        </w:rPr>
        <w:t>  </w:t>
      </w:r>
    </w:p>
    <w:p w:rsidR="000C09A0" w:rsidRPr="00655735" w:rsidRDefault="000C09A0" w:rsidP="00923C52">
      <w:pPr>
        <w:pStyle w:val="Heading4"/>
      </w:pPr>
      <w:r w:rsidRPr="00655735">
        <w:t xml:space="preserve">Sistematización, Monitoreo y Evaluación </w:t>
      </w:r>
    </w:p>
    <w:p w:rsidR="000C09A0" w:rsidRPr="00655735" w:rsidRDefault="000C09A0" w:rsidP="00655735">
      <w:pPr>
        <w:pStyle w:val="ListParagraph"/>
        <w:numPr>
          <w:ilvl w:val="0"/>
          <w:numId w:val="20"/>
        </w:numPr>
        <w:spacing w:line="360" w:lineRule="auto"/>
        <w:ind w:left="284" w:hanging="284"/>
        <w:jc w:val="both"/>
        <w:rPr>
          <w:b/>
          <w:szCs w:val="18"/>
          <w:lang w:val="es-DO"/>
        </w:rPr>
      </w:pPr>
      <w:r w:rsidRPr="00655735">
        <w:rPr>
          <w:b/>
          <w:szCs w:val="18"/>
          <w:lang w:val="es-DO"/>
        </w:rPr>
        <w:t>Elaboración y publicación del informe de Gestión del Proyecto PAE Sostenible 2014-2020 en el portal de transparencia institucional.</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Inserción del proyecto en el Sistema de Monitoreo institucional del INABIE y la generación de informes trimestrales, semestrales y anuales.</w:t>
      </w:r>
    </w:p>
    <w:p w:rsidR="000C09A0" w:rsidRPr="00655735" w:rsidRDefault="000C09A0" w:rsidP="00923C52">
      <w:pPr>
        <w:pStyle w:val="Heading4"/>
      </w:pPr>
      <w:r w:rsidRPr="00655735">
        <w:lastRenderedPageBreak/>
        <w:t xml:space="preserve">Escuelas Ambientemente Sostenibles y Cultura 3Rs </w:t>
      </w:r>
    </w:p>
    <w:p w:rsidR="000C09A0" w:rsidRPr="00655735" w:rsidRDefault="000C09A0" w:rsidP="00655735">
      <w:pPr>
        <w:pStyle w:val="ListParagraph"/>
        <w:numPr>
          <w:ilvl w:val="0"/>
          <w:numId w:val="20"/>
        </w:numPr>
        <w:spacing w:line="360" w:lineRule="auto"/>
        <w:ind w:left="284" w:hanging="284"/>
        <w:jc w:val="both"/>
        <w:rPr>
          <w:szCs w:val="18"/>
          <w:lang w:val="es-DO"/>
        </w:rPr>
      </w:pPr>
      <w:r w:rsidRPr="00655735">
        <w:rPr>
          <w:szCs w:val="18"/>
          <w:lang w:val="es-DO"/>
        </w:rPr>
        <w:t xml:space="preserve">El componente escuelas ambientalmente sostenibles y cultura 3R (EAS/3R), logró destacar internacionalmente con el establecimiento de hábitos amigables con el medio ambiente, a una población de 45,000 estudiantes y docentes de Monte Plata, Santiago y Pedro García; estableciendo logísticas de recuperación de residuos con los suplidores del PAE y formando en buenas prácticas para reducir, reutilizar y reciclar a 9,240 Delegados Ambientales Escolares, 4,620 Líderes Ambientales Escolares, 924 docentes Maestros 3R </w:t>
      </w:r>
      <w:bookmarkStart w:id="76" w:name="_Toc531943501"/>
      <w:bookmarkStart w:id="77" w:name="_Toc532111237"/>
    </w:p>
    <w:bookmarkEnd w:id="76"/>
    <w:bookmarkEnd w:id="77"/>
    <w:p w:rsidR="000C09A0" w:rsidRPr="00655735" w:rsidRDefault="000C09A0" w:rsidP="00655735">
      <w:pPr>
        <w:pStyle w:val="ListParagraph"/>
        <w:numPr>
          <w:ilvl w:val="0"/>
          <w:numId w:val="20"/>
        </w:numPr>
        <w:spacing w:line="360" w:lineRule="auto"/>
        <w:ind w:left="284" w:hanging="284"/>
        <w:jc w:val="both"/>
        <w:rPr>
          <w:b/>
          <w:szCs w:val="18"/>
          <w:lang w:val="es-DO"/>
        </w:rPr>
      </w:pPr>
      <w:r w:rsidRPr="00655735">
        <w:rPr>
          <w:b/>
          <w:szCs w:val="18"/>
          <w:lang w:val="es-DO"/>
        </w:rPr>
        <w:t xml:space="preserve">65 Centros Educativos funcionando como escuelas ambientalmente sostenibles, donde se reducen y reutilizan los residuos y se recuperan más del 80% de los residuos generados por el PAE </w:t>
      </w:r>
    </w:p>
    <w:p w:rsidR="000C09A0" w:rsidRPr="00655735" w:rsidRDefault="000C09A0" w:rsidP="00655735">
      <w:pPr>
        <w:pStyle w:val="ListParagraph"/>
        <w:numPr>
          <w:ilvl w:val="0"/>
          <w:numId w:val="20"/>
        </w:numPr>
        <w:spacing w:line="360" w:lineRule="auto"/>
        <w:ind w:left="284" w:hanging="284"/>
        <w:jc w:val="both"/>
        <w:rPr>
          <w:b/>
          <w:szCs w:val="18"/>
          <w:lang w:val="es-DO"/>
        </w:rPr>
      </w:pPr>
      <w:r w:rsidRPr="00655735">
        <w:rPr>
          <w:b/>
          <w:szCs w:val="18"/>
          <w:lang w:val="es-DO"/>
        </w:rPr>
        <w:t>2600 Estudiantes capacitados como Delegados Ambientales Escolares</w:t>
      </w:r>
    </w:p>
    <w:p w:rsidR="000C09A0" w:rsidRPr="00655735" w:rsidRDefault="000C09A0" w:rsidP="00655735">
      <w:pPr>
        <w:pStyle w:val="ListParagraph"/>
        <w:numPr>
          <w:ilvl w:val="0"/>
          <w:numId w:val="20"/>
        </w:numPr>
        <w:spacing w:line="360" w:lineRule="auto"/>
        <w:ind w:left="284" w:hanging="284"/>
        <w:jc w:val="both"/>
        <w:rPr>
          <w:b/>
          <w:szCs w:val="18"/>
          <w:lang w:val="es-DO"/>
        </w:rPr>
      </w:pPr>
      <w:r w:rsidRPr="00655735">
        <w:rPr>
          <w:b/>
          <w:szCs w:val="18"/>
          <w:lang w:val="es-DO"/>
        </w:rPr>
        <w:t>1300 estudiantes formados como líderes ambientales y custodios de la recuperación de reciclables</w:t>
      </w:r>
    </w:p>
    <w:p w:rsidR="000C09A0" w:rsidRPr="00655735" w:rsidRDefault="000C09A0" w:rsidP="00655735">
      <w:pPr>
        <w:pStyle w:val="ListParagraph"/>
        <w:numPr>
          <w:ilvl w:val="0"/>
          <w:numId w:val="20"/>
        </w:numPr>
        <w:spacing w:line="360" w:lineRule="auto"/>
        <w:ind w:left="284" w:hanging="284"/>
        <w:jc w:val="both"/>
        <w:rPr>
          <w:b/>
          <w:szCs w:val="18"/>
          <w:lang w:val="es-DO"/>
        </w:rPr>
      </w:pPr>
      <w:r w:rsidRPr="00655735">
        <w:rPr>
          <w:b/>
          <w:szCs w:val="18"/>
          <w:lang w:val="es-DO"/>
        </w:rPr>
        <w:t>325 docentes capacitadas como Maestros 3R, para replicar la concienciación ambiental en las aulas</w:t>
      </w:r>
    </w:p>
    <w:p w:rsidR="000C09A0" w:rsidRPr="00655735" w:rsidRDefault="000C09A0" w:rsidP="00655735">
      <w:pPr>
        <w:pStyle w:val="ListParagraph"/>
        <w:numPr>
          <w:ilvl w:val="0"/>
          <w:numId w:val="20"/>
        </w:numPr>
        <w:spacing w:line="360" w:lineRule="auto"/>
        <w:ind w:left="284" w:hanging="284"/>
        <w:jc w:val="both"/>
        <w:rPr>
          <w:b/>
          <w:szCs w:val="18"/>
          <w:lang w:val="es-DO"/>
        </w:rPr>
      </w:pPr>
      <w:r w:rsidRPr="00655735">
        <w:rPr>
          <w:b/>
          <w:szCs w:val="18"/>
          <w:lang w:val="es-DO"/>
        </w:rPr>
        <w:t>325 padres, madres, docentes formados como Comités 3R para vigilar la adecuada disposición de los residuos en los Centros Educativos</w:t>
      </w:r>
    </w:p>
    <w:p w:rsidR="000C09A0" w:rsidRPr="00655735" w:rsidRDefault="000C09A0" w:rsidP="00655735">
      <w:pPr>
        <w:spacing w:after="0" w:line="360" w:lineRule="auto"/>
        <w:rPr>
          <w:b/>
          <w:color w:val="4472C4" w:themeColor="accent5"/>
          <w:szCs w:val="18"/>
        </w:rPr>
      </w:pPr>
    </w:p>
    <w:sectPr w:rsidR="000C09A0" w:rsidRPr="00655735" w:rsidSect="00F9227E">
      <w:footerReference w:type="default" r:id="rId19"/>
      <w:pgSz w:w="12240" w:h="15840" w:code="1"/>
      <w:pgMar w:top="1418" w:right="2155" w:bottom="1843" w:left="2155"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A6B" w:rsidRDefault="005C4A6B" w:rsidP="003207D2">
      <w:pPr>
        <w:spacing w:after="0" w:line="240" w:lineRule="auto"/>
      </w:pPr>
      <w:r>
        <w:separator/>
      </w:r>
    </w:p>
  </w:endnote>
  <w:endnote w:type="continuationSeparator" w:id="0">
    <w:p w:rsidR="005C4A6B" w:rsidRDefault="005C4A6B" w:rsidP="00320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Che">
    <w:altName w:val="Malgun Gothic Semilight"/>
    <w:charset w:val="81"/>
    <w:family w:val="modern"/>
    <w:pitch w:val="fixed"/>
    <w:sig w:usb0="B00002AF" w:usb1="69D77CFB" w:usb2="00000030" w:usb3="00000000" w:csb0="0008009F" w:csb1="00000000"/>
  </w:font>
  <w:font w:name="Artifex CF Extra Light">
    <w:altName w:val="Arial"/>
    <w:panose1 w:val="00000000000000000000"/>
    <w:charset w:val="00"/>
    <w:family w:val="modern"/>
    <w:notTrueType/>
    <w:pitch w:val="variable"/>
    <w:sig w:usb0="00000001" w:usb1="00000000" w:usb2="00000000" w:usb3="00000000" w:csb0="00000093" w:csb1="00000000"/>
  </w:font>
  <w:font w:name="Artifex CF Light">
    <w:altName w:val="Arial"/>
    <w:panose1 w:val="00000000000000000000"/>
    <w:charset w:val="00"/>
    <w:family w:val="modern"/>
    <w:notTrueType/>
    <w:pitch w:val="variable"/>
    <w:sig w:usb0="00000001" w:usb1="00000000" w:usb2="00000000" w:usb3="00000000" w:csb0="00000093" w:csb1="00000000"/>
  </w:font>
  <w:font w:name="NewsGotT">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fornian FB">
    <w:panose1 w:val="0207040306080B030204"/>
    <w:charset w:val="00"/>
    <w:family w:val="roman"/>
    <w:pitch w:val="variable"/>
    <w:sig w:usb0="00000003" w:usb1="00000000" w:usb2="00000000" w:usb3="00000000" w:csb0="00000001" w:csb1="00000000"/>
  </w:font>
  <w:font w:name="Artifex CF Extra Bold">
    <w:altName w:val="Arial"/>
    <w:panose1 w:val="00000000000000000000"/>
    <w:charset w:val="00"/>
    <w:family w:val="modern"/>
    <w:notTrueType/>
    <w:pitch w:val="variable"/>
    <w:sig w:usb0="00000001" w:usb1="00000000" w:usb2="00000000" w:usb3="00000000" w:csb0="00000093" w:csb1="00000000"/>
  </w:font>
  <w:font w:name="Artifex CF">
    <w:altName w:val="Arial"/>
    <w:panose1 w:val="00000000000000000000"/>
    <w:charset w:val="00"/>
    <w:family w:val="modern"/>
    <w:notTrueType/>
    <w:pitch w:val="variable"/>
    <w:sig w:usb0="00000001" w:usb1="00000000" w:usb2="00000000" w:usb3="00000000" w:csb0="00000093" w:csb1="00000000"/>
  </w:font>
  <w:font w:name="iCiel Gotham Medium">
    <w:altName w:val="Times New Roman"/>
    <w:charset w:val="00"/>
    <w:family w:val="auto"/>
    <w:pitch w:val="variable"/>
    <w:sig w:usb0="00000001" w:usb1="5000005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4D3" w:rsidRDefault="00EF44D3">
    <w:pPr>
      <w:pStyle w:val="Footer"/>
      <w:jc w:val="center"/>
    </w:pPr>
  </w:p>
  <w:p w:rsidR="00EF44D3" w:rsidRDefault="00EF44D3">
    <w:pPr>
      <w:pStyle w:val="Footer"/>
      <w:jc w:val="center"/>
    </w:pPr>
  </w:p>
  <w:p w:rsidR="00961520" w:rsidRDefault="009615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27E" w:rsidRPr="00F9227E" w:rsidRDefault="00F9227E" w:rsidP="00F9227E">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98B" w:rsidRDefault="0021598B">
    <w:pPr>
      <w:pStyle w:val="Footer"/>
      <w:jc w:val="center"/>
    </w:pPr>
    <w:r w:rsidRPr="00F9227E">
      <w:rPr>
        <w:noProof/>
        <w:lang w:eastAsia="es-DO"/>
      </w:rPr>
      <w:drawing>
        <wp:anchor distT="0" distB="0" distL="114300" distR="114300" simplePos="0" relativeHeight="251661312" behindDoc="0" locked="0" layoutInCell="1" allowOverlap="1" wp14:anchorId="0F3948FC" wp14:editId="23B19DC0">
          <wp:simplePos x="0" y="0"/>
          <wp:positionH relativeFrom="margin">
            <wp:align>center</wp:align>
          </wp:positionH>
          <wp:positionV relativeFrom="paragraph">
            <wp:posOffset>-71755</wp:posOffset>
          </wp:positionV>
          <wp:extent cx="2296160" cy="309880"/>
          <wp:effectExtent l="0" t="0" r="8890" b="0"/>
          <wp:wrapNone/>
          <wp:docPr id="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14878" t="52379" r="23209" b="32744"/>
                  <a:stretch/>
                </pic:blipFill>
                <pic:spPr bwMode="auto">
                  <a:xfrm>
                    <a:off x="0" y="0"/>
                    <a:ext cx="2296160" cy="309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1598B" w:rsidRDefault="0021598B">
    <w:pPr>
      <w:pStyle w:val="Footer"/>
      <w:jc w:val="center"/>
    </w:pPr>
  </w:p>
  <w:p w:rsidR="0021598B" w:rsidRDefault="0021598B">
    <w:pPr>
      <w:pStyle w:val="Footer"/>
      <w:jc w:val="center"/>
    </w:pPr>
  </w:p>
  <w:p w:rsidR="0021598B" w:rsidRDefault="005C4A6B">
    <w:pPr>
      <w:pStyle w:val="Footer"/>
      <w:jc w:val="center"/>
    </w:pPr>
    <w:sdt>
      <w:sdtPr>
        <w:id w:val="1076160160"/>
        <w:docPartObj>
          <w:docPartGallery w:val="Page Numbers (Bottom of Page)"/>
          <w:docPartUnique/>
        </w:docPartObj>
      </w:sdtPr>
      <w:sdtEndPr/>
      <w:sdtContent>
        <w:r w:rsidR="0021598B">
          <w:fldChar w:fldCharType="begin"/>
        </w:r>
        <w:r w:rsidR="0021598B">
          <w:instrText>PAGE   \* MERGEFORMAT</w:instrText>
        </w:r>
        <w:r w:rsidR="0021598B">
          <w:fldChar w:fldCharType="separate"/>
        </w:r>
        <w:r w:rsidR="003E0543" w:rsidRPr="003E0543">
          <w:rPr>
            <w:noProof/>
            <w:lang w:val="es-ES"/>
          </w:rPr>
          <w:t>19</w:t>
        </w:r>
        <w:r w:rsidR="0021598B">
          <w:fldChar w:fldCharType="end"/>
        </w:r>
      </w:sdtContent>
    </w:sdt>
  </w:p>
  <w:p w:rsidR="0021598B" w:rsidRDefault="002159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A6B" w:rsidRDefault="005C4A6B" w:rsidP="003207D2">
      <w:pPr>
        <w:spacing w:after="0" w:line="240" w:lineRule="auto"/>
      </w:pPr>
      <w:r>
        <w:separator/>
      </w:r>
    </w:p>
  </w:footnote>
  <w:footnote w:type="continuationSeparator" w:id="0">
    <w:p w:rsidR="005C4A6B" w:rsidRDefault="005C4A6B" w:rsidP="003207D2">
      <w:pPr>
        <w:spacing w:after="0" w:line="240" w:lineRule="auto"/>
      </w:pPr>
      <w:r>
        <w:continuationSeparator/>
      </w:r>
    </w:p>
  </w:footnote>
  <w:footnote w:id="1">
    <w:p w:rsidR="00A53784" w:rsidRPr="00C459D2" w:rsidRDefault="00A53784" w:rsidP="00E374E4">
      <w:pPr>
        <w:pStyle w:val="FootnoteText"/>
        <w:rPr>
          <w:rFonts w:ascii="Artifex CF Light" w:hAnsi="Artifex CF Light"/>
          <w:sz w:val="18"/>
          <w:szCs w:val="18"/>
        </w:rPr>
      </w:pPr>
      <w:r w:rsidRPr="00C459D2">
        <w:rPr>
          <w:rStyle w:val="FootnoteReference"/>
          <w:rFonts w:ascii="Artifex CF Light" w:hAnsi="Artifex CF Light"/>
          <w:sz w:val="18"/>
          <w:szCs w:val="18"/>
        </w:rPr>
        <w:footnoteRef/>
      </w:r>
      <w:r w:rsidRPr="00C459D2">
        <w:rPr>
          <w:rFonts w:ascii="Artifex CF Light" w:hAnsi="Artifex CF Light"/>
          <w:sz w:val="18"/>
          <w:szCs w:val="18"/>
        </w:rPr>
        <w:t xml:space="preserve"> </w:t>
      </w:r>
      <w:r w:rsidRPr="00C459D2">
        <w:rPr>
          <w:rFonts w:ascii="Artifex CF Light" w:hAnsi="Artifex CF Light"/>
          <w:i/>
          <w:sz w:val="18"/>
          <w:szCs w:val="18"/>
        </w:rPr>
        <w:t>Fuente: Informe resumen de entrega de kits de alimentación escolar desde el 23 de marzo hasta el 26 de junio, Dirección de Alimentación y Nutrición (DIAN), INABIE</w:t>
      </w:r>
    </w:p>
  </w:footnote>
  <w:footnote w:id="2">
    <w:p w:rsidR="00A53784" w:rsidRPr="000D1641" w:rsidRDefault="00A53784" w:rsidP="00E374E4">
      <w:pPr>
        <w:pStyle w:val="FootnoteText"/>
        <w:rPr>
          <w:rFonts w:ascii="Artifex CF Light" w:hAnsi="Artifex CF Light"/>
          <w:sz w:val="18"/>
          <w:szCs w:val="18"/>
        </w:rPr>
      </w:pPr>
      <w:r w:rsidRPr="00C459D2">
        <w:rPr>
          <w:rStyle w:val="FootnoteReference"/>
          <w:rFonts w:ascii="Artifex CF Light" w:hAnsi="Artifex CF Light"/>
          <w:sz w:val="18"/>
          <w:szCs w:val="18"/>
        </w:rPr>
        <w:footnoteRef/>
      </w:r>
      <w:r w:rsidRPr="00C459D2">
        <w:rPr>
          <w:rFonts w:ascii="Artifex CF Light" w:hAnsi="Artifex CF Light"/>
          <w:sz w:val="18"/>
          <w:szCs w:val="18"/>
        </w:rPr>
        <w:t xml:space="preserve"> </w:t>
      </w:r>
      <w:r w:rsidRPr="00C459D2">
        <w:rPr>
          <w:rFonts w:ascii="Artifex CF Light" w:hAnsi="Artifex CF Light"/>
          <w:i/>
          <w:sz w:val="18"/>
          <w:szCs w:val="18"/>
        </w:rPr>
        <w:t>Fuente: Informe resumen de entrega de kits de alimentación escolar desde el 23 de marzo hasta el 26 de junio, Dirección de Alimentación y Nutrición (DIAN), INABIE</w:t>
      </w:r>
    </w:p>
  </w:footnote>
  <w:footnote w:id="3">
    <w:p w:rsidR="00A53784" w:rsidRDefault="00A53784" w:rsidP="00E374E4">
      <w:pPr>
        <w:pStyle w:val="FootnoteText"/>
      </w:pPr>
      <w:r w:rsidRPr="000D1641">
        <w:rPr>
          <w:rStyle w:val="FootnoteReference"/>
          <w:rFonts w:ascii="Artifex CF Light" w:hAnsi="Artifex CF Light"/>
          <w:sz w:val="18"/>
          <w:szCs w:val="18"/>
        </w:rPr>
        <w:footnoteRef/>
      </w:r>
      <w:r w:rsidRPr="000D1641">
        <w:rPr>
          <w:rFonts w:ascii="Artifex CF Light" w:hAnsi="Artifex CF Light"/>
          <w:sz w:val="18"/>
          <w:szCs w:val="18"/>
        </w:rPr>
        <w:t xml:space="preserve"> </w:t>
      </w:r>
      <w:r w:rsidRPr="000D1641">
        <w:rPr>
          <w:rFonts w:ascii="Artifex CF Light" w:hAnsi="Artifex CF Light"/>
          <w:i/>
          <w:sz w:val="18"/>
          <w:szCs w:val="18"/>
        </w:rPr>
        <w:t>Cada kit de alimentación escolar contiene cinco raciones alimenticias para un estudiante durante una semana</w:t>
      </w:r>
    </w:p>
  </w:footnote>
  <w:footnote w:id="4">
    <w:p w:rsidR="00A53784" w:rsidRDefault="00A53784">
      <w:pPr>
        <w:pStyle w:val="FootnoteText"/>
      </w:pPr>
      <w:r>
        <w:rPr>
          <w:rStyle w:val="FootnoteReference"/>
        </w:rPr>
        <w:footnoteRef/>
      </w:r>
      <w:r>
        <w:t xml:space="preserve"> </w:t>
      </w:r>
      <w:r w:rsidRPr="00655735">
        <w:rPr>
          <w:i/>
          <w:sz w:val="18"/>
          <w:szCs w:val="18"/>
        </w:rPr>
        <w:t>Fuente: Informe resumen de entrega de kits de alimentación escolar desde el 23 de marzo hasta el 26 de junio, Dirección de Alimentación y Nutrición (DIAN), INABIE</w:t>
      </w:r>
    </w:p>
  </w:footnote>
  <w:footnote w:id="5">
    <w:p w:rsidR="00A53784" w:rsidRPr="0045719D" w:rsidRDefault="00A53784">
      <w:pPr>
        <w:pStyle w:val="FootnoteText"/>
        <w:rPr>
          <w:sz w:val="22"/>
        </w:rPr>
      </w:pPr>
      <w:r>
        <w:rPr>
          <w:rStyle w:val="FootnoteReference"/>
        </w:rPr>
        <w:footnoteRef/>
      </w:r>
      <w:r w:rsidRPr="00172495">
        <w:rPr>
          <w:sz w:val="18"/>
        </w:rPr>
        <w:t xml:space="preserve"> </w:t>
      </w:r>
      <w:r w:rsidRPr="00BE1578">
        <w:rPr>
          <w:i/>
          <w:sz w:val="14"/>
          <w:szCs w:val="14"/>
        </w:rPr>
        <w:t>Fuente: Informe resumen de entrega de kits de alimentación escolar desde el 23 de marzo hasta el 26 de junio, Dirección de Alimentación y Nutrición (DIAN), INABIE</w:t>
      </w:r>
    </w:p>
  </w:footnote>
  <w:footnote w:id="6">
    <w:p w:rsidR="00A53784" w:rsidRPr="0045719D" w:rsidRDefault="00A53784" w:rsidP="007D19F6">
      <w:pPr>
        <w:pStyle w:val="FootnoteText"/>
        <w:rPr>
          <w:sz w:val="22"/>
        </w:rPr>
      </w:pPr>
      <w:r>
        <w:rPr>
          <w:rStyle w:val="FootnoteReference"/>
        </w:rPr>
        <w:footnoteRef/>
      </w:r>
      <w:r w:rsidRPr="00172495">
        <w:rPr>
          <w:sz w:val="18"/>
        </w:rPr>
        <w:t xml:space="preserve"> </w:t>
      </w:r>
      <w:r w:rsidRPr="00BE1578">
        <w:rPr>
          <w:i/>
          <w:sz w:val="14"/>
          <w:szCs w:val="14"/>
        </w:rPr>
        <w:t>Fuente: Informe resumen de entrega de kits de alimentación escolar desde el 23 de marzo hasta el 26 de junio, Dirección de Alimentación y Nutrición (DIAN), INABIE</w:t>
      </w:r>
    </w:p>
  </w:footnote>
  <w:footnote w:id="7">
    <w:p w:rsidR="00A53784" w:rsidRDefault="00A53784">
      <w:pPr>
        <w:pStyle w:val="FootnoteText"/>
      </w:pPr>
      <w:r>
        <w:rPr>
          <w:rStyle w:val="FootnoteReference"/>
        </w:rPr>
        <w:footnoteRef/>
      </w:r>
      <w:r>
        <w:t xml:space="preserve"> </w:t>
      </w:r>
      <w:r w:rsidRPr="00BE1578">
        <w:rPr>
          <w:i/>
          <w:sz w:val="14"/>
          <w:szCs w:val="14"/>
        </w:rPr>
        <w:t>Cada kit de alimentación escolar contiene cinco raciones alimenticias para un estudiante durante una semana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17701"/>
    <w:multiLevelType w:val="hybridMultilevel"/>
    <w:tmpl w:val="65DE873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nsid w:val="06F47151"/>
    <w:multiLevelType w:val="hybridMultilevel"/>
    <w:tmpl w:val="11F67C0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
    <w:nsid w:val="08AD0CC8"/>
    <w:multiLevelType w:val="hybridMultilevel"/>
    <w:tmpl w:val="33A46A48"/>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DB49A7"/>
    <w:multiLevelType w:val="hybridMultilevel"/>
    <w:tmpl w:val="BE6CC0DE"/>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0C583391"/>
    <w:multiLevelType w:val="hybridMultilevel"/>
    <w:tmpl w:val="E14A6F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14746147"/>
    <w:multiLevelType w:val="hybridMultilevel"/>
    <w:tmpl w:val="54BABAE8"/>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nsid w:val="1B3A385C"/>
    <w:multiLevelType w:val="hybridMultilevel"/>
    <w:tmpl w:val="D4B82AC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1C01129D"/>
    <w:multiLevelType w:val="multilevel"/>
    <w:tmpl w:val="7C7E552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2DB5448"/>
    <w:multiLevelType w:val="hybridMultilevel"/>
    <w:tmpl w:val="299E0E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27E95ACF"/>
    <w:multiLevelType w:val="hybridMultilevel"/>
    <w:tmpl w:val="00A036BE"/>
    <w:lvl w:ilvl="0" w:tplc="E4AA0286">
      <w:start w:val="5"/>
      <w:numFmt w:val="bullet"/>
      <w:lvlText w:val="-"/>
      <w:lvlJc w:val="left"/>
      <w:pPr>
        <w:ind w:left="720" w:hanging="360"/>
      </w:pPr>
      <w:rPr>
        <w:rFonts w:ascii="Times New Roman" w:eastAsia="SimSun" w:hAnsi="Times New Roman" w:cs="Times New Roman" w:hint="default"/>
        <w: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36DB2725"/>
    <w:multiLevelType w:val="hybridMultilevel"/>
    <w:tmpl w:val="5936D7E6"/>
    <w:lvl w:ilvl="0" w:tplc="88FEF8C6">
      <w:start w:val="204"/>
      <w:numFmt w:val="bullet"/>
      <w:lvlText w:val="-"/>
      <w:lvlJc w:val="left"/>
      <w:pPr>
        <w:ind w:left="720" w:hanging="360"/>
      </w:pPr>
      <w:rPr>
        <w:rFonts w:ascii="Times New Roman" w:eastAsia="SimSu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A6505E9"/>
    <w:multiLevelType w:val="hybridMultilevel"/>
    <w:tmpl w:val="C276B62C"/>
    <w:lvl w:ilvl="0" w:tplc="0409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406F2900"/>
    <w:multiLevelType w:val="hybridMultilevel"/>
    <w:tmpl w:val="653888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nsid w:val="42B13F63"/>
    <w:multiLevelType w:val="hybridMultilevel"/>
    <w:tmpl w:val="DC5C2EF2"/>
    <w:lvl w:ilvl="0" w:tplc="0409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446E7E70"/>
    <w:multiLevelType w:val="hybridMultilevel"/>
    <w:tmpl w:val="B71C4E26"/>
    <w:lvl w:ilvl="0" w:tplc="87F65E38">
      <w:start w:val="1"/>
      <w:numFmt w:val="bullet"/>
      <w:lvlText w:val="•"/>
      <w:lvlJc w:val="left"/>
      <w:pPr>
        <w:tabs>
          <w:tab w:val="num" w:pos="720"/>
        </w:tabs>
        <w:ind w:left="720" w:hanging="360"/>
      </w:pPr>
      <w:rPr>
        <w:rFonts w:ascii="Arial" w:hAnsi="Arial" w:hint="default"/>
      </w:rPr>
    </w:lvl>
    <w:lvl w:ilvl="1" w:tplc="EE04C930" w:tentative="1">
      <w:start w:val="1"/>
      <w:numFmt w:val="bullet"/>
      <w:lvlText w:val="•"/>
      <w:lvlJc w:val="left"/>
      <w:pPr>
        <w:tabs>
          <w:tab w:val="num" w:pos="1440"/>
        </w:tabs>
        <w:ind w:left="1440" w:hanging="360"/>
      </w:pPr>
      <w:rPr>
        <w:rFonts w:ascii="Arial" w:hAnsi="Arial" w:hint="default"/>
      </w:rPr>
    </w:lvl>
    <w:lvl w:ilvl="2" w:tplc="A99AF77E" w:tentative="1">
      <w:start w:val="1"/>
      <w:numFmt w:val="bullet"/>
      <w:lvlText w:val="•"/>
      <w:lvlJc w:val="left"/>
      <w:pPr>
        <w:tabs>
          <w:tab w:val="num" w:pos="2160"/>
        </w:tabs>
        <w:ind w:left="2160" w:hanging="360"/>
      </w:pPr>
      <w:rPr>
        <w:rFonts w:ascii="Arial" w:hAnsi="Arial" w:hint="default"/>
      </w:rPr>
    </w:lvl>
    <w:lvl w:ilvl="3" w:tplc="278C9002" w:tentative="1">
      <w:start w:val="1"/>
      <w:numFmt w:val="bullet"/>
      <w:lvlText w:val="•"/>
      <w:lvlJc w:val="left"/>
      <w:pPr>
        <w:tabs>
          <w:tab w:val="num" w:pos="2880"/>
        </w:tabs>
        <w:ind w:left="2880" w:hanging="360"/>
      </w:pPr>
      <w:rPr>
        <w:rFonts w:ascii="Arial" w:hAnsi="Arial" w:hint="default"/>
      </w:rPr>
    </w:lvl>
    <w:lvl w:ilvl="4" w:tplc="3AC862C8" w:tentative="1">
      <w:start w:val="1"/>
      <w:numFmt w:val="bullet"/>
      <w:lvlText w:val="•"/>
      <w:lvlJc w:val="left"/>
      <w:pPr>
        <w:tabs>
          <w:tab w:val="num" w:pos="3600"/>
        </w:tabs>
        <w:ind w:left="3600" w:hanging="360"/>
      </w:pPr>
      <w:rPr>
        <w:rFonts w:ascii="Arial" w:hAnsi="Arial" w:hint="default"/>
      </w:rPr>
    </w:lvl>
    <w:lvl w:ilvl="5" w:tplc="1F5A18B8" w:tentative="1">
      <w:start w:val="1"/>
      <w:numFmt w:val="bullet"/>
      <w:lvlText w:val="•"/>
      <w:lvlJc w:val="left"/>
      <w:pPr>
        <w:tabs>
          <w:tab w:val="num" w:pos="4320"/>
        </w:tabs>
        <w:ind w:left="4320" w:hanging="360"/>
      </w:pPr>
      <w:rPr>
        <w:rFonts w:ascii="Arial" w:hAnsi="Arial" w:hint="default"/>
      </w:rPr>
    </w:lvl>
    <w:lvl w:ilvl="6" w:tplc="CF34794A" w:tentative="1">
      <w:start w:val="1"/>
      <w:numFmt w:val="bullet"/>
      <w:lvlText w:val="•"/>
      <w:lvlJc w:val="left"/>
      <w:pPr>
        <w:tabs>
          <w:tab w:val="num" w:pos="5040"/>
        </w:tabs>
        <w:ind w:left="5040" w:hanging="360"/>
      </w:pPr>
      <w:rPr>
        <w:rFonts w:ascii="Arial" w:hAnsi="Arial" w:hint="default"/>
      </w:rPr>
    </w:lvl>
    <w:lvl w:ilvl="7" w:tplc="729C48EC" w:tentative="1">
      <w:start w:val="1"/>
      <w:numFmt w:val="bullet"/>
      <w:lvlText w:val="•"/>
      <w:lvlJc w:val="left"/>
      <w:pPr>
        <w:tabs>
          <w:tab w:val="num" w:pos="5760"/>
        </w:tabs>
        <w:ind w:left="5760" w:hanging="360"/>
      </w:pPr>
      <w:rPr>
        <w:rFonts w:ascii="Arial" w:hAnsi="Arial" w:hint="default"/>
      </w:rPr>
    </w:lvl>
    <w:lvl w:ilvl="8" w:tplc="0A1426D8" w:tentative="1">
      <w:start w:val="1"/>
      <w:numFmt w:val="bullet"/>
      <w:lvlText w:val="•"/>
      <w:lvlJc w:val="left"/>
      <w:pPr>
        <w:tabs>
          <w:tab w:val="num" w:pos="6480"/>
        </w:tabs>
        <w:ind w:left="6480" w:hanging="360"/>
      </w:pPr>
      <w:rPr>
        <w:rFonts w:ascii="Arial" w:hAnsi="Arial" w:hint="default"/>
      </w:rPr>
    </w:lvl>
  </w:abstractNum>
  <w:abstractNum w:abstractNumId="15">
    <w:nsid w:val="4D546268"/>
    <w:multiLevelType w:val="hybridMultilevel"/>
    <w:tmpl w:val="E878F09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52196313"/>
    <w:multiLevelType w:val="hybridMultilevel"/>
    <w:tmpl w:val="1CFC4FF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52E612B8"/>
    <w:multiLevelType w:val="hybridMultilevel"/>
    <w:tmpl w:val="99049B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nsid w:val="5D777AF4"/>
    <w:multiLevelType w:val="hybridMultilevel"/>
    <w:tmpl w:val="83AE35BC"/>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19">
    <w:nsid w:val="5DFC5305"/>
    <w:multiLevelType w:val="hybridMultilevel"/>
    <w:tmpl w:val="5A1A1122"/>
    <w:lvl w:ilvl="0" w:tplc="E4AA0286">
      <w:start w:val="5"/>
      <w:numFmt w:val="bullet"/>
      <w:lvlText w:val="-"/>
      <w:lvlJc w:val="left"/>
      <w:pPr>
        <w:ind w:left="720" w:hanging="360"/>
      </w:pPr>
      <w:rPr>
        <w:rFonts w:ascii="Times New Roman" w:eastAsia="SimSun" w:hAnsi="Times New Roman" w:cs="Times New Roman" w:hint="default"/>
        <w: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5E59409D"/>
    <w:multiLevelType w:val="hybridMultilevel"/>
    <w:tmpl w:val="54B62FFE"/>
    <w:lvl w:ilvl="0" w:tplc="4DBE084A">
      <w:start w:val="1"/>
      <w:numFmt w:val="upperRoman"/>
      <w:lvlText w:val="%1."/>
      <w:lvlJc w:val="left"/>
      <w:pPr>
        <w:ind w:left="1080" w:hanging="72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nsid w:val="5EF237FA"/>
    <w:multiLevelType w:val="hybridMultilevel"/>
    <w:tmpl w:val="BA8C16F2"/>
    <w:lvl w:ilvl="0" w:tplc="F600FEBA">
      <w:numFmt w:val="bullet"/>
      <w:lvlText w:val="-"/>
      <w:lvlJc w:val="left"/>
      <w:pPr>
        <w:ind w:left="720" w:hanging="360"/>
      </w:pPr>
      <w:rPr>
        <w:rFonts w:ascii="Calibri" w:eastAsia="BatangChe"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F1335EA"/>
    <w:multiLevelType w:val="hybridMultilevel"/>
    <w:tmpl w:val="17384812"/>
    <w:lvl w:ilvl="0" w:tplc="4DBE084A">
      <w:start w:val="1"/>
      <w:numFmt w:val="upperRoman"/>
      <w:lvlText w:val="%1."/>
      <w:lvlJc w:val="left"/>
      <w:pPr>
        <w:ind w:left="1080" w:hanging="72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nsid w:val="614F6A55"/>
    <w:multiLevelType w:val="hybridMultilevel"/>
    <w:tmpl w:val="3DCC2CEA"/>
    <w:lvl w:ilvl="0" w:tplc="E4AA0286">
      <w:start w:val="5"/>
      <w:numFmt w:val="bullet"/>
      <w:lvlText w:val="-"/>
      <w:lvlJc w:val="left"/>
      <w:pPr>
        <w:ind w:left="720" w:hanging="360"/>
      </w:pPr>
      <w:rPr>
        <w:rFonts w:ascii="Times New Roman" w:eastAsia="SimSun" w:hAnsi="Times New Roman" w:cs="Times New Roman" w:hint="default"/>
        <w: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6CFC4413"/>
    <w:multiLevelType w:val="hybridMultilevel"/>
    <w:tmpl w:val="9A4254C4"/>
    <w:lvl w:ilvl="0" w:tplc="73D8AB66">
      <w:start w:val="1"/>
      <w:numFmt w:val="bullet"/>
      <w:lvlText w:val="•"/>
      <w:lvlJc w:val="left"/>
      <w:pPr>
        <w:tabs>
          <w:tab w:val="num" w:pos="720"/>
        </w:tabs>
        <w:ind w:left="720" w:hanging="360"/>
      </w:pPr>
      <w:rPr>
        <w:rFonts w:ascii="Arial" w:hAnsi="Arial" w:hint="default"/>
      </w:rPr>
    </w:lvl>
    <w:lvl w:ilvl="1" w:tplc="11CADB9C" w:tentative="1">
      <w:start w:val="1"/>
      <w:numFmt w:val="bullet"/>
      <w:lvlText w:val="•"/>
      <w:lvlJc w:val="left"/>
      <w:pPr>
        <w:tabs>
          <w:tab w:val="num" w:pos="1440"/>
        </w:tabs>
        <w:ind w:left="1440" w:hanging="360"/>
      </w:pPr>
      <w:rPr>
        <w:rFonts w:ascii="Arial" w:hAnsi="Arial" w:hint="default"/>
      </w:rPr>
    </w:lvl>
    <w:lvl w:ilvl="2" w:tplc="72F45DDE" w:tentative="1">
      <w:start w:val="1"/>
      <w:numFmt w:val="bullet"/>
      <w:lvlText w:val="•"/>
      <w:lvlJc w:val="left"/>
      <w:pPr>
        <w:tabs>
          <w:tab w:val="num" w:pos="2160"/>
        </w:tabs>
        <w:ind w:left="2160" w:hanging="360"/>
      </w:pPr>
      <w:rPr>
        <w:rFonts w:ascii="Arial" w:hAnsi="Arial" w:hint="default"/>
      </w:rPr>
    </w:lvl>
    <w:lvl w:ilvl="3" w:tplc="A2E4A44E" w:tentative="1">
      <w:start w:val="1"/>
      <w:numFmt w:val="bullet"/>
      <w:lvlText w:val="•"/>
      <w:lvlJc w:val="left"/>
      <w:pPr>
        <w:tabs>
          <w:tab w:val="num" w:pos="2880"/>
        </w:tabs>
        <w:ind w:left="2880" w:hanging="360"/>
      </w:pPr>
      <w:rPr>
        <w:rFonts w:ascii="Arial" w:hAnsi="Arial" w:hint="default"/>
      </w:rPr>
    </w:lvl>
    <w:lvl w:ilvl="4" w:tplc="C308C6A2" w:tentative="1">
      <w:start w:val="1"/>
      <w:numFmt w:val="bullet"/>
      <w:lvlText w:val="•"/>
      <w:lvlJc w:val="left"/>
      <w:pPr>
        <w:tabs>
          <w:tab w:val="num" w:pos="3600"/>
        </w:tabs>
        <w:ind w:left="3600" w:hanging="360"/>
      </w:pPr>
      <w:rPr>
        <w:rFonts w:ascii="Arial" w:hAnsi="Arial" w:hint="default"/>
      </w:rPr>
    </w:lvl>
    <w:lvl w:ilvl="5" w:tplc="CBAE486A" w:tentative="1">
      <w:start w:val="1"/>
      <w:numFmt w:val="bullet"/>
      <w:lvlText w:val="•"/>
      <w:lvlJc w:val="left"/>
      <w:pPr>
        <w:tabs>
          <w:tab w:val="num" w:pos="4320"/>
        </w:tabs>
        <w:ind w:left="4320" w:hanging="360"/>
      </w:pPr>
      <w:rPr>
        <w:rFonts w:ascii="Arial" w:hAnsi="Arial" w:hint="default"/>
      </w:rPr>
    </w:lvl>
    <w:lvl w:ilvl="6" w:tplc="8D289B9A" w:tentative="1">
      <w:start w:val="1"/>
      <w:numFmt w:val="bullet"/>
      <w:lvlText w:val="•"/>
      <w:lvlJc w:val="left"/>
      <w:pPr>
        <w:tabs>
          <w:tab w:val="num" w:pos="5040"/>
        </w:tabs>
        <w:ind w:left="5040" w:hanging="360"/>
      </w:pPr>
      <w:rPr>
        <w:rFonts w:ascii="Arial" w:hAnsi="Arial" w:hint="default"/>
      </w:rPr>
    </w:lvl>
    <w:lvl w:ilvl="7" w:tplc="0492BFE2" w:tentative="1">
      <w:start w:val="1"/>
      <w:numFmt w:val="bullet"/>
      <w:lvlText w:val="•"/>
      <w:lvlJc w:val="left"/>
      <w:pPr>
        <w:tabs>
          <w:tab w:val="num" w:pos="5760"/>
        </w:tabs>
        <w:ind w:left="5760" w:hanging="360"/>
      </w:pPr>
      <w:rPr>
        <w:rFonts w:ascii="Arial" w:hAnsi="Arial" w:hint="default"/>
      </w:rPr>
    </w:lvl>
    <w:lvl w:ilvl="8" w:tplc="E4BC7F9E" w:tentative="1">
      <w:start w:val="1"/>
      <w:numFmt w:val="bullet"/>
      <w:lvlText w:val="•"/>
      <w:lvlJc w:val="left"/>
      <w:pPr>
        <w:tabs>
          <w:tab w:val="num" w:pos="6480"/>
        </w:tabs>
        <w:ind w:left="6480" w:hanging="360"/>
      </w:pPr>
      <w:rPr>
        <w:rFonts w:ascii="Arial" w:hAnsi="Arial" w:hint="default"/>
      </w:rPr>
    </w:lvl>
  </w:abstractNum>
  <w:abstractNum w:abstractNumId="25">
    <w:nsid w:val="6D1D4DA4"/>
    <w:multiLevelType w:val="hybridMultilevel"/>
    <w:tmpl w:val="82E4DC34"/>
    <w:lvl w:ilvl="0" w:tplc="1C0A0001">
      <w:start w:val="1"/>
      <w:numFmt w:val="bullet"/>
      <w:lvlText w:val=""/>
      <w:lvlJc w:val="left"/>
      <w:pPr>
        <w:ind w:left="786"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6E312371"/>
    <w:multiLevelType w:val="hybridMultilevel"/>
    <w:tmpl w:val="B846D3DE"/>
    <w:lvl w:ilvl="0" w:tplc="0409000D">
      <w:start w:val="1"/>
      <w:numFmt w:val="bullet"/>
      <w:lvlText w:val=""/>
      <w:lvlJc w:val="left"/>
      <w:pPr>
        <w:ind w:left="928"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73CB79D2"/>
    <w:multiLevelType w:val="hybridMultilevel"/>
    <w:tmpl w:val="846E092E"/>
    <w:lvl w:ilvl="0" w:tplc="9C2CB7A4">
      <w:start w:val="1"/>
      <w:numFmt w:val="bullet"/>
      <w:lvlText w:val="•"/>
      <w:lvlJc w:val="left"/>
      <w:pPr>
        <w:tabs>
          <w:tab w:val="num" w:pos="720"/>
        </w:tabs>
        <w:ind w:left="720" w:hanging="360"/>
      </w:pPr>
      <w:rPr>
        <w:rFonts w:ascii="Arial" w:hAnsi="Arial" w:hint="default"/>
      </w:rPr>
    </w:lvl>
    <w:lvl w:ilvl="1" w:tplc="96407E0A" w:tentative="1">
      <w:start w:val="1"/>
      <w:numFmt w:val="bullet"/>
      <w:lvlText w:val="•"/>
      <w:lvlJc w:val="left"/>
      <w:pPr>
        <w:tabs>
          <w:tab w:val="num" w:pos="1440"/>
        </w:tabs>
        <w:ind w:left="1440" w:hanging="360"/>
      </w:pPr>
      <w:rPr>
        <w:rFonts w:ascii="Arial" w:hAnsi="Arial" w:hint="default"/>
      </w:rPr>
    </w:lvl>
    <w:lvl w:ilvl="2" w:tplc="C6F2D46E" w:tentative="1">
      <w:start w:val="1"/>
      <w:numFmt w:val="bullet"/>
      <w:lvlText w:val="•"/>
      <w:lvlJc w:val="left"/>
      <w:pPr>
        <w:tabs>
          <w:tab w:val="num" w:pos="2160"/>
        </w:tabs>
        <w:ind w:left="2160" w:hanging="360"/>
      </w:pPr>
      <w:rPr>
        <w:rFonts w:ascii="Arial" w:hAnsi="Arial" w:hint="default"/>
      </w:rPr>
    </w:lvl>
    <w:lvl w:ilvl="3" w:tplc="20DAD3A6" w:tentative="1">
      <w:start w:val="1"/>
      <w:numFmt w:val="bullet"/>
      <w:lvlText w:val="•"/>
      <w:lvlJc w:val="left"/>
      <w:pPr>
        <w:tabs>
          <w:tab w:val="num" w:pos="2880"/>
        </w:tabs>
        <w:ind w:left="2880" w:hanging="360"/>
      </w:pPr>
      <w:rPr>
        <w:rFonts w:ascii="Arial" w:hAnsi="Arial" w:hint="default"/>
      </w:rPr>
    </w:lvl>
    <w:lvl w:ilvl="4" w:tplc="1DB403AC" w:tentative="1">
      <w:start w:val="1"/>
      <w:numFmt w:val="bullet"/>
      <w:lvlText w:val="•"/>
      <w:lvlJc w:val="left"/>
      <w:pPr>
        <w:tabs>
          <w:tab w:val="num" w:pos="3600"/>
        </w:tabs>
        <w:ind w:left="3600" w:hanging="360"/>
      </w:pPr>
      <w:rPr>
        <w:rFonts w:ascii="Arial" w:hAnsi="Arial" w:hint="default"/>
      </w:rPr>
    </w:lvl>
    <w:lvl w:ilvl="5" w:tplc="2144B484" w:tentative="1">
      <w:start w:val="1"/>
      <w:numFmt w:val="bullet"/>
      <w:lvlText w:val="•"/>
      <w:lvlJc w:val="left"/>
      <w:pPr>
        <w:tabs>
          <w:tab w:val="num" w:pos="4320"/>
        </w:tabs>
        <w:ind w:left="4320" w:hanging="360"/>
      </w:pPr>
      <w:rPr>
        <w:rFonts w:ascii="Arial" w:hAnsi="Arial" w:hint="default"/>
      </w:rPr>
    </w:lvl>
    <w:lvl w:ilvl="6" w:tplc="BE72A72E" w:tentative="1">
      <w:start w:val="1"/>
      <w:numFmt w:val="bullet"/>
      <w:lvlText w:val="•"/>
      <w:lvlJc w:val="left"/>
      <w:pPr>
        <w:tabs>
          <w:tab w:val="num" w:pos="5040"/>
        </w:tabs>
        <w:ind w:left="5040" w:hanging="360"/>
      </w:pPr>
      <w:rPr>
        <w:rFonts w:ascii="Arial" w:hAnsi="Arial" w:hint="default"/>
      </w:rPr>
    </w:lvl>
    <w:lvl w:ilvl="7" w:tplc="1786E7D4" w:tentative="1">
      <w:start w:val="1"/>
      <w:numFmt w:val="bullet"/>
      <w:lvlText w:val="•"/>
      <w:lvlJc w:val="left"/>
      <w:pPr>
        <w:tabs>
          <w:tab w:val="num" w:pos="5760"/>
        </w:tabs>
        <w:ind w:left="5760" w:hanging="360"/>
      </w:pPr>
      <w:rPr>
        <w:rFonts w:ascii="Arial" w:hAnsi="Arial" w:hint="default"/>
      </w:rPr>
    </w:lvl>
    <w:lvl w:ilvl="8" w:tplc="67EC2574" w:tentative="1">
      <w:start w:val="1"/>
      <w:numFmt w:val="bullet"/>
      <w:lvlText w:val="•"/>
      <w:lvlJc w:val="left"/>
      <w:pPr>
        <w:tabs>
          <w:tab w:val="num" w:pos="6480"/>
        </w:tabs>
        <w:ind w:left="6480" w:hanging="360"/>
      </w:pPr>
      <w:rPr>
        <w:rFonts w:ascii="Arial" w:hAnsi="Arial" w:hint="default"/>
      </w:rPr>
    </w:lvl>
  </w:abstractNum>
  <w:abstractNum w:abstractNumId="28">
    <w:nsid w:val="779149D0"/>
    <w:multiLevelType w:val="hybridMultilevel"/>
    <w:tmpl w:val="E200CB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nsid w:val="7B6A6C2D"/>
    <w:multiLevelType w:val="hybridMultilevel"/>
    <w:tmpl w:val="78082C6E"/>
    <w:lvl w:ilvl="0" w:tplc="E4AA0286">
      <w:start w:val="5"/>
      <w:numFmt w:val="bullet"/>
      <w:lvlText w:val="-"/>
      <w:lvlJc w:val="left"/>
      <w:pPr>
        <w:ind w:left="720" w:hanging="360"/>
      </w:pPr>
      <w:rPr>
        <w:rFonts w:ascii="Times New Roman" w:eastAsia="SimSun" w:hAnsi="Times New Roman" w:cs="Times New Roman" w:hint="default"/>
        <w: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nsid w:val="7E7051E3"/>
    <w:multiLevelType w:val="hybridMultilevel"/>
    <w:tmpl w:val="8B3A97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21"/>
  </w:num>
  <w:num w:numId="4">
    <w:abstractNumId w:val="28"/>
  </w:num>
  <w:num w:numId="5">
    <w:abstractNumId w:val="25"/>
  </w:num>
  <w:num w:numId="6">
    <w:abstractNumId w:val="1"/>
  </w:num>
  <w:num w:numId="7">
    <w:abstractNumId w:val="22"/>
  </w:num>
  <w:num w:numId="8">
    <w:abstractNumId w:val="15"/>
  </w:num>
  <w:num w:numId="9">
    <w:abstractNumId w:val="2"/>
  </w:num>
  <w:num w:numId="10">
    <w:abstractNumId w:val="18"/>
  </w:num>
  <w:num w:numId="11">
    <w:abstractNumId w:val="6"/>
  </w:num>
  <w:num w:numId="12">
    <w:abstractNumId w:val="3"/>
  </w:num>
  <w:num w:numId="13">
    <w:abstractNumId w:val="16"/>
  </w:num>
  <w:num w:numId="14">
    <w:abstractNumId w:val="4"/>
  </w:num>
  <w:num w:numId="15">
    <w:abstractNumId w:val="17"/>
  </w:num>
  <w:num w:numId="16">
    <w:abstractNumId w:val="5"/>
  </w:num>
  <w:num w:numId="17">
    <w:abstractNumId w:val="20"/>
  </w:num>
  <w:num w:numId="18">
    <w:abstractNumId w:val="7"/>
  </w:num>
  <w:num w:numId="19">
    <w:abstractNumId w:val="30"/>
  </w:num>
  <w:num w:numId="20">
    <w:abstractNumId w:val="13"/>
  </w:num>
  <w:num w:numId="21">
    <w:abstractNumId w:val="9"/>
  </w:num>
  <w:num w:numId="22">
    <w:abstractNumId w:val="23"/>
  </w:num>
  <w:num w:numId="23">
    <w:abstractNumId w:val="8"/>
  </w:num>
  <w:num w:numId="24">
    <w:abstractNumId w:val="29"/>
  </w:num>
  <w:num w:numId="25">
    <w:abstractNumId w:val="26"/>
  </w:num>
  <w:num w:numId="26">
    <w:abstractNumId w:val="0"/>
  </w:num>
  <w:num w:numId="27">
    <w:abstractNumId w:val="11"/>
  </w:num>
  <w:num w:numId="28">
    <w:abstractNumId w:val="19"/>
  </w:num>
  <w:num w:numId="29">
    <w:abstractNumId w:val="24"/>
  </w:num>
  <w:num w:numId="30">
    <w:abstractNumId w:val="27"/>
  </w:num>
  <w:num w:numId="3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D08"/>
    <w:rsid w:val="00000357"/>
    <w:rsid w:val="00000D61"/>
    <w:rsid w:val="00002F6A"/>
    <w:rsid w:val="0000346F"/>
    <w:rsid w:val="00003486"/>
    <w:rsid w:val="000067E8"/>
    <w:rsid w:val="00010BE4"/>
    <w:rsid w:val="00012EEC"/>
    <w:rsid w:val="00021AFC"/>
    <w:rsid w:val="00021C87"/>
    <w:rsid w:val="00023276"/>
    <w:rsid w:val="0002569B"/>
    <w:rsid w:val="00027CCC"/>
    <w:rsid w:val="00031716"/>
    <w:rsid w:val="000328C5"/>
    <w:rsid w:val="0003498E"/>
    <w:rsid w:val="00041821"/>
    <w:rsid w:val="000421B5"/>
    <w:rsid w:val="00043E37"/>
    <w:rsid w:val="00044CBD"/>
    <w:rsid w:val="00050747"/>
    <w:rsid w:val="00051F10"/>
    <w:rsid w:val="00052BDE"/>
    <w:rsid w:val="000621B8"/>
    <w:rsid w:val="00074C3F"/>
    <w:rsid w:val="00083632"/>
    <w:rsid w:val="0008527C"/>
    <w:rsid w:val="00096F9F"/>
    <w:rsid w:val="000A1D75"/>
    <w:rsid w:val="000A337A"/>
    <w:rsid w:val="000A3A62"/>
    <w:rsid w:val="000A51DF"/>
    <w:rsid w:val="000A7979"/>
    <w:rsid w:val="000B0991"/>
    <w:rsid w:val="000B0E3E"/>
    <w:rsid w:val="000B1F9C"/>
    <w:rsid w:val="000B39BD"/>
    <w:rsid w:val="000B3C38"/>
    <w:rsid w:val="000B5CB9"/>
    <w:rsid w:val="000B756B"/>
    <w:rsid w:val="000B76B6"/>
    <w:rsid w:val="000C09A0"/>
    <w:rsid w:val="000C2949"/>
    <w:rsid w:val="000C342A"/>
    <w:rsid w:val="000C3E19"/>
    <w:rsid w:val="000C7458"/>
    <w:rsid w:val="000D1641"/>
    <w:rsid w:val="000D1DB9"/>
    <w:rsid w:val="000D6043"/>
    <w:rsid w:val="000D608D"/>
    <w:rsid w:val="000E0190"/>
    <w:rsid w:val="000E0677"/>
    <w:rsid w:val="000E079B"/>
    <w:rsid w:val="000E0830"/>
    <w:rsid w:val="000F3D5D"/>
    <w:rsid w:val="000F6B27"/>
    <w:rsid w:val="000F736B"/>
    <w:rsid w:val="000F7907"/>
    <w:rsid w:val="00101829"/>
    <w:rsid w:val="00111B8D"/>
    <w:rsid w:val="00115876"/>
    <w:rsid w:val="001210B2"/>
    <w:rsid w:val="0012718D"/>
    <w:rsid w:val="001306D2"/>
    <w:rsid w:val="00131A69"/>
    <w:rsid w:val="0013371F"/>
    <w:rsid w:val="001344A6"/>
    <w:rsid w:val="00135428"/>
    <w:rsid w:val="001364BB"/>
    <w:rsid w:val="001403E5"/>
    <w:rsid w:val="00141DA4"/>
    <w:rsid w:val="0014244F"/>
    <w:rsid w:val="001435EC"/>
    <w:rsid w:val="00143CBB"/>
    <w:rsid w:val="00145C5C"/>
    <w:rsid w:val="00150B88"/>
    <w:rsid w:val="00151584"/>
    <w:rsid w:val="001522BA"/>
    <w:rsid w:val="001523FC"/>
    <w:rsid w:val="00152BB9"/>
    <w:rsid w:val="00156BAE"/>
    <w:rsid w:val="00161500"/>
    <w:rsid w:val="00161DF8"/>
    <w:rsid w:val="0016213E"/>
    <w:rsid w:val="00162CA3"/>
    <w:rsid w:val="001707CB"/>
    <w:rsid w:val="00170801"/>
    <w:rsid w:val="00172495"/>
    <w:rsid w:val="0017445C"/>
    <w:rsid w:val="00174C28"/>
    <w:rsid w:val="00175186"/>
    <w:rsid w:val="00175EA5"/>
    <w:rsid w:val="00177456"/>
    <w:rsid w:val="00186F30"/>
    <w:rsid w:val="00191650"/>
    <w:rsid w:val="0019371E"/>
    <w:rsid w:val="0019392E"/>
    <w:rsid w:val="00194EF7"/>
    <w:rsid w:val="001A060C"/>
    <w:rsid w:val="001A2911"/>
    <w:rsid w:val="001A3CE5"/>
    <w:rsid w:val="001A6E78"/>
    <w:rsid w:val="001A6F35"/>
    <w:rsid w:val="001A768F"/>
    <w:rsid w:val="001B19D0"/>
    <w:rsid w:val="001B2292"/>
    <w:rsid w:val="001B7FA9"/>
    <w:rsid w:val="001C0A7A"/>
    <w:rsid w:val="001C13FA"/>
    <w:rsid w:val="001C69CA"/>
    <w:rsid w:val="001C792F"/>
    <w:rsid w:val="001D027A"/>
    <w:rsid w:val="001D1994"/>
    <w:rsid w:val="001D537B"/>
    <w:rsid w:val="001D5F1B"/>
    <w:rsid w:val="001D6101"/>
    <w:rsid w:val="001D6559"/>
    <w:rsid w:val="001E0B92"/>
    <w:rsid w:val="001E1387"/>
    <w:rsid w:val="001E1C64"/>
    <w:rsid w:val="001E3E15"/>
    <w:rsid w:val="001E66DC"/>
    <w:rsid w:val="001F0F9D"/>
    <w:rsid w:val="001F3E8E"/>
    <w:rsid w:val="001F6DC9"/>
    <w:rsid w:val="0020318A"/>
    <w:rsid w:val="00206A85"/>
    <w:rsid w:val="00207E2A"/>
    <w:rsid w:val="00211FD8"/>
    <w:rsid w:val="00213671"/>
    <w:rsid w:val="00213C32"/>
    <w:rsid w:val="0021598B"/>
    <w:rsid w:val="002174FE"/>
    <w:rsid w:val="002204DD"/>
    <w:rsid w:val="002209AD"/>
    <w:rsid w:val="00221363"/>
    <w:rsid w:val="002233A1"/>
    <w:rsid w:val="00224C69"/>
    <w:rsid w:val="00233DFB"/>
    <w:rsid w:val="00234893"/>
    <w:rsid w:val="00235301"/>
    <w:rsid w:val="002360E9"/>
    <w:rsid w:val="0024023B"/>
    <w:rsid w:val="00244B80"/>
    <w:rsid w:val="0024561B"/>
    <w:rsid w:val="00246CC5"/>
    <w:rsid w:val="002512E4"/>
    <w:rsid w:val="002518CC"/>
    <w:rsid w:val="002615F5"/>
    <w:rsid w:val="00261EAD"/>
    <w:rsid w:val="00262A53"/>
    <w:rsid w:val="0026376A"/>
    <w:rsid w:val="002659EE"/>
    <w:rsid w:val="00267002"/>
    <w:rsid w:val="002713E2"/>
    <w:rsid w:val="00271C3D"/>
    <w:rsid w:val="00272C12"/>
    <w:rsid w:val="00273A17"/>
    <w:rsid w:val="00274BE6"/>
    <w:rsid w:val="002757AC"/>
    <w:rsid w:val="002765D1"/>
    <w:rsid w:val="00281175"/>
    <w:rsid w:val="0028450E"/>
    <w:rsid w:val="00284B8D"/>
    <w:rsid w:val="00284F27"/>
    <w:rsid w:val="00284FA0"/>
    <w:rsid w:val="00284FDF"/>
    <w:rsid w:val="002857DE"/>
    <w:rsid w:val="00287D9F"/>
    <w:rsid w:val="00295282"/>
    <w:rsid w:val="0029528E"/>
    <w:rsid w:val="002967A9"/>
    <w:rsid w:val="002A1E3E"/>
    <w:rsid w:val="002A5B16"/>
    <w:rsid w:val="002B0D1D"/>
    <w:rsid w:val="002B7B67"/>
    <w:rsid w:val="002C195F"/>
    <w:rsid w:val="002C1F00"/>
    <w:rsid w:val="002C41E3"/>
    <w:rsid w:val="002C5843"/>
    <w:rsid w:val="002D1743"/>
    <w:rsid w:val="002D2C52"/>
    <w:rsid w:val="002D4558"/>
    <w:rsid w:val="002E03E8"/>
    <w:rsid w:val="002E0537"/>
    <w:rsid w:val="002E0A92"/>
    <w:rsid w:val="002E149E"/>
    <w:rsid w:val="002E3AF8"/>
    <w:rsid w:val="002E49E9"/>
    <w:rsid w:val="002F325C"/>
    <w:rsid w:val="002F33D8"/>
    <w:rsid w:val="002F411C"/>
    <w:rsid w:val="002F6FFD"/>
    <w:rsid w:val="00300BB1"/>
    <w:rsid w:val="00305469"/>
    <w:rsid w:val="003125E6"/>
    <w:rsid w:val="00312616"/>
    <w:rsid w:val="00315BD8"/>
    <w:rsid w:val="003162D4"/>
    <w:rsid w:val="003207D2"/>
    <w:rsid w:val="0032332E"/>
    <w:rsid w:val="00324D8B"/>
    <w:rsid w:val="003254B3"/>
    <w:rsid w:val="003256ED"/>
    <w:rsid w:val="00327005"/>
    <w:rsid w:val="003339B4"/>
    <w:rsid w:val="00334A72"/>
    <w:rsid w:val="00334F66"/>
    <w:rsid w:val="003379CB"/>
    <w:rsid w:val="003514F9"/>
    <w:rsid w:val="00352E4B"/>
    <w:rsid w:val="003551BD"/>
    <w:rsid w:val="00355DE4"/>
    <w:rsid w:val="00356041"/>
    <w:rsid w:val="00357180"/>
    <w:rsid w:val="00362436"/>
    <w:rsid w:val="0036266E"/>
    <w:rsid w:val="00363755"/>
    <w:rsid w:val="00366ECF"/>
    <w:rsid w:val="00367F03"/>
    <w:rsid w:val="00371AA0"/>
    <w:rsid w:val="003728AA"/>
    <w:rsid w:val="00374677"/>
    <w:rsid w:val="003757AF"/>
    <w:rsid w:val="00376858"/>
    <w:rsid w:val="00377547"/>
    <w:rsid w:val="0037790F"/>
    <w:rsid w:val="00382405"/>
    <w:rsid w:val="00383A4B"/>
    <w:rsid w:val="00383B5B"/>
    <w:rsid w:val="00384428"/>
    <w:rsid w:val="003852D4"/>
    <w:rsid w:val="0038662A"/>
    <w:rsid w:val="00387904"/>
    <w:rsid w:val="003905C8"/>
    <w:rsid w:val="00392D74"/>
    <w:rsid w:val="00393A73"/>
    <w:rsid w:val="00393E77"/>
    <w:rsid w:val="00397B64"/>
    <w:rsid w:val="003A0A37"/>
    <w:rsid w:val="003A17AA"/>
    <w:rsid w:val="003B0837"/>
    <w:rsid w:val="003B0FC6"/>
    <w:rsid w:val="003B5617"/>
    <w:rsid w:val="003C68C5"/>
    <w:rsid w:val="003D0890"/>
    <w:rsid w:val="003D1019"/>
    <w:rsid w:val="003D3D52"/>
    <w:rsid w:val="003E0543"/>
    <w:rsid w:val="003E0614"/>
    <w:rsid w:val="003E2100"/>
    <w:rsid w:val="003E27E4"/>
    <w:rsid w:val="003E7B14"/>
    <w:rsid w:val="003F0291"/>
    <w:rsid w:val="003F5E58"/>
    <w:rsid w:val="003F6CB7"/>
    <w:rsid w:val="00400E55"/>
    <w:rsid w:val="00402293"/>
    <w:rsid w:val="00403DDC"/>
    <w:rsid w:val="004043F6"/>
    <w:rsid w:val="00407AA4"/>
    <w:rsid w:val="00410C1A"/>
    <w:rsid w:val="0041168F"/>
    <w:rsid w:val="004130BB"/>
    <w:rsid w:val="00414DEB"/>
    <w:rsid w:val="004150FE"/>
    <w:rsid w:val="004151C5"/>
    <w:rsid w:val="00417725"/>
    <w:rsid w:val="00420725"/>
    <w:rsid w:val="0042598E"/>
    <w:rsid w:val="0042609A"/>
    <w:rsid w:val="00426396"/>
    <w:rsid w:val="00432353"/>
    <w:rsid w:val="00432E84"/>
    <w:rsid w:val="004400E8"/>
    <w:rsid w:val="004408D7"/>
    <w:rsid w:val="00441A47"/>
    <w:rsid w:val="00446C56"/>
    <w:rsid w:val="00446DC7"/>
    <w:rsid w:val="0045190B"/>
    <w:rsid w:val="00454A64"/>
    <w:rsid w:val="004562F7"/>
    <w:rsid w:val="0045719D"/>
    <w:rsid w:val="00457CB5"/>
    <w:rsid w:val="00460750"/>
    <w:rsid w:val="0046575E"/>
    <w:rsid w:val="0047019D"/>
    <w:rsid w:val="00471889"/>
    <w:rsid w:val="00472B44"/>
    <w:rsid w:val="004736DD"/>
    <w:rsid w:val="00474F9D"/>
    <w:rsid w:val="004757FE"/>
    <w:rsid w:val="00482E8D"/>
    <w:rsid w:val="00484134"/>
    <w:rsid w:val="0048672E"/>
    <w:rsid w:val="0049248E"/>
    <w:rsid w:val="00492B81"/>
    <w:rsid w:val="004A24F6"/>
    <w:rsid w:val="004B52FF"/>
    <w:rsid w:val="004B59AD"/>
    <w:rsid w:val="004B780F"/>
    <w:rsid w:val="004C128F"/>
    <w:rsid w:val="004C46A9"/>
    <w:rsid w:val="004C5FA4"/>
    <w:rsid w:val="004D69C4"/>
    <w:rsid w:val="004E4D0B"/>
    <w:rsid w:val="004E6928"/>
    <w:rsid w:val="004E6A59"/>
    <w:rsid w:val="004F4CF0"/>
    <w:rsid w:val="004F5198"/>
    <w:rsid w:val="004F5725"/>
    <w:rsid w:val="004F5EEA"/>
    <w:rsid w:val="004F644D"/>
    <w:rsid w:val="004F6567"/>
    <w:rsid w:val="0050431B"/>
    <w:rsid w:val="005075D1"/>
    <w:rsid w:val="00514120"/>
    <w:rsid w:val="00520D8D"/>
    <w:rsid w:val="00524ABD"/>
    <w:rsid w:val="00525686"/>
    <w:rsid w:val="005343B1"/>
    <w:rsid w:val="00541A3A"/>
    <w:rsid w:val="00542475"/>
    <w:rsid w:val="00544454"/>
    <w:rsid w:val="00550444"/>
    <w:rsid w:val="00554593"/>
    <w:rsid w:val="005553FF"/>
    <w:rsid w:val="0056101F"/>
    <w:rsid w:val="00562166"/>
    <w:rsid w:val="00565003"/>
    <w:rsid w:val="00567F59"/>
    <w:rsid w:val="00567FB3"/>
    <w:rsid w:val="0057598A"/>
    <w:rsid w:val="005764DF"/>
    <w:rsid w:val="0057740E"/>
    <w:rsid w:val="00583940"/>
    <w:rsid w:val="00583DD2"/>
    <w:rsid w:val="00585F00"/>
    <w:rsid w:val="005923D0"/>
    <w:rsid w:val="005927C4"/>
    <w:rsid w:val="005931D5"/>
    <w:rsid w:val="00594B6E"/>
    <w:rsid w:val="00595FCE"/>
    <w:rsid w:val="005A347C"/>
    <w:rsid w:val="005A5450"/>
    <w:rsid w:val="005B13C2"/>
    <w:rsid w:val="005B4939"/>
    <w:rsid w:val="005B6327"/>
    <w:rsid w:val="005C0493"/>
    <w:rsid w:val="005C4248"/>
    <w:rsid w:val="005C4A6B"/>
    <w:rsid w:val="005C5244"/>
    <w:rsid w:val="005D00FB"/>
    <w:rsid w:val="005D195E"/>
    <w:rsid w:val="005D259F"/>
    <w:rsid w:val="005D6307"/>
    <w:rsid w:val="005D6ABA"/>
    <w:rsid w:val="005E0B76"/>
    <w:rsid w:val="005E468F"/>
    <w:rsid w:val="005F76CB"/>
    <w:rsid w:val="005F7C81"/>
    <w:rsid w:val="00601DDE"/>
    <w:rsid w:val="0060394D"/>
    <w:rsid w:val="006050D9"/>
    <w:rsid w:val="00605208"/>
    <w:rsid w:val="006120DF"/>
    <w:rsid w:val="0061356B"/>
    <w:rsid w:val="00615D94"/>
    <w:rsid w:val="00616B97"/>
    <w:rsid w:val="00620071"/>
    <w:rsid w:val="00623F53"/>
    <w:rsid w:val="006303E5"/>
    <w:rsid w:val="00631AFF"/>
    <w:rsid w:val="006323D1"/>
    <w:rsid w:val="00633F85"/>
    <w:rsid w:val="00634FE1"/>
    <w:rsid w:val="00641EF4"/>
    <w:rsid w:val="0064210E"/>
    <w:rsid w:val="00643655"/>
    <w:rsid w:val="00643B50"/>
    <w:rsid w:val="00647517"/>
    <w:rsid w:val="00651DF1"/>
    <w:rsid w:val="00651ED8"/>
    <w:rsid w:val="00653040"/>
    <w:rsid w:val="0065310D"/>
    <w:rsid w:val="006535F7"/>
    <w:rsid w:val="00654487"/>
    <w:rsid w:val="00655735"/>
    <w:rsid w:val="00655FDC"/>
    <w:rsid w:val="006579C0"/>
    <w:rsid w:val="00657E98"/>
    <w:rsid w:val="00663A5A"/>
    <w:rsid w:val="00664693"/>
    <w:rsid w:val="00664B9F"/>
    <w:rsid w:val="006674A8"/>
    <w:rsid w:val="0067133C"/>
    <w:rsid w:val="0067301B"/>
    <w:rsid w:val="0067411C"/>
    <w:rsid w:val="00676705"/>
    <w:rsid w:val="00681D02"/>
    <w:rsid w:val="00682394"/>
    <w:rsid w:val="00685217"/>
    <w:rsid w:val="006862CD"/>
    <w:rsid w:val="00690383"/>
    <w:rsid w:val="00690F46"/>
    <w:rsid w:val="006A0BD3"/>
    <w:rsid w:val="006A41DD"/>
    <w:rsid w:val="006A59D1"/>
    <w:rsid w:val="006A6D25"/>
    <w:rsid w:val="006B6646"/>
    <w:rsid w:val="006B68F0"/>
    <w:rsid w:val="006B7763"/>
    <w:rsid w:val="006C20F0"/>
    <w:rsid w:val="006C29F1"/>
    <w:rsid w:val="006C2C34"/>
    <w:rsid w:val="006C4A8B"/>
    <w:rsid w:val="006C5085"/>
    <w:rsid w:val="006C537A"/>
    <w:rsid w:val="006C7173"/>
    <w:rsid w:val="006D1BF7"/>
    <w:rsid w:val="006D4A1D"/>
    <w:rsid w:val="006D6783"/>
    <w:rsid w:val="006E3078"/>
    <w:rsid w:val="006E32ED"/>
    <w:rsid w:val="006E39D4"/>
    <w:rsid w:val="006E43E2"/>
    <w:rsid w:val="006E5EA3"/>
    <w:rsid w:val="006F0BF3"/>
    <w:rsid w:val="006F284F"/>
    <w:rsid w:val="007009D9"/>
    <w:rsid w:val="00700ADF"/>
    <w:rsid w:val="00700E63"/>
    <w:rsid w:val="00702AD8"/>
    <w:rsid w:val="00703177"/>
    <w:rsid w:val="00712CD2"/>
    <w:rsid w:val="00713380"/>
    <w:rsid w:val="00714CDC"/>
    <w:rsid w:val="00716DF8"/>
    <w:rsid w:val="00717B19"/>
    <w:rsid w:val="007202A5"/>
    <w:rsid w:val="00720980"/>
    <w:rsid w:val="00724625"/>
    <w:rsid w:val="00725A61"/>
    <w:rsid w:val="007303E4"/>
    <w:rsid w:val="00730E0E"/>
    <w:rsid w:val="00732767"/>
    <w:rsid w:val="007327C8"/>
    <w:rsid w:val="00732E39"/>
    <w:rsid w:val="00733B6C"/>
    <w:rsid w:val="00733EC1"/>
    <w:rsid w:val="0073459E"/>
    <w:rsid w:val="0073772E"/>
    <w:rsid w:val="00740429"/>
    <w:rsid w:val="00746601"/>
    <w:rsid w:val="007476B9"/>
    <w:rsid w:val="00747911"/>
    <w:rsid w:val="00754AFF"/>
    <w:rsid w:val="00755AFB"/>
    <w:rsid w:val="00762288"/>
    <w:rsid w:val="00762618"/>
    <w:rsid w:val="00767829"/>
    <w:rsid w:val="007703D2"/>
    <w:rsid w:val="00770FDE"/>
    <w:rsid w:val="0077146B"/>
    <w:rsid w:val="00773D04"/>
    <w:rsid w:val="0077781B"/>
    <w:rsid w:val="00781C6A"/>
    <w:rsid w:val="00783F4F"/>
    <w:rsid w:val="00791289"/>
    <w:rsid w:val="007921D4"/>
    <w:rsid w:val="00793D53"/>
    <w:rsid w:val="00793E32"/>
    <w:rsid w:val="00794412"/>
    <w:rsid w:val="007950D7"/>
    <w:rsid w:val="007A0FB8"/>
    <w:rsid w:val="007A2E12"/>
    <w:rsid w:val="007B0824"/>
    <w:rsid w:val="007B111D"/>
    <w:rsid w:val="007B2BD2"/>
    <w:rsid w:val="007B2F09"/>
    <w:rsid w:val="007B4ACF"/>
    <w:rsid w:val="007B4E17"/>
    <w:rsid w:val="007C0CDE"/>
    <w:rsid w:val="007C3169"/>
    <w:rsid w:val="007C3CC6"/>
    <w:rsid w:val="007C435E"/>
    <w:rsid w:val="007C6007"/>
    <w:rsid w:val="007C6E13"/>
    <w:rsid w:val="007C754B"/>
    <w:rsid w:val="007D0E01"/>
    <w:rsid w:val="007D19F6"/>
    <w:rsid w:val="007D3689"/>
    <w:rsid w:val="007D408E"/>
    <w:rsid w:val="007D4A01"/>
    <w:rsid w:val="007D7076"/>
    <w:rsid w:val="007D77BE"/>
    <w:rsid w:val="007E013E"/>
    <w:rsid w:val="007E05C3"/>
    <w:rsid w:val="007E442A"/>
    <w:rsid w:val="007E49AB"/>
    <w:rsid w:val="007E55F5"/>
    <w:rsid w:val="007F3CB8"/>
    <w:rsid w:val="00802085"/>
    <w:rsid w:val="00804E15"/>
    <w:rsid w:val="008066A8"/>
    <w:rsid w:val="00811D31"/>
    <w:rsid w:val="00812504"/>
    <w:rsid w:val="00812B7F"/>
    <w:rsid w:val="008142F9"/>
    <w:rsid w:val="00814A77"/>
    <w:rsid w:val="00814CD5"/>
    <w:rsid w:val="00815044"/>
    <w:rsid w:val="008247FA"/>
    <w:rsid w:val="00826E1C"/>
    <w:rsid w:val="00827943"/>
    <w:rsid w:val="00833D01"/>
    <w:rsid w:val="008344A8"/>
    <w:rsid w:val="008370A7"/>
    <w:rsid w:val="00857487"/>
    <w:rsid w:val="00861B33"/>
    <w:rsid w:val="008628E9"/>
    <w:rsid w:val="008635D6"/>
    <w:rsid w:val="00864A4E"/>
    <w:rsid w:val="00865318"/>
    <w:rsid w:val="00865651"/>
    <w:rsid w:val="0086658F"/>
    <w:rsid w:val="0086758B"/>
    <w:rsid w:val="00867A7F"/>
    <w:rsid w:val="00871CC4"/>
    <w:rsid w:val="008730B3"/>
    <w:rsid w:val="008745F5"/>
    <w:rsid w:val="00877CCB"/>
    <w:rsid w:val="0088317C"/>
    <w:rsid w:val="008832AF"/>
    <w:rsid w:val="00883A59"/>
    <w:rsid w:val="00886FFB"/>
    <w:rsid w:val="008911CE"/>
    <w:rsid w:val="0089385E"/>
    <w:rsid w:val="00896484"/>
    <w:rsid w:val="008A0407"/>
    <w:rsid w:val="008A0534"/>
    <w:rsid w:val="008A2199"/>
    <w:rsid w:val="008A29C8"/>
    <w:rsid w:val="008A2C36"/>
    <w:rsid w:val="008A2C9D"/>
    <w:rsid w:val="008A352F"/>
    <w:rsid w:val="008A433D"/>
    <w:rsid w:val="008A63F6"/>
    <w:rsid w:val="008A758E"/>
    <w:rsid w:val="008B1707"/>
    <w:rsid w:val="008B294F"/>
    <w:rsid w:val="008B2BB1"/>
    <w:rsid w:val="008B3C13"/>
    <w:rsid w:val="008B3DFB"/>
    <w:rsid w:val="008C27B2"/>
    <w:rsid w:val="008C311C"/>
    <w:rsid w:val="008C7748"/>
    <w:rsid w:val="008D3A7A"/>
    <w:rsid w:val="008D3DEA"/>
    <w:rsid w:val="008D3EA2"/>
    <w:rsid w:val="008D5EA8"/>
    <w:rsid w:val="008D73E6"/>
    <w:rsid w:val="008E1CC4"/>
    <w:rsid w:val="008E2004"/>
    <w:rsid w:val="008F0089"/>
    <w:rsid w:val="008F19B8"/>
    <w:rsid w:val="009022EA"/>
    <w:rsid w:val="00906D36"/>
    <w:rsid w:val="00907F3C"/>
    <w:rsid w:val="00910086"/>
    <w:rsid w:val="0092204B"/>
    <w:rsid w:val="00922BEC"/>
    <w:rsid w:val="00923C52"/>
    <w:rsid w:val="00924433"/>
    <w:rsid w:val="00924844"/>
    <w:rsid w:val="00927760"/>
    <w:rsid w:val="00930F4C"/>
    <w:rsid w:val="00931131"/>
    <w:rsid w:val="00931231"/>
    <w:rsid w:val="00934754"/>
    <w:rsid w:val="00935C39"/>
    <w:rsid w:val="00936CC1"/>
    <w:rsid w:val="00941611"/>
    <w:rsid w:val="009432B8"/>
    <w:rsid w:val="00943858"/>
    <w:rsid w:val="00944580"/>
    <w:rsid w:val="009455B2"/>
    <w:rsid w:val="009503CC"/>
    <w:rsid w:val="00952488"/>
    <w:rsid w:val="009534FB"/>
    <w:rsid w:val="009552A3"/>
    <w:rsid w:val="00961520"/>
    <w:rsid w:val="00961B77"/>
    <w:rsid w:val="00961D70"/>
    <w:rsid w:val="0097060F"/>
    <w:rsid w:val="00973254"/>
    <w:rsid w:val="0097691C"/>
    <w:rsid w:val="00976E42"/>
    <w:rsid w:val="0097738D"/>
    <w:rsid w:val="00980310"/>
    <w:rsid w:val="00983BCC"/>
    <w:rsid w:val="0098438B"/>
    <w:rsid w:val="00986996"/>
    <w:rsid w:val="009923B1"/>
    <w:rsid w:val="00994C50"/>
    <w:rsid w:val="009979AB"/>
    <w:rsid w:val="009A0B0D"/>
    <w:rsid w:val="009A177E"/>
    <w:rsid w:val="009A6E6F"/>
    <w:rsid w:val="009B05C3"/>
    <w:rsid w:val="009B11FB"/>
    <w:rsid w:val="009B3246"/>
    <w:rsid w:val="009B60D0"/>
    <w:rsid w:val="009B7D70"/>
    <w:rsid w:val="009C6851"/>
    <w:rsid w:val="009C6E3A"/>
    <w:rsid w:val="009C7221"/>
    <w:rsid w:val="009D0885"/>
    <w:rsid w:val="009D5E30"/>
    <w:rsid w:val="009D62FD"/>
    <w:rsid w:val="009E0D9C"/>
    <w:rsid w:val="009F30B1"/>
    <w:rsid w:val="009F57DA"/>
    <w:rsid w:val="009F6050"/>
    <w:rsid w:val="00A00396"/>
    <w:rsid w:val="00A018E1"/>
    <w:rsid w:val="00A01946"/>
    <w:rsid w:val="00A01DAB"/>
    <w:rsid w:val="00A0226B"/>
    <w:rsid w:val="00A028C2"/>
    <w:rsid w:val="00A02C7D"/>
    <w:rsid w:val="00A03C41"/>
    <w:rsid w:val="00A10F2D"/>
    <w:rsid w:val="00A12EF4"/>
    <w:rsid w:val="00A1312F"/>
    <w:rsid w:val="00A15CEF"/>
    <w:rsid w:val="00A16A82"/>
    <w:rsid w:val="00A20F5A"/>
    <w:rsid w:val="00A24917"/>
    <w:rsid w:val="00A2573A"/>
    <w:rsid w:val="00A274A4"/>
    <w:rsid w:val="00A30346"/>
    <w:rsid w:val="00A317BF"/>
    <w:rsid w:val="00A342E7"/>
    <w:rsid w:val="00A371CD"/>
    <w:rsid w:val="00A4252B"/>
    <w:rsid w:val="00A50D57"/>
    <w:rsid w:val="00A5149E"/>
    <w:rsid w:val="00A53784"/>
    <w:rsid w:val="00A53A65"/>
    <w:rsid w:val="00A5446E"/>
    <w:rsid w:val="00A61ADF"/>
    <w:rsid w:val="00A65B96"/>
    <w:rsid w:val="00A65C29"/>
    <w:rsid w:val="00A65EB8"/>
    <w:rsid w:val="00A70A93"/>
    <w:rsid w:val="00A74681"/>
    <w:rsid w:val="00A768A4"/>
    <w:rsid w:val="00A775A3"/>
    <w:rsid w:val="00A82C82"/>
    <w:rsid w:val="00A8367F"/>
    <w:rsid w:val="00A83CEF"/>
    <w:rsid w:val="00A84E25"/>
    <w:rsid w:val="00A91C4C"/>
    <w:rsid w:val="00A92D01"/>
    <w:rsid w:val="00A95C40"/>
    <w:rsid w:val="00A95F6F"/>
    <w:rsid w:val="00A973C5"/>
    <w:rsid w:val="00AA23C7"/>
    <w:rsid w:val="00AA2BC0"/>
    <w:rsid w:val="00AA63D2"/>
    <w:rsid w:val="00AA79B9"/>
    <w:rsid w:val="00AA7EB1"/>
    <w:rsid w:val="00AB051A"/>
    <w:rsid w:val="00AC2167"/>
    <w:rsid w:val="00AC35E0"/>
    <w:rsid w:val="00AC5913"/>
    <w:rsid w:val="00AC5D1D"/>
    <w:rsid w:val="00AC6FF1"/>
    <w:rsid w:val="00AD19F0"/>
    <w:rsid w:val="00AD6BD2"/>
    <w:rsid w:val="00AD75A2"/>
    <w:rsid w:val="00AE0A78"/>
    <w:rsid w:val="00AE2CEE"/>
    <w:rsid w:val="00AE5787"/>
    <w:rsid w:val="00AE7167"/>
    <w:rsid w:val="00AF188E"/>
    <w:rsid w:val="00AF4520"/>
    <w:rsid w:val="00AF4FF9"/>
    <w:rsid w:val="00AF758E"/>
    <w:rsid w:val="00B00556"/>
    <w:rsid w:val="00B009AE"/>
    <w:rsid w:val="00B01AB1"/>
    <w:rsid w:val="00B15F1F"/>
    <w:rsid w:val="00B16E5B"/>
    <w:rsid w:val="00B20066"/>
    <w:rsid w:val="00B21079"/>
    <w:rsid w:val="00B24036"/>
    <w:rsid w:val="00B26C33"/>
    <w:rsid w:val="00B32AF8"/>
    <w:rsid w:val="00B32DE0"/>
    <w:rsid w:val="00B338A7"/>
    <w:rsid w:val="00B33E08"/>
    <w:rsid w:val="00B35DA7"/>
    <w:rsid w:val="00B3725E"/>
    <w:rsid w:val="00B37EAE"/>
    <w:rsid w:val="00B40820"/>
    <w:rsid w:val="00B41637"/>
    <w:rsid w:val="00B43325"/>
    <w:rsid w:val="00B44CA3"/>
    <w:rsid w:val="00B526F8"/>
    <w:rsid w:val="00B5387F"/>
    <w:rsid w:val="00B55CA0"/>
    <w:rsid w:val="00B56543"/>
    <w:rsid w:val="00B56EDF"/>
    <w:rsid w:val="00B61D0B"/>
    <w:rsid w:val="00B62CDC"/>
    <w:rsid w:val="00B630A5"/>
    <w:rsid w:val="00B649AA"/>
    <w:rsid w:val="00B65FD5"/>
    <w:rsid w:val="00B6620F"/>
    <w:rsid w:val="00B70FAC"/>
    <w:rsid w:val="00B7526D"/>
    <w:rsid w:val="00B85DBC"/>
    <w:rsid w:val="00B860B5"/>
    <w:rsid w:val="00B90B90"/>
    <w:rsid w:val="00B91384"/>
    <w:rsid w:val="00B92D82"/>
    <w:rsid w:val="00BA30B9"/>
    <w:rsid w:val="00BA72CE"/>
    <w:rsid w:val="00BA73CA"/>
    <w:rsid w:val="00BB6510"/>
    <w:rsid w:val="00BC2EE6"/>
    <w:rsid w:val="00BC395C"/>
    <w:rsid w:val="00BC428A"/>
    <w:rsid w:val="00BC4DFF"/>
    <w:rsid w:val="00BC5757"/>
    <w:rsid w:val="00BD075E"/>
    <w:rsid w:val="00BD0A61"/>
    <w:rsid w:val="00BD171A"/>
    <w:rsid w:val="00BD1F00"/>
    <w:rsid w:val="00BD46B5"/>
    <w:rsid w:val="00BD727F"/>
    <w:rsid w:val="00BE1578"/>
    <w:rsid w:val="00BE4F50"/>
    <w:rsid w:val="00BF02BB"/>
    <w:rsid w:val="00BF1DC2"/>
    <w:rsid w:val="00BF69D6"/>
    <w:rsid w:val="00C06AB8"/>
    <w:rsid w:val="00C10B36"/>
    <w:rsid w:val="00C11C7D"/>
    <w:rsid w:val="00C1378C"/>
    <w:rsid w:val="00C31340"/>
    <w:rsid w:val="00C34B2E"/>
    <w:rsid w:val="00C3526B"/>
    <w:rsid w:val="00C3563D"/>
    <w:rsid w:val="00C3729A"/>
    <w:rsid w:val="00C44D08"/>
    <w:rsid w:val="00C4519B"/>
    <w:rsid w:val="00C459D2"/>
    <w:rsid w:val="00C45F30"/>
    <w:rsid w:val="00C47D71"/>
    <w:rsid w:val="00C47F8C"/>
    <w:rsid w:val="00C5069E"/>
    <w:rsid w:val="00C5152E"/>
    <w:rsid w:val="00C53061"/>
    <w:rsid w:val="00C54D90"/>
    <w:rsid w:val="00C5527A"/>
    <w:rsid w:val="00C56D1A"/>
    <w:rsid w:val="00C64217"/>
    <w:rsid w:val="00C71CA6"/>
    <w:rsid w:val="00C71E04"/>
    <w:rsid w:val="00C72222"/>
    <w:rsid w:val="00C726FE"/>
    <w:rsid w:val="00C760E5"/>
    <w:rsid w:val="00C77D4B"/>
    <w:rsid w:val="00C81488"/>
    <w:rsid w:val="00C8411B"/>
    <w:rsid w:val="00C876BF"/>
    <w:rsid w:val="00C9443B"/>
    <w:rsid w:val="00CA2B43"/>
    <w:rsid w:val="00CA3591"/>
    <w:rsid w:val="00CB13B4"/>
    <w:rsid w:val="00CB36F6"/>
    <w:rsid w:val="00CB455C"/>
    <w:rsid w:val="00CB4ACE"/>
    <w:rsid w:val="00CB50A1"/>
    <w:rsid w:val="00CB6B64"/>
    <w:rsid w:val="00CC2C78"/>
    <w:rsid w:val="00CC32F1"/>
    <w:rsid w:val="00CC7AD8"/>
    <w:rsid w:val="00CD463B"/>
    <w:rsid w:val="00CD4ADA"/>
    <w:rsid w:val="00CD4E61"/>
    <w:rsid w:val="00CD69A9"/>
    <w:rsid w:val="00CD701A"/>
    <w:rsid w:val="00CE1206"/>
    <w:rsid w:val="00CE2980"/>
    <w:rsid w:val="00CE31A8"/>
    <w:rsid w:val="00CE45DB"/>
    <w:rsid w:val="00CF0FD4"/>
    <w:rsid w:val="00CF35EF"/>
    <w:rsid w:val="00D00158"/>
    <w:rsid w:val="00D02693"/>
    <w:rsid w:val="00D05970"/>
    <w:rsid w:val="00D1004E"/>
    <w:rsid w:val="00D117DD"/>
    <w:rsid w:val="00D12F4B"/>
    <w:rsid w:val="00D13D8C"/>
    <w:rsid w:val="00D14AF6"/>
    <w:rsid w:val="00D16142"/>
    <w:rsid w:val="00D16331"/>
    <w:rsid w:val="00D21156"/>
    <w:rsid w:val="00D226EE"/>
    <w:rsid w:val="00D22C21"/>
    <w:rsid w:val="00D2607F"/>
    <w:rsid w:val="00D30901"/>
    <w:rsid w:val="00D31E42"/>
    <w:rsid w:val="00D355D7"/>
    <w:rsid w:val="00D424FF"/>
    <w:rsid w:val="00D43D79"/>
    <w:rsid w:val="00D465BD"/>
    <w:rsid w:val="00D46DBE"/>
    <w:rsid w:val="00D478C6"/>
    <w:rsid w:val="00D5083C"/>
    <w:rsid w:val="00D54D5E"/>
    <w:rsid w:val="00D61A62"/>
    <w:rsid w:val="00D61AFD"/>
    <w:rsid w:val="00D62017"/>
    <w:rsid w:val="00D645AF"/>
    <w:rsid w:val="00D65A02"/>
    <w:rsid w:val="00D66B27"/>
    <w:rsid w:val="00D66B4D"/>
    <w:rsid w:val="00D71D83"/>
    <w:rsid w:val="00D73968"/>
    <w:rsid w:val="00D74B66"/>
    <w:rsid w:val="00D7561D"/>
    <w:rsid w:val="00D75693"/>
    <w:rsid w:val="00D81351"/>
    <w:rsid w:val="00D853AC"/>
    <w:rsid w:val="00D926FD"/>
    <w:rsid w:val="00D94138"/>
    <w:rsid w:val="00D95E5D"/>
    <w:rsid w:val="00DA0083"/>
    <w:rsid w:val="00DA5216"/>
    <w:rsid w:val="00DB1A8A"/>
    <w:rsid w:val="00DB1CFB"/>
    <w:rsid w:val="00DB7669"/>
    <w:rsid w:val="00DC7C54"/>
    <w:rsid w:val="00DD3B93"/>
    <w:rsid w:val="00DE1A55"/>
    <w:rsid w:val="00DE47B6"/>
    <w:rsid w:val="00DE6C31"/>
    <w:rsid w:val="00DF0A62"/>
    <w:rsid w:val="00DF1697"/>
    <w:rsid w:val="00E02A69"/>
    <w:rsid w:val="00E035F8"/>
    <w:rsid w:val="00E03B33"/>
    <w:rsid w:val="00E06CD4"/>
    <w:rsid w:val="00E06DD1"/>
    <w:rsid w:val="00E077EE"/>
    <w:rsid w:val="00E10532"/>
    <w:rsid w:val="00E106BB"/>
    <w:rsid w:val="00E24DEB"/>
    <w:rsid w:val="00E2509B"/>
    <w:rsid w:val="00E27D9F"/>
    <w:rsid w:val="00E36D9D"/>
    <w:rsid w:val="00E370EA"/>
    <w:rsid w:val="00E374E4"/>
    <w:rsid w:val="00E40ED7"/>
    <w:rsid w:val="00E44FA2"/>
    <w:rsid w:val="00E536D4"/>
    <w:rsid w:val="00E564CF"/>
    <w:rsid w:val="00E573C7"/>
    <w:rsid w:val="00E616DA"/>
    <w:rsid w:val="00E62DE6"/>
    <w:rsid w:val="00E645E1"/>
    <w:rsid w:val="00E67D30"/>
    <w:rsid w:val="00E711E4"/>
    <w:rsid w:val="00E738A0"/>
    <w:rsid w:val="00E75CFB"/>
    <w:rsid w:val="00E77EAA"/>
    <w:rsid w:val="00E80139"/>
    <w:rsid w:val="00E80582"/>
    <w:rsid w:val="00E8152E"/>
    <w:rsid w:val="00E8571F"/>
    <w:rsid w:val="00E87C77"/>
    <w:rsid w:val="00E901EE"/>
    <w:rsid w:val="00E9212F"/>
    <w:rsid w:val="00E9677E"/>
    <w:rsid w:val="00E97C11"/>
    <w:rsid w:val="00EA6155"/>
    <w:rsid w:val="00EB15F6"/>
    <w:rsid w:val="00EB2FAE"/>
    <w:rsid w:val="00EB54B0"/>
    <w:rsid w:val="00EB5CE2"/>
    <w:rsid w:val="00EB6DB1"/>
    <w:rsid w:val="00EB7E82"/>
    <w:rsid w:val="00EC105B"/>
    <w:rsid w:val="00EC120D"/>
    <w:rsid w:val="00EC12EA"/>
    <w:rsid w:val="00EC2D49"/>
    <w:rsid w:val="00EC5901"/>
    <w:rsid w:val="00EC7A8D"/>
    <w:rsid w:val="00ED2FA4"/>
    <w:rsid w:val="00ED38D7"/>
    <w:rsid w:val="00ED4884"/>
    <w:rsid w:val="00EE1115"/>
    <w:rsid w:val="00EE1CD9"/>
    <w:rsid w:val="00EE391E"/>
    <w:rsid w:val="00EE44E9"/>
    <w:rsid w:val="00EE6847"/>
    <w:rsid w:val="00EF09BB"/>
    <w:rsid w:val="00EF44D3"/>
    <w:rsid w:val="00EF5DC3"/>
    <w:rsid w:val="00EF7D60"/>
    <w:rsid w:val="00F002A7"/>
    <w:rsid w:val="00F0075B"/>
    <w:rsid w:val="00F00C93"/>
    <w:rsid w:val="00F00D36"/>
    <w:rsid w:val="00F03025"/>
    <w:rsid w:val="00F06CAB"/>
    <w:rsid w:val="00F14620"/>
    <w:rsid w:val="00F14D9D"/>
    <w:rsid w:val="00F1593D"/>
    <w:rsid w:val="00F163FF"/>
    <w:rsid w:val="00F25C52"/>
    <w:rsid w:val="00F2697B"/>
    <w:rsid w:val="00F2742A"/>
    <w:rsid w:val="00F3085C"/>
    <w:rsid w:val="00F34A38"/>
    <w:rsid w:val="00F4284A"/>
    <w:rsid w:val="00F43761"/>
    <w:rsid w:val="00F45E67"/>
    <w:rsid w:val="00F46964"/>
    <w:rsid w:val="00F469F0"/>
    <w:rsid w:val="00F47FFC"/>
    <w:rsid w:val="00F511C4"/>
    <w:rsid w:val="00F52CCF"/>
    <w:rsid w:val="00F53879"/>
    <w:rsid w:val="00F5547B"/>
    <w:rsid w:val="00F61781"/>
    <w:rsid w:val="00F70713"/>
    <w:rsid w:val="00F72694"/>
    <w:rsid w:val="00F760EB"/>
    <w:rsid w:val="00F76378"/>
    <w:rsid w:val="00F774A8"/>
    <w:rsid w:val="00F83E00"/>
    <w:rsid w:val="00F85AF5"/>
    <w:rsid w:val="00F862AA"/>
    <w:rsid w:val="00F87810"/>
    <w:rsid w:val="00F907C2"/>
    <w:rsid w:val="00F9227E"/>
    <w:rsid w:val="00F92A6E"/>
    <w:rsid w:val="00F92BBC"/>
    <w:rsid w:val="00F93E1F"/>
    <w:rsid w:val="00F96050"/>
    <w:rsid w:val="00F96C05"/>
    <w:rsid w:val="00F96E67"/>
    <w:rsid w:val="00F97106"/>
    <w:rsid w:val="00FA2913"/>
    <w:rsid w:val="00FA774E"/>
    <w:rsid w:val="00FB2DA4"/>
    <w:rsid w:val="00FB4AB6"/>
    <w:rsid w:val="00FB5E0C"/>
    <w:rsid w:val="00FC2079"/>
    <w:rsid w:val="00FC2E97"/>
    <w:rsid w:val="00FC51B3"/>
    <w:rsid w:val="00FC6F97"/>
    <w:rsid w:val="00FC7990"/>
    <w:rsid w:val="00FD0058"/>
    <w:rsid w:val="00FD3909"/>
    <w:rsid w:val="00FE02E6"/>
    <w:rsid w:val="00FE31C6"/>
    <w:rsid w:val="00FE61D4"/>
    <w:rsid w:val="00FE6ACB"/>
    <w:rsid w:val="00FE6F13"/>
    <w:rsid w:val="00FE73F4"/>
    <w:rsid w:val="00FE765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4EC5E55-2A9B-486A-9121-506D7FE82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s-DO" w:eastAsia="es-D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DFB"/>
    <w:pPr>
      <w:spacing w:after="160" w:line="259" w:lineRule="auto"/>
    </w:pPr>
    <w:rPr>
      <w:rFonts w:ascii="Artifex CF Extra Light" w:hAnsi="Artifex CF Extra Light"/>
      <w:color w:val="1F4E79"/>
      <w:sz w:val="18"/>
      <w:szCs w:val="22"/>
      <w:lang w:eastAsia="en-US"/>
    </w:rPr>
  </w:style>
  <w:style w:type="paragraph" w:styleId="Heading1">
    <w:name w:val="heading 1"/>
    <w:basedOn w:val="Normal"/>
    <w:next w:val="Normal"/>
    <w:link w:val="Heading1Char"/>
    <w:uiPriority w:val="9"/>
    <w:qFormat/>
    <w:rsid w:val="00355DE4"/>
    <w:pPr>
      <w:keepNext/>
      <w:spacing w:before="240" w:after="60"/>
      <w:outlineLvl w:val="0"/>
    </w:pPr>
    <w:rPr>
      <w:rFonts w:ascii="Artifex CF Light" w:eastAsia="Times New Roman" w:hAnsi="Artifex CF Light"/>
      <w:b/>
      <w:bCs/>
      <w:color w:val="FF0000"/>
      <w:kern w:val="32"/>
      <w:sz w:val="26"/>
      <w:szCs w:val="32"/>
      <w14:textFill>
        <w14:gradFill>
          <w14:gsLst>
            <w14:gs w14:pos="100000">
              <w14:srgbClr w14:val="C00000"/>
            </w14:gs>
            <w14:gs w14:pos="0">
              <w14:srgbClr w14:val="FF0000"/>
            </w14:gs>
          </w14:gsLst>
          <w14:lin w14:ang="8100000" w14:scaled="0"/>
        </w14:gradFill>
      </w14:textFill>
    </w:rPr>
  </w:style>
  <w:style w:type="paragraph" w:styleId="Heading2">
    <w:name w:val="heading 2"/>
    <w:basedOn w:val="ListParagraph"/>
    <w:next w:val="Normal"/>
    <w:link w:val="Heading2Char"/>
    <w:uiPriority w:val="9"/>
    <w:unhideWhenUsed/>
    <w:qFormat/>
    <w:rsid w:val="008B3DFB"/>
    <w:pPr>
      <w:ind w:left="0"/>
      <w:jc w:val="center"/>
      <w:outlineLvl w:val="1"/>
    </w:pPr>
    <w:rPr>
      <w:rFonts w:ascii="Artifex CF Light" w:hAnsi="Artifex CF Light"/>
      <w:color w:val="193977"/>
      <w:sz w:val="26"/>
      <w:szCs w:val="26"/>
      <w:lang w:val="es-ES"/>
    </w:rPr>
  </w:style>
  <w:style w:type="paragraph" w:styleId="Heading3">
    <w:name w:val="heading 3"/>
    <w:basedOn w:val="Normal"/>
    <w:next w:val="Normal"/>
    <w:link w:val="Heading3Char"/>
    <w:uiPriority w:val="9"/>
    <w:unhideWhenUsed/>
    <w:qFormat/>
    <w:rsid w:val="00BE1578"/>
    <w:pPr>
      <w:keepNext/>
      <w:spacing w:before="240" w:after="60" w:line="360" w:lineRule="auto"/>
      <w:outlineLvl w:val="2"/>
    </w:pPr>
    <w:rPr>
      <w:rFonts w:eastAsia="Calibri"/>
      <w:color w:val="0070C0"/>
      <w:szCs w:val="18"/>
      <w:lang w:val="es-ES_tradnl"/>
    </w:rPr>
  </w:style>
  <w:style w:type="paragraph" w:styleId="Heading4">
    <w:name w:val="heading 4"/>
    <w:basedOn w:val="Heading3"/>
    <w:next w:val="Normal"/>
    <w:link w:val="Heading4Char"/>
    <w:uiPriority w:val="9"/>
    <w:unhideWhenUsed/>
    <w:qFormat/>
    <w:rsid w:val="00BE1578"/>
    <w:pPr>
      <w:outlineLvl w:val="3"/>
    </w:pPr>
    <w:rPr>
      <w:i/>
      <w:color w:val="0099FF"/>
    </w:rPr>
  </w:style>
  <w:style w:type="paragraph" w:styleId="Heading5">
    <w:name w:val="heading 5"/>
    <w:basedOn w:val="Normal"/>
    <w:next w:val="Normal"/>
    <w:link w:val="Heading5Char"/>
    <w:uiPriority w:val="9"/>
    <w:unhideWhenUsed/>
    <w:qFormat/>
    <w:rsid w:val="00F760EB"/>
    <w:pPr>
      <w:spacing w:after="0" w:line="276" w:lineRule="auto"/>
      <w:outlineLvl w:val="4"/>
    </w:pPr>
    <w:rPr>
      <w:rFonts w:ascii="Times New Roman" w:hAnsi="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55DE4"/>
    <w:rPr>
      <w:rFonts w:ascii="Artifex CF Light" w:eastAsia="Times New Roman" w:hAnsi="Artifex CF Light"/>
      <w:b/>
      <w:bCs/>
      <w:color w:val="FF0000"/>
      <w:kern w:val="32"/>
      <w:sz w:val="26"/>
      <w:szCs w:val="32"/>
      <w:lang w:eastAsia="en-US"/>
      <w14:textFill>
        <w14:gradFill>
          <w14:gsLst>
            <w14:gs w14:pos="100000">
              <w14:srgbClr w14:val="C00000"/>
            </w14:gs>
            <w14:gs w14:pos="0">
              <w14:srgbClr w14:val="FF0000"/>
            </w14:gs>
          </w14:gsLst>
          <w14:lin w14:ang="8100000" w14:scaled="0"/>
        </w14:gradFill>
      </w14:textFill>
    </w:rPr>
  </w:style>
  <w:style w:type="character" w:customStyle="1" w:styleId="Heading2Char">
    <w:name w:val="Heading 2 Char"/>
    <w:link w:val="Heading2"/>
    <w:uiPriority w:val="9"/>
    <w:rsid w:val="008B3DFB"/>
    <w:rPr>
      <w:rFonts w:ascii="Artifex CF Light" w:hAnsi="Artifex CF Light"/>
      <w:color w:val="193977"/>
      <w:sz w:val="26"/>
      <w:szCs w:val="26"/>
      <w:lang w:val="es-ES" w:eastAsia="en-US"/>
    </w:rPr>
  </w:style>
  <w:style w:type="character" w:customStyle="1" w:styleId="Heading3Char">
    <w:name w:val="Heading 3 Char"/>
    <w:link w:val="Heading3"/>
    <w:uiPriority w:val="9"/>
    <w:rsid w:val="00BE1578"/>
    <w:rPr>
      <w:rFonts w:ascii="Artifex CF Extra Light" w:eastAsia="Calibri" w:hAnsi="Artifex CF Extra Light"/>
      <w:color w:val="0070C0"/>
      <w:sz w:val="18"/>
      <w:szCs w:val="18"/>
      <w:lang w:val="es-ES_tradnl" w:eastAsia="en-US"/>
    </w:rPr>
  </w:style>
  <w:style w:type="character" w:customStyle="1" w:styleId="Heading4Char">
    <w:name w:val="Heading 4 Char"/>
    <w:link w:val="Heading4"/>
    <w:uiPriority w:val="9"/>
    <w:rsid w:val="00BE1578"/>
    <w:rPr>
      <w:rFonts w:ascii="Artifex CF Extra Light" w:eastAsia="Calibri" w:hAnsi="Artifex CF Extra Light"/>
      <w:i/>
      <w:color w:val="0099FF"/>
      <w:sz w:val="18"/>
      <w:szCs w:val="18"/>
      <w:lang w:val="es-ES_tradnl" w:eastAsia="en-US"/>
    </w:rPr>
  </w:style>
  <w:style w:type="paragraph" w:customStyle="1" w:styleId="paragraph">
    <w:name w:val="paragraph"/>
    <w:basedOn w:val="Normal"/>
    <w:rsid w:val="00C44D08"/>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textrun">
    <w:name w:val="normaltextrun"/>
    <w:basedOn w:val="DefaultParagraphFont"/>
    <w:rsid w:val="00C44D08"/>
  </w:style>
  <w:style w:type="character" w:customStyle="1" w:styleId="apple-converted-space">
    <w:name w:val="apple-converted-space"/>
    <w:basedOn w:val="DefaultParagraphFont"/>
    <w:rsid w:val="00C44D08"/>
  </w:style>
  <w:style w:type="paragraph" w:styleId="Header">
    <w:name w:val="header"/>
    <w:basedOn w:val="Normal"/>
    <w:link w:val="HeaderChar"/>
    <w:uiPriority w:val="99"/>
    <w:unhideWhenUsed/>
    <w:rsid w:val="003207D2"/>
    <w:pPr>
      <w:tabs>
        <w:tab w:val="center" w:pos="4419"/>
        <w:tab w:val="right" w:pos="8838"/>
      </w:tabs>
      <w:spacing w:after="0" w:line="240" w:lineRule="auto"/>
    </w:pPr>
  </w:style>
  <w:style w:type="character" w:customStyle="1" w:styleId="HeaderChar">
    <w:name w:val="Header Char"/>
    <w:basedOn w:val="DefaultParagraphFont"/>
    <w:link w:val="Header"/>
    <w:uiPriority w:val="99"/>
    <w:rsid w:val="003207D2"/>
  </w:style>
  <w:style w:type="paragraph" w:styleId="Footer">
    <w:name w:val="footer"/>
    <w:basedOn w:val="Normal"/>
    <w:link w:val="FooterChar"/>
    <w:uiPriority w:val="99"/>
    <w:unhideWhenUsed/>
    <w:rsid w:val="003207D2"/>
    <w:pPr>
      <w:tabs>
        <w:tab w:val="center" w:pos="4419"/>
        <w:tab w:val="right" w:pos="8838"/>
      </w:tabs>
      <w:spacing w:after="0" w:line="240" w:lineRule="auto"/>
    </w:pPr>
  </w:style>
  <w:style w:type="character" w:customStyle="1" w:styleId="FooterChar">
    <w:name w:val="Footer Char"/>
    <w:basedOn w:val="DefaultParagraphFont"/>
    <w:link w:val="Footer"/>
    <w:uiPriority w:val="99"/>
    <w:rsid w:val="003207D2"/>
  </w:style>
  <w:style w:type="paragraph" w:customStyle="1" w:styleId="Textbody">
    <w:name w:val="Text body"/>
    <w:basedOn w:val="Normal"/>
    <w:rsid w:val="009F57DA"/>
    <w:pPr>
      <w:widowControl w:val="0"/>
      <w:suppressAutoHyphens/>
      <w:autoSpaceDN w:val="0"/>
      <w:spacing w:after="120" w:line="240" w:lineRule="auto"/>
      <w:jc w:val="both"/>
      <w:textAlignment w:val="baseline"/>
    </w:pPr>
    <w:rPr>
      <w:rFonts w:ascii="NewsGotT" w:eastAsia="Arial Unicode MS" w:hAnsi="NewsGotT" w:cs="Tahoma"/>
      <w:kern w:val="3"/>
      <w:szCs w:val="24"/>
      <w:lang w:val="es-ES" w:eastAsia="es-DO"/>
    </w:rPr>
  </w:style>
  <w:style w:type="paragraph" w:customStyle="1" w:styleId="Default">
    <w:name w:val="Default"/>
    <w:rsid w:val="00A92D01"/>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39"/>
    <w:rsid w:val="002233A1"/>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8411B"/>
    <w:pPr>
      <w:spacing w:before="100" w:beforeAutospacing="1" w:after="100" w:afterAutospacing="1" w:line="240" w:lineRule="auto"/>
    </w:pPr>
    <w:rPr>
      <w:rFonts w:ascii="Times New Roman" w:eastAsia="Times New Roman" w:hAnsi="Times New Roman"/>
      <w:sz w:val="24"/>
      <w:szCs w:val="24"/>
      <w:lang w:eastAsia="es-DO"/>
    </w:rPr>
  </w:style>
  <w:style w:type="character" w:styleId="CommentReference">
    <w:name w:val="annotation reference"/>
    <w:uiPriority w:val="99"/>
    <w:semiHidden/>
    <w:unhideWhenUsed/>
    <w:rsid w:val="00261EAD"/>
    <w:rPr>
      <w:sz w:val="16"/>
      <w:szCs w:val="16"/>
    </w:rPr>
  </w:style>
  <w:style w:type="paragraph" w:styleId="CommentText">
    <w:name w:val="annotation text"/>
    <w:basedOn w:val="Normal"/>
    <w:link w:val="CommentTextChar"/>
    <w:uiPriority w:val="99"/>
    <w:unhideWhenUsed/>
    <w:rsid w:val="00261EAD"/>
    <w:rPr>
      <w:sz w:val="20"/>
      <w:szCs w:val="20"/>
    </w:rPr>
  </w:style>
  <w:style w:type="character" w:customStyle="1" w:styleId="CommentTextChar">
    <w:name w:val="Comment Text Char"/>
    <w:link w:val="CommentText"/>
    <w:uiPriority w:val="99"/>
    <w:rsid w:val="00261EAD"/>
    <w:rPr>
      <w:lang w:eastAsia="en-US"/>
    </w:rPr>
  </w:style>
  <w:style w:type="paragraph" w:styleId="CommentSubject">
    <w:name w:val="annotation subject"/>
    <w:basedOn w:val="CommentText"/>
    <w:next w:val="CommentText"/>
    <w:link w:val="CommentSubjectChar"/>
    <w:uiPriority w:val="99"/>
    <w:semiHidden/>
    <w:unhideWhenUsed/>
    <w:rsid w:val="00261EAD"/>
    <w:rPr>
      <w:b/>
      <w:bCs/>
    </w:rPr>
  </w:style>
  <w:style w:type="character" w:customStyle="1" w:styleId="CommentSubjectChar">
    <w:name w:val="Comment Subject Char"/>
    <w:link w:val="CommentSubject"/>
    <w:uiPriority w:val="99"/>
    <w:semiHidden/>
    <w:rsid w:val="00261EAD"/>
    <w:rPr>
      <w:b/>
      <w:bCs/>
      <w:lang w:eastAsia="en-US"/>
    </w:rPr>
  </w:style>
  <w:style w:type="paragraph" w:styleId="Revision">
    <w:name w:val="Revision"/>
    <w:hidden/>
    <w:uiPriority w:val="99"/>
    <w:semiHidden/>
    <w:rsid w:val="00261EAD"/>
    <w:rPr>
      <w:sz w:val="22"/>
      <w:szCs w:val="22"/>
      <w:lang w:eastAsia="en-US"/>
    </w:rPr>
  </w:style>
  <w:style w:type="paragraph" w:styleId="BalloonText">
    <w:name w:val="Balloon Text"/>
    <w:basedOn w:val="Normal"/>
    <w:link w:val="BalloonTextChar"/>
    <w:uiPriority w:val="99"/>
    <w:semiHidden/>
    <w:unhideWhenUsed/>
    <w:rsid w:val="00261EAD"/>
    <w:pPr>
      <w:spacing w:after="0" w:line="240" w:lineRule="auto"/>
    </w:pPr>
    <w:rPr>
      <w:rFonts w:ascii="Segoe UI" w:hAnsi="Segoe UI" w:cs="Segoe UI"/>
      <w:szCs w:val="18"/>
    </w:rPr>
  </w:style>
  <w:style w:type="character" w:customStyle="1" w:styleId="BalloonTextChar">
    <w:name w:val="Balloon Text Char"/>
    <w:link w:val="BalloonText"/>
    <w:uiPriority w:val="99"/>
    <w:semiHidden/>
    <w:rsid w:val="00261EAD"/>
    <w:rPr>
      <w:rFonts w:ascii="Segoe UI" w:hAnsi="Segoe UI" w:cs="Segoe UI"/>
      <w:sz w:val="18"/>
      <w:szCs w:val="18"/>
      <w:lang w:eastAsia="en-US"/>
    </w:rPr>
  </w:style>
  <w:style w:type="paragraph" w:styleId="NoSpacing">
    <w:name w:val="No Spacing"/>
    <w:link w:val="NoSpacingChar"/>
    <w:uiPriority w:val="1"/>
    <w:qFormat/>
    <w:rsid w:val="003728AA"/>
    <w:rPr>
      <w:sz w:val="22"/>
      <w:szCs w:val="22"/>
      <w:lang w:val="en-US" w:eastAsia="en-US"/>
    </w:rPr>
  </w:style>
  <w:style w:type="character" w:customStyle="1" w:styleId="NoSpacingChar">
    <w:name w:val="No Spacing Char"/>
    <w:link w:val="NoSpacing"/>
    <w:uiPriority w:val="1"/>
    <w:rsid w:val="003728AA"/>
    <w:rPr>
      <w:sz w:val="22"/>
      <w:szCs w:val="22"/>
      <w:lang w:val="en-US" w:eastAsia="en-US"/>
    </w:rPr>
  </w:style>
  <w:style w:type="paragraph" w:styleId="BodyText">
    <w:name w:val="Body Text"/>
    <w:basedOn w:val="Normal"/>
    <w:link w:val="BodyTextChar"/>
    <w:uiPriority w:val="99"/>
    <w:unhideWhenUsed/>
    <w:rsid w:val="003F5E58"/>
    <w:pPr>
      <w:autoSpaceDE w:val="0"/>
      <w:autoSpaceDN w:val="0"/>
      <w:adjustRightInd w:val="0"/>
      <w:spacing w:after="200" w:line="276" w:lineRule="auto"/>
      <w:ind w:right="1203"/>
      <w:jc w:val="both"/>
    </w:pPr>
    <w:rPr>
      <w:rFonts w:ascii="Arial" w:eastAsia="Calibri" w:hAnsi="Arial" w:cs="Arial"/>
      <w:bCs/>
      <w:color w:val="000000"/>
      <w:kern w:val="24"/>
      <w:sz w:val="28"/>
      <w:szCs w:val="28"/>
      <w:lang w:val="es-CR"/>
    </w:rPr>
  </w:style>
  <w:style w:type="character" w:customStyle="1" w:styleId="BodyTextChar">
    <w:name w:val="Body Text Char"/>
    <w:link w:val="BodyText"/>
    <w:uiPriority w:val="99"/>
    <w:rsid w:val="003F5E58"/>
    <w:rPr>
      <w:rFonts w:ascii="Arial" w:hAnsi="Arial" w:cs="Arial"/>
      <w:bCs/>
      <w:color w:val="000000"/>
      <w:kern w:val="24"/>
      <w:sz w:val="28"/>
      <w:szCs w:val="28"/>
      <w:lang w:val="es-CR" w:eastAsia="en-US"/>
    </w:rPr>
  </w:style>
  <w:style w:type="character" w:styleId="Hyperlink">
    <w:name w:val="Hyperlink"/>
    <w:uiPriority w:val="99"/>
    <w:unhideWhenUsed/>
    <w:rsid w:val="002360E9"/>
    <w:rPr>
      <w:color w:val="0000FF"/>
      <w:u w:val="single"/>
    </w:rPr>
  </w:style>
  <w:style w:type="paragraph" w:styleId="Caption">
    <w:name w:val="caption"/>
    <w:basedOn w:val="Normal"/>
    <w:next w:val="Normal"/>
    <w:link w:val="CaptionChar"/>
    <w:uiPriority w:val="35"/>
    <w:unhideWhenUsed/>
    <w:qFormat/>
    <w:rsid w:val="002360E9"/>
    <w:pPr>
      <w:spacing w:after="200" w:line="240" w:lineRule="auto"/>
    </w:pPr>
    <w:rPr>
      <w:rFonts w:eastAsia="Calibri"/>
      <w:i/>
      <w:iCs/>
      <w:color w:val="44546A"/>
      <w:szCs w:val="18"/>
      <w:lang w:val="es-ES" w:eastAsia="es-ES"/>
    </w:rPr>
  </w:style>
  <w:style w:type="paragraph" w:styleId="ListParagraph">
    <w:name w:val="List Paragraph"/>
    <w:aliases w:val="Párrafo numerado,Compomente"/>
    <w:basedOn w:val="Normal"/>
    <w:link w:val="ListParagraphChar"/>
    <w:uiPriority w:val="34"/>
    <w:qFormat/>
    <w:rsid w:val="002360E9"/>
    <w:pPr>
      <w:ind w:left="720"/>
      <w:contextualSpacing/>
    </w:pPr>
    <w:rPr>
      <w:lang w:val="en-US"/>
    </w:rPr>
  </w:style>
  <w:style w:type="character" w:customStyle="1" w:styleId="ListParagraphChar">
    <w:name w:val="List Paragraph Char"/>
    <w:aliases w:val="Párrafo numerado Char,Compomente Char"/>
    <w:link w:val="ListParagraph"/>
    <w:uiPriority w:val="34"/>
    <w:locked/>
    <w:rsid w:val="002360E9"/>
    <w:rPr>
      <w:sz w:val="22"/>
      <w:szCs w:val="22"/>
      <w:lang w:val="en-US" w:eastAsia="en-US"/>
    </w:rPr>
  </w:style>
  <w:style w:type="paragraph" w:styleId="Subtitle">
    <w:name w:val="Subtitle"/>
    <w:basedOn w:val="Normal"/>
    <w:next w:val="Normal"/>
    <w:link w:val="SubtitleChar"/>
    <w:uiPriority w:val="11"/>
    <w:qFormat/>
    <w:rsid w:val="002360E9"/>
    <w:pPr>
      <w:numPr>
        <w:ilvl w:val="1"/>
      </w:numPr>
    </w:pPr>
    <w:rPr>
      <w:rFonts w:eastAsia="Times New Roman"/>
      <w:color w:val="5A5A5A"/>
      <w:spacing w:val="15"/>
      <w:lang w:val="en-US"/>
    </w:rPr>
  </w:style>
  <w:style w:type="character" w:customStyle="1" w:styleId="SubtitleChar">
    <w:name w:val="Subtitle Char"/>
    <w:link w:val="Subtitle"/>
    <w:uiPriority w:val="11"/>
    <w:rsid w:val="002360E9"/>
    <w:rPr>
      <w:rFonts w:eastAsia="Times New Roman"/>
      <w:color w:val="5A5A5A"/>
      <w:spacing w:val="15"/>
      <w:sz w:val="22"/>
      <w:szCs w:val="22"/>
      <w:lang w:val="en-US" w:eastAsia="en-US"/>
    </w:rPr>
  </w:style>
  <w:style w:type="character" w:styleId="SubtleEmphasis">
    <w:name w:val="Subtle Emphasis"/>
    <w:uiPriority w:val="19"/>
    <w:qFormat/>
    <w:rsid w:val="002360E9"/>
    <w:rPr>
      <w:i/>
      <w:iCs/>
      <w:color w:val="404040"/>
    </w:rPr>
  </w:style>
  <w:style w:type="paragraph" w:styleId="Title">
    <w:name w:val="Title"/>
    <w:basedOn w:val="Normal"/>
    <w:next w:val="Normal"/>
    <w:link w:val="TitleChar"/>
    <w:uiPriority w:val="10"/>
    <w:qFormat/>
    <w:rsid w:val="00A028C2"/>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A028C2"/>
    <w:rPr>
      <w:rFonts w:ascii="Calibri Light" w:eastAsia="Times New Roman" w:hAnsi="Calibri Light"/>
      <w:spacing w:val="-10"/>
      <w:kern w:val="28"/>
      <w:sz w:val="56"/>
      <w:szCs w:val="56"/>
      <w:lang w:eastAsia="en-US"/>
    </w:rPr>
  </w:style>
  <w:style w:type="character" w:customStyle="1" w:styleId="A0">
    <w:name w:val="A0"/>
    <w:uiPriority w:val="99"/>
    <w:rsid w:val="00A028C2"/>
    <w:rPr>
      <w:rFonts w:cs="Verdana"/>
      <w:color w:val="000000"/>
    </w:rPr>
  </w:style>
  <w:style w:type="character" w:styleId="BookTitle">
    <w:name w:val="Book Title"/>
    <w:uiPriority w:val="33"/>
    <w:qFormat/>
    <w:rsid w:val="00A028C2"/>
    <w:rPr>
      <w:b/>
      <w:bCs/>
      <w:i/>
      <w:iCs/>
      <w:spacing w:val="5"/>
    </w:rPr>
  </w:style>
  <w:style w:type="paragraph" w:styleId="Quote">
    <w:name w:val="Quote"/>
    <w:basedOn w:val="Normal"/>
    <w:next w:val="Normal"/>
    <w:link w:val="QuoteChar"/>
    <w:uiPriority w:val="29"/>
    <w:qFormat/>
    <w:rsid w:val="00A028C2"/>
    <w:pPr>
      <w:spacing w:before="200"/>
      <w:ind w:left="864" w:right="864"/>
      <w:jc w:val="center"/>
    </w:pPr>
    <w:rPr>
      <w:rFonts w:eastAsia="Calibri"/>
      <w:i/>
      <w:iCs/>
      <w:color w:val="404040"/>
      <w:lang w:val="es-ES"/>
    </w:rPr>
  </w:style>
  <w:style w:type="character" w:customStyle="1" w:styleId="QuoteChar">
    <w:name w:val="Quote Char"/>
    <w:link w:val="Quote"/>
    <w:uiPriority w:val="29"/>
    <w:rsid w:val="00A028C2"/>
    <w:rPr>
      <w:i/>
      <w:iCs/>
      <w:color w:val="404040"/>
      <w:sz w:val="22"/>
      <w:szCs w:val="22"/>
      <w:lang w:val="es-ES" w:eastAsia="en-US"/>
    </w:rPr>
  </w:style>
  <w:style w:type="paragraph" w:styleId="TOCHeading">
    <w:name w:val="TOC Heading"/>
    <w:basedOn w:val="Heading1"/>
    <w:next w:val="Normal"/>
    <w:uiPriority w:val="39"/>
    <w:unhideWhenUsed/>
    <w:qFormat/>
    <w:rsid w:val="00410C1A"/>
    <w:pPr>
      <w:keepLines/>
      <w:spacing w:after="0"/>
      <w:outlineLvl w:val="9"/>
    </w:pPr>
    <w:rPr>
      <w:b w:val="0"/>
      <w:bCs w:val="0"/>
      <w:color w:val="2E74B5"/>
      <w:kern w:val="0"/>
      <w:lang w:val="en-US"/>
    </w:rPr>
  </w:style>
  <w:style w:type="paragraph" w:styleId="TOC1">
    <w:name w:val="toc 1"/>
    <w:basedOn w:val="Normal"/>
    <w:next w:val="Normal"/>
    <w:autoRedefine/>
    <w:uiPriority w:val="39"/>
    <w:unhideWhenUsed/>
    <w:rsid w:val="00AE5787"/>
    <w:pPr>
      <w:tabs>
        <w:tab w:val="left" w:pos="440"/>
        <w:tab w:val="right" w:leader="dot" w:pos="8789"/>
      </w:tabs>
      <w:ind w:right="49"/>
    </w:pPr>
    <w:rPr>
      <w:rFonts w:ascii="Times New Roman" w:hAnsi="Times New Roman"/>
      <w:b/>
      <w:noProof/>
    </w:rPr>
  </w:style>
  <w:style w:type="paragraph" w:styleId="TOC2">
    <w:name w:val="toc 2"/>
    <w:basedOn w:val="Normal"/>
    <w:next w:val="Normal"/>
    <w:autoRedefine/>
    <w:uiPriority w:val="39"/>
    <w:unhideWhenUsed/>
    <w:rsid w:val="00CA2B43"/>
    <w:pPr>
      <w:tabs>
        <w:tab w:val="left" w:pos="880"/>
        <w:tab w:val="right" w:leader="dot" w:pos="8819"/>
      </w:tabs>
      <w:ind w:left="220"/>
    </w:pPr>
    <w:rPr>
      <w:rFonts w:ascii="Times New Roman" w:hAnsi="Times New Roman"/>
      <w:noProof/>
      <w:sz w:val="20"/>
      <w:szCs w:val="20"/>
    </w:rPr>
  </w:style>
  <w:style w:type="paragraph" w:styleId="TOC3">
    <w:name w:val="toc 3"/>
    <w:basedOn w:val="Normal"/>
    <w:next w:val="Normal"/>
    <w:autoRedefine/>
    <w:uiPriority w:val="39"/>
    <w:unhideWhenUsed/>
    <w:rsid w:val="00616B97"/>
    <w:pPr>
      <w:ind w:left="440"/>
    </w:pPr>
    <w:rPr>
      <w:rFonts w:ascii="Times New Roman" w:hAnsi="Times New Roman"/>
    </w:rPr>
  </w:style>
  <w:style w:type="paragraph" w:styleId="TableofFigures">
    <w:name w:val="table of figures"/>
    <w:basedOn w:val="Normal"/>
    <w:next w:val="Normal"/>
    <w:uiPriority w:val="99"/>
    <w:unhideWhenUsed/>
    <w:rsid w:val="00324D8B"/>
    <w:rPr>
      <w:rFonts w:ascii="Times New Roman" w:hAnsi="Times New Roman"/>
      <w:b/>
      <w:sz w:val="24"/>
    </w:rPr>
  </w:style>
  <w:style w:type="paragraph" w:styleId="FootnoteText">
    <w:name w:val="footnote text"/>
    <w:basedOn w:val="Normal"/>
    <w:link w:val="FootnoteTextChar"/>
    <w:uiPriority w:val="99"/>
    <w:semiHidden/>
    <w:unhideWhenUsed/>
    <w:rsid w:val="00676705"/>
    <w:pPr>
      <w:spacing w:after="0" w:line="240" w:lineRule="auto"/>
    </w:pPr>
    <w:rPr>
      <w:rFonts w:eastAsia="MS Mincho"/>
      <w:sz w:val="20"/>
      <w:szCs w:val="20"/>
      <w:lang w:val="es-ES"/>
    </w:rPr>
  </w:style>
  <w:style w:type="character" w:customStyle="1" w:styleId="FootnoteTextChar">
    <w:name w:val="Footnote Text Char"/>
    <w:link w:val="FootnoteText"/>
    <w:uiPriority w:val="99"/>
    <w:semiHidden/>
    <w:rsid w:val="00676705"/>
    <w:rPr>
      <w:rFonts w:eastAsia="MS Mincho"/>
      <w:lang w:val="es-ES" w:eastAsia="en-US"/>
    </w:rPr>
  </w:style>
  <w:style w:type="character" w:styleId="FootnoteReference">
    <w:name w:val="footnote reference"/>
    <w:uiPriority w:val="99"/>
    <w:semiHidden/>
    <w:unhideWhenUsed/>
    <w:rsid w:val="00676705"/>
    <w:rPr>
      <w:vertAlign w:val="superscript"/>
    </w:rPr>
  </w:style>
  <w:style w:type="table" w:styleId="GridTable5Dark-Accent5">
    <w:name w:val="Grid Table 5 Dark Accent 5"/>
    <w:basedOn w:val="TableNormal"/>
    <w:uiPriority w:val="50"/>
    <w:rsid w:val="0024561B"/>
    <w:rPr>
      <w:rFonts w:eastAsia="MS Mincho"/>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EndnoteText">
    <w:name w:val="endnote text"/>
    <w:basedOn w:val="Normal"/>
    <w:link w:val="EndnoteTextChar"/>
    <w:uiPriority w:val="99"/>
    <w:semiHidden/>
    <w:unhideWhenUsed/>
    <w:rsid w:val="007C754B"/>
    <w:pPr>
      <w:spacing w:after="0" w:line="240" w:lineRule="auto"/>
    </w:pPr>
    <w:rPr>
      <w:rFonts w:eastAsia="Calibri"/>
      <w:sz w:val="20"/>
      <w:szCs w:val="20"/>
    </w:rPr>
  </w:style>
  <w:style w:type="character" w:customStyle="1" w:styleId="EndnoteTextChar">
    <w:name w:val="Endnote Text Char"/>
    <w:link w:val="EndnoteText"/>
    <w:uiPriority w:val="99"/>
    <w:semiHidden/>
    <w:rsid w:val="007C754B"/>
    <w:rPr>
      <w:rFonts w:eastAsia="Calibri"/>
      <w:lang w:eastAsia="en-US"/>
    </w:rPr>
  </w:style>
  <w:style w:type="table" w:styleId="TableGridLight">
    <w:name w:val="Grid Table Light"/>
    <w:basedOn w:val="TableNormal"/>
    <w:uiPriority w:val="40"/>
    <w:rsid w:val="005075D1"/>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ableofAuthorities">
    <w:name w:val="table of authorities"/>
    <w:basedOn w:val="Normal"/>
    <w:next w:val="Normal"/>
    <w:uiPriority w:val="99"/>
    <w:unhideWhenUsed/>
    <w:rsid w:val="007D77BE"/>
    <w:pPr>
      <w:spacing w:after="0"/>
      <w:ind w:left="220" w:hanging="220"/>
    </w:pPr>
    <w:rPr>
      <w:sz w:val="20"/>
      <w:szCs w:val="20"/>
    </w:rPr>
  </w:style>
  <w:style w:type="paragraph" w:styleId="TOAHeading">
    <w:name w:val="toa heading"/>
    <w:basedOn w:val="Normal"/>
    <w:next w:val="Normal"/>
    <w:uiPriority w:val="99"/>
    <w:unhideWhenUsed/>
    <w:rsid w:val="007D77BE"/>
    <w:pPr>
      <w:spacing w:before="240" w:after="120"/>
      <w:jc w:val="center"/>
    </w:pPr>
    <w:rPr>
      <w:rFonts w:cs="Arial"/>
      <w:smallCaps/>
      <w:u w:val="single"/>
    </w:rPr>
  </w:style>
  <w:style w:type="character" w:customStyle="1" w:styleId="Heading5Char">
    <w:name w:val="Heading 5 Char"/>
    <w:basedOn w:val="DefaultParagraphFont"/>
    <w:link w:val="Heading5"/>
    <w:uiPriority w:val="9"/>
    <w:rsid w:val="00F760EB"/>
    <w:rPr>
      <w:rFonts w:ascii="Times New Roman" w:hAnsi="Times New Roman"/>
      <w:b/>
      <w:i/>
      <w:sz w:val="22"/>
      <w:szCs w:val="22"/>
      <w:lang w:eastAsia="en-US"/>
    </w:rPr>
  </w:style>
  <w:style w:type="paragraph" w:styleId="Index1">
    <w:name w:val="index 1"/>
    <w:basedOn w:val="Normal"/>
    <w:next w:val="Normal"/>
    <w:autoRedefine/>
    <w:uiPriority w:val="99"/>
    <w:semiHidden/>
    <w:unhideWhenUsed/>
    <w:rsid w:val="007D77BE"/>
    <w:pPr>
      <w:ind w:left="220" w:hanging="220"/>
    </w:pPr>
  </w:style>
  <w:style w:type="character" w:customStyle="1" w:styleId="CaptionChar">
    <w:name w:val="Caption Char"/>
    <w:link w:val="Caption"/>
    <w:uiPriority w:val="35"/>
    <w:rsid w:val="00EB2FAE"/>
    <w:rPr>
      <w:rFonts w:eastAsia="Calibri"/>
      <w:i/>
      <w:iCs/>
      <w:color w:val="44546A"/>
      <w:sz w:val="18"/>
      <w:szCs w:val="18"/>
      <w:lang w:val="es-ES" w:eastAsia="es-ES"/>
    </w:rPr>
  </w:style>
  <w:style w:type="character" w:styleId="Emphasis">
    <w:name w:val="Emphasis"/>
    <w:basedOn w:val="DefaultParagraphFont"/>
    <w:uiPriority w:val="20"/>
    <w:qFormat/>
    <w:rsid w:val="001B7FA9"/>
    <w:rPr>
      <w:i/>
      <w:iCs/>
    </w:rPr>
  </w:style>
  <w:style w:type="table" w:styleId="GridTable4-Accent5">
    <w:name w:val="Grid Table 4 Accent 5"/>
    <w:basedOn w:val="TableNormal"/>
    <w:uiPriority w:val="49"/>
    <w:rsid w:val="000C09A0"/>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4">
    <w:name w:val="toc 4"/>
    <w:basedOn w:val="Normal"/>
    <w:next w:val="Normal"/>
    <w:autoRedefine/>
    <w:uiPriority w:val="39"/>
    <w:unhideWhenUsed/>
    <w:rsid w:val="00E564CF"/>
    <w:pPr>
      <w:spacing w:after="100"/>
      <w:ind w:left="660"/>
    </w:pPr>
    <w:rPr>
      <w:rFonts w:asciiTheme="minorHAnsi" w:eastAsiaTheme="minorEastAsia" w:hAnsiTheme="minorHAnsi" w:cstheme="minorBidi"/>
      <w:sz w:val="22"/>
      <w:lang w:eastAsia="es-DO"/>
    </w:rPr>
  </w:style>
  <w:style w:type="paragraph" w:styleId="TOC5">
    <w:name w:val="toc 5"/>
    <w:basedOn w:val="Normal"/>
    <w:next w:val="Normal"/>
    <w:autoRedefine/>
    <w:uiPriority w:val="39"/>
    <w:unhideWhenUsed/>
    <w:rsid w:val="00E564CF"/>
    <w:pPr>
      <w:spacing w:after="100"/>
      <w:ind w:left="880"/>
    </w:pPr>
    <w:rPr>
      <w:rFonts w:asciiTheme="minorHAnsi" w:eastAsiaTheme="minorEastAsia" w:hAnsiTheme="minorHAnsi" w:cstheme="minorBidi"/>
      <w:sz w:val="22"/>
      <w:lang w:eastAsia="es-DO"/>
    </w:rPr>
  </w:style>
  <w:style w:type="paragraph" w:styleId="TOC6">
    <w:name w:val="toc 6"/>
    <w:basedOn w:val="Normal"/>
    <w:next w:val="Normal"/>
    <w:autoRedefine/>
    <w:uiPriority w:val="39"/>
    <w:unhideWhenUsed/>
    <w:rsid w:val="00E564CF"/>
    <w:pPr>
      <w:spacing w:after="100"/>
      <w:ind w:left="1100"/>
    </w:pPr>
    <w:rPr>
      <w:rFonts w:asciiTheme="minorHAnsi" w:eastAsiaTheme="minorEastAsia" w:hAnsiTheme="minorHAnsi" w:cstheme="minorBidi"/>
      <w:sz w:val="22"/>
      <w:lang w:eastAsia="es-DO"/>
    </w:rPr>
  </w:style>
  <w:style w:type="paragraph" w:styleId="TOC7">
    <w:name w:val="toc 7"/>
    <w:basedOn w:val="Normal"/>
    <w:next w:val="Normal"/>
    <w:autoRedefine/>
    <w:uiPriority w:val="39"/>
    <w:unhideWhenUsed/>
    <w:rsid w:val="00E564CF"/>
    <w:pPr>
      <w:spacing w:after="100"/>
      <w:ind w:left="1320"/>
    </w:pPr>
    <w:rPr>
      <w:rFonts w:asciiTheme="minorHAnsi" w:eastAsiaTheme="minorEastAsia" w:hAnsiTheme="minorHAnsi" w:cstheme="minorBidi"/>
      <w:sz w:val="22"/>
      <w:lang w:eastAsia="es-DO"/>
    </w:rPr>
  </w:style>
  <w:style w:type="paragraph" w:styleId="TOC8">
    <w:name w:val="toc 8"/>
    <w:basedOn w:val="Normal"/>
    <w:next w:val="Normal"/>
    <w:autoRedefine/>
    <w:uiPriority w:val="39"/>
    <w:unhideWhenUsed/>
    <w:rsid w:val="00E564CF"/>
    <w:pPr>
      <w:spacing w:after="100"/>
      <w:ind w:left="1540"/>
    </w:pPr>
    <w:rPr>
      <w:rFonts w:asciiTheme="minorHAnsi" w:eastAsiaTheme="minorEastAsia" w:hAnsiTheme="minorHAnsi" w:cstheme="minorBidi"/>
      <w:sz w:val="22"/>
      <w:lang w:eastAsia="es-DO"/>
    </w:rPr>
  </w:style>
  <w:style w:type="paragraph" w:styleId="TOC9">
    <w:name w:val="toc 9"/>
    <w:basedOn w:val="Normal"/>
    <w:next w:val="Normal"/>
    <w:autoRedefine/>
    <w:uiPriority w:val="39"/>
    <w:unhideWhenUsed/>
    <w:rsid w:val="00E564CF"/>
    <w:pPr>
      <w:spacing w:after="100"/>
      <w:ind w:left="1760"/>
    </w:pPr>
    <w:rPr>
      <w:rFonts w:asciiTheme="minorHAnsi" w:eastAsiaTheme="minorEastAsia" w:hAnsiTheme="minorHAnsi" w:cstheme="minorBidi"/>
      <w:sz w:val="22"/>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81922">
      <w:bodyDiv w:val="1"/>
      <w:marLeft w:val="0"/>
      <w:marRight w:val="0"/>
      <w:marTop w:val="0"/>
      <w:marBottom w:val="0"/>
      <w:divBdr>
        <w:top w:val="none" w:sz="0" w:space="0" w:color="auto"/>
        <w:left w:val="none" w:sz="0" w:space="0" w:color="auto"/>
        <w:bottom w:val="none" w:sz="0" w:space="0" w:color="auto"/>
        <w:right w:val="none" w:sz="0" w:space="0" w:color="auto"/>
      </w:divBdr>
    </w:div>
    <w:div w:id="58869289">
      <w:bodyDiv w:val="1"/>
      <w:marLeft w:val="0"/>
      <w:marRight w:val="0"/>
      <w:marTop w:val="0"/>
      <w:marBottom w:val="0"/>
      <w:divBdr>
        <w:top w:val="none" w:sz="0" w:space="0" w:color="auto"/>
        <w:left w:val="none" w:sz="0" w:space="0" w:color="auto"/>
        <w:bottom w:val="none" w:sz="0" w:space="0" w:color="auto"/>
        <w:right w:val="none" w:sz="0" w:space="0" w:color="auto"/>
      </w:divBdr>
      <w:divsChild>
        <w:div w:id="963270135">
          <w:marLeft w:val="547"/>
          <w:marRight w:val="0"/>
          <w:marTop w:val="0"/>
          <w:marBottom w:val="0"/>
          <w:divBdr>
            <w:top w:val="none" w:sz="0" w:space="0" w:color="auto"/>
            <w:left w:val="none" w:sz="0" w:space="0" w:color="auto"/>
            <w:bottom w:val="none" w:sz="0" w:space="0" w:color="auto"/>
            <w:right w:val="none" w:sz="0" w:space="0" w:color="auto"/>
          </w:divBdr>
        </w:div>
      </w:divsChild>
    </w:div>
    <w:div w:id="59133585">
      <w:bodyDiv w:val="1"/>
      <w:marLeft w:val="0"/>
      <w:marRight w:val="0"/>
      <w:marTop w:val="0"/>
      <w:marBottom w:val="0"/>
      <w:divBdr>
        <w:top w:val="none" w:sz="0" w:space="0" w:color="auto"/>
        <w:left w:val="none" w:sz="0" w:space="0" w:color="auto"/>
        <w:bottom w:val="none" w:sz="0" w:space="0" w:color="auto"/>
        <w:right w:val="none" w:sz="0" w:space="0" w:color="auto"/>
      </w:divBdr>
    </w:div>
    <w:div w:id="65687002">
      <w:bodyDiv w:val="1"/>
      <w:marLeft w:val="0"/>
      <w:marRight w:val="0"/>
      <w:marTop w:val="0"/>
      <w:marBottom w:val="0"/>
      <w:divBdr>
        <w:top w:val="none" w:sz="0" w:space="0" w:color="auto"/>
        <w:left w:val="none" w:sz="0" w:space="0" w:color="auto"/>
        <w:bottom w:val="none" w:sz="0" w:space="0" w:color="auto"/>
        <w:right w:val="none" w:sz="0" w:space="0" w:color="auto"/>
      </w:divBdr>
    </w:div>
    <w:div w:id="77871712">
      <w:bodyDiv w:val="1"/>
      <w:marLeft w:val="0"/>
      <w:marRight w:val="0"/>
      <w:marTop w:val="0"/>
      <w:marBottom w:val="0"/>
      <w:divBdr>
        <w:top w:val="none" w:sz="0" w:space="0" w:color="auto"/>
        <w:left w:val="none" w:sz="0" w:space="0" w:color="auto"/>
        <w:bottom w:val="none" w:sz="0" w:space="0" w:color="auto"/>
        <w:right w:val="none" w:sz="0" w:space="0" w:color="auto"/>
      </w:divBdr>
    </w:div>
    <w:div w:id="80413074">
      <w:bodyDiv w:val="1"/>
      <w:marLeft w:val="0"/>
      <w:marRight w:val="0"/>
      <w:marTop w:val="0"/>
      <w:marBottom w:val="0"/>
      <w:divBdr>
        <w:top w:val="none" w:sz="0" w:space="0" w:color="auto"/>
        <w:left w:val="none" w:sz="0" w:space="0" w:color="auto"/>
        <w:bottom w:val="none" w:sz="0" w:space="0" w:color="auto"/>
        <w:right w:val="none" w:sz="0" w:space="0" w:color="auto"/>
      </w:divBdr>
    </w:div>
    <w:div w:id="89087248">
      <w:bodyDiv w:val="1"/>
      <w:marLeft w:val="0"/>
      <w:marRight w:val="0"/>
      <w:marTop w:val="0"/>
      <w:marBottom w:val="0"/>
      <w:divBdr>
        <w:top w:val="none" w:sz="0" w:space="0" w:color="auto"/>
        <w:left w:val="none" w:sz="0" w:space="0" w:color="auto"/>
        <w:bottom w:val="none" w:sz="0" w:space="0" w:color="auto"/>
        <w:right w:val="none" w:sz="0" w:space="0" w:color="auto"/>
      </w:divBdr>
    </w:div>
    <w:div w:id="113914132">
      <w:bodyDiv w:val="1"/>
      <w:marLeft w:val="0"/>
      <w:marRight w:val="0"/>
      <w:marTop w:val="0"/>
      <w:marBottom w:val="0"/>
      <w:divBdr>
        <w:top w:val="none" w:sz="0" w:space="0" w:color="auto"/>
        <w:left w:val="none" w:sz="0" w:space="0" w:color="auto"/>
        <w:bottom w:val="none" w:sz="0" w:space="0" w:color="auto"/>
        <w:right w:val="none" w:sz="0" w:space="0" w:color="auto"/>
      </w:divBdr>
    </w:div>
    <w:div w:id="156650541">
      <w:bodyDiv w:val="1"/>
      <w:marLeft w:val="0"/>
      <w:marRight w:val="0"/>
      <w:marTop w:val="0"/>
      <w:marBottom w:val="0"/>
      <w:divBdr>
        <w:top w:val="none" w:sz="0" w:space="0" w:color="auto"/>
        <w:left w:val="none" w:sz="0" w:space="0" w:color="auto"/>
        <w:bottom w:val="none" w:sz="0" w:space="0" w:color="auto"/>
        <w:right w:val="none" w:sz="0" w:space="0" w:color="auto"/>
      </w:divBdr>
    </w:div>
    <w:div w:id="169568321">
      <w:bodyDiv w:val="1"/>
      <w:marLeft w:val="0"/>
      <w:marRight w:val="0"/>
      <w:marTop w:val="0"/>
      <w:marBottom w:val="0"/>
      <w:divBdr>
        <w:top w:val="none" w:sz="0" w:space="0" w:color="auto"/>
        <w:left w:val="none" w:sz="0" w:space="0" w:color="auto"/>
        <w:bottom w:val="none" w:sz="0" w:space="0" w:color="auto"/>
        <w:right w:val="none" w:sz="0" w:space="0" w:color="auto"/>
      </w:divBdr>
    </w:div>
    <w:div w:id="189878371">
      <w:bodyDiv w:val="1"/>
      <w:marLeft w:val="0"/>
      <w:marRight w:val="0"/>
      <w:marTop w:val="0"/>
      <w:marBottom w:val="0"/>
      <w:divBdr>
        <w:top w:val="none" w:sz="0" w:space="0" w:color="auto"/>
        <w:left w:val="none" w:sz="0" w:space="0" w:color="auto"/>
        <w:bottom w:val="none" w:sz="0" w:space="0" w:color="auto"/>
        <w:right w:val="none" w:sz="0" w:space="0" w:color="auto"/>
      </w:divBdr>
    </w:div>
    <w:div w:id="200362519">
      <w:bodyDiv w:val="1"/>
      <w:marLeft w:val="0"/>
      <w:marRight w:val="0"/>
      <w:marTop w:val="0"/>
      <w:marBottom w:val="0"/>
      <w:divBdr>
        <w:top w:val="none" w:sz="0" w:space="0" w:color="auto"/>
        <w:left w:val="none" w:sz="0" w:space="0" w:color="auto"/>
        <w:bottom w:val="none" w:sz="0" w:space="0" w:color="auto"/>
        <w:right w:val="none" w:sz="0" w:space="0" w:color="auto"/>
      </w:divBdr>
    </w:div>
    <w:div w:id="202643962">
      <w:bodyDiv w:val="1"/>
      <w:marLeft w:val="0"/>
      <w:marRight w:val="0"/>
      <w:marTop w:val="0"/>
      <w:marBottom w:val="0"/>
      <w:divBdr>
        <w:top w:val="none" w:sz="0" w:space="0" w:color="auto"/>
        <w:left w:val="none" w:sz="0" w:space="0" w:color="auto"/>
        <w:bottom w:val="none" w:sz="0" w:space="0" w:color="auto"/>
        <w:right w:val="none" w:sz="0" w:space="0" w:color="auto"/>
      </w:divBdr>
    </w:div>
    <w:div w:id="213392397">
      <w:bodyDiv w:val="1"/>
      <w:marLeft w:val="0"/>
      <w:marRight w:val="0"/>
      <w:marTop w:val="0"/>
      <w:marBottom w:val="0"/>
      <w:divBdr>
        <w:top w:val="none" w:sz="0" w:space="0" w:color="auto"/>
        <w:left w:val="none" w:sz="0" w:space="0" w:color="auto"/>
        <w:bottom w:val="none" w:sz="0" w:space="0" w:color="auto"/>
        <w:right w:val="none" w:sz="0" w:space="0" w:color="auto"/>
      </w:divBdr>
    </w:div>
    <w:div w:id="237058170">
      <w:bodyDiv w:val="1"/>
      <w:marLeft w:val="0"/>
      <w:marRight w:val="0"/>
      <w:marTop w:val="0"/>
      <w:marBottom w:val="0"/>
      <w:divBdr>
        <w:top w:val="none" w:sz="0" w:space="0" w:color="auto"/>
        <w:left w:val="none" w:sz="0" w:space="0" w:color="auto"/>
        <w:bottom w:val="none" w:sz="0" w:space="0" w:color="auto"/>
        <w:right w:val="none" w:sz="0" w:space="0" w:color="auto"/>
      </w:divBdr>
    </w:div>
    <w:div w:id="363334918">
      <w:bodyDiv w:val="1"/>
      <w:marLeft w:val="0"/>
      <w:marRight w:val="0"/>
      <w:marTop w:val="0"/>
      <w:marBottom w:val="0"/>
      <w:divBdr>
        <w:top w:val="none" w:sz="0" w:space="0" w:color="auto"/>
        <w:left w:val="none" w:sz="0" w:space="0" w:color="auto"/>
        <w:bottom w:val="none" w:sz="0" w:space="0" w:color="auto"/>
        <w:right w:val="none" w:sz="0" w:space="0" w:color="auto"/>
      </w:divBdr>
    </w:div>
    <w:div w:id="382022204">
      <w:bodyDiv w:val="1"/>
      <w:marLeft w:val="0"/>
      <w:marRight w:val="0"/>
      <w:marTop w:val="0"/>
      <w:marBottom w:val="0"/>
      <w:divBdr>
        <w:top w:val="none" w:sz="0" w:space="0" w:color="auto"/>
        <w:left w:val="none" w:sz="0" w:space="0" w:color="auto"/>
        <w:bottom w:val="none" w:sz="0" w:space="0" w:color="auto"/>
        <w:right w:val="none" w:sz="0" w:space="0" w:color="auto"/>
      </w:divBdr>
      <w:divsChild>
        <w:div w:id="536353097">
          <w:marLeft w:val="547"/>
          <w:marRight w:val="0"/>
          <w:marTop w:val="0"/>
          <w:marBottom w:val="0"/>
          <w:divBdr>
            <w:top w:val="none" w:sz="0" w:space="0" w:color="auto"/>
            <w:left w:val="none" w:sz="0" w:space="0" w:color="auto"/>
            <w:bottom w:val="none" w:sz="0" w:space="0" w:color="auto"/>
            <w:right w:val="none" w:sz="0" w:space="0" w:color="auto"/>
          </w:divBdr>
        </w:div>
      </w:divsChild>
    </w:div>
    <w:div w:id="413937552">
      <w:bodyDiv w:val="1"/>
      <w:marLeft w:val="0"/>
      <w:marRight w:val="0"/>
      <w:marTop w:val="0"/>
      <w:marBottom w:val="0"/>
      <w:divBdr>
        <w:top w:val="none" w:sz="0" w:space="0" w:color="auto"/>
        <w:left w:val="none" w:sz="0" w:space="0" w:color="auto"/>
        <w:bottom w:val="none" w:sz="0" w:space="0" w:color="auto"/>
        <w:right w:val="none" w:sz="0" w:space="0" w:color="auto"/>
      </w:divBdr>
    </w:div>
    <w:div w:id="467625534">
      <w:bodyDiv w:val="1"/>
      <w:marLeft w:val="0"/>
      <w:marRight w:val="0"/>
      <w:marTop w:val="0"/>
      <w:marBottom w:val="0"/>
      <w:divBdr>
        <w:top w:val="none" w:sz="0" w:space="0" w:color="auto"/>
        <w:left w:val="none" w:sz="0" w:space="0" w:color="auto"/>
        <w:bottom w:val="none" w:sz="0" w:space="0" w:color="auto"/>
        <w:right w:val="none" w:sz="0" w:space="0" w:color="auto"/>
      </w:divBdr>
    </w:div>
    <w:div w:id="527766723">
      <w:bodyDiv w:val="1"/>
      <w:marLeft w:val="0"/>
      <w:marRight w:val="0"/>
      <w:marTop w:val="0"/>
      <w:marBottom w:val="0"/>
      <w:divBdr>
        <w:top w:val="none" w:sz="0" w:space="0" w:color="auto"/>
        <w:left w:val="none" w:sz="0" w:space="0" w:color="auto"/>
        <w:bottom w:val="none" w:sz="0" w:space="0" w:color="auto"/>
        <w:right w:val="none" w:sz="0" w:space="0" w:color="auto"/>
      </w:divBdr>
    </w:div>
    <w:div w:id="722946431">
      <w:bodyDiv w:val="1"/>
      <w:marLeft w:val="0"/>
      <w:marRight w:val="0"/>
      <w:marTop w:val="0"/>
      <w:marBottom w:val="0"/>
      <w:divBdr>
        <w:top w:val="none" w:sz="0" w:space="0" w:color="auto"/>
        <w:left w:val="none" w:sz="0" w:space="0" w:color="auto"/>
        <w:bottom w:val="none" w:sz="0" w:space="0" w:color="auto"/>
        <w:right w:val="none" w:sz="0" w:space="0" w:color="auto"/>
      </w:divBdr>
    </w:div>
    <w:div w:id="723020925">
      <w:bodyDiv w:val="1"/>
      <w:marLeft w:val="0"/>
      <w:marRight w:val="0"/>
      <w:marTop w:val="0"/>
      <w:marBottom w:val="0"/>
      <w:divBdr>
        <w:top w:val="none" w:sz="0" w:space="0" w:color="auto"/>
        <w:left w:val="none" w:sz="0" w:space="0" w:color="auto"/>
        <w:bottom w:val="none" w:sz="0" w:space="0" w:color="auto"/>
        <w:right w:val="none" w:sz="0" w:space="0" w:color="auto"/>
      </w:divBdr>
    </w:div>
    <w:div w:id="750010457">
      <w:bodyDiv w:val="1"/>
      <w:marLeft w:val="0"/>
      <w:marRight w:val="0"/>
      <w:marTop w:val="0"/>
      <w:marBottom w:val="0"/>
      <w:divBdr>
        <w:top w:val="none" w:sz="0" w:space="0" w:color="auto"/>
        <w:left w:val="none" w:sz="0" w:space="0" w:color="auto"/>
        <w:bottom w:val="none" w:sz="0" w:space="0" w:color="auto"/>
        <w:right w:val="none" w:sz="0" w:space="0" w:color="auto"/>
      </w:divBdr>
    </w:div>
    <w:div w:id="769853025">
      <w:bodyDiv w:val="1"/>
      <w:marLeft w:val="0"/>
      <w:marRight w:val="0"/>
      <w:marTop w:val="0"/>
      <w:marBottom w:val="0"/>
      <w:divBdr>
        <w:top w:val="none" w:sz="0" w:space="0" w:color="auto"/>
        <w:left w:val="none" w:sz="0" w:space="0" w:color="auto"/>
        <w:bottom w:val="none" w:sz="0" w:space="0" w:color="auto"/>
        <w:right w:val="none" w:sz="0" w:space="0" w:color="auto"/>
      </w:divBdr>
    </w:div>
    <w:div w:id="788356244">
      <w:bodyDiv w:val="1"/>
      <w:marLeft w:val="0"/>
      <w:marRight w:val="0"/>
      <w:marTop w:val="0"/>
      <w:marBottom w:val="0"/>
      <w:divBdr>
        <w:top w:val="none" w:sz="0" w:space="0" w:color="auto"/>
        <w:left w:val="none" w:sz="0" w:space="0" w:color="auto"/>
        <w:bottom w:val="none" w:sz="0" w:space="0" w:color="auto"/>
        <w:right w:val="none" w:sz="0" w:space="0" w:color="auto"/>
      </w:divBdr>
    </w:div>
    <w:div w:id="799958968">
      <w:bodyDiv w:val="1"/>
      <w:marLeft w:val="0"/>
      <w:marRight w:val="0"/>
      <w:marTop w:val="0"/>
      <w:marBottom w:val="0"/>
      <w:divBdr>
        <w:top w:val="none" w:sz="0" w:space="0" w:color="auto"/>
        <w:left w:val="none" w:sz="0" w:space="0" w:color="auto"/>
        <w:bottom w:val="none" w:sz="0" w:space="0" w:color="auto"/>
        <w:right w:val="none" w:sz="0" w:space="0" w:color="auto"/>
      </w:divBdr>
    </w:div>
    <w:div w:id="805006510">
      <w:bodyDiv w:val="1"/>
      <w:marLeft w:val="0"/>
      <w:marRight w:val="0"/>
      <w:marTop w:val="0"/>
      <w:marBottom w:val="0"/>
      <w:divBdr>
        <w:top w:val="none" w:sz="0" w:space="0" w:color="auto"/>
        <w:left w:val="none" w:sz="0" w:space="0" w:color="auto"/>
        <w:bottom w:val="none" w:sz="0" w:space="0" w:color="auto"/>
        <w:right w:val="none" w:sz="0" w:space="0" w:color="auto"/>
      </w:divBdr>
    </w:div>
    <w:div w:id="818183278">
      <w:bodyDiv w:val="1"/>
      <w:marLeft w:val="0"/>
      <w:marRight w:val="0"/>
      <w:marTop w:val="0"/>
      <w:marBottom w:val="0"/>
      <w:divBdr>
        <w:top w:val="none" w:sz="0" w:space="0" w:color="auto"/>
        <w:left w:val="none" w:sz="0" w:space="0" w:color="auto"/>
        <w:bottom w:val="none" w:sz="0" w:space="0" w:color="auto"/>
        <w:right w:val="none" w:sz="0" w:space="0" w:color="auto"/>
      </w:divBdr>
    </w:div>
    <w:div w:id="824932158">
      <w:bodyDiv w:val="1"/>
      <w:marLeft w:val="0"/>
      <w:marRight w:val="0"/>
      <w:marTop w:val="0"/>
      <w:marBottom w:val="0"/>
      <w:divBdr>
        <w:top w:val="none" w:sz="0" w:space="0" w:color="auto"/>
        <w:left w:val="none" w:sz="0" w:space="0" w:color="auto"/>
        <w:bottom w:val="none" w:sz="0" w:space="0" w:color="auto"/>
        <w:right w:val="none" w:sz="0" w:space="0" w:color="auto"/>
      </w:divBdr>
    </w:div>
    <w:div w:id="857236786">
      <w:bodyDiv w:val="1"/>
      <w:marLeft w:val="0"/>
      <w:marRight w:val="0"/>
      <w:marTop w:val="0"/>
      <w:marBottom w:val="0"/>
      <w:divBdr>
        <w:top w:val="none" w:sz="0" w:space="0" w:color="auto"/>
        <w:left w:val="none" w:sz="0" w:space="0" w:color="auto"/>
        <w:bottom w:val="none" w:sz="0" w:space="0" w:color="auto"/>
        <w:right w:val="none" w:sz="0" w:space="0" w:color="auto"/>
      </w:divBdr>
    </w:div>
    <w:div w:id="858739631">
      <w:bodyDiv w:val="1"/>
      <w:marLeft w:val="0"/>
      <w:marRight w:val="0"/>
      <w:marTop w:val="0"/>
      <w:marBottom w:val="0"/>
      <w:divBdr>
        <w:top w:val="none" w:sz="0" w:space="0" w:color="auto"/>
        <w:left w:val="none" w:sz="0" w:space="0" w:color="auto"/>
        <w:bottom w:val="none" w:sz="0" w:space="0" w:color="auto"/>
        <w:right w:val="none" w:sz="0" w:space="0" w:color="auto"/>
      </w:divBdr>
    </w:div>
    <w:div w:id="879781693">
      <w:bodyDiv w:val="1"/>
      <w:marLeft w:val="0"/>
      <w:marRight w:val="0"/>
      <w:marTop w:val="0"/>
      <w:marBottom w:val="0"/>
      <w:divBdr>
        <w:top w:val="none" w:sz="0" w:space="0" w:color="auto"/>
        <w:left w:val="none" w:sz="0" w:space="0" w:color="auto"/>
        <w:bottom w:val="none" w:sz="0" w:space="0" w:color="auto"/>
        <w:right w:val="none" w:sz="0" w:space="0" w:color="auto"/>
      </w:divBdr>
    </w:div>
    <w:div w:id="907346781">
      <w:bodyDiv w:val="1"/>
      <w:marLeft w:val="0"/>
      <w:marRight w:val="0"/>
      <w:marTop w:val="0"/>
      <w:marBottom w:val="0"/>
      <w:divBdr>
        <w:top w:val="none" w:sz="0" w:space="0" w:color="auto"/>
        <w:left w:val="none" w:sz="0" w:space="0" w:color="auto"/>
        <w:bottom w:val="none" w:sz="0" w:space="0" w:color="auto"/>
        <w:right w:val="none" w:sz="0" w:space="0" w:color="auto"/>
      </w:divBdr>
    </w:div>
    <w:div w:id="1081025331">
      <w:bodyDiv w:val="1"/>
      <w:marLeft w:val="0"/>
      <w:marRight w:val="0"/>
      <w:marTop w:val="0"/>
      <w:marBottom w:val="0"/>
      <w:divBdr>
        <w:top w:val="none" w:sz="0" w:space="0" w:color="auto"/>
        <w:left w:val="none" w:sz="0" w:space="0" w:color="auto"/>
        <w:bottom w:val="none" w:sz="0" w:space="0" w:color="auto"/>
        <w:right w:val="none" w:sz="0" w:space="0" w:color="auto"/>
      </w:divBdr>
    </w:div>
    <w:div w:id="1090197751">
      <w:bodyDiv w:val="1"/>
      <w:marLeft w:val="0"/>
      <w:marRight w:val="0"/>
      <w:marTop w:val="0"/>
      <w:marBottom w:val="0"/>
      <w:divBdr>
        <w:top w:val="none" w:sz="0" w:space="0" w:color="auto"/>
        <w:left w:val="none" w:sz="0" w:space="0" w:color="auto"/>
        <w:bottom w:val="none" w:sz="0" w:space="0" w:color="auto"/>
        <w:right w:val="none" w:sz="0" w:space="0" w:color="auto"/>
      </w:divBdr>
    </w:div>
    <w:div w:id="1119757919">
      <w:bodyDiv w:val="1"/>
      <w:marLeft w:val="0"/>
      <w:marRight w:val="0"/>
      <w:marTop w:val="0"/>
      <w:marBottom w:val="0"/>
      <w:divBdr>
        <w:top w:val="none" w:sz="0" w:space="0" w:color="auto"/>
        <w:left w:val="none" w:sz="0" w:space="0" w:color="auto"/>
        <w:bottom w:val="none" w:sz="0" w:space="0" w:color="auto"/>
        <w:right w:val="none" w:sz="0" w:space="0" w:color="auto"/>
      </w:divBdr>
    </w:div>
    <w:div w:id="1215966653">
      <w:bodyDiv w:val="1"/>
      <w:marLeft w:val="0"/>
      <w:marRight w:val="0"/>
      <w:marTop w:val="0"/>
      <w:marBottom w:val="0"/>
      <w:divBdr>
        <w:top w:val="none" w:sz="0" w:space="0" w:color="auto"/>
        <w:left w:val="none" w:sz="0" w:space="0" w:color="auto"/>
        <w:bottom w:val="none" w:sz="0" w:space="0" w:color="auto"/>
        <w:right w:val="none" w:sz="0" w:space="0" w:color="auto"/>
      </w:divBdr>
    </w:div>
    <w:div w:id="1224409446">
      <w:bodyDiv w:val="1"/>
      <w:marLeft w:val="0"/>
      <w:marRight w:val="0"/>
      <w:marTop w:val="0"/>
      <w:marBottom w:val="0"/>
      <w:divBdr>
        <w:top w:val="none" w:sz="0" w:space="0" w:color="auto"/>
        <w:left w:val="none" w:sz="0" w:space="0" w:color="auto"/>
        <w:bottom w:val="none" w:sz="0" w:space="0" w:color="auto"/>
        <w:right w:val="none" w:sz="0" w:space="0" w:color="auto"/>
      </w:divBdr>
    </w:div>
    <w:div w:id="1233354233">
      <w:bodyDiv w:val="1"/>
      <w:marLeft w:val="0"/>
      <w:marRight w:val="0"/>
      <w:marTop w:val="0"/>
      <w:marBottom w:val="0"/>
      <w:divBdr>
        <w:top w:val="none" w:sz="0" w:space="0" w:color="auto"/>
        <w:left w:val="none" w:sz="0" w:space="0" w:color="auto"/>
        <w:bottom w:val="none" w:sz="0" w:space="0" w:color="auto"/>
        <w:right w:val="none" w:sz="0" w:space="0" w:color="auto"/>
      </w:divBdr>
    </w:div>
    <w:div w:id="1284459235">
      <w:bodyDiv w:val="1"/>
      <w:marLeft w:val="0"/>
      <w:marRight w:val="0"/>
      <w:marTop w:val="0"/>
      <w:marBottom w:val="0"/>
      <w:divBdr>
        <w:top w:val="none" w:sz="0" w:space="0" w:color="auto"/>
        <w:left w:val="none" w:sz="0" w:space="0" w:color="auto"/>
        <w:bottom w:val="none" w:sz="0" w:space="0" w:color="auto"/>
        <w:right w:val="none" w:sz="0" w:space="0" w:color="auto"/>
      </w:divBdr>
    </w:div>
    <w:div w:id="1312061058">
      <w:bodyDiv w:val="1"/>
      <w:marLeft w:val="0"/>
      <w:marRight w:val="0"/>
      <w:marTop w:val="0"/>
      <w:marBottom w:val="0"/>
      <w:divBdr>
        <w:top w:val="none" w:sz="0" w:space="0" w:color="auto"/>
        <w:left w:val="none" w:sz="0" w:space="0" w:color="auto"/>
        <w:bottom w:val="none" w:sz="0" w:space="0" w:color="auto"/>
        <w:right w:val="none" w:sz="0" w:space="0" w:color="auto"/>
      </w:divBdr>
    </w:div>
    <w:div w:id="1312714143">
      <w:bodyDiv w:val="1"/>
      <w:marLeft w:val="0"/>
      <w:marRight w:val="0"/>
      <w:marTop w:val="0"/>
      <w:marBottom w:val="0"/>
      <w:divBdr>
        <w:top w:val="none" w:sz="0" w:space="0" w:color="auto"/>
        <w:left w:val="none" w:sz="0" w:space="0" w:color="auto"/>
        <w:bottom w:val="none" w:sz="0" w:space="0" w:color="auto"/>
        <w:right w:val="none" w:sz="0" w:space="0" w:color="auto"/>
      </w:divBdr>
    </w:div>
    <w:div w:id="1342927786">
      <w:bodyDiv w:val="1"/>
      <w:marLeft w:val="0"/>
      <w:marRight w:val="0"/>
      <w:marTop w:val="0"/>
      <w:marBottom w:val="0"/>
      <w:divBdr>
        <w:top w:val="none" w:sz="0" w:space="0" w:color="auto"/>
        <w:left w:val="none" w:sz="0" w:space="0" w:color="auto"/>
        <w:bottom w:val="none" w:sz="0" w:space="0" w:color="auto"/>
        <w:right w:val="none" w:sz="0" w:space="0" w:color="auto"/>
      </w:divBdr>
    </w:div>
    <w:div w:id="1425111232">
      <w:bodyDiv w:val="1"/>
      <w:marLeft w:val="0"/>
      <w:marRight w:val="0"/>
      <w:marTop w:val="0"/>
      <w:marBottom w:val="0"/>
      <w:divBdr>
        <w:top w:val="none" w:sz="0" w:space="0" w:color="auto"/>
        <w:left w:val="none" w:sz="0" w:space="0" w:color="auto"/>
        <w:bottom w:val="none" w:sz="0" w:space="0" w:color="auto"/>
        <w:right w:val="none" w:sz="0" w:space="0" w:color="auto"/>
      </w:divBdr>
    </w:div>
    <w:div w:id="1432703328">
      <w:bodyDiv w:val="1"/>
      <w:marLeft w:val="0"/>
      <w:marRight w:val="0"/>
      <w:marTop w:val="0"/>
      <w:marBottom w:val="0"/>
      <w:divBdr>
        <w:top w:val="none" w:sz="0" w:space="0" w:color="auto"/>
        <w:left w:val="none" w:sz="0" w:space="0" w:color="auto"/>
        <w:bottom w:val="none" w:sz="0" w:space="0" w:color="auto"/>
        <w:right w:val="none" w:sz="0" w:space="0" w:color="auto"/>
      </w:divBdr>
    </w:div>
    <w:div w:id="1440491289">
      <w:bodyDiv w:val="1"/>
      <w:marLeft w:val="0"/>
      <w:marRight w:val="0"/>
      <w:marTop w:val="0"/>
      <w:marBottom w:val="0"/>
      <w:divBdr>
        <w:top w:val="none" w:sz="0" w:space="0" w:color="auto"/>
        <w:left w:val="none" w:sz="0" w:space="0" w:color="auto"/>
        <w:bottom w:val="none" w:sz="0" w:space="0" w:color="auto"/>
        <w:right w:val="none" w:sz="0" w:space="0" w:color="auto"/>
      </w:divBdr>
    </w:div>
    <w:div w:id="1510023132">
      <w:bodyDiv w:val="1"/>
      <w:marLeft w:val="0"/>
      <w:marRight w:val="0"/>
      <w:marTop w:val="0"/>
      <w:marBottom w:val="0"/>
      <w:divBdr>
        <w:top w:val="none" w:sz="0" w:space="0" w:color="auto"/>
        <w:left w:val="none" w:sz="0" w:space="0" w:color="auto"/>
        <w:bottom w:val="none" w:sz="0" w:space="0" w:color="auto"/>
        <w:right w:val="none" w:sz="0" w:space="0" w:color="auto"/>
      </w:divBdr>
    </w:div>
    <w:div w:id="1552381891">
      <w:bodyDiv w:val="1"/>
      <w:marLeft w:val="0"/>
      <w:marRight w:val="0"/>
      <w:marTop w:val="0"/>
      <w:marBottom w:val="0"/>
      <w:divBdr>
        <w:top w:val="none" w:sz="0" w:space="0" w:color="auto"/>
        <w:left w:val="none" w:sz="0" w:space="0" w:color="auto"/>
        <w:bottom w:val="none" w:sz="0" w:space="0" w:color="auto"/>
        <w:right w:val="none" w:sz="0" w:space="0" w:color="auto"/>
      </w:divBdr>
    </w:div>
    <w:div w:id="1584413319">
      <w:bodyDiv w:val="1"/>
      <w:marLeft w:val="0"/>
      <w:marRight w:val="0"/>
      <w:marTop w:val="0"/>
      <w:marBottom w:val="0"/>
      <w:divBdr>
        <w:top w:val="none" w:sz="0" w:space="0" w:color="auto"/>
        <w:left w:val="none" w:sz="0" w:space="0" w:color="auto"/>
        <w:bottom w:val="none" w:sz="0" w:space="0" w:color="auto"/>
        <w:right w:val="none" w:sz="0" w:space="0" w:color="auto"/>
      </w:divBdr>
    </w:div>
    <w:div w:id="1634600906">
      <w:bodyDiv w:val="1"/>
      <w:marLeft w:val="0"/>
      <w:marRight w:val="0"/>
      <w:marTop w:val="0"/>
      <w:marBottom w:val="0"/>
      <w:divBdr>
        <w:top w:val="none" w:sz="0" w:space="0" w:color="auto"/>
        <w:left w:val="none" w:sz="0" w:space="0" w:color="auto"/>
        <w:bottom w:val="none" w:sz="0" w:space="0" w:color="auto"/>
        <w:right w:val="none" w:sz="0" w:space="0" w:color="auto"/>
      </w:divBdr>
    </w:div>
    <w:div w:id="1641106428">
      <w:bodyDiv w:val="1"/>
      <w:marLeft w:val="0"/>
      <w:marRight w:val="0"/>
      <w:marTop w:val="0"/>
      <w:marBottom w:val="0"/>
      <w:divBdr>
        <w:top w:val="none" w:sz="0" w:space="0" w:color="auto"/>
        <w:left w:val="none" w:sz="0" w:space="0" w:color="auto"/>
        <w:bottom w:val="none" w:sz="0" w:space="0" w:color="auto"/>
        <w:right w:val="none" w:sz="0" w:space="0" w:color="auto"/>
      </w:divBdr>
    </w:div>
    <w:div w:id="1642691663">
      <w:bodyDiv w:val="1"/>
      <w:marLeft w:val="0"/>
      <w:marRight w:val="0"/>
      <w:marTop w:val="0"/>
      <w:marBottom w:val="0"/>
      <w:divBdr>
        <w:top w:val="none" w:sz="0" w:space="0" w:color="auto"/>
        <w:left w:val="none" w:sz="0" w:space="0" w:color="auto"/>
        <w:bottom w:val="none" w:sz="0" w:space="0" w:color="auto"/>
        <w:right w:val="none" w:sz="0" w:space="0" w:color="auto"/>
      </w:divBdr>
    </w:div>
    <w:div w:id="1683320116">
      <w:bodyDiv w:val="1"/>
      <w:marLeft w:val="0"/>
      <w:marRight w:val="0"/>
      <w:marTop w:val="0"/>
      <w:marBottom w:val="0"/>
      <w:divBdr>
        <w:top w:val="none" w:sz="0" w:space="0" w:color="auto"/>
        <w:left w:val="none" w:sz="0" w:space="0" w:color="auto"/>
        <w:bottom w:val="none" w:sz="0" w:space="0" w:color="auto"/>
        <w:right w:val="none" w:sz="0" w:space="0" w:color="auto"/>
      </w:divBdr>
    </w:div>
    <w:div w:id="1723678111">
      <w:bodyDiv w:val="1"/>
      <w:marLeft w:val="0"/>
      <w:marRight w:val="0"/>
      <w:marTop w:val="0"/>
      <w:marBottom w:val="0"/>
      <w:divBdr>
        <w:top w:val="none" w:sz="0" w:space="0" w:color="auto"/>
        <w:left w:val="none" w:sz="0" w:space="0" w:color="auto"/>
        <w:bottom w:val="none" w:sz="0" w:space="0" w:color="auto"/>
        <w:right w:val="none" w:sz="0" w:space="0" w:color="auto"/>
      </w:divBdr>
    </w:div>
    <w:div w:id="1744142112">
      <w:bodyDiv w:val="1"/>
      <w:marLeft w:val="0"/>
      <w:marRight w:val="0"/>
      <w:marTop w:val="0"/>
      <w:marBottom w:val="0"/>
      <w:divBdr>
        <w:top w:val="none" w:sz="0" w:space="0" w:color="auto"/>
        <w:left w:val="none" w:sz="0" w:space="0" w:color="auto"/>
        <w:bottom w:val="none" w:sz="0" w:space="0" w:color="auto"/>
        <w:right w:val="none" w:sz="0" w:space="0" w:color="auto"/>
      </w:divBdr>
    </w:div>
    <w:div w:id="1846282651">
      <w:bodyDiv w:val="1"/>
      <w:marLeft w:val="0"/>
      <w:marRight w:val="0"/>
      <w:marTop w:val="0"/>
      <w:marBottom w:val="0"/>
      <w:divBdr>
        <w:top w:val="none" w:sz="0" w:space="0" w:color="auto"/>
        <w:left w:val="none" w:sz="0" w:space="0" w:color="auto"/>
        <w:bottom w:val="none" w:sz="0" w:space="0" w:color="auto"/>
        <w:right w:val="none" w:sz="0" w:space="0" w:color="auto"/>
      </w:divBdr>
    </w:div>
    <w:div w:id="1855025783">
      <w:bodyDiv w:val="1"/>
      <w:marLeft w:val="0"/>
      <w:marRight w:val="0"/>
      <w:marTop w:val="0"/>
      <w:marBottom w:val="0"/>
      <w:divBdr>
        <w:top w:val="none" w:sz="0" w:space="0" w:color="auto"/>
        <w:left w:val="none" w:sz="0" w:space="0" w:color="auto"/>
        <w:bottom w:val="none" w:sz="0" w:space="0" w:color="auto"/>
        <w:right w:val="none" w:sz="0" w:space="0" w:color="auto"/>
      </w:divBdr>
      <w:divsChild>
        <w:div w:id="722100460">
          <w:marLeft w:val="547"/>
          <w:marRight w:val="0"/>
          <w:marTop w:val="0"/>
          <w:marBottom w:val="0"/>
          <w:divBdr>
            <w:top w:val="none" w:sz="0" w:space="0" w:color="auto"/>
            <w:left w:val="none" w:sz="0" w:space="0" w:color="auto"/>
            <w:bottom w:val="none" w:sz="0" w:space="0" w:color="auto"/>
            <w:right w:val="none" w:sz="0" w:space="0" w:color="auto"/>
          </w:divBdr>
        </w:div>
      </w:divsChild>
    </w:div>
    <w:div w:id="1872642497">
      <w:bodyDiv w:val="1"/>
      <w:marLeft w:val="0"/>
      <w:marRight w:val="0"/>
      <w:marTop w:val="0"/>
      <w:marBottom w:val="0"/>
      <w:divBdr>
        <w:top w:val="none" w:sz="0" w:space="0" w:color="auto"/>
        <w:left w:val="none" w:sz="0" w:space="0" w:color="auto"/>
        <w:bottom w:val="none" w:sz="0" w:space="0" w:color="auto"/>
        <w:right w:val="none" w:sz="0" w:space="0" w:color="auto"/>
      </w:divBdr>
    </w:div>
    <w:div w:id="1906451762">
      <w:bodyDiv w:val="1"/>
      <w:marLeft w:val="0"/>
      <w:marRight w:val="0"/>
      <w:marTop w:val="0"/>
      <w:marBottom w:val="0"/>
      <w:divBdr>
        <w:top w:val="none" w:sz="0" w:space="0" w:color="auto"/>
        <w:left w:val="none" w:sz="0" w:space="0" w:color="auto"/>
        <w:bottom w:val="none" w:sz="0" w:space="0" w:color="auto"/>
        <w:right w:val="none" w:sz="0" w:space="0" w:color="auto"/>
      </w:divBdr>
    </w:div>
    <w:div w:id="1952661072">
      <w:bodyDiv w:val="1"/>
      <w:marLeft w:val="0"/>
      <w:marRight w:val="0"/>
      <w:marTop w:val="0"/>
      <w:marBottom w:val="0"/>
      <w:divBdr>
        <w:top w:val="none" w:sz="0" w:space="0" w:color="auto"/>
        <w:left w:val="none" w:sz="0" w:space="0" w:color="auto"/>
        <w:bottom w:val="none" w:sz="0" w:space="0" w:color="auto"/>
        <w:right w:val="none" w:sz="0" w:space="0" w:color="auto"/>
      </w:divBdr>
    </w:div>
    <w:div w:id="1968662918">
      <w:bodyDiv w:val="1"/>
      <w:marLeft w:val="0"/>
      <w:marRight w:val="0"/>
      <w:marTop w:val="0"/>
      <w:marBottom w:val="0"/>
      <w:divBdr>
        <w:top w:val="none" w:sz="0" w:space="0" w:color="auto"/>
        <w:left w:val="none" w:sz="0" w:space="0" w:color="auto"/>
        <w:bottom w:val="none" w:sz="0" w:space="0" w:color="auto"/>
        <w:right w:val="none" w:sz="0" w:space="0" w:color="auto"/>
      </w:divBdr>
    </w:div>
    <w:div w:id="1970359129">
      <w:bodyDiv w:val="1"/>
      <w:marLeft w:val="0"/>
      <w:marRight w:val="0"/>
      <w:marTop w:val="0"/>
      <w:marBottom w:val="0"/>
      <w:divBdr>
        <w:top w:val="none" w:sz="0" w:space="0" w:color="auto"/>
        <w:left w:val="none" w:sz="0" w:space="0" w:color="auto"/>
        <w:bottom w:val="none" w:sz="0" w:space="0" w:color="auto"/>
        <w:right w:val="none" w:sz="0" w:space="0" w:color="auto"/>
      </w:divBdr>
    </w:div>
    <w:div w:id="2052920014">
      <w:bodyDiv w:val="1"/>
      <w:marLeft w:val="0"/>
      <w:marRight w:val="0"/>
      <w:marTop w:val="0"/>
      <w:marBottom w:val="0"/>
      <w:divBdr>
        <w:top w:val="none" w:sz="0" w:space="0" w:color="auto"/>
        <w:left w:val="none" w:sz="0" w:space="0" w:color="auto"/>
        <w:bottom w:val="none" w:sz="0" w:space="0" w:color="auto"/>
        <w:right w:val="none" w:sz="0" w:space="0" w:color="auto"/>
      </w:divBdr>
    </w:div>
    <w:div w:id="2063481043">
      <w:bodyDiv w:val="1"/>
      <w:marLeft w:val="0"/>
      <w:marRight w:val="0"/>
      <w:marTop w:val="0"/>
      <w:marBottom w:val="0"/>
      <w:divBdr>
        <w:top w:val="none" w:sz="0" w:space="0" w:color="auto"/>
        <w:left w:val="none" w:sz="0" w:space="0" w:color="auto"/>
        <w:bottom w:val="none" w:sz="0" w:space="0" w:color="auto"/>
        <w:right w:val="none" w:sz="0" w:space="0" w:color="auto"/>
      </w:divBdr>
    </w:div>
    <w:div w:id="2067487782">
      <w:bodyDiv w:val="1"/>
      <w:marLeft w:val="0"/>
      <w:marRight w:val="0"/>
      <w:marTop w:val="0"/>
      <w:marBottom w:val="0"/>
      <w:divBdr>
        <w:top w:val="none" w:sz="0" w:space="0" w:color="auto"/>
        <w:left w:val="none" w:sz="0" w:space="0" w:color="auto"/>
        <w:bottom w:val="none" w:sz="0" w:space="0" w:color="auto"/>
        <w:right w:val="none" w:sz="0" w:space="0" w:color="auto"/>
      </w:divBdr>
    </w:div>
    <w:div w:id="2088182676">
      <w:bodyDiv w:val="1"/>
      <w:marLeft w:val="0"/>
      <w:marRight w:val="0"/>
      <w:marTop w:val="0"/>
      <w:marBottom w:val="0"/>
      <w:divBdr>
        <w:top w:val="none" w:sz="0" w:space="0" w:color="auto"/>
        <w:left w:val="none" w:sz="0" w:space="0" w:color="auto"/>
        <w:bottom w:val="none" w:sz="0" w:space="0" w:color="auto"/>
        <w:right w:val="none" w:sz="0" w:space="0" w:color="auto"/>
      </w:divBdr>
    </w:div>
    <w:div w:id="213000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Arial Black" panose="020B0A04020102020204" pitchFamily="34" charset="0"/>
                    <a:ea typeface="+mn-ea"/>
                    <a:cs typeface="+mn-cs"/>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PAE!$B$448:$B$456</c:f>
              <c:strCache>
                <c:ptCount val="9"/>
                <c:pt idx="0">
                  <c:v>2012</c:v>
                </c:pt>
                <c:pt idx="1">
                  <c:v>2013</c:v>
                </c:pt>
                <c:pt idx="2">
                  <c:v>2014</c:v>
                </c:pt>
                <c:pt idx="3">
                  <c:v>2015</c:v>
                </c:pt>
                <c:pt idx="4">
                  <c:v>2016</c:v>
                </c:pt>
                <c:pt idx="5">
                  <c:v>2017</c:v>
                </c:pt>
                <c:pt idx="6">
                  <c:v>2018</c:v>
                </c:pt>
                <c:pt idx="7">
                  <c:v>2019</c:v>
                </c:pt>
                <c:pt idx="8">
                  <c:v>2020 1/</c:v>
                </c:pt>
              </c:strCache>
            </c:strRef>
          </c:cat>
          <c:val>
            <c:numRef>
              <c:f>PAE!$D$448:$D$456</c:f>
              <c:numCache>
                <c:formatCode>_(* #,##0.00_);_(* \(#,##0.00\);_(* "-"??_);_(@_)</c:formatCode>
                <c:ptCount val="9"/>
                <c:pt idx="0">
                  <c:v>3275.016067</c:v>
                </c:pt>
                <c:pt idx="1">
                  <c:v>5552.5729350000001</c:v>
                </c:pt>
                <c:pt idx="2">
                  <c:v>7526.0652400099998</c:v>
                </c:pt>
                <c:pt idx="3">
                  <c:v>10738.24058743</c:v>
                </c:pt>
                <c:pt idx="4">
                  <c:v>12870.053022</c:v>
                </c:pt>
                <c:pt idx="5">
                  <c:v>17444.239999999998</c:v>
                </c:pt>
                <c:pt idx="6">
                  <c:v>22592.708907784996</c:v>
                </c:pt>
                <c:pt idx="7">
                  <c:v>25151.004786266771</c:v>
                </c:pt>
                <c:pt idx="8">
                  <c:v>24055.588962706992</c:v>
                </c:pt>
              </c:numCache>
            </c:numRef>
          </c:val>
          <c:extLst xmlns:c16r2="http://schemas.microsoft.com/office/drawing/2015/06/chart">
            <c:ext xmlns:c16="http://schemas.microsoft.com/office/drawing/2014/chart" uri="{C3380CC4-5D6E-409C-BE32-E72D297353CC}">
              <c16:uniqueId val="{00000000-E75C-40B9-A966-B9B2F8F8754E}"/>
            </c:ext>
          </c:extLst>
        </c:ser>
        <c:dLbls>
          <c:dLblPos val="outEnd"/>
          <c:showLegendKey val="0"/>
          <c:showVal val="1"/>
          <c:showCatName val="0"/>
          <c:showSerName val="0"/>
          <c:showPercent val="0"/>
          <c:showBubbleSize val="0"/>
        </c:dLbls>
        <c:gapWidth val="444"/>
        <c:overlap val="-90"/>
        <c:axId val="311990472"/>
        <c:axId val="311989688"/>
      </c:barChart>
      <c:catAx>
        <c:axId val="311990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DO"/>
          </a:p>
        </c:txPr>
        <c:crossAx val="311989688"/>
        <c:crosses val="autoZero"/>
        <c:auto val="1"/>
        <c:lblAlgn val="ctr"/>
        <c:lblOffset val="100"/>
        <c:noMultiLvlLbl val="0"/>
      </c:catAx>
      <c:valAx>
        <c:axId val="311989688"/>
        <c:scaling>
          <c:orientation val="minMax"/>
          <c:max val="27000"/>
          <c:min val="1000"/>
        </c:scaling>
        <c:delete val="1"/>
        <c:axPos val="l"/>
        <c:numFmt formatCode="_(* #,##0.00_);_(* \(#,##0.00\);_(* &quot;-&quot;??_);_(@_)" sourceLinked="1"/>
        <c:majorTickMark val="none"/>
        <c:minorTickMark val="none"/>
        <c:tickLblPos val="nextTo"/>
        <c:crossAx val="311990472"/>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33C69-D14B-47DD-99E9-AA769788E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11877</Words>
  <Characters>65327</Characters>
  <Application>Microsoft Office Word</Application>
  <DocSecurity>0</DocSecurity>
  <Lines>544</Lines>
  <Paragraphs>154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77050</CharactersWithSpaces>
  <SharedDoc>false</SharedDoc>
  <HLinks>
    <vt:vector size="150" baseType="variant">
      <vt:variant>
        <vt:i4>2555961</vt:i4>
      </vt:variant>
      <vt:variant>
        <vt:i4>156</vt:i4>
      </vt:variant>
      <vt:variant>
        <vt:i4>0</vt:i4>
      </vt:variant>
      <vt:variant>
        <vt:i4>5</vt:i4>
      </vt:variant>
      <vt:variant>
        <vt:lpwstr>http://www.fao.org/in-action/programa-brasil-fao/proyectos/alimentacion-escolar/es/</vt:lpwstr>
      </vt:variant>
      <vt:variant>
        <vt:lpwstr/>
      </vt:variant>
      <vt:variant>
        <vt:i4>1769525</vt:i4>
      </vt:variant>
      <vt:variant>
        <vt:i4>140</vt:i4>
      </vt:variant>
      <vt:variant>
        <vt:i4>0</vt:i4>
      </vt:variant>
      <vt:variant>
        <vt:i4>5</vt:i4>
      </vt:variant>
      <vt:variant>
        <vt:lpwstr/>
      </vt:variant>
      <vt:variant>
        <vt:lpwstr>_Toc535921774</vt:lpwstr>
      </vt:variant>
      <vt:variant>
        <vt:i4>1769525</vt:i4>
      </vt:variant>
      <vt:variant>
        <vt:i4>134</vt:i4>
      </vt:variant>
      <vt:variant>
        <vt:i4>0</vt:i4>
      </vt:variant>
      <vt:variant>
        <vt:i4>5</vt:i4>
      </vt:variant>
      <vt:variant>
        <vt:lpwstr/>
      </vt:variant>
      <vt:variant>
        <vt:lpwstr>_Toc535921773</vt:lpwstr>
      </vt:variant>
      <vt:variant>
        <vt:i4>1769525</vt:i4>
      </vt:variant>
      <vt:variant>
        <vt:i4>128</vt:i4>
      </vt:variant>
      <vt:variant>
        <vt:i4>0</vt:i4>
      </vt:variant>
      <vt:variant>
        <vt:i4>5</vt:i4>
      </vt:variant>
      <vt:variant>
        <vt:lpwstr/>
      </vt:variant>
      <vt:variant>
        <vt:lpwstr>_Toc535921772</vt:lpwstr>
      </vt:variant>
      <vt:variant>
        <vt:i4>1769525</vt:i4>
      </vt:variant>
      <vt:variant>
        <vt:i4>122</vt:i4>
      </vt:variant>
      <vt:variant>
        <vt:i4>0</vt:i4>
      </vt:variant>
      <vt:variant>
        <vt:i4>5</vt:i4>
      </vt:variant>
      <vt:variant>
        <vt:lpwstr/>
      </vt:variant>
      <vt:variant>
        <vt:lpwstr>_Toc535921771</vt:lpwstr>
      </vt:variant>
      <vt:variant>
        <vt:i4>1769525</vt:i4>
      </vt:variant>
      <vt:variant>
        <vt:i4>116</vt:i4>
      </vt:variant>
      <vt:variant>
        <vt:i4>0</vt:i4>
      </vt:variant>
      <vt:variant>
        <vt:i4>5</vt:i4>
      </vt:variant>
      <vt:variant>
        <vt:lpwstr/>
      </vt:variant>
      <vt:variant>
        <vt:lpwstr>_Toc535921770</vt:lpwstr>
      </vt:variant>
      <vt:variant>
        <vt:i4>1703989</vt:i4>
      </vt:variant>
      <vt:variant>
        <vt:i4>110</vt:i4>
      </vt:variant>
      <vt:variant>
        <vt:i4>0</vt:i4>
      </vt:variant>
      <vt:variant>
        <vt:i4>5</vt:i4>
      </vt:variant>
      <vt:variant>
        <vt:lpwstr/>
      </vt:variant>
      <vt:variant>
        <vt:lpwstr>_Toc535921769</vt:lpwstr>
      </vt:variant>
      <vt:variant>
        <vt:i4>1703989</vt:i4>
      </vt:variant>
      <vt:variant>
        <vt:i4>104</vt:i4>
      </vt:variant>
      <vt:variant>
        <vt:i4>0</vt:i4>
      </vt:variant>
      <vt:variant>
        <vt:i4>5</vt:i4>
      </vt:variant>
      <vt:variant>
        <vt:lpwstr/>
      </vt:variant>
      <vt:variant>
        <vt:lpwstr>_Toc535921768</vt:lpwstr>
      </vt:variant>
      <vt:variant>
        <vt:i4>1703989</vt:i4>
      </vt:variant>
      <vt:variant>
        <vt:i4>98</vt:i4>
      </vt:variant>
      <vt:variant>
        <vt:i4>0</vt:i4>
      </vt:variant>
      <vt:variant>
        <vt:i4>5</vt:i4>
      </vt:variant>
      <vt:variant>
        <vt:lpwstr/>
      </vt:variant>
      <vt:variant>
        <vt:lpwstr>_Toc535921767</vt:lpwstr>
      </vt:variant>
      <vt:variant>
        <vt:i4>1703989</vt:i4>
      </vt:variant>
      <vt:variant>
        <vt:i4>92</vt:i4>
      </vt:variant>
      <vt:variant>
        <vt:i4>0</vt:i4>
      </vt:variant>
      <vt:variant>
        <vt:i4>5</vt:i4>
      </vt:variant>
      <vt:variant>
        <vt:lpwstr/>
      </vt:variant>
      <vt:variant>
        <vt:lpwstr>_Toc535921766</vt:lpwstr>
      </vt:variant>
      <vt:variant>
        <vt:i4>1703989</vt:i4>
      </vt:variant>
      <vt:variant>
        <vt:i4>86</vt:i4>
      </vt:variant>
      <vt:variant>
        <vt:i4>0</vt:i4>
      </vt:variant>
      <vt:variant>
        <vt:i4>5</vt:i4>
      </vt:variant>
      <vt:variant>
        <vt:lpwstr/>
      </vt:variant>
      <vt:variant>
        <vt:lpwstr>_Toc535921765</vt:lpwstr>
      </vt:variant>
      <vt:variant>
        <vt:i4>1703989</vt:i4>
      </vt:variant>
      <vt:variant>
        <vt:i4>80</vt:i4>
      </vt:variant>
      <vt:variant>
        <vt:i4>0</vt:i4>
      </vt:variant>
      <vt:variant>
        <vt:i4>5</vt:i4>
      </vt:variant>
      <vt:variant>
        <vt:lpwstr/>
      </vt:variant>
      <vt:variant>
        <vt:lpwstr>_Toc535921764</vt:lpwstr>
      </vt:variant>
      <vt:variant>
        <vt:i4>1703989</vt:i4>
      </vt:variant>
      <vt:variant>
        <vt:i4>74</vt:i4>
      </vt:variant>
      <vt:variant>
        <vt:i4>0</vt:i4>
      </vt:variant>
      <vt:variant>
        <vt:i4>5</vt:i4>
      </vt:variant>
      <vt:variant>
        <vt:lpwstr/>
      </vt:variant>
      <vt:variant>
        <vt:lpwstr>_Toc535921763</vt:lpwstr>
      </vt:variant>
      <vt:variant>
        <vt:i4>1703989</vt:i4>
      </vt:variant>
      <vt:variant>
        <vt:i4>68</vt:i4>
      </vt:variant>
      <vt:variant>
        <vt:i4>0</vt:i4>
      </vt:variant>
      <vt:variant>
        <vt:i4>5</vt:i4>
      </vt:variant>
      <vt:variant>
        <vt:lpwstr/>
      </vt:variant>
      <vt:variant>
        <vt:lpwstr>_Toc535921762</vt:lpwstr>
      </vt:variant>
      <vt:variant>
        <vt:i4>1703989</vt:i4>
      </vt:variant>
      <vt:variant>
        <vt:i4>62</vt:i4>
      </vt:variant>
      <vt:variant>
        <vt:i4>0</vt:i4>
      </vt:variant>
      <vt:variant>
        <vt:i4>5</vt:i4>
      </vt:variant>
      <vt:variant>
        <vt:lpwstr/>
      </vt:variant>
      <vt:variant>
        <vt:lpwstr>_Toc535921761</vt:lpwstr>
      </vt:variant>
      <vt:variant>
        <vt:i4>1703989</vt:i4>
      </vt:variant>
      <vt:variant>
        <vt:i4>56</vt:i4>
      </vt:variant>
      <vt:variant>
        <vt:i4>0</vt:i4>
      </vt:variant>
      <vt:variant>
        <vt:i4>5</vt:i4>
      </vt:variant>
      <vt:variant>
        <vt:lpwstr/>
      </vt:variant>
      <vt:variant>
        <vt:lpwstr>_Toc535921760</vt:lpwstr>
      </vt:variant>
      <vt:variant>
        <vt:i4>1638453</vt:i4>
      </vt:variant>
      <vt:variant>
        <vt:i4>50</vt:i4>
      </vt:variant>
      <vt:variant>
        <vt:i4>0</vt:i4>
      </vt:variant>
      <vt:variant>
        <vt:i4>5</vt:i4>
      </vt:variant>
      <vt:variant>
        <vt:lpwstr/>
      </vt:variant>
      <vt:variant>
        <vt:lpwstr>_Toc535921759</vt:lpwstr>
      </vt:variant>
      <vt:variant>
        <vt:i4>1638453</vt:i4>
      </vt:variant>
      <vt:variant>
        <vt:i4>44</vt:i4>
      </vt:variant>
      <vt:variant>
        <vt:i4>0</vt:i4>
      </vt:variant>
      <vt:variant>
        <vt:i4>5</vt:i4>
      </vt:variant>
      <vt:variant>
        <vt:lpwstr/>
      </vt:variant>
      <vt:variant>
        <vt:lpwstr>_Toc535921758</vt:lpwstr>
      </vt:variant>
      <vt:variant>
        <vt:i4>1638453</vt:i4>
      </vt:variant>
      <vt:variant>
        <vt:i4>38</vt:i4>
      </vt:variant>
      <vt:variant>
        <vt:i4>0</vt:i4>
      </vt:variant>
      <vt:variant>
        <vt:i4>5</vt:i4>
      </vt:variant>
      <vt:variant>
        <vt:lpwstr/>
      </vt:variant>
      <vt:variant>
        <vt:lpwstr>_Toc535921757</vt:lpwstr>
      </vt:variant>
      <vt:variant>
        <vt:i4>1638453</vt:i4>
      </vt:variant>
      <vt:variant>
        <vt:i4>32</vt:i4>
      </vt:variant>
      <vt:variant>
        <vt:i4>0</vt:i4>
      </vt:variant>
      <vt:variant>
        <vt:i4>5</vt:i4>
      </vt:variant>
      <vt:variant>
        <vt:lpwstr/>
      </vt:variant>
      <vt:variant>
        <vt:lpwstr>_Toc535921756</vt:lpwstr>
      </vt:variant>
      <vt:variant>
        <vt:i4>1638453</vt:i4>
      </vt:variant>
      <vt:variant>
        <vt:i4>26</vt:i4>
      </vt:variant>
      <vt:variant>
        <vt:i4>0</vt:i4>
      </vt:variant>
      <vt:variant>
        <vt:i4>5</vt:i4>
      </vt:variant>
      <vt:variant>
        <vt:lpwstr/>
      </vt:variant>
      <vt:variant>
        <vt:lpwstr>_Toc535921755</vt:lpwstr>
      </vt:variant>
      <vt:variant>
        <vt:i4>1638453</vt:i4>
      </vt:variant>
      <vt:variant>
        <vt:i4>20</vt:i4>
      </vt:variant>
      <vt:variant>
        <vt:i4>0</vt:i4>
      </vt:variant>
      <vt:variant>
        <vt:i4>5</vt:i4>
      </vt:variant>
      <vt:variant>
        <vt:lpwstr/>
      </vt:variant>
      <vt:variant>
        <vt:lpwstr>_Toc535921754</vt:lpwstr>
      </vt:variant>
      <vt:variant>
        <vt:i4>1638453</vt:i4>
      </vt:variant>
      <vt:variant>
        <vt:i4>14</vt:i4>
      </vt:variant>
      <vt:variant>
        <vt:i4>0</vt:i4>
      </vt:variant>
      <vt:variant>
        <vt:i4>5</vt:i4>
      </vt:variant>
      <vt:variant>
        <vt:lpwstr/>
      </vt:variant>
      <vt:variant>
        <vt:lpwstr>_Toc535921753</vt:lpwstr>
      </vt:variant>
      <vt:variant>
        <vt:i4>1638453</vt:i4>
      </vt:variant>
      <vt:variant>
        <vt:i4>8</vt:i4>
      </vt:variant>
      <vt:variant>
        <vt:i4>0</vt:i4>
      </vt:variant>
      <vt:variant>
        <vt:i4>5</vt:i4>
      </vt:variant>
      <vt:variant>
        <vt:lpwstr/>
      </vt:variant>
      <vt:variant>
        <vt:lpwstr>_Toc535921752</vt:lpwstr>
      </vt:variant>
      <vt:variant>
        <vt:i4>1638453</vt:i4>
      </vt:variant>
      <vt:variant>
        <vt:i4>2</vt:i4>
      </vt:variant>
      <vt:variant>
        <vt:i4>0</vt:i4>
      </vt:variant>
      <vt:variant>
        <vt:i4>5</vt:i4>
      </vt:variant>
      <vt:variant>
        <vt:lpwstr/>
      </vt:variant>
      <vt:variant>
        <vt:lpwstr>_Toc535921751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Mateo Pena</dc:creator>
  <cp:keywords/>
  <dc:description/>
  <cp:lastModifiedBy>Reyno De Jesus Alcantara Peguero</cp:lastModifiedBy>
  <cp:revision>2</cp:revision>
  <cp:lastPrinted>2020-11-30T20:19:00Z</cp:lastPrinted>
  <dcterms:created xsi:type="dcterms:W3CDTF">2020-12-15T18:47:00Z</dcterms:created>
  <dcterms:modified xsi:type="dcterms:W3CDTF">2020-12-15T18:47:00Z</dcterms:modified>
</cp:coreProperties>
</file>