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E6A32" w14:textId="77777777" w:rsidR="00BA200F" w:rsidRPr="00BA200F" w:rsidRDefault="00BA200F" w:rsidP="00BA200F">
      <w:pPr>
        <w:tabs>
          <w:tab w:val="center" w:pos="3793"/>
          <w:tab w:val="right" w:pos="7586"/>
        </w:tabs>
        <w:spacing w:before="1540" w:after="240" w:line="240" w:lineRule="auto"/>
        <w:ind w:left="0"/>
        <w:jc w:val="center"/>
        <w:rPr>
          <w:rFonts w:eastAsia="Calibri" w:cs="Times New Roman"/>
          <w:color w:val="8E6C00"/>
          <w:spacing w:val="24"/>
          <w:sz w:val="22"/>
          <w14:textFill>
            <w14:solidFill>
              <w14:srgbClr w14:val="8E6C00">
                <w14:alpha w14:val="50000"/>
              </w14:srgbClr>
            </w14:solidFill>
          </w14:textFill>
        </w:rPr>
      </w:pPr>
      <w:r w:rsidRPr="00BA200F">
        <w:rPr>
          <w:rFonts w:ascii="Calibri" w:eastAsia="Times New Roman" w:hAnsi="Calibri" w:cs="Times New Roman"/>
          <w:noProof/>
          <w:color w:val="8E6C00"/>
          <w:sz w:val="22"/>
          <w:lang w:val="es-ES" w:eastAsia="es-ES"/>
          <w14:textFill>
            <w14:solidFill>
              <w14:srgbClr w14:val="8E6C00">
                <w14:alpha w14:val="50000"/>
              </w14:srgbClr>
            </w14:solidFill>
          </w14:textFill>
        </w:rPr>
        <w:drawing>
          <wp:anchor distT="0" distB="0" distL="114300" distR="114300" simplePos="0" relativeHeight="251681792" behindDoc="0" locked="0" layoutInCell="1" allowOverlap="1" wp14:anchorId="7692EE7D" wp14:editId="7DD43A4D">
            <wp:simplePos x="0" y="0"/>
            <wp:positionH relativeFrom="margin">
              <wp:align>center</wp:align>
            </wp:positionH>
            <wp:positionV relativeFrom="margin">
              <wp:posOffset>-404476</wp:posOffset>
            </wp:positionV>
            <wp:extent cx="1270659" cy="1284699"/>
            <wp:effectExtent l="0" t="0" r="5715" b="0"/>
            <wp:wrapNone/>
            <wp:docPr id="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27815" t="27198" r="48325" b="29894"/>
                    <a:stretch/>
                  </pic:blipFill>
                  <pic:spPr bwMode="auto">
                    <a:xfrm>
                      <a:off x="0" y="0"/>
                      <a:ext cx="1270659" cy="128469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A200F">
        <w:rPr>
          <w:rFonts w:ascii="Artifex CF Demi Bold" w:eastAsia="Times New Roman" w:hAnsi="Artifex CF Demi Bold" w:cs="Times New Roman"/>
          <w:b/>
          <w:bCs/>
          <w:color w:val="8E6C00"/>
          <w:spacing w:val="24"/>
          <w:sz w:val="22"/>
          <w:lang w:eastAsia="es-DO"/>
          <w14:textFill>
            <w14:solidFill>
              <w14:srgbClr w14:val="8E6C00">
                <w14:alpha w14:val="50000"/>
              </w14:srgbClr>
            </w14:solidFill>
          </w14:textFill>
        </w:rPr>
        <w:t>REPÚBLICA DOMINICANA</w:t>
      </w:r>
    </w:p>
    <w:p w14:paraId="042D0803" w14:textId="77777777" w:rsidR="00BA200F" w:rsidRPr="00BA200F" w:rsidRDefault="00BA200F" w:rsidP="00BA200F">
      <w:pPr>
        <w:spacing w:line="259" w:lineRule="auto"/>
        <w:ind w:left="0"/>
        <w:jc w:val="left"/>
        <w:rPr>
          <w:rFonts w:ascii="Calibri" w:eastAsia="Calibri" w:hAnsi="Calibri" w:cs="Times New Roman"/>
          <w:b/>
          <w:bCs/>
          <w:color w:val="auto"/>
          <w:sz w:val="22"/>
        </w:rPr>
      </w:pPr>
    </w:p>
    <w:p w14:paraId="4E991AB4" w14:textId="77777777" w:rsidR="00BA200F" w:rsidRPr="00BA200F" w:rsidRDefault="00BA200F" w:rsidP="00BA200F">
      <w:pPr>
        <w:spacing w:line="259" w:lineRule="auto"/>
        <w:ind w:left="0"/>
        <w:jc w:val="left"/>
        <w:rPr>
          <w:rFonts w:ascii="Calibri" w:eastAsia="Calibri" w:hAnsi="Calibri" w:cs="Times New Roman"/>
          <w:b/>
          <w:bCs/>
          <w:color w:val="auto"/>
          <w:sz w:val="22"/>
        </w:rPr>
      </w:pPr>
    </w:p>
    <w:p w14:paraId="62A24D65" w14:textId="77777777" w:rsidR="00BA200F" w:rsidRPr="00BA200F" w:rsidRDefault="00BA200F" w:rsidP="00BA200F">
      <w:pPr>
        <w:spacing w:line="259" w:lineRule="auto"/>
        <w:ind w:left="0"/>
        <w:jc w:val="left"/>
        <w:rPr>
          <w:rFonts w:ascii="Calibri" w:eastAsia="Calibri" w:hAnsi="Calibri" w:cs="Times New Roman"/>
          <w:b/>
          <w:bCs/>
          <w:color w:val="auto"/>
          <w:sz w:val="22"/>
        </w:rPr>
      </w:pPr>
    </w:p>
    <w:p w14:paraId="07800C03" w14:textId="77777777" w:rsidR="00BA200F" w:rsidRPr="00BA200F" w:rsidRDefault="00BA200F" w:rsidP="00BA200F">
      <w:pPr>
        <w:spacing w:line="259" w:lineRule="auto"/>
        <w:ind w:left="0"/>
        <w:jc w:val="left"/>
        <w:rPr>
          <w:rFonts w:ascii="Calibri" w:eastAsia="Calibri" w:hAnsi="Calibri" w:cs="Times New Roman"/>
          <w:b/>
          <w:bCs/>
          <w:color w:val="auto"/>
          <w:sz w:val="22"/>
        </w:rPr>
      </w:pPr>
    </w:p>
    <w:p w14:paraId="56598D47" w14:textId="77777777" w:rsidR="00BA200F" w:rsidRPr="00BA200F" w:rsidRDefault="00BA200F" w:rsidP="00BA200F">
      <w:pPr>
        <w:spacing w:after="240" w:line="240" w:lineRule="auto"/>
        <w:ind w:left="0"/>
        <w:jc w:val="center"/>
        <w:rPr>
          <w:rFonts w:ascii="Artifex CF" w:eastAsia="Times New Roman" w:hAnsi="Artifex CF" w:cs="Times New Roman"/>
          <w:color w:val="8E6C00"/>
          <w:spacing w:val="18"/>
          <w:sz w:val="48"/>
          <w:szCs w:val="48"/>
          <w:lang w:eastAsia="es-DO"/>
          <w14:textFill>
            <w14:solidFill>
              <w14:srgbClr w14:val="8E6C00">
                <w14:alpha w14:val="50000"/>
              </w14:srgbClr>
            </w14:solidFill>
          </w14:textFill>
        </w:rPr>
      </w:pPr>
    </w:p>
    <w:p w14:paraId="448DD3DB" w14:textId="77777777" w:rsidR="00BA200F" w:rsidRPr="00BA200F" w:rsidRDefault="00BA200F" w:rsidP="00BA200F">
      <w:pPr>
        <w:spacing w:after="240" w:line="240" w:lineRule="auto"/>
        <w:ind w:left="0"/>
        <w:jc w:val="center"/>
        <w:rPr>
          <w:rFonts w:ascii="Artifex CF" w:eastAsia="Times New Roman" w:hAnsi="Artifex CF" w:cs="Times New Roman"/>
          <w:color w:val="8E6C00"/>
          <w:spacing w:val="18"/>
          <w:sz w:val="48"/>
          <w:szCs w:val="48"/>
          <w:lang w:eastAsia="es-DO"/>
          <w14:textFill>
            <w14:solidFill>
              <w14:srgbClr w14:val="8E6C00">
                <w14:alpha w14:val="50000"/>
              </w14:srgbClr>
            </w14:solidFill>
          </w14:textFill>
        </w:rPr>
      </w:pPr>
      <w:r w:rsidRPr="00BA200F">
        <w:rPr>
          <w:rFonts w:ascii="Artifex CF" w:eastAsia="Times New Roman" w:hAnsi="Artifex CF" w:cs="Times New Roman"/>
          <w:color w:val="8E6C00"/>
          <w:spacing w:val="18"/>
          <w:sz w:val="48"/>
          <w:szCs w:val="48"/>
          <w:lang w:eastAsia="es-DO"/>
          <w14:textFill>
            <w14:solidFill>
              <w14:srgbClr w14:val="8E6C00">
                <w14:alpha w14:val="50000"/>
              </w14:srgbClr>
            </w14:solidFill>
          </w14:textFill>
        </w:rPr>
        <w:t>MEMORIA</w:t>
      </w:r>
    </w:p>
    <w:p w14:paraId="10054417" w14:textId="77777777" w:rsidR="00BA200F" w:rsidRPr="00BA200F" w:rsidRDefault="00BA200F" w:rsidP="00BA200F">
      <w:pPr>
        <w:spacing w:after="240" w:line="240" w:lineRule="auto"/>
        <w:ind w:left="0"/>
        <w:jc w:val="center"/>
        <w:rPr>
          <w:rFonts w:ascii="Artifex CF" w:eastAsia="Times New Roman" w:hAnsi="Artifex CF" w:cs="Times New Roman"/>
          <w:color w:val="8E6C00"/>
          <w:spacing w:val="18"/>
          <w:sz w:val="48"/>
          <w:szCs w:val="48"/>
          <w:lang w:eastAsia="es-DO"/>
          <w14:textFill>
            <w14:solidFill>
              <w14:srgbClr w14:val="8E6C00">
                <w14:alpha w14:val="50000"/>
              </w14:srgbClr>
            </w14:solidFill>
          </w14:textFill>
        </w:rPr>
      </w:pPr>
      <w:r w:rsidRPr="00BA200F">
        <w:rPr>
          <w:rFonts w:ascii="Artifex CF" w:eastAsia="Times New Roman" w:hAnsi="Artifex CF" w:cs="Times New Roman"/>
          <w:color w:val="8E6C00"/>
          <w:spacing w:val="18"/>
          <w:sz w:val="48"/>
          <w:szCs w:val="48"/>
          <w:lang w:eastAsia="es-DO"/>
          <w14:textFill>
            <w14:solidFill>
              <w14:srgbClr w14:val="8E6C00">
                <w14:alpha w14:val="50000"/>
              </w14:srgbClr>
            </w14:solidFill>
          </w14:textFill>
        </w:rPr>
        <w:t>INSTITUCIONAL</w:t>
      </w:r>
    </w:p>
    <w:p w14:paraId="3511DD6E" w14:textId="77777777" w:rsidR="00BA200F" w:rsidRPr="00BA200F" w:rsidRDefault="00BA200F" w:rsidP="00BA200F">
      <w:pPr>
        <w:spacing w:after="0" w:line="240" w:lineRule="auto"/>
        <w:ind w:left="0"/>
        <w:jc w:val="center"/>
        <w:rPr>
          <w:rFonts w:ascii="Gotham Medium" w:eastAsia="Times New Roman" w:hAnsi="Gotham Medium" w:cs="Times New Roman"/>
          <w:color w:val="8E6C00"/>
          <w:spacing w:val="40"/>
          <w:sz w:val="20"/>
          <w:szCs w:val="20"/>
          <w:lang w:eastAsia="es-DO"/>
          <w14:textFill>
            <w14:solidFill>
              <w14:srgbClr w14:val="8E6C00">
                <w14:alpha w14:val="50000"/>
              </w14:srgbClr>
            </w14:solidFill>
          </w14:textFill>
        </w:rPr>
      </w:pPr>
      <w:r w:rsidRPr="00BA200F">
        <w:rPr>
          <w:rFonts w:ascii="Artifex CF" w:eastAsia="Times New Roman" w:hAnsi="Artifex CF" w:cs="Times New Roman"/>
          <w:noProof/>
          <w:color w:val="8E6C00"/>
          <w:spacing w:val="18"/>
          <w:sz w:val="48"/>
          <w:szCs w:val="48"/>
          <w:lang w:val="es-ES" w:eastAsia="es-ES"/>
          <w14:textFill>
            <w14:solidFill>
              <w14:srgbClr w14:val="8E6C00">
                <w14:alpha w14:val="50000"/>
              </w14:srgbClr>
            </w14:solidFill>
          </w14:textFill>
        </w:rPr>
        <mc:AlternateContent>
          <mc:Choice Requires="wps">
            <w:drawing>
              <wp:anchor distT="0" distB="0" distL="114300" distR="114300" simplePos="0" relativeHeight="251678720" behindDoc="0" locked="0" layoutInCell="1" allowOverlap="1" wp14:anchorId="51CD96C8" wp14:editId="571E4568">
                <wp:simplePos x="0" y="0"/>
                <wp:positionH relativeFrom="margin">
                  <wp:align>center</wp:align>
                </wp:positionH>
                <wp:positionV relativeFrom="paragraph">
                  <wp:posOffset>3810</wp:posOffset>
                </wp:positionV>
                <wp:extent cx="439420" cy="8255"/>
                <wp:effectExtent l="19050" t="19050" r="36830" b="29845"/>
                <wp:wrapNone/>
                <wp:docPr id="11" name="Conector recto 4"/>
                <wp:cNvGraphicFramePr/>
                <a:graphic xmlns:a="http://schemas.openxmlformats.org/drawingml/2006/main">
                  <a:graphicData uri="http://schemas.microsoft.com/office/word/2010/wordprocessingShape">
                    <wps:wsp>
                      <wps:cNvCnPr/>
                      <wps:spPr>
                        <a:xfrm flipV="1">
                          <a:off x="0" y="0"/>
                          <a:ext cx="439420" cy="8255"/>
                        </a:xfrm>
                        <a:prstGeom prst="line">
                          <a:avLst/>
                        </a:prstGeom>
                        <a:noFill/>
                        <a:ln w="38100" cap="flat" cmpd="sng" algn="ctr">
                          <a:solidFill>
                            <a:srgbClr val="8E6C00">
                              <a:alpha val="40000"/>
                            </a:srgbClr>
                          </a:solidFill>
                          <a:prstDash val="solid"/>
                          <a:miter lim="800000"/>
                        </a:ln>
                        <a:effec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4486BF5" id="Conector recto 4" o:spid="_x0000_s1026" style="position:absolute;flip:y;z-index:251678720;visibility:visible;mso-wrap-style:square;mso-wrap-distance-left:9pt;mso-wrap-distance-top:0;mso-wrap-distance-right:9pt;mso-wrap-distance-bottom:0;mso-position-horizontal:center;mso-position-horizontal-relative:margin;mso-position-vertical:absolute;mso-position-vertical-relative:text" from="0,.3pt" to="34.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" strokecolor="#8e6c00" strokeweight="3pt">
                <v:stroke opacity="26214f" joinstyle="miter"/>
                <w10:wrap anchorx="margin"/>
              </v:line>
            </w:pict>
          </mc:Fallback>
        </mc:AlternateContent>
      </w:r>
    </w:p>
    <w:p w14:paraId="09688BD9" w14:textId="796B8144" w:rsidR="00BA200F" w:rsidRPr="00BA200F" w:rsidRDefault="00BA200F" w:rsidP="00BA200F">
      <w:pPr>
        <w:spacing w:after="0" w:line="240" w:lineRule="auto"/>
        <w:ind w:left="0"/>
        <w:jc w:val="center"/>
        <w:rPr>
          <w:rFonts w:eastAsia="Times New Roman" w:cs="Times New Roman"/>
          <w:color w:val="8E6C00"/>
          <w:spacing w:val="40"/>
          <w:sz w:val="20"/>
          <w:szCs w:val="20"/>
          <w:lang w:eastAsia="es-DO"/>
          <w14:textFill>
            <w14:solidFill>
              <w14:srgbClr w14:val="8E6C00">
                <w14:alpha w14:val="50000"/>
              </w14:srgbClr>
            </w14:solidFill>
          </w14:textFill>
        </w:rPr>
      </w:pPr>
      <w:r w:rsidRPr="00BA200F">
        <w:rPr>
          <w:rFonts w:eastAsia="Times New Roman" w:cs="Times New Roman"/>
          <w:color w:val="8E6C00"/>
          <w:spacing w:val="40"/>
          <w:sz w:val="20"/>
          <w:szCs w:val="20"/>
          <w:lang w:eastAsia="es-DO"/>
          <w14:textFill>
            <w14:solidFill>
              <w14:srgbClr w14:val="8E6C00">
                <w14:alpha w14:val="50000"/>
              </w14:srgbClr>
            </w14:solidFill>
          </w14:textFill>
        </w:rPr>
        <w:t>AÑO 202</w:t>
      </w:r>
      <w:r w:rsidRPr="00BA200F">
        <w:rPr>
          <w:rFonts w:ascii="Calibri" w:eastAsia="Times New Roman" w:hAnsi="Calibri" w:cs="Times New Roman"/>
          <w:noProof/>
          <w:color w:val="auto"/>
          <w:sz w:val="22"/>
          <w:lang w:val="es-ES" w:eastAsia="es-ES"/>
        </w:rPr>
        <w:drawing>
          <wp:anchor distT="0" distB="0" distL="114300" distR="114300" simplePos="0" relativeHeight="251679744" behindDoc="0" locked="0" layoutInCell="1" allowOverlap="1" wp14:anchorId="1D36A813" wp14:editId="541CA927">
            <wp:simplePos x="0" y="0"/>
            <wp:positionH relativeFrom="column">
              <wp:posOffset>-890905</wp:posOffset>
            </wp:positionH>
            <wp:positionV relativeFrom="paragraph">
              <wp:posOffset>2680335</wp:posOffset>
            </wp:positionV>
            <wp:extent cx="2547620" cy="1118870"/>
            <wp:effectExtent l="0" t="0" r="508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47620" cy="1118870"/>
                    </a:xfrm>
                    <a:prstGeom prst="rect">
                      <a:avLst/>
                    </a:prstGeom>
                  </pic:spPr>
                </pic:pic>
              </a:graphicData>
            </a:graphic>
            <wp14:sizeRelH relativeFrom="margin">
              <wp14:pctWidth>0</wp14:pctWidth>
            </wp14:sizeRelH>
            <wp14:sizeRelV relativeFrom="margin">
              <wp14:pctHeight>0</wp14:pctHeight>
            </wp14:sizeRelV>
          </wp:anchor>
        </w:drawing>
      </w:r>
      <w:r w:rsidRPr="00BA200F">
        <w:rPr>
          <w:rFonts w:eastAsia="Times New Roman" w:cs="Times New Roman"/>
          <w:color w:val="8E6C00"/>
          <w:spacing w:val="40"/>
          <w:sz w:val="20"/>
          <w:szCs w:val="20"/>
          <w:lang w:eastAsia="es-DO"/>
          <w14:textFill>
            <w14:solidFill>
              <w14:srgbClr w14:val="8E6C00">
                <w14:alpha w14:val="50000"/>
              </w14:srgbClr>
            </w14:solidFill>
          </w14:textFill>
        </w:rPr>
        <w:t xml:space="preserve">0 </w:t>
      </w:r>
    </w:p>
    <w:p w14:paraId="0AC9B0DE" w14:textId="2031F31E" w:rsidR="00BA200F" w:rsidRPr="00BA200F" w:rsidRDefault="000D081A" w:rsidP="00BA200F">
      <w:pPr>
        <w:spacing w:line="259" w:lineRule="auto"/>
        <w:ind w:left="0"/>
        <w:jc w:val="left"/>
        <w:rPr>
          <w:rFonts w:eastAsia="Times New Roman" w:cs="Times New Roman"/>
          <w:color w:val="8E6C00"/>
          <w:spacing w:val="40"/>
          <w:sz w:val="20"/>
          <w:szCs w:val="20"/>
          <w:lang w:eastAsia="es-DO"/>
          <w14:textFill>
            <w14:solidFill>
              <w14:srgbClr w14:val="8E6C00">
                <w14:alpha w14:val="50000"/>
              </w14:srgbClr>
            </w14:solidFill>
          </w14:textFill>
        </w:rPr>
      </w:pPr>
      <w:r w:rsidRPr="0046408F">
        <w:rPr>
          <w:rFonts w:ascii="Artifex CF" w:hAnsi="Artifex CF"/>
          <w:noProof/>
          <w:color w:val="8E6C00"/>
          <w:spacing w:val="8"/>
          <w:sz w:val="24"/>
          <w:szCs w:val="24"/>
          <w:lang w:val="es-ES" w:eastAsia="es-ES"/>
          <w14:textFill>
            <w14:solidFill>
              <w14:srgbClr w14:val="8E6C00">
                <w14:alpha w14:val="50000"/>
              </w14:srgbClr>
            </w14:solidFill>
          </w14:textFill>
        </w:rPr>
        <mc:AlternateContent>
          <mc:Choice Requires="wps">
            <w:drawing>
              <wp:anchor distT="45720" distB="45720" distL="114300" distR="114300" simplePos="0" relativeHeight="251692032" behindDoc="0" locked="0" layoutInCell="1" allowOverlap="1" wp14:anchorId="06E16792" wp14:editId="022A0C05">
                <wp:simplePos x="0" y="0"/>
                <wp:positionH relativeFrom="margin">
                  <wp:posOffset>3375660</wp:posOffset>
                </wp:positionH>
                <wp:positionV relativeFrom="paragraph">
                  <wp:posOffset>2557145</wp:posOffset>
                </wp:positionV>
                <wp:extent cx="2286000" cy="100012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000125"/>
                        </a:xfrm>
                        <a:prstGeom prst="rect">
                          <a:avLst/>
                        </a:prstGeom>
                        <a:noFill/>
                        <a:ln w="9525">
                          <a:noFill/>
                          <a:miter lim="800000"/>
                          <a:headEnd/>
                          <a:tailEnd/>
                        </a:ln>
                      </wps:spPr>
                      <wps:txbx>
                        <w:txbxContent>
                          <w:p w14:paraId="3E78F364" w14:textId="77777777" w:rsidR="00510C91" w:rsidRPr="009C5883" w:rsidRDefault="00510C91" w:rsidP="000D081A">
                            <w:pPr>
                              <w:rPr>
                                <w:sz w:val="10"/>
                                <w:szCs w:val="14"/>
                              </w:rPr>
                            </w:pPr>
                          </w:p>
                          <w:p w14:paraId="411E19DF" w14:textId="77777777" w:rsidR="00510C91" w:rsidRPr="005A1BB2" w:rsidRDefault="00510C91" w:rsidP="000D081A">
                            <w:r w:rsidRPr="002752D0">
                              <w:rPr>
                                <w:noProof/>
                                <w:lang w:val="es-ES" w:eastAsia="es-ES"/>
                              </w:rPr>
                              <w:drawing>
                                <wp:inline distT="0" distB="0" distL="0" distR="0" wp14:anchorId="3AD351FC" wp14:editId="57FCFF72">
                                  <wp:extent cx="1880870" cy="349193"/>
                                  <wp:effectExtent l="0" t="0" r="5080" b="0"/>
                                  <wp:docPr id="5" name="Imagen 5" descr="C:\Users\Aida\AppData\Local\Microsoft\Windows\INetCache\Content.Outlook\9E37IZWB\LOGO NUEVO FONPER DOR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da\AppData\Local\Microsoft\Windows\INetCache\Content.Outlook\9E37IZWB\LOGO NUEVO FONPER DORAD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4235" cy="3591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E16792" id="_x0000_t202" coordsize="21600,21600" o:spt="202" path="m,l,21600r21600,l21600,xe">
                <v:stroke joinstyle="miter"/>
                <v:path gradientshapeok="t" o:connecttype="rect"/>
              </v:shapetype>
              <v:shape id="Text Box 2" o:spid="_x0000_s1026" type="#_x0000_t202" style="position:absolute;margin-left:265.8pt;margin-top:201.35pt;width:180pt;height:78.7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" filled="f" stroked="f">
                <v:textbox>
                  <w:txbxContent>
                    <w:p w14:paraId="3E78F364" w14:textId="77777777" w:rsidR="00510C91" w:rsidRPr="009C5883" w:rsidRDefault="00510C91" w:rsidP="000D081A">
                      <w:pPr>
                        <w:rPr>
                          <w:sz w:val="10"/>
                          <w:szCs w:val="14"/>
                        </w:rPr>
                      </w:pPr>
                    </w:p>
                    <w:p w14:paraId="411E19DF" w14:textId="77777777" w:rsidR="00510C91" w:rsidRPr="005A1BB2" w:rsidRDefault="00510C91" w:rsidP="000D081A">
                      <w:r w:rsidRPr="002752D0">
                        <w:rPr>
                          <w:noProof/>
                          <w:lang w:val="es-ES" w:eastAsia="es-ES"/>
                        </w:rPr>
                        <w:drawing>
                          <wp:inline distT="0" distB="0" distL="0" distR="0" wp14:anchorId="3AD351FC" wp14:editId="57FCFF72">
                            <wp:extent cx="1880870" cy="349193"/>
                            <wp:effectExtent l="0" t="0" r="5080" b="0"/>
                            <wp:docPr id="5" name="Imagen 5" descr="C:\Users\Aida\AppData\Local\Microsoft\Windows\INetCache\Content.Outlook\9E37IZWB\LOGO NUEVO FONPER DOR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da\AppData\Local\Microsoft\Windows\INetCache\Content.Outlook\9E37IZWB\LOGO NUEVO FONPER DORAD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4235" cy="359100"/>
                                    </a:xfrm>
                                    <a:prstGeom prst="rect">
                                      <a:avLst/>
                                    </a:prstGeom>
                                    <a:noFill/>
                                    <a:ln>
                                      <a:noFill/>
                                    </a:ln>
                                  </pic:spPr>
                                </pic:pic>
                              </a:graphicData>
                            </a:graphic>
                          </wp:inline>
                        </w:drawing>
                      </w:r>
                    </w:p>
                  </w:txbxContent>
                </v:textbox>
                <w10:wrap type="square" anchorx="margin"/>
              </v:shape>
            </w:pict>
          </mc:Fallback>
        </mc:AlternateContent>
      </w:r>
      <w:r w:rsidR="00BA200F" w:rsidRPr="00BA200F">
        <w:rPr>
          <w:rFonts w:eastAsia="Calibri" w:cs="Times New Roman"/>
          <w:color w:val="8E6C00"/>
          <w:spacing w:val="40"/>
          <w:sz w:val="20"/>
          <w:szCs w:val="20"/>
          <w14:textFill>
            <w14:solidFill>
              <w14:srgbClr w14:val="8E6C00">
                <w14:alpha w14:val="50000"/>
              </w14:srgbClr>
            </w14:solidFill>
          </w14:textFill>
        </w:rPr>
        <w:br w:type="page"/>
      </w:r>
    </w:p>
    <w:sdt>
      <w:sdtPr>
        <w:rPr>
          <w:rFonts w:ascii="Artifex CF Extra Light" w:eastAsiaTheme="minorHAnsi" w:hAnsi="Artifex CF Extra Light"/>
          <w:color w:val="8E6C00"/>
          <w:spacing w:val="24"/>
          <w:sz w:val="18"/>
          <w:lang w:eastAsia="en-US"/>
          <w14:textFill>
            <w14:solidFill>
              <w14:srgbClr w14:val="8E6C00">
                <w14:alpha w14:val="50000"/>
              </w14:srgbClr>
            </w14:solidFill>
          </w14:textFill>
        </w:rPr>
        <w:id w:val="136302619"/>
        <w:docPartObj>
          <w:docPartGallery w:val="Cover Pages"/>
          <w:docPartUnique/>
        </w:docPartObj>
      </w:sdtPr>
      <w:sdtEndPr>
        <w:rPr>
          <w:rFonts w:ascii="Artifex CF" w:hAnsi="Artifex CF"/>
          <w:color w:val="1F4E79"/>
          <w:spacing w:val="8"/>
          <w:sz w:val="24"/>
          <w:szCs w:val="24"/>
          <w14:textFill>
            <w14:solidFill>
              <w14:srgbClr w14:val="1F4E79">
                <w14:alpha w14:val="50000"/>
              </w14:srgbClr>
            </w14:solidFill>
          </w14:textFill>
        </w:rPr>
      </w:sdtEndPr>
      <w:sdtContent>
        <w:sdt>
          <w:sdtPr>
            <w:rPr>
              <w:rFonts w:ascii="Artifex CF Extra Light" w:eastAsiaTheme="minorHAnsi" w:hAnsi="Artifex CF Extra Light"/>
              <w:color w:val="8E6C00"/>
              <w:spacing w:val="24"/>
              <w:sz w:val="18"/>
              <w:lang w:eastAsia="en-US"/>
              <w14:textFill>
                <w14:solidFill>
                  <w14:srgbClr w14:val="8E6C00">
                    <w14:alpha w14:val="50000"/>
                  </w14:srgbClr>
                </w14:solidFill>
              </w14:textFill>
            </w:rPr>
            <w:id w:val="1307056711"/>
            <w:docPartObj>
              <w:docPartGallery w:val="Cover Pages"/>
              <w:docPartUnique/>
            </w:docPartObj>
          </w:sdtPr>
          <w:sdtEndPr>
            <w:rPr>
              <w:rFonts w:ascii="Artifex CF" w:hAnsi="Artifex CF"/>
              <w:color w:val="1F4E79"/>
              <w:spacing w:val="8"/>
              <w:sz w:val="24"/>
              <w:szCs w:val="24"/>
              <w14:textFill>
                <w14:solidFill>
                  <w14:srgbClr w14:val="1F4E79">
                    <w14:alpha w14:val="50000"/>
                  </w14:srgbClr>
                </w14:solidFill>
              </w14:textFill>
            </w:rPr>
          </w:sdtEndPr>
          <w:sdtContent>
            <w:p w14:paraId="0D01F9A7" w14:textId="62AE4BD8" w:rsidR="006E6C76" w:rsidRDefault="006E6C76" w:rsidP="006E6C76">
              <w:pPr>
                <w:pStyle w:val="Sinespaciado"/>
                <w:tabs>
                  <w:tab w:val="center" w:pos="3793"/>
                  <w:tab w:val="right" w:pos="7586"/>
                </w:tabs>
                <w:spacing w:before="1540" w:after="240"/>
                <w:jc w:val="center"/>
                <w:rPr>
                  <w:rFonts w:ascii="Artifex CF Extra Light" w:eastAsiaTheme="minorHAnsi" w:hAnsi="Artifex CF Extra Light"/>
                  <w:color w:val="8E6C00"/>
                  <w:spacing w:val="24"/>
                  <w:sz w:val="18"/>
                  <w:lang w:eastAsia="en-US"/>
                  <w14:textFill>
                    <w14:solidFill>
                      <w14:srgbClr w14:val="8E6C00">
                        <w14:alpha w14:val="50000"/>
                      </w14:srgbClr>
                    </w14:solidFill>
                  </w14:textFill>
                </w:rPr>
              </w:pPr>
            </w:p>
            <w:p w14:paraId="53A0858B" w14:textId="57F785EE" w:rsidR="000D081A" w:rsidRDefault="000D081A" w:rsidP="006E6C76">
              <w:pPr>
                <w:pStyle w:val="Sinespaciado"/>
                <w:tabs>
                  <w:tab w:val="center" w:pos="3793"/>
                  <w:tab w:val="right" w:pos="7586"/>
                </w:tabs>
                <w:spacing w:before="1540" w:after="240"/>
                <w:jc w:val="center"/>
                <w:rPr>
                  <w:rFonts w:ascii="Artifex CF Extra Light" w:eastAsiaTheme="minorHAnsi" w:hAnsi="Artifex CF Extra Light"/>
                  <w:color w:val="8E6C00"/>
                  <w:spacing w:val="24"/>
                  <w:sz w:val="18"/>
                  <w:lang w:eastAsia="en-US"/>
                  <w14:textFill>
                    <w14:solidFill>
                      <w14:srgbClr w14:val="8E6C00">
                        <w14:alpha w14:val="50000"/>
                      </w14:srgbClr>
                    </w14:solidFill>
                  </w14:textFill>
                </w:rPr>
              </w:pPr>
            </w:p>
            <w:p w14:paraId="09F7B51C" w14:textId="77777777" w:rsidR="00BA200F" w:rsidRDefault="00BA200F" w:rsidP="00BA200F">
              <w:pPr>
                <w:rPr>
                  <w:b/>
                  <w:bCs/>
                </w:rPr>
              </w:pPr>
            </w:p>
            <w:p w14:paraId="7EEBBA93" w14:textId="5CB0E51C" w:rsidR="00BA200F" w:rsidRDefault="00BA200F" w:rsidP="00BA200F">
              <w:pPr>
                <w:pStyle w:val="Sinespaciado"/>
                <w:spacing w:after="240"/>
                <w:jc w:val="center"/>
                <w:rPr>
                  <w:rFonts w:ascii="Artifex CF" w:hAnsi="Artifex CF"/>
                  <w:color w:val="8E6C00"/>
                  <w:spacing w:val="18"/>
                  <w:sz w:val="48"/>
                  <w:szCs w:val="48"/>
                  <w14:textFill>
                    <w14:solidFill>
                      <w14:srgbClr w14:val="8E6C00">
                        <w14:alpha w14:val="50000"/>
                      </w14:srgbClr>
                    </w14:solidFill>
                  </w14:textFill>
                </w:rPr>
              </w:pPr>
            </w:p>
            <w:p w14:paraId="09524615" w14:textId="77777777" w:rsidR="00BA200F" w:rsidRDefault="00BA200F" w:rsidP="00BA200F">
              <w:pPr>
                <w:pStyle w:val="Sinespaciado"/>
                <w:spacing w:after="240"/>
                <w:jc w:val="center"/>
                <w:rPr>
                  <w:rFonts w:ascii="Artifex CF" w:hAnsi="Artifex CF"/>
                  <w:color w:val="8E6C00"/>
                  <w:spacing w:val="18"/>
                  <w:sz w:val="48"/>
                  <w:szCs w:val="48"/>
                  <w14:textFill>
                    <w14:solidFill>
                      <w14:srgbClr w14:val="8E6C00">
                        <w14:alpha w14:val="50000"/>
                      </w14:srgbClr>
                    </w14:solidFill>
                  </w14:textFill>
                </w:rPr>
              </w:pPr>
            </w:p>
            <w:p w14:paraId="34619D94" w14:textId="77777777" w:rsidR="00BA200F" w:rsidRPr="00A95F68" w:rsidRDefault="00BA200F" w:rsidP="00BA200F">
              <w:pPr>
                <w:pStyle w:val="Sinespaciado"/>
                <w:spacing w:after="240"/>
                <w:jc w:val="center"/>
                <w:rPr>
                  <w:rFonts w:ascii="Artifex CF" w:hAnsi="Artifex CF"/>
                  <w:color w:val="8E6C00"/>
                  <w:spacing w:val="18"/>
                  <w:sz w:val="48"/>
                  <w:szCs w:val="48"/>
                  <w14:textFill>
                    <w14:solidFill>
                      <w14:srgbClr w14:val="8E6C00">
                        <w14:alpha w14:val="50000"/>
                      </w14:srgbClr>
                    </w14:solidFill>
                  </w14:textFill>
                </w:rPr>
              </w:pPr>
              <w:r w:rsidRPr="00A95F68">
                <w:rPr>
                  <w:rFonts w:ascii="Artifex CF" w:hAnsi="Artifex CF"/>
                  <w:color w:val="8E6C00"/>
                  <w:spacing w:val="18"/>
                  <w:sz w:val="48"/>
                  <w:szCs w:val="48"/>
                  <w14:textFill>
                    <w14:solidFill>
                      <w14:srgbClr w14:val="8E6C00">
                        <w14:alpha w14:val="50000"/>
                      </w14:srgbClr>
                    </w14:solidFill>
                  </w14:textFill>
                </w:rPr>
                <w:t>MEMORIA</w:t>
              </w:r>
            </w:p>
            <w:p w14:paraId="1FE6FA21" w14:textId="77777777" w:rsidR="00BA200F" w:rsidRPr="00A95F68" w:rsidRDefault="00BA200F" w:rsidP="00BA200F">
              <w:pPr>
                <w:pStyle w:val="Sinespaciado"/>
                <w:spacing w:after="240"/>
                <w:jc w:val="center"/>
                <w:rPr>
                  <w:rFonts w:ascii="Artifex CF" w:hAnsi="Artifex CF"/>
                  <w:color w:val="8E6C00"/>
                  <w:spacing w:val="18"/>
                  <w:sz w:val="48"/>
                  <w:szCs w:val="48"/>
                  <w14:textFill>
                    <w14:solidFill>
                      <w14:srgbClr w14:val="8E6C00">
                        <w14:alpha w14:val="50000"/>
                      </w14:srgbClr>
                    </w14:solidFill>
                  </w14:textFill>
                </w:rPr>
              </w:pPr>
              <w:r w:rsidRPr="00A95F68">
                <w:rPr>
                  <w:rFonts w:ascii="Artifex CF" w:hAnsi="Artifex CF"/>
                  <w:color w:val="8E6C00"/>
                  <w:spacing w:val="18"/>
                  <w:sz w:val="48"/>
                  <w:szCs w:val="48"/>
                  <w14:textFill>
                    <w14:solidFill>
                      <w14:srgbClr w14:val="8E6C00">
                        <w14:alpha w14:val="50000"/>
                      </w14:srgbClr>
                    </w14:solidFill>
                  </w14:textFill>
                </w:rPr>
                <w:t>INSTITUCIONAL</w:t>
              </w:r>
            </w:p>
            <w:p w14:paraId="7B1682C6" w14:textId="77777777" w:rsidR="00BA200F" w:rsidRPr="00A95F68" w:rsidRDefault="00BA200F" w:rsidP="00BA200F">
              <w:pPr>
                <w:pStyle w:val="Sinespaciado"/>
                <w:jc w:val="center"/>
                <w:rPr>
                  <w:rFonts w:ascii="Gotham Medium" w:hAnsi="Gotham Medium"/>
                  <w:color w:val="8E6C00"/>
                  <w:spacing w:val="40"/>
                  <w:sz w:val="20"/>
                  <w:szCs w:val="20"/>
                  <w14:textFill>
                    <w14:solidFill>
                      <w14:srgbClr w14:val="8E6C00">
                        <w14:alpha w14:val="50000"/>
                      </w14:srgbClr>
                    </w14:solidFill>
                  </w14:textFill>
                </w:rPr>
              </w:pPr>
              <w:r w:rsidRPr="00A95F68">
                <w:rPr>
                  <w:rFonts w:ascii="Artifex CF" w:hAnsi="Artifex CF"/>
                  <w:noProof/>
                  <w:color w:val="8E6C00"/>
                  <w:spacing w:val="18"/>
                  <w:sz w:val="48"/>
                  <w:szCs w:val="48"/>
                  <w:lang w:val="es-ES" w:eastAsia="es-ES"/>
                  <w14:textFill>
                    <w14:solidFill>
                      <w14:srgbClr w14:val="8E6C00">
                        <w14:alpha w14:val="50000"/>
                      </w14:srgbClr>
                    </w14:solidFill>
                  </w14:textFill>
                </w:rPr>
                <mc:AlternateContent>
                  <mc:Choice Requires="wps">
                    <w:drawing>
                      <wp:anchor distT="0" distB="0" distL="114300" distR="114300" simplePos="0" relativeHeight="251683840" behindDoc="0" locked="0" layoutInCell="1" allowOverlap="1" wp14:anchorId="7263B93F" wp14:editId="76C6918E">
                        <wp:simplePos x="0" y="0"/>
                        <wp:positionH relativeFrom="margin">
                          <wp:align>center</wp:align>
                        </wp:positionH>
                        <wp:positionV relativeFrom="paragraph">
                          <wp:posOffset>3810</wp:posOffset>
                        </wp:positionV>
                        <wp:extent cx="439420" cy="8255"/>
                        <wp:effectExtent l="19050" t="19050" r="36830" b="29845"/>
                        <wp:wrapNone/>
                        <wp:docPr id="13" name="Conector recto 4"/>
                        <wp:cNvGraphicFramePr/>
                        <a:graphic xmlns:a="http://schemas.openxmlformats.org/drawingml/2006/main">
                          <a:graphicData uri="http://schemas.microsoft.com/office/word/2010/wordprocessingShape">
                            <wps:wsp>
                              <wps:cNvCnPr/>
                              <wps:spPr>
                                <a:xfrm flipV="1">
                                  <a:off x="0" y="0"/>
                                  <a:ext cx="439420" cy="8255"/>
                                </a:xfrm>
                                <a:prstGeom prst="line">
                                  <a:avLst/>
                                </a:prstGeom>
                                <a:ln w="38100">
                                  <a:solidFill>
                                    <a:srgbClr val="8E6C00">
                                      <a:alpha val="40000"/>
                                    </a:srgbClr>
                                  </a:solidFill>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9EF0E74" id="Conector recto 4" o:spid="_x0000_s1026" style="position:absolute;flip:y;z-index:251683840;visibility:visible;mso-wrap-style:square;mso-wrap-distance-left:9pt;mso-wrap-distance-top:0;mso-wrap-distance-right:9pt;mso-wrap-distance-bottom:0;mso-position-horizontal:center;mso-position-horizontal-relative:margin;mso-position-vertical:absolute;mso-position-vertical-relative:text" from="0,.3pt" to="34.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" strokecolor="#8e6c00" strokeweight="3pt">
                        <v:stroke opacity="26214f" joinstyle="miter"/>
                        <w10:wrap anchorx="margin"/>
                      </v:line>
                    </w:pict>
                  </mc:Fallback>
                </mc:AlternateContent>
              </w:r>
            </w:p>
            <w:p w14:paraId="29A3EE60" w14:textId="7ED44779" w:rsidR="00BA200F" w:rsidRDefault="00BA200F" w:rsidP="00BA200F">
              <w:pPr>
                <w:pStyle w:val="Sinespaciado"/>
                <w:jc w:val="center"/>
                <w:rPr>
                  <w:rFonts w:ascii="Artifex CF Extra Light" w:hAnsi="Artifex CF Extra Light"/>
                  <w:color w:val="8E6C00"/>
                  <w:spacing w:val="40"/>
                  <w:sz w:val="20"/>
                  <w:szCs w:val="20"/>
                  <w14:textFill>
                    <w14:solidFill>
                      <w14:srgbClr w14:val="8E6C00">
                        <w14:alpha w14:val="50000"/>
                      </w14:srgbClr>
                    </w14:solidFill>
                  </w14:textFill>
                </w:rPr>
              </w:pPr>
              <w:r w:rsidRPr="009C5883">
                <w:rPr>
                  <w:rFonts w:ascii="Artifex CF Extra Light" w:hAnsi="Artifex CF Extra Light"/>
                  <w:color w:val="8E6C00"/>
                  <w:spacing w:val="40"/>
                  <w:sz w:val="20"/>
                  <w:szCs w:val="20"/>
                  <w14:textFill>
                    <w14:solidFill>
                      <w14:srgbClr w14:val="8E6C00">
                        <w14:alpha w14:val="50000"/>
                      </w14:srgbClr>
                    </w14:solidFill>
                  </w14:textFill>
                </w:rPr>
                <w:t>AÑO 202</w:t>
              </w:r>
              <w:r>
                <w:rPr>
                  <w:noProof/>
                  <w:lang w:val="es-ES" w:eastAsia="es-ES"/>
                </w:rPr>
                <w:drawing>
                  <wp:anchor distT="0" distB="0" distL="114300" distR="114300" simplePos="0" relativeHeight="251684864" behindDoc="0" locked="0" layoutInCell="1" allowOverlap="1" wp14:anchorId="3960E441" wp14:editId="5799B144">
                    <wp:simplePos x="0" y="0"/>
                    <wp:positionH relativeFrom="column">
                      <wp:posOffset>-890905</wp:posOffset>
                    </wp:positionH>
                    <wp:positionV relativeFrom="paragraph">
                      <wp:posOffset>2680335</wp:posOffset>
                    </wp:positionV>
                    <wp:extent cx="2547620" cy="1118870"/>
                    <wp:effectExtent l="0" t="0" r="5080" b="5080"/>
                    <wp:wrapSquare wrapText="bothSides"/>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47620" cy="1118870"/>
                            </a:xfrm>
                            <a:prstGeom prst="rect">
                              <a:avLst/>
                            </a:prstGeom>
                          </pic:spPr>
                        </pic:pic>
                      </a:graphicData>
                    </a:graphic>
                    <wp14:sizeRelH relativeFrom="margin">
                      <wp14:pctWidth>0</wp14:pctWidth>
                    </wp14:sizeRelH>
                    <wp14:sizeRelV relativeFrom="margin">
                      <wp14:pctHeight>0</wp14:pctHeight>
                    </wp14:sizeRelV>
                  </wp:anchor>
                </w:drawing>
              </w:r>
              <w:r>
                <w:rPr>
                  <w:rFonts w:ascii="Artifex CF Extra Light" w:hAnsi="Artifex CF Extra Light"/>
                  <w:color w:val="8E6C00"/>
                  <w:spacing w:val="40"/>
                  <w:sz w:val="20"/>
                  <w:szCs w:val="20"/>
                  <w14:textFill>
                    <w14:solidFill>
                      <w14:srgbClr w14:val="8E6C00">
                        <w14:alpha w14:val="50000"/>
                      </w14:srgbClr>
                    </w14:solidFill>
                  </w14:textFill>
                </w:rPr>
                <w:t xml:space="preserve">0 </w:t>
              </w:r>
            </w:p>
            <w:p w14:paraId="79C6BE95" w14:textId="6FBF95EE" w:rsidR="006E6C76" w:rsidRDefault="006E6C76" w:rsidP="00BA200F">
              <w:pPr>
                <w:rPr>
                  <w:color w:val="8E6C00"/>
                  <w:spacing w:val="40"/>
                  <w:sz w:val="20"/>
                  <w:szCs w:val="20"/>
                  <w14:textFill>
                    <w14:solidFill>
                      <w14:srgbClr w14:val="8E6C00">
                        <w14:alpha w14:val="50000"/>
                      </w14:srgbClr>
                    </w14:solidFill>
                  </w14:textFill>
                </w:rPr>
              </w:pPr>
            </w:p>
            <w:p w14:paraId="23E7BF9A" w14:textId="6F09C6D5" w:rsidR="005149D7" w:rsidRDefault="005149D7" w:rsidP="00BA200F">
              <w:pPr>
                <w:rPr>
                  <w:color w:val="8E6C00"/>
                  <w:spacing w:val="40"/>
                  <w:sz w:val="20"/>
                  <w:szCs w:val="20"/>
                  <w14:textFill>
                    <w14:solidFill>
                      <w14:srgbClr w14:val="8E6C00">
                        <w14:alpha w14:val="50000"/>
                      </w14:srgbClr>
                    </w14:solidFill>
                  </w14:textFill>
                </w:rPr>
              </w:pPr>
            </w:p>
            <w:p w14:paraId="651DCB0B" w14:textId="49CA41C8" w:rsidR="005149D7" w:rsidRDefault="005149D7" w:rsidP="00BA200F">
              <w:pPr>
                <w:rPr>
                  <w:color w:val="8E6C00"/>
                  <w:spacing w:val="40"/>
                  <w:sz w:val="20"/>
                  <w:szCs w:val="20"/>
                  <w14:textFill>
                    <w14:solidFill>
                      <w14:srgbClr w14:val="8E6C00">
                        <w14:alpha w14:val="50000"/>
                      </w14:srgbClr>
                    </w14:solidFill>
                  </w14:textFill>
                </w:rPr>
              </w:pPr>
            </w:p>
            <w:p w14:paraId="6F4A7EC7" w14:textId="7E8FAD0F" w:rsidR="005149D7" w:rsidRDefault="005149D7" w:rsidP="00BA200F">
              <w:pPr>
                <w:rPr>
                  <w:color w:val="8E6C00"/>
                  <w:spacing w:val="40"/>
                  <w:sz w:val="20"/>
                  <w:szCs w:val="20"/>
                  <w14:textFill>
                    <w14:solidFill>
                      <w14:srgbClr w14:val="8E6C00">
                        <w14:alpha w14:val="50000"/>
                      </w14:srgbClr>
                    </w14:solidFill>
                  </w14:textFill>
                </w:rPr>
              </w:pPr>
            </w:p>
            <w:p w14:paraId="68EF08C4" w14:textId="5C5FFB66" w:rsidR="005149D7" w:rsidRDefault="005149D7" w:rsidP="00BA200F">
              <w:pPr>
                <w:rPr>
                  <w:color w:val="8E6C00"/>
                  <w:spacing w:val="40"/>
                  <w:sz w:val="20"/>
                  <w:szCs w:val="20"/>
                  <w14:textFill>
                    <w14:solidFill>
                      <w14:srgbClr w14:val="8E6C00">
                        <w14:alpha w14:val="50000"/>
                      </w14:srgbClr>
                    </w14:solidFill>
                  </w14:textFill>
                </w:rPr>
              </w:pPr>
            </w:p>
            <w:p w14:paraId="7B5F2129" w14:textId="77777777" w:rsidR="005149D7" w:rsidRDefault="005149D7" w:rsidP="006E6C76">
              <w:pPr>
                <w:rPr>
                  <w:color w:val="8E6C00"/>
                  <w:spacing w:val="40"/>
                  <w:sz w:val="20"/>
                  <w:szCs w:val="20"/>
                  <w14:textFill>
                    <w14:solidFill>
                      <w14:srgbClr w14:val="8E6C00">
                        <w14:alpha w14:val="50000"/>
                      </w14:srgbClr>
                    </w14:solidFill>
                  </w14:textFill>
                </w:rPr>
              </w:pPr>
            </w:p>
            <w:p w14:paraId="07DE9EE9" w14:textId="76677E24" w:rsidR="006E6C76" w:rsidRDefault="00BA200F" w:rsidP="006E6C76">
              <w:pPr>
                <w:rPr>
                  <w:color w:val="8E6C00"/>
                  <w:spacing w:val="40"/>
                  <w:sz w:val="20"/>
                  <w:szCs w:val="20"/>
                  <w14:textFill>
                    <w14:solidFill>
                      <w14:srgbClr w14:val="8E6C00">
                        <w14:alpha w14:val="50000"/>
                      </w14:srgbClr>
                    </w14:solidFill>
                  </w14:textFill>
                </w:rPr>
                <w:sectPr w:rsidR="006E6C76" w:rsidSect="006E6C76">
                  <w:footerReference w:type="default" r:id="rId11"/>
                  <w:pgSz w:w="11906" w:h="16838"/>
                  <w:pgMar w:top="2160" w:right="2160" w:bottom="2160" w:left="2160" w:header="709" w:footer="709" w:gutter="0"/>
                  <w:pgNumType w:start="1"/>
                  <w:cols w:space="708"/>
                  <w:docGrid w:linePitch="360"/>
                </w:sectPr>
              </w:pPr>
              <w:r w:rsidRPr="0046408F">
                <w:rPr>
                  <w:rFonts w:ascii="Artifex CF" w:hAnsi="Artifex CF"/>
                  <w:noProof/>
                  <w:color w:val="8E6C00"/>
                  <w:spacing w:val="8"/>
                  <w:sz w:val="24"/>
                  <w:szCs w:val="24"/>
                  <w:lang w:val="es-ES" w:eastAsia="es-ES"/>
                  <w14:textFill>
                    <w14:solidFill>
                      <w14:srgbClr w14:val="8E6C00">
                        <w14:alpha w14:val="50000"/>
                      </w14:srgbClr>
                    </w14:solidFill>
                  </w14:textFill>
                </w:rPr>
                <mc:AlternateContent>
                  <mc:Choice Requires="wps">
                    <w:drawing>
                      <wp:anchor distT="45720" distB="45720" distL="114300" distR="114300" simplePos="0" relativeHeight="251685888" behindDoc="0" locked="0" layoutInCell="1" allowOverlap="1" wp14:anchorId="3ACAF58A" wp14:editId="21291E48">
                        <wp:simplePos x="0" y="0"/>
                        <wp:positionH relativeFrom="margin">
                          <wp:posOffset>3338195</wp:posOffset>
                        </wp:positionH>
                        <wp:positionV relativeFrom="paragraph">
                          <wp:posOffset>448945</wp:posOffset>
                        </wp:positionV>
                        <wp:extent cx="2286000" cy="1000125"/>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000125"/>
                                </a:xfrm>
                                <a:prstGeom prst="rect">
                                  <a:avLst/>
                                </a:prstGeom>
                                <a:noFill/>
                                <a:ln w="9525">
                                  <a:noFill/>
                                  <a:miter lim="800000"/>
                                  <a:headEnd/>
                                  <a:tailEnd/>
                                </a:ln>
                              </wps:spPr>
                              <wps:txbx>
                                <w:txbxContent>
                                  <w:p w14:paraId="2D61B338" w14:textId="77777777" w:rsidR="00510C91" w:rsidRPr="009C5883" w:rsidRDefault="00510C91" w:rsidP="00BA200F">
                                    <w:pPr>
                                      <w:rPr>
                                        <w:sz w:val="10"/>
                                        <w:szCs w:val="14"/>
                                      </w:rPr>
                                    </w:pPr>
                                  </w:p>
                                  <w:p w14:paraId="68E1AD7C" w14:textId="6A05D1A6" w:rsidR="00510C91" w:rsidRPr="005A1BB2" w:rsidRDefault="00510C91" w:rsidP="00BA200F">
                                    <w:r w:rsidRPr="002752D0">
                                      <w:rPr>
                                        <w:noProof/>
                                        <w:lang w:val="es-ES" w:eastAsia="es-ES"/>
                                      </w:rPr>
                                      <w:drawing>
                                        <wp:inline distT="0" distB="0" distL="0" distR="0" wp14:anchorId="7C48BDB2" wp14:editId="0DA24131">
                                          <wp:extent cx="1880870" cy="349193"/>
                                          <wp:effectExtent l="0" t="0" r="5080" b="0"/>
                                          <wp:docPr id="8" name="Imagen 8" descr="C:\Users\Aida\AppData\Local\Microsoft\Windows\INetCache\Content.Outlook\9E37IZWB\LOGO NUEVO FONPER DOR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da\AppData\Local\Microsoft\Windows\INetCache\Content.Outlook\9E37IZWB\LOGO NUEVO FONPER DORAD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4235" cy="3591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CAF58A" id="_x0000_s1027" type="#_x0000_t202" style="position:absolute;left:0;text-align:left;margin-left:262.85pt;margin-top:35.35pt;width:180pt;height:78.7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" filled="f" stroked="f">
                        <v:textbox>
                          <w:txbxContent>
                            <w:p w14:paraId="2D61B338" w14:textId="77777777" w:rsidR="00510C91" w:rsidRPr="009C5883" w:rsidRDefault="00510C91" w:rsidP="00BA200F">
                              <w:pPr>
                                <w:rPr>
                                  <w:sz w:val="10"/>
                                  <w:szCs w:val="14"/>
                                </w:rPr>
                              </w:pPr>
                            </w:p>
                            <w:p w14:paraId="68E1AD7C" w14:textId="6A05D1A6" w:rsidR="00510C91" w:rsidRPr="005A1BB2" w:rsidRDefault="00510C91" w:rsidP="00BA200F">
                              <w:r w:rsidRPr="002752D0">
                                <w:rPr>
                                  <w:noProof/>
                                  <w:lang w:val="es-ES" w:eastAsia="es-ES"/>
                                </w:rPr>
                                <w:drawing>
                                  <wp:inline distT="0" distB="0" distL="0" distR="0" wp14:anchorId="7C48BDB2" wp14:editId="0DA24131">
                                    <wp:extent cx="1880870" cy="349193"/>
                                    <wp:effectExtent l="0" t="0" r="5080" b="0"/>
                                    <wp:docPr id="8" name="Imagen 8" descr="C:\Users\Aida\AppData\Local\Microsoft\Windows\INetCache\Content.Outlook\9E37IZWB\LOGO NUEVO FONPER DOR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da\AppData\Local\Microsoft\Windows\INetCache\Content.Outlook\9E37IZWB\LOGO NUEVO FONPER DORAD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4235" cy="359100"/>
                                            </a:xfrm>
                                            <a:prstGeom prst="rect">
                                              <a:avLst/>
                                            </a:prstGeom>
                                            <a:noFill/>
                                            <a:ln>
                                              <a:noFill/>
                                            </a:ln>
                                          </pic:spPr>
                                        </pic:pic>
                                      </a:graphicData>
                                    </a:graphic>
                                  </wp:inline>
                                </w:drawing>
                              </w:r>
                            </w:p>
                          </w:txbxContent>
                        </v:textbox>
                        <w10:wrap type="square" anchorx="margin"/>
                      </v:shape>
                    </w:pict>
                  </mc:Fallback>
                </mc:AlternateContent>
              </w:r>
              <w:r>
                <w:rPr>
                  <w:color w:val="8E6C00"/>
                  <w:spacing w:val="40"/>
                  <w:sz w:val="20"/>
                  <w:szCs w:val="20"/>
                  <w14:textFill>
                    <w14:solidFill>
                      <w14:srgbClr w14:val="8E6C00">
                        <w14:alpha w14:val="50000"/>
                      </w14:srgbClr>
                    </w14:solidFill>
                  </w14:textFill>
                </w:rPr>
                <w:br w:type="page"/>
              </w:r>
            </w:p>
            <w:p w14:paraId="43FAF86D" w14:textId="57BE53D8" w:rsidR="005F40CF" w:rsidRPr="009944C2" w:rsidRDefault="00510C91" w:rsidP="00EA28A8">
              <w:pPr>
                <w:spacing w:line="259" w:lineRule="auto"/>
                <w:ind w:left="0"/>
                <w:jc w:val="left"/>
                <w:rPr>
                  <w:rFonts w:ascii="Artifex CF" w:hAnsi="Artifex CF"/>
                  <w:color w:val="1F4E79"/>
                  <w:spacing w:val="8"/>
                  <w:sz w:val="24"/>
                  <w:szCs w:val="24"/>
                </w:rPr>
              </w:pPr>
            </w:p>
          </w:sdtContent>
        </w:sdt>
      </w:sdtContent>
    </w:sdt>
    <w:bookmarkStart w:id="0" w:name="_Hlk58570834" w:displacedByCustomXml="next"/>
    <w:sdt>
      <w:sdtPr>
        <w:rPr>
          <w:rFonts w:ascii="Artifex CF Extra Light" w:eastAsiaTheme="minorHAnsi" w:hAnsi="Artifex CF Extra Light" w:cstheme="minorBidi"/>
          <w:color w:val="1F4E79"/>
          <w:sz w:val="18"/>
          <w:szCs w:val="18"/>
          <w:lang w:val="es-ES" w:eastAsia="en-US"/>
        </w:rPr>
        <w:id w:val="641157754"/>
        <w:docPartObj>
          <w:docPartGallery w:val="Table of Contents"/>
          <w:docPartUnique/>
        </w:docPartObj>
      </w:sdtPr>
      <w:sdtEndPr>
        <w:rPr>
          <w:b/>
          <w:bCs/>
          <w:szCs w:val="22"/>
        </w:rPr>
      </w:sdtEndPr>
      <w:sdtContent>
        <w:bookmarkStart w:id="1" w:name="_GoBack" w:displacedByCustomXml="prev"/>
        <w:bookmarkEnd w:id="1" w:displacedByCustomXml="prev"/>
        <w:p w14:paraId="003988FA" w14:textId="77777777" w:rsidR="00213B6D" w:rsidRPr="009944C2" w:rsidRDefault="00E35748" w:rsidP="00E61B95">
          <w:pPr>
            <w:pStyle w:val="TtuloTDC"/>
            <w:spacing w:line="480" w:lineRule="auto"/>
            <w:jc w:val="center"/>
            <w:rPr>
              <w:rStyle w:val="Ttulo1Car"/>
              <w:color w:val="1F4E79"/>
              <w:sz w:val="28"/>
              <w:szCs w:val="36"/>
            </w:rPr>
          </w:pPr>
          <w:r w:rsidRPr="009944C2">
            <w:rPr>
              <w:rStyle w:val="Ttulo1Car"/>
              <w:noProof/>
              <w:color w:val="1F4E79"/>
              <w:sz w:val="28"/>
              <w:szCs w:val="36"/>
              <w:lang w:val="es-ES" w:eastAsia="es-ES"/>
            </w:rPr>
            <mc:AlternateContent>
              <mc:Choice Requires="wps">
                <w:drawing>
                  <wp:anchor distT="0" distB="0" distL="114300" distR="114300" simplePos="0" relativeHeight="251665408" behindDoc="0" locked="0" layoutInCell="1" allowOverlap="1" wp14:anchorId="7C244644" wp14:editId="4600ADD9">
                    <wp:simplePos x="0" y="0"/>
                    <wp:positionH relativeFrom="column">
                      <wp:posOffset>2190466</wp:posOffset>
                    </wp:positionH>
                    <wp:positionV relativeFrom="paragraph">
                      <wp:posOffset>409177</wp:posOffset>
                    </wp:positionV>
                    <wp:extent cx="668740" cy="0"/>
                    <wp:effectExtent l="0" t="19050" r="36195" b="19050"/>
                    <wp:wrapNone/>
                    <wp:docPr id="9" name="Conector recto 9"/>
                    <wp:cNvGraphicFramePr/>
                    <a:graphic xmlns:a="http://schemas.openxmlformats.org/drawingml/2006/main">
                      <a:graphicData uri="http://schemas.microsoft.com/office/word/2010/wordprocessingShape">
                        <wps:wsp>
                          <wps:cNvCnPr/>
                          <wps:spPr>
                            <a:xfrm>
                              <a:off x="0" y="0"/>
                              <a:ext cx="668740" cy="0"/>
                            </a:xfrm>
                            <a:prstGeom prst="line">
                              <a:avLst/>
                            </a:prstGeom>
                            <a:ln w="31750">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95AF189" id="Conector recto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32.2pt" to="225.1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" strokecolor="red" strokeweight="2.5pt">
                    <v:stroke joinstyle="miter"/>
                  </v:line>
                </w:pict>
              </mc:Fallback>
            </mc:AlternateContent>
          </w:r>
          <w:r w:rsidR="00543B73" w:rsidRPr="009944C2">
            <w:rPr>
              <w:rStyle w:val="Ttulo1Car"/>
              <w:color w:val="1F4E79"/>
              <w:sz w:val="28"/>
              <w:szCs w:val="36"/>
            </w:rPr>
            <w:t>ÍNDICE DE CONTENIDO</w:t>
          </w:r>
        </w:p>
        <w:p w14:paraId="1084D990" w14:textId="77777777" w:rsidR="00A1441F" w:rsidRPr="00A1441F" w:rsidRDefault="00A1441F" w:rsidP="0055106B">
          <w:pPr>
            <w:jc w:val="center"/>
            <w:rPr>
              <w:b/>
              <w:color w:val="1F4E79"/>
              <w:spacing w:val="40"/>
              <w:szCs w:val="18"/>
              <w:lang w:eastAsia="es-DO"/>
            </w:rPr>
          </w:pPr>
          <w:r w:rsidRPr="00A1441F">
            <w:rPr>
              <w:rFonts w:ascii="Gotham Medium" w:hAnsi="Gotham Medium"/>
              <w:b/>
              <w:spacing w:val="40"/>
              <w:sz w:val="16"/>
              <w:szCs w:val="16"/>
            </w:rPr>
            <w:t>MEMORIAS 2020</w:t>
          </w:r>
        </w:p>
        <w:p w14:paraId="7CF88CC9" w14:textId="39B705A9" w:rsidR="00543B73" w:rsidRPr="00AB2407" w:rsidRDefault="00543B73" w:rsidP="00C231F6">
          <w:pPr>
            <w:rPr>
              <w:color w:val="1F4E79"/>
              <w:szCs w:val="18"/>
              <w:lang w:val="es-ES" w:eastAsia="es-DO"/>
            </w:rPr>
          </w:pPr>
        </w:p>
        <w:p w14:paraId="248235A3" w14:textId="02B82F27" w:rsidR="00AB2407" w:rsidRPr="00AB2407" w:rsidRDefault="00543B73">
          <w:pPr>
            <w:pStyle w:val="TDC1"/>
            <w:rPr>
              <w:rFonts w:asciiTheme="minorHAnsi" w:eastAsiaTheme="minorEastAsia" w:hAnsiTheme="minorHAnsi"/>
              <w:noProof/>
              <w:color w:val="auto"/>
              <w:spacing w:val="0"/>
              <w:position w:val="0"/>
              <w:sz w:val="22"/>
              <w:lang w:val="es-ES" w:eastAsia="es-ES"/>
            </w:rPr>
          </w:pPr>
          <w:r w:rsidRPr="00AB2407">
            <w:rPr>
              <w:color w:val="1F4E79"/>
              <w:szCs w:val="18"/>
            </w:rPr>
            <w:fldChar w:fldCharType="begin"/>
          </w:r>
          <w:r w:rsidRPr="00AB2407">
            <w:rPr>
              <w:color w:val="1F4E79"/>
              <w:szCs w:val="18"/>
            </w:rPr>
            <w:instrText xml:space="preserve"> TOC \o "1-3" \h \z \u </w:instrText>
          </w:r>
          <w:r w:rsidRPr="00AB2407">
            <w:rPr>
              <w:color w:val="1F4E79"/>
              <w:szCs w:val="18"/>
            </w:rPr>
            <w:fldChar w:fldCharType="separate"/>
          </w:r>
          <w:hyperlink w:anchor="_Toc59540152" w:history="1">
            <w:r w:rsidR="00AB2407" w:rsidRPr="00AB2407">
              <w:rPr>
                <w:rStyle w:val="Hipervnculo"/>
                <w:noProof/>
              </w:rPr>
              <w:t>I.</w:t>
            </w:r>
            <w:r w:rsidR="00AB2407" w:rsidRPr="00AB2407">
              <w:rPr>
                <w:rFonts w:asciiTheme="minorHAnsi" w:eastAsiaTheme="minorEastAsia" w:hAnsiTheme="minorHAnsi"/>
                <w:noProof/>
                <w:color w:val="auto"/>
                <w:spacing w:val="0"/>
                <w:position w:val="0"/>
                <w:sz w:val="22"/>
                <w:lang w:val="es-ES" w:eastAsia="es-ES"/>
              </w:rPr>
              <w:tab/>
            </w:r>
            <w:r w:rsidR="00AB2407" w:rsidRPr="00AB2407">
              <w:rPr>
                <w:rStyle w:val="Hipervnculo"/>
                <w:noProof/>
              </w:rPr>
              <w:t>RESUMEN EJECUTIVO</w:t>
            </w:r>
            <w:r w:rsidR="00AB2407" w:rsidRPr="00AB2407">
              <w:rPr>
                <w:noProof/>
                <w:webHidden/>
              </w:rPr>
              <w:tab/>
            </w:r>
            <w:r w:rsidR="00AB2407" w:rsidRPr="00AB2407">
              <w:rPr>
                <w:noProof/>
                <w:webHidden/>
              </w:rPr>
              <w:fldChar w:fldCharType="begin"/>
            </w:r>
            <w:r w:rsidR="00AB2407" w:rsidRPr="00AB2407">
              <w:rPr>
                <w:noProof/>
                <w:webHidden/>
              </w:rPr>
              <w:instrText xml:space="preserve"> PAGEREF _Toc59540152 \h </w:instrText>
            </w:r>
            <w:r w:rsidR="00AB2407" w:rsidRPr="00AB2407">
              <w:rPr>
                <w:noProof/>
                <w:webHidden/>
              </w:rPr>
            </w:r>
            <w:r w:rsidR="00AB2407" w:rsidRPr="00AB2407">
              <w:rPr>
                <w:noProof/>
                <w:webHidden/>
              </w:rPr>
              <w:fldChar w:fldCharType="separate"/>
            </w:r>
            <w:r w:rsidR="00A01E46">
              <w:rPr>
                <w:noProof/>
                <w:webHidden/>
              </w:rPr>
              <w:t>2</w:t>
            </w:r>
            <w:r w:rsidR="00AB2407" w:rsidRPr="00AB2407">
              <w:rPr>
                <w:noProof/>
                <w:webHidden/>
              </w:rPr>
              <w:fldChar w:fldCharType="end"/>
            </w:r>
          </w:hyperlink>
        </w:p>
        <w:p w14:paraId="32506237" w14:textId="60B70766" w:rsidR="00AB2407" w:rsidRPr="00AB2407" w:rsidRDefault="00510C91">
          <w:pPr>
            <w:pStyle w:val="TDC1"/>
            <w:rPr>
              <w:rFonts w:asciiTheme="minorHAnsi" w:eastAsiaTheme="minorEastAsia" w:hAnsiTheme="minorHAnsi"/>
              <w:noProof/>
              <w:color w:val="auto"/>
              <w:spacing w:val="0"/>
              <w:position w:val="0"/>
              <w:sz w:val="22"/>
              <w:lang w:val="es-ES" w:eastAsia="es-ES"/>
            </w:rPr>
          </w:pPr>
          <w:hyperlink w:anchor="_Toc59540153" w:history="1">
            <w:r w:rsidR="00AB2407" w:rsidRPr="00AB2407">
              <w:rPr>
                <w:rStyle w:val="Hipervnculo"/>
                <w:noProof/>
              </w:rPr>
              <w:t>II.</w:t>
            </w:r>
            <w:r w:rsidR="00AB2407" w:rsidRPr="00AB2407">
              <w:rPr>
                <w:rFonts w:asciiTheme="minorHAnsi" w:eastAsiaTheme="minorEastAsia" w:hAnsiTheme="minorHAnsi"/>
                <w:noProof/>
                <w:color w:val="auto"/>
                <w:spacing w:val="0"/>
                <w:position w:val="0"/>
                <w:sz w:val="22"/>
                <w:lang w:val="es-ES" w:eastAsia="es-ES"/>
              </w:rPr>
              <w:tab/>
            </w:r>
            <w:r w:rsidR="00AB2407" w:rsidRPr="00AB2407">
              <w:rPr>
                <w:rStyle w:val="Hipervnculo"/>
                <w:noProof/>
              </w:rPr>
              <w:t>INFORMACI</w:t>
            </w:r>
            <w:r w:rsidR="00B354FE">
              <w:rPr>
                <w:rStyle w:val="Hipervnculo"/>
                <w:noProof/>
              </w:rPr>
              <w:t>Ó</w:t>
            </w:r>
            <w:r w:rsidR="00AB2407" w:rsidRPr="00AB2407">
              <w:rPr>
                <w:rStyle w:val="Hipervnculo"/>
                <w:noProof/>
              </w:rPr>
              <w:t>N INSTITUCIONAL</w:t>
            </w:r>
            <w:r w:rsidR="00AB2407" w:rsidRPr="00AB2407">
              <w:rPr>
                <w:noProof/>
                <w:webHidden/>
              </w:rPr>
              <w:tab/>
            </w:r>
            <w:r w:rsidR="00AB2407" w:rsidRPr="00AB2407">
              <w:rPr>
                <w:noProof/>
                <w:webHidden/>
              </w:rPr>
              <w:fldChar w:fldCharType="begin"/>
            </w:r>
            <w:r w:rsidR="00AB2407" w:rsidRPr="00AB2407">
              <w:rPr>
                <w:noProof/>
                <w:webHidden/>
              </w:rPr>
              <w:instrText xml:space="preserve"> PAGEREF _Toc59540153 \h </w:instrText>
            </w:r>
            <w:r w:rsidR="00AB2407" w:rsidRPr="00AB2407">
              <w:rPr>
                <w:noProof/>
                <w:webHidden/>
              </w:rPr>
            </w:r>
            <w:r w:rsidR="00AB2407" w:rsidRPr="00AB2407">
              <w:rPr>
                <w:noProof/>
                <w:webHidden/>
              </w:rPr>
              <w:fldChar w:fldCharType="separate"/>
            </w:r>
            <w:r w:rsidR="00A01E46">
              <w:rPr>
                <w:noProof/>
                <w:webHidden/>
              </w:rPr>
              <w:t>7</w:t>
            </w:r>
            <w:r w:rsidR="00AB2407" w:rsidRPr="00AB2407">
              <w:rPr>
                <w:noProof/>
                <w:webHidden/>
              </w:rPr>
              <w:fldChar w:fldCharType="end"/>
            </w:r>
          </w:hyperlink>
        </w:p>
        <w:p w14:paraId="50D4B411" w14:textId="6AE87523" w:rsidR="00AB2407" w:rsidRPr="00AB2407" w:rsidRDefault="00510C91">
          <w:pPr>
            <w:pStyle w:val="TDC2"/>
            <w:rPr>
              <w:rFonts w:asciiTheme="minorHAnsi" w:eastAsiaTheme="minorEastAsia" w:hAnsiTheme="minorHAnsi" w:cstheme="minorBidi"/>
              <w:color w:val="auto"/>
              <w:sz w:val="22"/>
              <w:szCs w:val="22"/>
              <w:lang w:val="es-ES" w:eastAsia="es-ES"/>
            </w:rPr>
          </w:pPr>
          <w:hyperlink w:anchor="_Toc59540154" w:history="1">
            <w:r w:rsidR="00AB2407" w:rsidRPr="00AB2407">
              <w:rPr>
                <w:rStyle w:val="Hipervnculo"/>
                <w:rFonts w:ascii="Gotham Medium" w:hAnsi="Gotham Medium"/>
                <w:bCs/>
              </w:rPr>
              <w:t>2.1</w:t>
            </w:r>
            <w:r w:rsidR="00AB2407" w:rsidRPr="00AB2407">
              <w:rPr>
                <w:rFonts w:asciiTheme="minorHAnsi" w:eastAsiaTheme="minorEastAsia" w:hAnsiTheme="minorHAnsi" w:cstheme="minorBidi"/>
                <w:color w:val="auto"/>
                <w:sz w:val="22"/>
                <w:szCs w:val="22"/>
                <w:lang w:val="es-ES" w:eastAsia="es-ES"/>
              </w:rPr>
              <w:tab/>
            </w:r>
            <w:r w:rsidR="00AB2407" w:rsidRPr="00AB2407">
              <w:rPr>
                <w:rStyle w:val="Hipervnculo"/>
                <w:rFonts w:ascii="Gotham Medium" w:hAnsi="Gotham Medium"/>
                <w:bCs/>
              </w:rPr>
              <w:t>MISIÓN Y VISIÓN</w:t>
            </w:r>
            <w:r w:rsidR="00AB2407" w:rsidRPr="00AB2407">
              <w:rPr>
                <w:webHidden/>
              </w:rPr>
              <w:tab/>
            </w:r>
            <w:r w:rsidR="00AB2407" w:rsidRPr="00AB2407">
              <w:rPr>
                <w:webHidden/>
              </w:rPr>
              <w:fldChar w:fldCharType="begin"/>
            </w:r>
            <w:r w:rsidR="00AB2407" w:rsidRPr="00AB2407">
              <w:rPr>
                <w:webHidden/>
              </w:rPr>
              <w:instrText xml:space="preserve"> PAGEREF _Toc59540154 \h </w:instrText>
            </w:r>
            <w:r w:rsidR="00AB2407" w:rsidRPr="00AB2407">
              <w:rPr>
                <w:webHidden/>
              </w:rPr>
            </w:r>
            <w:r w:rsidR="00AB2407" w:rsidRPr="00AB2407">
              <w:rPr>
                <w:webHidden/>
              </w:rPr>
              <w:fldChar w:fldCharType="separate"/>
            </w:r>
            <w:r w:rsidR="00A01E46">
              <w:rPr>
                <w:webHidden/>
              </w:rPr>
              <w:t>7</w:t>
            </w:r>
            <w:r w:rsidR="00AB2407" w:rsidRPr="00AB2407">
              <w:rPr>
                <w:webHidden/>
              </w:rPr>
              <w:fldChar w:fldCharType="end"/>
            </w:r>
          </w:hyperlink>
        </w:p>
        <w:p w14:paraId="0B0CD316" w14:textId="7C79D3B0" w:rsidR="00AB2407" w:rsidRPr="00AB2407" w:rsidRDefault="00510C91">
          <w:pPr>
            <w:pStyle w:val="TDC2"/>
            <w:rPr>
              <w:rFonts w:asciiTheme="minorHAnsi" w:eastAsiaTheme="minorEastAsia" w:hAnsiTheme="minorHAnsi" w:cstheme="minorBidi"/>
              <w:color w:val="auto"/>
              <w:sz w:val="22"/>
              <w:szCs w:val="22"/>
              <w:lang w:val="es-ES" w:eastAsia="es-ES"/>
            </w:rPr>
          </w:pPr>
          <w:hyperlink w:anchor="_Toc59540155" w:history="1">
            <w:r w:rsidR="00AB2407" w:rsidRPr="00AB2407">
              <w:rPr>
                <w:rStyle w:val="Hipervnculo"/>
                <w:rFonts w:ascii="Gotham Medium" w:hAnsi="Gotham Medium"/>
                <w:bCs/>
              </w:rPr>
              <w:t>2.2</w:t>
            </w:r>
            <w:r w:rsidR="00AB2407" w:rsidRPr="00AB2407">
              <w:rPr>
                <w:rFonts w:asciiTheme="minorHAnsi" w:eastAsiaTheme="minorEastAsia" w:hAnsiTheme="minorHAnsi" w:cstheme="minorBidi"/>
                <w:color w:val="auto"/>
                <w:sz w:val="22"/>
                <w:szCs w:val="22"/>
                <w:lang w:val="es-ES" w:eastAsia="es-ES"/>
              </w:rPr>
              <w:tab/>
            </w:r>
            <w:r w:rsidR="00AB2407" w:rsidRPr="00AB2407">
              <w:rPr>
                <w:rStyle w:val="Hipervnculo"/>
                <w:rFonts w:ascii="Gotham Medium" w:hAnsi="Gotham Medium"/>
                <w:bCs/>
              </w:rPr>
              <w:t>BASE LEGAL INSTITUCIONAL</w:t>
            </w:r>
            <w:r w:rsidR="00AB2407" w:rsidRPr="00AB2407">
              <w:rPr>
                <w:webHidden/>
              </w:rPr>
              <w:tab/>
            </w:r>
            <w:r w:rsidR="00AB2407" w:rsidRPr="00AB2407">
              <w:rPr>
                <w:webHidden/>
              </w:rPr>
              <w:fldChar w:fldCharType="begin"/>
            </w:r>
            <w:r w:rsidR="00AB2407" w:rsidRPr="00AB2407">
              <w:rPr>
                <w:webHidden/>
              </w:rPr>
              <w:instrText xml:space="preserve"> PAGEREF _Toc59540155 \h </w:instrText>
            </w:r>
            <w:r w:rsidR="00AB2407" w:rsidRPr="00AB2407">
              <w:rPr>
                <w:webHidden/>
              </w:rPr>
            </w:r>
            <w:r w:rsidR="00AB2407" w:rsidRPr="00AB2407">
              <w:rPr>
                <w:webHidden/>
              </w:rPr>
              <w:fldChar w:fldCharType="separate"/>
            </w:r>
            <w:r w:rsidR="00A01E46">
              <w:rPr>
                <w:webHidden/>
              </w:rPr>
              <w:t>7</w:t>
            </w:r>
            <w:r w:rsidR="00AB2407" w:rsidRPr="00AB2407">
              <w:rPr>
                <w:webHidden/>
              </w:rPr>
              <w:fldChar w:fldCharType="end"/>
            </w:r>
          </w:hyperlink>
        </w:p>
        <w:p w14:paraId="060A9D7B" w14:textId="6A4CFEFA" w:rsidR="00AB2407" w:rsidRPr="00AB2407" w:rsidRDefault="00510C91">
          <w:pPr>
            <w:pStyle w:val="TDC2"/>
            <w:rPr>
              <w:rFonts w:asciiTheme="minorHAnsi" w:eastAsiaTheme="minorEastAsia" w:hAnsiTheme="minorHAnsi" w:cstheme="minorBidi"/>
              <w:color w:val="auto"/>
              <w:sz w:val="22"/>
              <w:szCs w:val="22"/>
              <w:lang w:val="es-ES" w:eastAsia="es-ES"/>
            </w:rPr>
          </w:pPr>
          <w:hyperlink w:anchor="_Toc59540156" w:history="1">
            <w:r w:rsidR="00AB2407" w:rsidRPr="00AB2407">
              <w:rPr>
                <w:rStyle w:val="Hipervnculo"/>
                <w:rFonts w:ascii="Gotham Medium" w:hAnsi="Gotham Medium"/>
                <w:bCs/>
              </w:rPr>
              <w:t>2.3</w:t>
            </w:r>
            <w:r w:rsidR="00AB2407" w:rsidRPr="00AB2407">
              <w:rPr>
                <w:rFonts w:asciiTheme="minorHAnsi" w:eastAsiaTheme="minorEastAsia" w:hAnsiTheme="minorHAnsi" w:cstheme="minorBidi"/>
                <w:color w:val="auto"/>
                <w:sz w:val="22"/>
                <w:szCs w:val="22"/>
                <w:lang w:val="es-ES" w:eastAsia="es-ES"/>
              </w:rPr>
              <w:tab/>
            </w:r>
            <w:r w:rsidR="00AB2407" w:rsidRPr="00AB2407">
              <w:rPr>
                <w:rStyle w:val="Hipervnculo"/>
                <w:rFonts w:ascii="Gotham Medium" w:hAnsi="Gotham Medium"/>
                <w:bCs/>
              </w:rPr>
              <w:t>PRINCIPALES FUNCIONARIOS</w:t>
            </w:r>
            <w:r w:rsidR="00AB2407" w:rsidRPr="00AB2407">
              <w:rPr>
                <w:webHidden/>
              </w:rPr>
              <w:tab/>
            </w:r>
            <w:r w:rsidR="00AB2407" w:rsidRPr="00AB2407">
              <w:rPr>
                <w:webHidden/>
              </w:rPr>
              <w:fldChar w:fldCharType="begin"/>
            </w:r>
            <w:r w:rsidR="00AB2407" w:rsidRPr="00AB2407">
              <w:rPr>
                <w:webHidden/>
              </w:rPr>
              <w:instrText xml:space="preserve"> PAGEREF _Toc59540156 \h </w:instrText>
            </w:r>
            <w:r w:rsidR="00AB2407" w:rsidRPr="00AB2407">
              <w:rPr>
                <w:webHidden/>
              </w:rPr>
            </w:r>
            <w:r w:rsidR="00AB2407" w:rsidRPr="00AB2407">
              <w:rPr>
                <w:webHidden/>
              </w:rPr>
              <w:fldChar w:fldCharType="separate"/>
            </w:r>
            <w:r w:rsidR="00A01E46">
              <w:rPr>
                <w:webHidden/>
              </w:rPr>
              <w:t>9</w:t>
            </w:r>
            <w:r w:rsidR="00AB2407" w:rsidRPr="00AB2407">
              <w:rPr>
                <w:webHidden/>
              </w:rPr>
              <w:fldChar w:fldCharType="end"/>
            </w:r>
          </w:hyperlink>
        </w:p>
        <w:p w14:paraId="60482AC8" w14:textId="48E9CDA8" w:rsidR="00AB2407" w:rsidRPr="00AB2407" w:rsidRDefault="00510C91">
          <w:pPr>
            <w:pStyle w:val="TDC1"/>
            <w:rPr>
              <w:rFonts w:asciiTheme="minorHAnsi" w:eastAsiaTheme="minorEastAsia" w:hAnsiTheme="minorHAnsi"/>
              <w:noProof/>
              <w:color w:val="auto"/>
              <w:spacing w:val="0"/>
              <w:position w:val="0"/>
              <w:sz w:val="22"/>
              <w:lang w:val="es-ES" w:eastAsia="es-ES"/>
            </w:rPr>
          </w:pPr>
          <w:hyperlink w:anchor="_Toc59540157" w:history="1">
            <w:r w:rsidR="00AB2407" w:rsidRPr="00AB2407">
              <w:rPr>
                <w:rStyle w:val="Hipervnculo"/>
                <w:noProof/>
              </w:rPr>
              <w:t>III.</w:t>
            </w:r>
            <w:r w:rsidR="00AB2407" w:rsidRPr="00AB2407">
              <w:rPr>
                <w:rFonts w:asciiTheme="minorHAnsi" w:eastAsiaTheme="minorEastAsia" w:hAnsiTheme="minorHAnsi"/>
                <w:noProof/>
                <w:color w:val="auto"/>
                <w:spacing w:val="0"/>
                <w:position w:val="0"/>
                <w:sz w:val="22"/>
                <w:lang w:val="es-ES" w:eastAsia="es-ES"/>
              </w:rPr>
              <w:tab/>
            </w:r>
            <w:r w:rsidR="00AB2407" w:rsidRPr="00AB2407">
              <w:rPr>
                <w:rStyle w:val="Hipervnculo"/>
                <w:noProof/>
              </w:rPr>
              <w:t>RESULTADOS DE LA GESTI</w:t>
            </w:r>
            <w:r w:rsidR="00B354FE">
              <w:rPr>
                <w:rStyle w:val="Hipervnculo"/>
                <w:noProof/>
              </w:rPr>
              <w:t>Ó</w:t>
            </w:r>
            <w:r w:rsidR="00AB2407" w:rsidRPr="00AB2407">
              <w:rPr>
                <w:rStyle w:val="Hipervnculo"/>
                <w:noProof/>
              </w:rPr>
              <w:t>N 2020</w:t>
            </w:r>
            <w:r w:rsidR="00AB2407" w:rsidRPr="00AB2407">
              <w:rPr>
                <w:noProof/>
                <w:webHidden/>
              </w:rPr>
              <w:tab/>
            </w:r>
            <w:r w:rsidR="00AB2407" w:rsidRPr="00AB2407">
              <w:rPr>
                <w:noProof/>
                <w:webHidden/>
              </w:rPr>
              <w:fldChar w:fldCharType="begin"/>
            </w:r>
            <w:r w:rsidR="00AB2407" w:rsidRPr="00AB2407">
              <w:rPr>
                <w:noProof/>
                <w:webHidden/>
              </w:rPr>
              <w:instrText xml:space="preserve"> PAGEREF _Toc59540157 \h </w:instrText>
            </w:r>
            <w:r w:rsidR="00AB2407" w:rsidRPr="00AB2407">
              <w:rPr>
                <w:noProof/>
                <w:webHidden/>
              </w:rPr>
            </w:r>
            <w:r w:rsidR="00AB2407" w:rsidRPr="00AB2407">
              <w:rPr>
                <w:noProof/>
                <w:webHidden/>
              </w:rPr>
              <w:fldChar w:fldCharType="separate"/>
            </w:r>
            <w:r w:rsidR="00A01E46">
              <w:rPr>
                <w:noProof/>
                <w:webHidden/>
              </w:rPr>
              <w:t>11</w:t>
            </w:r>
            <w:r w:rsidR="00AB2407" w:rsidRPr="00AB2407">
              <w:rPr>
                <w:noProof/>
                <w:webHidden/>
              </w:rPr>
              <w:fldChar w:fldCharType="end"/>
            </w:r>
          </w:hyperlink>
        </w:p>
        <w:p w14:paraId="4B9E3636" w14:textId="69A298A4" w:rsidR="00AB2407" w:rsidRPr="00AB2407" w:rsidRDefault="00510C91">
          <w:pPr>
            <w:pStyle w:val="TDC2"/>
            <w:rPr>
              <w:rFonts w:asciiTheme="minorHAnsi" w:eastAsiaTheme="minorEastAsia" w:hAnsiTheme="minorHAnsi" w:cstheme="minorBidi"/>
              <w:color w:val="auto"/>
              <w:sz w:val="22"/>
              <w:szCs w:val="22"/>
              <w:lang w:val="es-ES" w:eastAsia="es-ES"/>
            </w:rPr>
          </w:pPr>
          <w:hyperlink w:anchor="_Toc59540158" w:history="1">
            <w:r w:rsidR="00AB2407" w:rsidRPr="00AB2407">
              <w:rPr>
                <w:rStyle w:val="Hipervnculo"/>
                <w:rFonts w:ascii="Gotham Medium" w:hAnsi="Gotham Medium"/>
              </w:rPr>
              <w:t>3.1</w:t>
            </w:r>
            <w:r w:rsidR="00AB2407" w:rsidRPr="00AB2407">
              <w:rPr>
                <w:rFonts w:asciiTheme="minorHAnsi" w:eastAsiaTheme="minorEastAsia" w:hAnsiTheme="minorHAnsi" w:cstheme="minorBidi"/>
                <w:color w:val="auto"/>
                <w:sz w:val="22"/>
                <w:szCs w:val="22"/>
                <w:lang w:val="es-ES" w:eastAsia="es-ES"/>
              </w:rPr>
              <w:tab/>
            </w:r>
            <w:r w:rsidR="00AB2407" w:rsidRPr="00AB2407">
              <w:rPr>
                <w:rStyle w:val="Hipervnculo"/>
                <w:rFonts w:ascii="Gotham Medium" w:hAnsi="Gotham Medium"/>
              </w:rPr>
              <w:t>GESTI</w:t>
            </w:r>
            <w:r w:rsidR="00B354FE">
              <w:rPr>
                <w:rStyle w:val="Hipervnculo"/>
                <w:rFonts w:ascii="Gotham Medium" w:hAnsi="Gotham Medium"/>
              </w:rPr>
              <w:t>Ó</w:t>
            </w:r>
            <w:r w:rsidR="00AB2407" w:rsidRPr="00AB2407">
              <w:rPr>
                <w:rStyle w:val="Hipervnculo"/>
                <w:rFonts w:ascii="Gotham Medium" w:hAnsi="Gotham Medium"/>
              </w:rPr>
              <w:t>N PATRIMONIAL</w:t>
            </w:r>
            <w:r w:rsidR="00AB2407" w:rsidRPr="00AB2407">
              <w:rPr>
                <w:webHidden/>
              </w:rPr>
              <w:tab/>
            </w:r>
            <w:r w:rsidR="00AB2407" w:rsidRPr="00AB2407">
              <w:rPr>
                <w:webHidden/>
              </w:rPr>
              <w:fldChar w:fldCharType="begin"/>
            </w:r>
            <w:r w:rsidR="00AB2407" w:rsidRPr="00AB2407">
              <w:rPr>
                <w:webHidden/>
              </w:rPr>
              <w:instrText xml:space="preserve"> PAGEREF _Toc59540158 \h </w:instrText>
            </w:r>
            <w:r w:rsidR="00AB2407" w:rsidRPr="00AB2407">
              <w:rPr>
                <w:webHidden/>
              </w:rPr>
            </w:r>
            <w:r w:rsidR="00AB2407" w:rsidRPr="00AB2407">
              <w:rPr>
                <w:webHidden/>
              </w:rPr>
              <w:fldChar w:fldCharType="separate"/>
            </w:r>
            <w:r w:rsidR="00A01E46">
              <w:rPr>
                <w:webHidden/>
              </w:rPr>
              <w:t>12</w:t>
            </w:r>
            <w:r w:rsidR="00AB2407" w:rsidRPr="00AB2407">
              <w:rPr>
                <w:webHidden/>
              </w:rPr>
              <w:fldChar w:fldCharType="end"/>
            </w:r>
          </w:hyperlink>
        </w:p>
        <w:p w14:paraId="0F92A39D" w14:textId="6CE97BD2" w:rsidR="00AB2407" w:rsidRPr="00AB2407" w:rsidRDefault="00510C91">
          <w:pPr>
            <w:pStyle w:val="TDC2"/>
            <w:rPr>
              <w:rFonts w:asciiTheme="minorHAnsi" w:eastAsiaTheme="minorEastAsia" w:hAnsiTheme="minorHAnsi" w:cstheme="minorBidi"/>
              <w:color w:val="auto"/>
              <w:sz w:val="22"/>
              <w:szCs w:val="22"/>
              <w:lang w:val="es-ES" w:eastAsia="es-ES"/>
            </w:rPr>
          </w:pPr>
          <w:hyperlink w:anchor="_Toc59540159" w:history="1">
            <w:r w:rsidR="00AB2407" w:rsidRPr="00AB2407">
              <w:rPr>
                <w:rStyle w:val="Hipervnculo"/>
                <w:rFonts w:ascii="Gotham Medium" w:hAnsi="Gotham Medium"/>
              </w:rPr>
              <w:t>3.2</w:t>
            </w:r>
            <w:r w:rsidR="00AB2407" w:rsidRPr="00AB2407">
              <w:rPr>
                <w:rFonts w:asciiTheme="minorHAnsi" w:eastAsiaTheme="minorEastAsia" w:hAnsiTheme="minorHAnsi" w:cstheme="minorBidi"/>
                <w:color w:val="auto"/>
                <w:sz w:val="22"/>
                <w:szCs w:val="22"/>
                <w:lang w:val="es-ES" w:eastAsia="es-ES"/>
              </w:rPr>
              <w:tab/>
            </w:r>
            <w:r w:rsidR="00AB2407" w:rsidRPr="00AB2407">
              <w:rPr>
                <w:rStyle w:val="Hipervnculo"/>
                <w:rFonts w:ascii="Gotham Medium" w:hAnsi="Gotham Medium"/>
              </w:rPr>
              <w:t>INVERSIÓN EN PROGRAMAS Y</w:t>
            </w:r>
            <w:r w:rsidR="00B354FE">
              <w:rPr>
                <w:rStyle w:val="Hipervnculo"/>
                <w:rFonts w:ascii="Gotham Medium" w:hAnsi="Gotham Medium"/>
              </w:rPr>
              <w:t xml:space="preserve"> PROYECTOS DE DESARROLLO SOCIAL</w:t>
            </w:r>
            <w:r w:rsidR="00AB2407" w:rsidRPr="00AB2407">
              <w:rPr>
                <w:webHidden/>
              </w:rPr>
              <w:tab/>
            </w:r>
            <w:r w:rsidR="00AB2407" w:rsidRPr="00AB2407">
              <w:rPr>
                <w:webHidden/>
              </w:rPr>
              <w:fldChar w:fldCharType="begin"/>
            </w:r>
            <w:r w:rsidR="00AB2407" w:rsidRPr="00AB2407">
              <w:rPr>
                <w:webHidden/>
              </w:rPr>
              <w:instrText xml:space="preserve"> PAGEREF _Toc59540159 \h </w:instrText>
            </w:r>
            <w:r w:rsidR="00AB2407" w:rsidRPr="00AB2407">
              <w:rPr>
                <w:webHidden/>
              </w:rPr>
            </w:r>
            <w:r w:rsidR="00AB2407" w:rsidRPr="00AB2407">
              <w:rPr>
                <w:webHidden/>
              </w:rPr>
              <w:fldChar w:fldCharType="separate"/>
            </w:r>
            <w:r w:rsidR="00A01E46">
              <w:rPr>
                <w:webHidden/>
              </w:rPr>
              <w:t>19</w:t>
            </w:r>
            <w:r w:rsidR="00AB2407" w:rsidRPr="00AB2407">
              <w:rPr>
                <w:webHidden/>
              </w:rPr>
              <w:fldChar w:fldCharType="end"/>
            </w:r>
          </w:hyperlink>
        </w:p>
        <w:p w14:paraId="079B8A64" w14:textId="387AA9A9" w:rsidR="00AB2407" w:rsidRPr="00AB2407" w:rsidRDefault="00510C91">
          <w:pPr>
            <w:pStyle w:val="TDC2"/>
            <w:rPr>
              <w:rFonts w:asciiTheme="minorHAnsi" w:eastAsiaTheme="minorEastAsia" w:hAnsiTheme="minorHAnsi" w:cstheme="minorBidi"/>
              <w:color w:val="auto"/>
              <w:sz w:val="22"/>
              <w:szCs w:val="22"/>
              <w:lang w:val="es-ES" w:eastAsia="es-ES"/>
            </w:rPr>
          </w:pPr>
          <w:hyperlink w:anchor="_Toc59540160" w:history="1">
            <w:r w:rsidR="00AB2407" w:rsidRPr="00AB2407">
              <w:rPr>
                <w:rStyle w:val="Hipervnculo"/>
                <w:rFonts w:ascii="Gotham Medium" w:hAnsi="Gotham Medium"/>
              </w:rPr>
              <w:t>3.3</w:t>
            </w:r>
            <w:r w:rsidR="00AB2407" w:rsidRPr="00AB2407">
              <w:rPr>
                <w:rFonts w:asciiTheme="minorHAnsi" w:eastAsiaTheme="minorEastAsia" w:hAnsiTheme="minorHAnsi" w:cstheme="minorBidi"/>
                <w:color w:val="auto"/>
                <w:sz w:val="22"/>
                <w:szCs w:val="22"/>
                <w:lang w:val="es-ES" w:eastAsia="es-ES"/>
              </w:rPr>
              <w:tab/>
            </w:r>
            <w:r w:rsidR="00AB2407" w:rsidRPr="00AB2407">
              <w:rPr>
                <w:rStyle w:val="Hipervnculo"/>
                <w:rFonts w:ascii="Gotham Medium" w:hAnsi="Gotham Medium"/>
              </w:rPr>
              <w:t>SISTEMA DE MONITOREO Y</w:t>
            </w:r>
            <w:r w:rsidR="00B354FE">
              <w:rPr>
                <w:rStyle w:val="Hipervnculo"/>
                <w:rFonts w:ascii="Gotham Medium" w:hAnsi="Gotham Medium"/>
              </w:rPr>
              <w:t xml:space="preserve"> MEDICIÓN DE LA GESTIÓN PÚBLICA</w:t>
            </w:r>
            <w:r w:rsidR="00AB2407" w:rsidRPr="00AB2407">
              <w:rPr>
                <w:webHidden/>
              </w:rPr>
              <w:tab/>
            </w:r>
            <w:r w:rsidR="00AB2407" w:rsidRPr="00AB2407">
              <w:rPr>
                <w:webHidden/>
              </w:rPr>
              <w:fldChar w:fldCharType="begin"/>
            </w:r>
            <w:r w:rsidR="00AB2407" w:rsidRPr="00AB2407">
              <w:rPr>
                <w:webHidden/>
              </w:rPr>
              <w:instrText xml:space="preserve"> PAGEREF _Toc59540160 \h </w:instrText>
            </w:r>
            <w:r w:rsidR="00AB2407" w:rsidRPr="00AB2407">
              <w:rPr>
                <w:webHidden/>
              </w:rPr>
            </w:r>
            <w:r w:rsidR="00AB2407" w:rsidRPr="00AB2407">
              <w:rPr>
                <w:webHidden/>
              </w:rPr>
              <w:fldChar w:fldCharType="separate"/>
            </w:r>
            <w:r w:rsidR="00A01E46">
              <w:rPr>
                <w:webHidden/>
              </w:rPr>
              <w:t>31</w:t>
            </w:r>
            <w:r w:rsidR="00AB2407" w:rsidRPr="00AB2407">
              <w:rPr>
                <w:webHidden/>
              </w:rPr>
              <w:fldChar w:fldCharType="end"/>
            </w:r>
          </w:hyperlink>
        </w:p>
        <w:p w14:paraId="7518D553" w14:textId="216AF153" w:rsidR="00AB2407" w:rsidRPr="00AB2407" w:rsidRDefault="00510C91">
          <w:pPr>
            <w:pStyle w:val="TDC2"/>
            <w:rPr>
              <w:rFonts w:asciiTheme="minorHAnsi" w:eastAsiaTheme="minorEastAsia" w:hAnsiTheme="minorHAnsi" w:cstheme="minorBidi"/>
              <w:color w:val="auto"/>
              <w:sz w:val="22"/>
              <w:szCs w:val="22"/>
              <w:lang w:val="es-ES" w:eastAsia="es-ES"/>
            </w:rPr>
          </w:pPr>
          <w:hyperlink w:anchor="_Toc59540161" w:history="1">
            <w:r w:rsidR="00AB2407" w:rsidRPr="00AB2407">
              <w:rPr>
                <w:rStyle w:val="Hipervnculo"/>
                <w:rFonts w:ascii="Gotham Medium" w:hAnsi="Gotham Medium"/>
              </w:rPr>
              <w:t>3.4</w:t>
            </w:r>
            <w:r w:rsidR="00AB2407" w:rsidRPr="00AB2407">
              <w:rPr>
                <w:rFonts w:asciiTheme="minorHAnsi" w:eastAsiaTheme="minorEastAsia" w:hAnsiTheme="minorHAnsi" w:cstheme="minorBidi"/>
                <w:color w:val="auto"/>
                <w:sz w:val="22"/>
                <w:szCs w:val="22"/>
                <w:lang w:val="es-ES" w:eastAsia="es-ES"/>
              </w:rPr>
              <w:tab/>
            </w:r>
            <w:r w:rsidR="00AB2407" w:rsidRPr="00AB2407">
              <w:rPr>
                <w:rStyle w:val="Hipervnculo"/>
                <w:rFonts w:ascii="Gotham Medium" w:hAnsi="Gotham Medium"/>
              </w:rPr>
              <w:t>CO</w:t>
            </w:r>
            <w:r w:rsidR="00B354FE">
              <w:rPr>
                <w:rStyle w:val="Hipervnculo"/>
                <w:rFonts w:ascii="Gotham Medium" w:hAnsi="Gotham Medium"/>
              </w:rPr>
              <w:t>MUNICACIÓN E IMAGEN CORPORATIVA</w:t>
            </w:r>
            <w:r w:rsidR="00AB2407" w:rsidRPr="00AB2407">
              <w:rPr>
                <w:webHidden/>
              </w:rPr>
              <w:tab/>
            </w:r>
            <w:r w:rsidR="00AB2407" w:rsidRPr="00AB2407">
              <w:rPr>
                <w:webHidden/>
              </w:rPr>
              <w:fldChar w:fldCharType="begin"/>
            </w:r>
            <w:r w:rsidR="00AB2407" w:rsidRPr="00AB2407">
              <w:rPr>
                <w:webHidden/>
              </w:rPr>
              <w:instrText xml:space="preserve"> PAGEREF _Toc59540161 \h </w:instrText>
            </w:r>
            <w:r w:rsidR="00AB2407" w:rsidRPr="00AB2407">
              <w:rPr>
                <w:webHidden/>
              </w:rPr>
            </w:r>
            <w:r w:rsidR="00AB2407" w:rsidRPr="00AB2407">
              <w:rPr>
                <w:webHidden/>
              </w:rPr>
              <w:fldChar w:fldCharType="separate"/>
            </w:r>
            <w:r w:rsidR="00A01E46">
              <w:rPr>
                <w:webHidden/>
              </w:rPr>
              <w:t>38</w:t>
            </w:r>
            <w:r w:rsidR="00AB2407" w:rsidRPr="00AB2407">
              <w:rPr>
                <w:webHidden/>
              </w:rPr>
              <w:fldChar w:fldCharType="end"/>
            </w:r>
          </w:hyperlink>
        </w:p>
        <w:p w14:paraId="54BCB76E" w14:textId="2FA1B38C" w:rsidR="00AB2407" w:rsidRPr="00AB2407" w:rsidRDefault="00510C91">
          <w:pPr>
            <w:pStyle w:val="TDC1"/>
            <w:rPr>
              <w:rFonts w:asciiTheme="minorHAnsi" w:eastAsiaTheme="minorEastAsia" w:hAnsiTheme="minorHAnsi"/>
              <w:noProof/>
              <w:color w:val="auto"/>
              <w:spacing w:val="0"/>
              <w:position w:val="0"/>
              <w:sz w:val="22"/>
              <w:lang w:val="es-ES" w:eastAsia="es-ES"/>
            </w:rPr>
          </w:pPr>
          <w:hyperlink w:anchor="_Toc59540162" w:history="1">
            <w:r w:rsidR="00AB2407" w:rsidRPr="00AB2407">
              <w:rPr>
                <w:rStyle w:val="Hipervnculo"/>
                <w:noProof/>
              </w:rPr>
              <w:t>IV.</w:t>
            </w:r>
            <w:r w:rsidR="00AB2407" w:rsidRPr="00AB2407">
              <w:rPr>
                <w:rFonts w:asciiTheme="minorHAnsi" w:eastAsiaTheme="minorEastAsia" w:hAnsiTheme="minorHAnsi"/>
                <w:noProof/>
                <w:color w:val="auto"/>
                <w:spacing w:val="0"/>
                <w:position w:val="0"/>
                <w:sz w:val="22"/>
                <w:lang w:val="es-ES" w:eastAsia="es-ES"/>
              </w:rPr>
              <w:tab/>
            </w:r>
            <w:r w:rsidR="00AB2407" w:rsidRPr="00AB2407">
              <w:rPr>
                <w:rStyle w:val="Hipervnculo"/>
                <w:noProof/>
              </w:rPr>
              <w:t>GESTI</w:t>
            </w:r>
            <w:r w:rsidR="00B354FE">
              <w:rPr>
                <w:rStyle w:val="Hipervnculo"/>
                <w:noProof/>
              </w:rPr>
              <w:t>Ó</w:t>
            </w:r>
            <w:r w:rsidR="00AB2407" w:rsidRPr="00AB2407">
              <w:rPr>
                <w:rStyle w:val="Hipervnculo"/>
                <w:noProof/>
              </w:rPr>
              <w:t>N INTERNA</w:t>
            </w:r>
            <w:r w:rsidR="00AB2407" w:rsidRPr="00AB2407">
              <w:rPr>
                <w:noProof/>
                <w:webHidden/>
              </w:rPr>
              <w:tab/>
            </w:r>
            <w:r w:rsidR="00AB2407" w:rsidRPr="00AB2407">
              <w:rPr>
                <w:noProof/>
                <w:webHidden/>
              </w:rPr>
              <w:fldChar w:fldCharType="begin"/>
            </w:r>
            <w:r w:rsidR="00AB2407" w:rsidRPr="00AB2407">
              <w:rPr>
                <w:noProof/>
                <w:webHidden/>
              </w:rPr>
              <w:instrText xml:space="preserve"> PAGEREF _Toc59540162 \h </w:instrText>
            </w:r>
            <w:r w:rsidR="00AB2407" w:rsidRPr="00AB2407">
              <w:rPr>
                <w:noProof/>
                <w:webHidden/>
              </w:rPr>
            </w:r>
            <w:r w:rsidR="00AB2407" w:rsidRPr="00AB2407">
              <w:rPr>
                <w:noProof/>
                <w:webHidden/>
              </w:rPr>
              <w:fldChar w:fldCharType="separate"/>
            </w:r>
            <w:r w:rsidR="00A01E46">
              <w:rPr>
                <w:noProof/>
                <w:webHidden/>
              </w:rPr>
              <w:t>39</w:t>
            </w:r>
            <w:r w:rsidR="00AB2407" w:rsidRPr="00AB2407">
              <w:rPr>
                <w:noProof/>
                <w:webHidden/>
              </w:rPr>
              <w:fldChar w:fldCharType="end"/>
            </w:r>
          </w:hyperlink>
        </w:p>
        <w:p w14:paraId="66D5CE8D" w14:textId="4F28DDA8" w:rsidR="00AB2407" w:rsidRPr="00AB2407" w:rsidRDefault="00510C91">
          <w:pPr>
            <w:pStyle w:val="TDC2"/>
            <w:rPr>
              <w:rFonts w:asciiTheme="minorHAnsi" w:eastAsiaTheme="minorEastAsia" w:hAnsiTheme="minorHAnsi" w:cstheme="minorBidi"/>
              <w:color w:val="auto"/>
              <w:sz w:val="22"/>
              <w:szCs w:val="22"/>
              <w:lang w:val="es-ES" w:eastAsia="es-ES"/>
            </w:rPr>
          </w:pPr>
          <w:hyperlink w:anchor="_Toc59540163" w:history="1">
            <w:r w:rsidR="00AB2407" w:rsidRPr="00AB2407">
              <w:rPr>
                <w:rStyle w:val="Hipervnculo"/>
                <w:rFonts w:ascii="Gotham Medium" w:hAnsi="Gotham Medium"/>
              </w:rPr>
              <w:t>4.1</w:t>
            </w:r>
            <w:r w:rsidR="00AB2407" w:rsidRPr="00AB2407">
              <w:rPr>
                <w:rFonts w:asciiTheme="minorHAnsi" w:eastAsiaTheme="minorEastAsia" w:hAnsiTheme="minorHAnsi" w:cstheme="minorBidi"/>
                <w:color w:val="auto"/>
                <w:sz w:val="22"/>
                <w:szCs w:val="22"/>
                <w:lang w:val="es-ES" w:eastAsia="es-ES"/>
              </w:rPr>
              <w:tab/>
            </w:r>
            <w:r w:rsidR="00B354FE">
              <w:rPr>
                <w:rStyle w:val="Hipervnculo"/>
                <w:rFonts w:ascii="Gotham Medium" w:hAnsi="Gotham Medium"/>
              </w:rPr>
              <w:t>DESEMPEÑO FINANCIERO</w:t>
            </w:r>
            <w:r w:rsidR="00AB2407" w:rsidRPr="00AB2407">
              <w:rPr>
                <w:webHidden/>
              </w:rPr>
              <w:tab/>
            </w:r>
            <w:r w:rsidR="00AB2407" w:rsidRPr="00AB2407">
              <w:rPr>
                <w:webHidden/>
              </w:rPr>
              <w:fldChar w:fldCharType="begin"/>
            </w:r>
            <w:r w:rsidR="00AB2407" w:rsidRPr="00AB2407">
              <w:rPr>
                <w:webHidden/>
              </w:rPr>
              <w:instrText xml:space="preserve"> PAGEREF _Toc59540163 \h </w:instrText>
            </w:r>
            <w:r w:rsidR="00AB2407" w:rsidRPr="00AB2407">
              <w:rPr>
                <w:webHidden/>
              </w:rPr>
            </w:r>
            <w:r w:rsidR="00AB2407" w:rsidRPr="00AB2407">
              <w:rPr>
                <w:webHidden/>
              </w:rPr>
              <w:fldChar w:fldCharType="separate"/>
            </w:r>
            <w:r w:rsidR="00A01E46">
              <w:rPr>
                <w:webHidden/>
              </w:rPr>
              <w:t>39</w:t>
            </w:r>
            <w:r w:rsidR="00AB2407" w:rsidRPr="00AB2407">
              <w:rPr>
                <w:webHidden/>
              </w:rPr>
              <w:fldChar w:fldCharType="end"/>
            </w:r>
          </w:hyperlink>
        </w:p>
        <w:p w14:paraId="3361DE06" w14:textId="539F3E7B" w:rsidR="00AB2407" w:rsidRPr="00AB2407" w:rsidRDefault="00510C91">
          <w:pPr>
            <w:pStyle w:val="TDC2"/>
            <w:rPr>
              <w:rFonts w:asciiTheme="minorHAnsi" w:eastAsiaTheme="minorEastAsia" w:hAnsiTheme="minorHAnsi" w:cstheme="minorBidi"/>
              <w:color w:val="auto"/>
              <w:sz w:val="22"/>
              <w:szCs w:val="22"/>
              <w:lang w:val="es-ES" w:eastAsia="es-ES"/>
            </w:rPr>
          </w:pPr>
          <w:hyperlink w:anchor="_Toc59540164" w:history="1">
            <w:r w:rsidR="00AB2407" w:rsidRPr="00AB2407">
              <w:rPr>
                <w:rStyle w:val="Hipervnculo"/>
                <w:rFonts w:ascii="Gotham Medium" w:hAnsi="Gotham Medium"/>
              </w:rPr>
              <w:t>4.2</w:t>
            </w:r>
            <w:r w:rsidR="00AB2407" w:rsidRPr="00AB2407">
              <w:rPr>
                <w:rFonts w:asciiTheme="minorHAnsi" w:eastAsiaTheme="minorEastAsia" w:hAnsiTheme="minorHAnsi" w:cstheme="minorBidi"/>
                <w:color w:val="auto"/>
                <w:sz w:val="22"/>
                <w:szCs w:val="22"/>
                <w:lang w:val="es-ES" w:eastAsia="es-ES"/>
              </w:rPr>
              <w:tab/>
            </w:r>
            <w:r w:rsidR="00B354FE">
              <w:rPr>
                <w:rStyle w:val="Hipervnculo"/>
                <w:rFonts w:ascii="Gotham Medium" w:hAnsi="Gotham Medium"/>
              </w:rPr>
              <w:t>CONTRATACIONES Y ADQUISICIONES</w:t>
            </w:r>
            <w:r w:rsidR="00AB2407" w:rsidRPr="00AB2407">
              <w:rPr>
                <w:webHidden/>
              </w:rPr>
              <w:tab/>
            </w:r>
            <w:r w:rsidR="00AB2407" w:rsidRPr="00AB2407">
              <w:rPr>
                <w:webHidden/>
              </w:rPr>
              <w:fldChar w:fldCharType="begin"/>
            </w:r>
            <w:r w:rsidR="00AB2407" w:rsidRPr="00AB2407">
              <w:rPr>
                <w:webHidden/>
              </w:rPr>
              <w:instrText xml:space="preserve"> PAGEREF _Toc59540164 \h </w:instrText>
            </w:r>
            <w:r w:rsidR="00AB2407" w:rsidRPr="00AB2407">
              <w:rPr>
                <w:webHidden/>
              </w:rPr>
            </w:r>
            <w:r w:rsidR="00AB2407" w:rsidRPr="00AB2407">
              <w:rPr>
                <w:webHidden/>
              </w:rPr>
              <w:fldChar w:fldCharType="separate"/>
            </w:r>
            <w:r w:rsidR="00A01E46">
              <w:rPr>
                <w:webHidden/>
              </w:rPr>
              <w:t>47</w:t>
            </w:r>
            <w:r w:rsidR="00AB2407" w:rsidRPr="00AB2407">
              <w:rPr>
                <w:webHidden/>
              </w:rPr>
              <w:fldChar w:fldCharType="end"/>
            </w:r>
          </w:hyperlink>
        </w:p>
        <w:p w14:paraId="4C8F6E1C" w14:textId="19068DCC" w:rsidR="00AB2407" w:rsidRPr="00AB2407" w:rsidRDefault="00510C91">
          <w:pPr>
            <w:pStyle w:val="TDC1"/>
            <w:rPr>
              <w:rFonts w:asciiTheme="minorHAnsi" w:eastAsiaTheme="minorEastAsia" w:hAnsiTheme="minorHAnsi"/>
              <w:noProof/>
              <w:color w:val="auto"/>
              <w:spacing w:val="0"/>
              <w:position w:val="0"/>
              <w:sz w:val="22"/>
              <w:lang w:val="es-ES" w:eastAsia="es-ES"/>
            </w:rPr>
          </w:pPr>
          <w:hyperlink w:anchor="_Toc59540165" w:history="1">
            <w:r w:rsidR="00AB2407" w:rsidRPr="00AB2407">
              <w:rPr>
                <w:rStyle w:val="Hipervnculo"/>
                <w:noProof/>
              </w:rPr>
              <w:t>ANEXOS</w:t>
            </w:r>
            <w:r w:rsidR="00AB2407" w:rsidRPr="00AB2407">
              <w:rPr>
                <w:noProof/>
                <w:webHidden/>
              </w:rPr>
              <w:tab/>
            </w:r>
            <w:r w:rsidR="002250FE">
              <w:rPr>
                <w:noProof/>
                <w:webHidden/>
              </w:rPr>
              <w:tab/>
            </w:r>
            <w:r w:rsidR="00AB2407" w:rsidRPr="00AB2407">
              <w:rPr>
                <w:noProof/>
                <w:webHidden/>
              </w:rPr>
              <w:fldChar w:fldCharType="begin"/>
            </w:r>
            <w:r w:rsidR="00AB2407" w:rsidRPr="00AB2407">
              <w:rPr>
                <w:noProof/>
                <w:webHidden/>
              </w:rPr>
              <w:instrText xml:space="preserve"> PAGEREF _Toc59540165 \h </w:instrText>
            </w:r>
            <w:r w:rsidR="00AB2407" w:rsidRPr="00AB2407">
              <w:rPr>
                <w:noProof/>
                <w:webHidden/>
              </w:rPr>
            </w:r>
            <w:r w:rsidR="00AB2407" w:rsidRPr="00AB2407">
              <w:rPr>
                <w:noProof/>
                <w:webHidden/>
              </w:rPr>
              <w:fldChar w:fldCharType="separate"/>
            </w:r>
            <w:r w:rsidR="00A01E46">
              <w:rPr>
                <w:noProof/>
                <w:webHidden/>
              </w:rPr>
              <w:t>49</w:t>
            </w:r>
            <w:r w:rsidR="00AB2407" w:rsidRPr="00AB2407">
              <w:rPr>
                <w:noProof/>
                <w:webHidden/>
              </w:rPr>
              <w:fldChar w:fldCharType="end"/>
            </w:r>
          </w:hyperlink>
        </w:p>
        <w:p w14:paraId="583647ED" w14:textId="12A22349" w:rsidR="00543B73" w:rsidRPr="009944C2" w:rsidRDefault="00543B73" w:rsidP="00C231F6">
          <w:pPr>
            <w:rPr>
              <w:color w:val="1F4E79"/>
            </w:rPr>
          </w:pPr>
          <w:r w:rsidRPr="00AB2407">
            <w:rPr>
              <w:color w:val="1F4E79"/>
              <w:spacing w:val="10"/>
              <w:position w:val="4"/>
              <w:szCs w:val="18"/>
            </w:rPr>
            <w:fldChar w:fldCharType="end"/>
          </w:r>
        </w:p>
      </w:sdtContent>
    </w:sdt>
    <w:p w14:paraId="35722F88" w14:textId="5BFDF6DC" w:rsidR="005F40CF" w:rsidRPr="009944C2" w:rsidRDefault="005F40CF" w:rsidP="002863CB">
      <w:pPr>
        <w:spacing w:line="480" w:lineRule="auto"/>
        <w:jc w:val="left"/>
        <w:rPr>
          <w:color w:val="1F4E79"/>
        </w:rPr>
      </w:pPr>
      <w:r w:rsidRPr="009944C2">
        <w:rPr>
          <w:color w:val="1F4E79"/>
        </w:rPr>
        <w:br w:type="page"/>
      </w:r>
    </w:p>
    <w:bookmarkStart w:id="2" w:name="_Toc59540152"/>
    <w:bookmarkStart w:id="3" w:name="_Hlk58570858"/>
    <w:bookmarkEnd w:id="0"/>
    <w:p w14:paraId="0BFD7610" w14:textId="31A17B9D" w:rsidR="002D2E41" w:rsidRDefault="00E35748" w:rsidP="00301230">
      <w:pPr>
        <w:pStyle w:val="Ttulo1"/>
        <w:numPr>
          <w:ilvl w:val="0"/>
          <w:numId w:val="1"/>
        </w:numPr>
        <w:spacing w:line="480" w:lineRule="auto"/>
        <w:ind w:left="283"/>
        <w:rPr>
          <w:color w:val="1F4E79"/>
          <w:sz w:val="28"/>
          <w:szCs w:val="36"/>
        </w:rPr>
      </w:pPr>
      <w:r w:rsidRPr="009944C2">
        <w:rPr>
          <w:rFonts w:ascii="Artifex CF" w:hAnsi="Artifex CF"/>
          <w:noProof/>
          <w:color w:val="1F4E79"/>
          <w:spacing w:val="8"/>
          <w:sz w:val="28"/>
          <w:szCs w:val="28"/>
          <w:lang w:val="es-ES" w:eastAsia="es-ES"/>
        </w:rPr>
        <mc:AlternateContent>
          <mc:Choice Requires="wps">
            <w:drawing>
              <wp:anchor distT="0" distB="0" distL="114300" distR="114300" simplePos="0" relativeHeight="251667456" behindDoc="0" locked="0" layoutInCell="1" allowOverlap="1" wp14:anchorId="5F494B8A" wp14:editId="48F47A48">
                <wp:simplePos x="0" y="0"/>
                <wp:positionH relativeFrom="column">
                  <wp:posOffset>2094931</wp:posOffset>
                </wp:positionH>
                <wp:positionV relativeFrom="paragraph">
                  <wp:posOffset>339772</wp:posOffset>
                </wp:positionV>
                <wp:extent cx="723332" cy="0"/>
                <wp:effectExtent l="0" t="19050" r="19685" b="19050"/>
                <wp:wrapNone/>
                <wp:docPr id="10" name="Conector recto 10"/>
                <wp:cNvGraphicFramePr/>
                <a:graphic xmlns:a="http://schemas.openxmlformats.org/drawingml/2006/main">
                  <a:graphicData uri="http://schemas.microsoft.com/office/word/2010/wordprocessingShape">
                    <wps:wsp>
                      <wps:cNvCnPr/>
                      <wps:spPr>
                        <a:xfrm>
                          <a:off x="0" y="0"/>
                          <a:ext cx="723332" cy="0"/>
                        </a:xfrm>
                        <a:prstGeom prst="line">
                          <a:avLst/>
                        </a:prstGeom>
                        <a:ln w="31750">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0D895E" id="Conector recto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95pt,26.75pt" to="221.9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" strokecolor="red" strokeweight="2.5pt">
                <v:stroke joinstyle="miter"/>
              </v:line>
            </w:pict>
          </mc:Fallback>
        </mc:AlternateContent>
      </w:r>
      <w:r w:rsidR="00543B73" w:rsidRPr="009944C2">
        <w:rPr>
          <w:color w:val="1F4E79"/>
          <w:sz w:val="28"/>
          <w:szCs w:val="36"/>
        </w:rPr>
        <w:t>RESUMEN EJECUTIVO</w:t>
      </w:r>
      <w:bookmarkEnd w:id="2"/>
    </w:p>
    <w:p w14:paraId="273BCFE5" w14:textId="41CC83CF" w:rsidR="00BA200F" w:rsidRDefault="00A1441F" w:rsidP="002149C8">
      <w:pPr>
        <w:ind w:hanging="284"/>
        <w:jc w:val="center"/>
        <w:rPr>
          <w:rFonts w:ascii="Gotham Medium" w:hAnsi="Gotham Medium"/>
          <w:b/>
          <w:spacing w:val="40"/>
          <w:sz w:val="16"/>
          <w:szCs w:val="16"/>
        </w:rPr>
      </w:pPr>
      <w:r w:rsidRPr="00A1441F">
        <w:rPr>
          <w:rFonts w:ascii="Gotham Medium" w:hAnsi="Gotham Medium"/>
          <w:b/>
          <w:spacing w:val="40"/>
          <w:sz w:val="16"/>
          <w:szCs w:val="16"/>
        </w:rPr>
        <w:t>MEMORIAS 2020</w:t>
      </w:r>
    </w:p>
    <w:p w14:paraId="5DE961E2" w14:textId="77777777" w:rsidR="002A772B" w:rsidRPr="00A1441F" w:rsidRDefault="002A772B" w:rsidP="00C439DA">
      <w:pPr>
        <w:ind w:left="1003" w:hanging="357"/>
        <w:jc w:val="center"/>
        <w:rPr>
          <w:b/>
          <w:color w:val="1F4E79"/>
          <w:spacing w:val="40"/>
          <w:szCs w:val="18"/>
          <w:lang w:eastAsia="es-DO"/>
        </w:rPr>
      </w:pPr>
    </w:p>
    <w:p w14:paraId="16FFBA9C" w14:textId="78CA763C" w:rsidR="00BA200F" w:rsidRPr="009944C2" w:rsidRDefault="00BA200F" w:rsidP="002149C8">
      <w:pPr>
        <w:ind w:left="0" w:firstLine="646"/>
        <w:rPr>
          <w:color w:val="1F4E79"/>
          <w:szCs w:val="18"/>
          <w:lang w:eastAsia="es-DO"/>
        </w:rPr>
      </w:pPr>
      <w:r w:rsidRPr="009944C2">
        <w:rPr>
          <w:color w:val="1F4E79"/>
          <w:szCs w:val="18"/>
          <w:lang w:eastAsia="es-DO"/>
        </w:rPr>
        <w:t>El Fondo Patrimonial de las Empresas Reformadas (</w:t>
      </w:r>
      <w:r w:rsidR="00207340">
        <w:rPr>
          <w:color w:val="1F4E79"/>
          <w:szCs w:val="18"/>
          <w:lang w:eastAsia="es-DO"/>
        </w:rPr>
        <w:t>FONPER</w:t>
      </w:r>
      <w:r w:rsidRPr="009944C2">
        <w:rPr>
          <w:color w:val="1F4E79"/>
          <w:szCs w:val="18"/>
          <w:lang w:eastAsia="es-DO"/>
        </w:rPr>
        <w:t>) es una institución estatal descentralizada, creada mediante la Ley No. 124-01, de fecha 24 de julio del año 2001, cuya función principal es salvaguardar los intereses del Estado en las empresas reformadas bajo las modalidades de reforma establecidas en la Ley General de Reforma de la Empresa Pública, No. 141-97 del 24 de junio de 1997, a fin de invertir sus beneficios en proyectos sociales que promuevan el desarrollo sostenible y mejoren los niveles de vida de las comunidades más necesitadas del país.</w:t>
      </w:r>
    </w:p>
    <w:p w14:paraId="6BA6A89E" w14:textId="77777777" w:rsidR="00BA200F" w:rsidRPr="002149C8" w:rsidRDefault="00BA200F" w:rsidP="002149C8">
      <w:pPr>
        <w:ind w:left="1003" w:hanging="357"/>
        <w:jc w:val="center"/>
        <w:rPr>
          <w:b/>
          <w:color w:val="1F4E79"/>
          <w:spacing w:val="40"/>
          <w:szCs w:val="18"/>
          <w:lang w:eastAsia="es-DO"/>
        </w:rPr>
      </w:pPr>
    </w:p>
    <w:p w14:paraId="6B2F6A78" w14:textId="112BAE3B" w:rsidR="003623C9" w:rsidRDefault="00BA200F" w:rsidP="002149C8">
      <w:pPr>
        <w:ind w:left="0" w:firstLine="646"/>
        <w:rPr>
          <w:color w:val="1F4E79"/>
          <w:szCs w:val="18"/>
          <w:lang w:eastAsia="es-DO"/>
        </w:rPr>
      </w:pPr>
      <w:r w:rsidRPr="009944C2">
        <w:rPr>
          <w:color w:val="1F4E79"/>
          <w:szCs w:val="18"/>
          <w:lang w:eastAsia="es-DO"/>
        </w:rPr>
        <w:t xml:space="preserve">Dirigido a cumplir su misión, bajo el prisma de los planteamientos de la Estrategia Nacional de Desarrollo y alineado con las </w:t>
      </w:r>
      <w:r w:rsidR="00007AFC">
        <w:rPr>
          <w:color w:val="1F4E79"/>
          <w:szCs w:val="18"/>
          <w:lang w:eastAsia="es-DO"/>
        </w:rPr>
        <w:t xml:space="preserve">innovadoras </w:t>
      </w:r>
      <w:r w:rsidRPr="009944C2">
        <w:rPr>
          <w:color w:val="1F4E79"/>
          <w:szCs w:val="18"/>
          <w:lang w:eastAsia="es-DO"/>
        </w:rPr>
        <w:t>políticas gubernamentales</w:t>
      </w:r>
      <w:r w:rsidR="00007AFC">
        <w:rPr>
          <w:color w:val="1F4E79"/>
          <w:szCs w:val="18"/>
          <w:lang w:eastAsia="es-DO"/>
        </w:rPr>
        <w:t xml:space="preserve"> de la nueva administración</w:t>
      </w:r>
      <w:r w:rsidRPr="009944C2">
        <w:rPr>
          <w:color w:val="1F4E79"/>
          <w:szCs w:val="18"/>
          <w:lang w:eastAsia="es-DO"/>
        </w:rPr>
        <w:t xml:space="preserve">, el </w:t>
      </w:r>
      <w:r w:rsidR="00207340">
        <w:rPr>
          <w:color w:val="1F4E79"/>
          <w:szCs w:val="18"/>
          <w:lang w:eastAsia="es-DO"/>
        </w:rPr>
        <w:t>FONPER</w:t>
      </w:r>
      <w:r w:rsidRPr="009944C2">
        <w:rPr>
          <w:color w:val="1F4E79"/>
          <w:szCs w:val="18"/>
          <w:lang w:eastAsia="es-DO"/>
        </w:rPr>
        <w:t xml:space="preserve"> </w:t>
      </w:r>
      <w:r w:rsidR="00007AFC">
        <w:rPr>
          <w:color w:val="1F4E79"/>
          <w:szCs w:val="18"/>
          <w:lang w:eastAsia="es-DO"/>
        </w:rPr>
        <w:t>ha redefinido</w:t>
      </w:r>
      <w:r w:rsidR="00007AFC" w:rsidRPr="009944C2">
        <w:rPr>
          <w:color w:val="1F4E79"/>
          <w:szCs w:val="18"/>
          <w:lang w:eastAsia="es-DO"/>
        </w:rPr>
        <w:t xml:space="preserve"> </w:t>
      </w:r>
      <w:r w:rsidRPr="009944C2">
        <w:rPr>
          <w:color w:val="1F4E79"/>
          <w:szCs w:val="18"/>
          <w:lang w:eastAsia="es-DO"/>
        </w:rPr>
        <w:t xml:space="preserve">sus metas estratégicas e indicadores de gestión </w:t>
      </w:r>
      <w:r w:rsidR="00007AFC">
        <w:rPr>
          <w:color w:val="1F4E79"/>
          <w:szCs w:val="18"/>
          <w:lang w:eastAsia="es-DO"/>
        </w:rPr>
        <w:t xml:space="preserve">en dos </w:t>
      </w:r>
      <w:r w:rsidRPr="009944C2">
        <w:rPr>
          <w:color w:val="1F4E79"/>
          <w:szCs w:val="18"/>
          <w:lang w:eastAsia="es-DO"/>
        </w:rPr>
        <w:t xml:space="preserve">grandes Objetivos Institucionales: </w:t>
      </w:r>
    </w:p>
    <w:p w14:paraId="4C05C57B" w14:textId="77777777" w:rsidR="003623C9" w:rsidRDefault="00BA200F" w:rsidP="002149C8">
      <w:pPr>
        <w:ind w:left="0" w:firstLine="646"/>
        <w:rPr>
          <w:color w:val="1F4E79"/>
          <w:szCs w:val="18"/>
          <w:lang w:eastAsia="es-DO"/>
        </w:rPr>
      </w:pPr>
      <w:r w:rsidRPr="009944C2">
        <w:rPr>
          <w:color w:val="1F4E79"/>
          <w:szCs w:val="18"/>
          <w:lang w:eastAsia="es-DO"/>
        </w:rPr>
        <w:t>1. Asegurar la preservación, rentabilidad y sostenibilidad del patrimonio del Estado Dominicano en las empresas capitalizadas;</w:t>
      </w:r>
    </w:p>
    <w:p w14:paraId="739FAD35" w14:textId="32DB89D3" w:rsidR="00BA200F" w:rsidRDefault="00BA200F" w:rsidP="002149C8">
      <w:pPr>
        <w:ind w:left="0" w:firstLine="646"/>
        <w:rPr>
          <w:color w:val="1F4E79"/>
          <w:szCs w:val="18"/>
          <w:lang w:eastAsia="es-DO"/>
        </w:rPr>
      </w:pPr>
      <w:r w:rsidRPr="009944C2">
        <w:rPr>
          <w:color w:val="1F4E79"/>
          <w:szCs w:val="18"/>
          <w:lang w:eastAsia="es-DO"/>
        </w:rPr>
        <w:t xml:space="preserve"> 2. Asegurar la efectividad institucional mediante la implementación de estrategias organizativas con altos estándares de calidad, que contribuyan al logro de la misión, visión y objetivos del </w:t>
      </w:r>
      <w:r w:rsidR="00207340">
        <w:rPr>
          <w:color w:val="1F4E79"/>
          <w:szCs w:val="18"/>
          <w:lang w:eastAsia="es-DO"/>
        </w:rPr>
        <w:t>FONPER</w:t>
      </w:r>
      <w:r w:rsidRPr="009944C2">
        <w:rPr>
          <w:color w:val="1F4E79"/>
          <w:szCs w:val="18"/>
          <w:lang w:eastAsia="es-DO"/>
        </w:rPr>
        <w:t>.</w:t>
      </w:r>
    </w:p>
    <w:p w14:paraId="1F5298B9" w14:textId="77777777" w:rsidR="006E35DF" w:rsidRDefault="006E35DF" w:rsidP="002149C8">
      <w:pPr>
        <w:ind w:left="0" w:firstLine="646"/>
        <w:rPr>
          <w:color w:val="1F4E79"/>
          <w:szCs w:val="18"/>
          <w:lang w:eastAsia="es-DO"/>
        </w:rPr>
      </w:pPr>
    </w:p>
    <w:p w14:paraId="12698270" w14:textId="036B3B23" w:rsidR="00BE0A06" w:rsidRDefault="00BE0A06" w:rsidP="002149C8">
      <w:pPr>
        <w:ind w:left="0" w:firstLine="646"/>
        <w:rPr>
          <w:color w:val="1F4E79"/>
          <w:szCs w:val="18"/>
          <w:lang w:eastAsia="es-DO"/>
        </w:rPr>
      </w:pPr>
      <w:r>
        <w:rPr>
          <w:color w:val="1F4E79"/>
          <w:szCs w:val="18"/>
          <w:lang w:eastAsia="es-DO"/>
        </w:rPr>
        <w:t xml:space="preserve">En ese orden, a partir </w:t>
      </w:r>
      <w:r w:rsidR="00BD05F2">
        <w:rPr>
          <w:color w:val="1F4E79"/>
          <w:szCs w:val="18"/>
          <w:lang w:eastAsia="es-DO"/>
        </w:rPr>
        <w:t>de la llegada del nuevo gobierno</w:t>
      </w:r>
      <w:r w:rsidR="006E35DF">
        <w:rPr>
          <w:color w:val="1F4E79"/>
          <w:szCs w:val="18"/>
          <w:lang w:eastAsia="es-DO"/>
        </w:rPr>
        <w:t>,</w:t>
      </w:r>
      <w:r w:rsidR="00BD05F2">
        <w:rPr>
          <w:color w:val="1F4E79"/>
          <w:szCs w:val="18"/>
          <w:lang w:eastAsia="es-DO"/>
        </w:rPr>
        <w:t xml:space="preserve"> se inició</w:t>
      </w:r>
      <w:r>
        <w:rPr>
          <w:color w:val="1F4E79"/>
          <w:szCs w:val="18"/>
          <w:lang w:eastAsia="es-DO"/>
        </w:rPr>
        <w:t xml:space="preserve"> un proceso de efici</w:t>
      </w:r>
      <w:r w:rsidR="00DC6BB9">
        <w:rPr>
          <w:color w:val="1F4E79"/>
          <w:szCs w:val="18"/>
          <w:lang w:eastAsia="es-DO"/>
        </w:rPr>
        <w:t>e</w:t>
      </w:r>
      <w:r>
        <w:rPr>
          <w:color w:val="1F4E79"/>
          <w:szCs w:val="18"/>
          <w:lang w:eastAsia="es-DO"/>
        </w:rPr>
        <w:t xml:space="preserve">ntización del gasto que </w:t>
      </w:r>
      <w:r w:rsidR="00DC6BB9">
        <w:rPr>
          <w:color w:val="1F4E79"/>
          <w:szCs w:val="18"/>
          <w:lang w:eastAsia="es-DO"/>
        </w:rPr>
        <w:t>generó</w:t>
      </w:r>
      <w:r>
        <w:rPr>
          <w:color w:val="1F4E79"/>
          <w:szCs w:val="18"/>
          <w:lang w:eastAsia="es-DO"/>
        </w:rPr>
        <w:t xml:space="preserve"> un sustancial ahorro </w:t>
      </w:r>
      <w:r w:rsidR="00C87635">
        <w:rPr>
          <w:color w:val="1F4E79"/>
          <w:szCs w:val="18"/>
          <w:lang w:eastAsia="es-DO"/>
        </w:rPr>
        <w:t xml:space="preserve">de RD$ </w:t>
      </w:r>
      <w:r w:rsidR="008061C0">
        <w:rPr>
          <w:color w:val="1F4E79"/>
          <w:szCs w:val="18"/>
          <w:lang w:eastAsia="es-DO"/>
        </w:rPr>
        <w:t>16</w:t>
      </w:r>
      <w:r w:rsidR="00C87635">
        <w:rPr>
          <w:color w:val="1F4E79"/>
          <w:szCs w:val="18"/>
          <w:lang w:eastAsia="es-DO"/>
        </w:rPr>
        <w:t xml:space="preserve"> millones </w:t>
      </w:r>
      <w:r>
        <w:rPr>
          <w:color w:val="1F4E79"/>
          <w:szCs w:val="18"/>
          <w:lang w:eastAsia="es-DO"/>
        </w:rPr>
        <w:t>en la nómina</w:t>
      </w:r>
      <w:r w:rsidR="00DC6BB9">
        <w:rPr>
          <w:color w:val="1F4E79"/>
          <w:szCs w:val="18"/>
          <w:lang w:eastAsia="es-DO"/>
        </w:rPr>
        <w:t xml:space="preserve"> de la institución</w:t>
      </w:r>
      <w:r w:rsidR="00C87635">
        <w:rPr>
          <w:color w:val="1F4E79"/>
          <w:szCs w:val="18"/>
          <w:lang w:eastAsia="es-DO"/>
        </w:rPr>
        <w:t xml:space="preserve">, disminuyendo de RD$ 25 millones a RD$ </w:t>
      </w:r>
      <w:r w:rsidR="008061C0">
        <w:rPr>
          <w:color w:val="1F4E79"/>
          <w:szCs w:val="18"/>
          <w:lang w:eastAsia="es-DO"/>
        </w:rPr>
        <w:t>9</w:t>
      </w:r>
      <w:r w:rsidR="00C87635">
        <w:rPr>
          <w:color w:val="1F4E79"/>
          <w:szCs w:val="18"/>
          <w:lang w:eastAsia="es-DO"/>
        </w:rPr>
        <w:t xml:space="preserve"> millones.</w:t>
      </w:r>
    </w:p>
    <w:p w14:paraId="095814F3" w14:textId="4B75D525" w:rsidR="00932443" w:rsidRDefault="00DC6BB9" w:rsidP="002149C8">
      <w:pPr>
        <w:ind w:left="0" w:firstLine="646"/>
        <w:rPr>
          <w:color w:val="1F4E79"/>
          <w:szCs w:val="18"/>
          <w:lang w:eastAsia="es-DO"/>
        </w:rPr>
      </w:pPr>
      <w:r>
        <w:rPr>
          <w:color w:val="1F4E79"/>
          <w:szCs w:val="18"/>
          <w:lang w:eastAsia="es-DO"/>
        </w:rPr>
        <w:t xml:space="preserve">La implementación de la visión estratégica de las nuevas autoridades gubernamentales permitió a </w:t>
      </w:r>
      <w:r w:rsidR="00207340">
        <w:rPr>
          <w:color w:val="1F4E79"/>
          <w:szCs w:val="18"/>
          <w:lang w:eastAsia="es-DO"/>
        </w:rPr>
        <w:t>FONPER</w:t>
      </w:r>
      <w:r>
        <w:rPr>
          <w:color w:val="1F4E79"/>
          <w:szCs w:val="18"/>
          <w:lang w:eastAsia="es-DO"/>
        </w:rPr>
        <w:t xml:space="preserve"> dar continuidad a los proyectos de construcción de viviendas que se encontraron en ejecución, </w:t>
      </w:r>
      <w:r w:rsidR="00BD05F2">
        <w:rPr>
          <w:color w:val="1F4E79"/>
          <w:szCs w:val="18"/>
          <w:lang w:eastAsia="es-DO"/>
        </w:rPr>
        <w:t xml:space="preserve">al tiempo que se llevaba a efecto el traspaso de la administración de los mismos a la Comisión Presidencial de Desarrollo Provincial, dotándola de los recursos necesarios </w:t>
      </w:r>
      <w:r w:rsidR="00691FE4">
        <w:rPr>
          <w:color w:val="1F4E79"/>
          <w:szCs w:val="18"/>
          <w:lang w:eastAsia="es-DO"/>
        </w:rPr>
        <w:t>que le permitirán a ésta lograr</w:t>
      </w:r>
      <w:r w:rsidR="00BD05F2">
        <w:rPr>
          <w:color w:val="1F4E79"/>
          <w:szCs w:val="18"/>
          <w:lang w:eastAsia="es-DO"/>
        </w:rPr>
        <w:t xml:space="preserve"> su correcta ejecución y finalización.</w:t>
      </w:r>
    </w:p>
    <w:p w14:paraId="60EA4B3C" w14:textId="77777777" w:rsidR="00510C91" w:rsidRDefault="00510C91" w:rsidP="002149C8">
      <w:pPr>
        <w:ind w:left="0" w:firstLine="646"/>
        <w:rPr>
          <w:color w:val="1F4E79"/>
          <w:szCs w:val="18"/>
          <w:lang w:eastAsia="es-DO"/>
        </w:rPr>
      </w:pPr>
    </w:p>
    <w:p w14:paraId="26BA3AC3" w14:textId="57720855" w:rsidR="00DC6BB9" w:rsidRDefault="00932443" w:rsidP="002149C8">
      <w:pPr>
        <w:ind w:left="0" w:firstLine="646"/>
        <w:rPr>
          <w:color w:val="1F4E79"/>
          <w:szCs w:val="18"/>
          <w:lang w:eastAsia="es-DO"/>
        </w:rPr>
      </w:pPr>
      <w:r>
        <w:rPr>
          <w:color w:val="1F4E79"/>
          <w:szCs w:val="18"/>
          <w:lang w:eastAsia="es-DO"/>
        </w:rPr>
        <w:t>En otra medida alineada con la nueva estrategia</w:t>
      </w:r>
      <w:r w:rsidR="00510C91">
        <w:rPr>
          <w:color w:val="1F4E79"/>
          <w:szCs w:val="18"/>
          <w:lang w:eastAsia="es-DO"/>
        </w:rPr>
        <w:t>,</w:t>
      </w:r>
      <w:r w:rsidR="00BD05F2">
        <w:rPr>
          <w:color w:val="1F4E79"/>
          <w:szCs w:val="18"/>
          <w:lang w:eastAsia="es-DO"/>
        </w:rPr>
        <w:t xml:space="preserve"> el </w:t>
      </w:r>
      <w:r w:rsidR="00691FE4">
        <w:rPr>
          <w:color w:val="1F4E79"/>
          <w:szCs w:val="18"/>
          <w:lang w:eastAsia="es-DO"/>
        </w:rPr>
        <w:t>actual</w:t>
      </w:r>
      <w:r w:rsidR="00BD05F2">
        <w:rPr>
          <w:color w:val="1F4E79"/>
          <w:szCs w:val="18"/>
          <w:lang w:eastAsia="es-DO"/>
        </w:rPr>
        <w:t xml:space="preserve"> Consejo Directivo de </w:t>
      </w:r>
      <w:r w:rsidR="00207340">
        <w:rPr>
          <w:color w:val="1F4E79"/>
          <w:szCs w:val="18"/>
          <w:lang w:eastAsia="es-DO"/>
        </w:rPr>
        <w:t>FONPER</w:t>
      </w:r>
      <w:r w:rsidR="00BD05F2">
        <w:rPr>
          <w:color w:val="1F4E79"/>
          <w:szCs w:val="18"/>
          <w:lang w:eastAsia="es-DO"/>
        </w:rPr>
        <w:t xml:space="preserve"> decidió, en atención a la redefinición de sus Objetivos Institucionales, no iniciar nuevos proyectos de construcción, y </w:t>
      </w:r>
      <w:r w:rsidR="00197AE1">
        <w:rPr>
          <w:color w:val="1F4E79"/>
          <w:szCs w:val="18"/>
          <w:lang w:eastAsia="es-DO"/>
        </w:rPr>
        <w:t xml:space="preserve">dar por </w:t>
      </w:r>
      <w:r w:rsidR="00BD05F2">
        <w:rPr>
          <w:color w:val="1F4E79"/>
          <w:szCs w:val="18"/>
          <w:lang w:eastAsia="es-DO"/>
        </w:rPr>
        <w:t>finaliza</w:t>
      </w:r>
      <w:r w:rsidR="00197AE1">
        <w:rPr>
          <w:color w:val="1F4E79"/>
          <w:szCs w:val="18"/>
          <w:lang w:eastAsia="es-DO"/>
        </w:rPr>
        <w:t xml:space="preserve">dos </w:t>
      </w:r>
      <w:r w:rsidR="00BD05F2">
        <w:rPr>
          <w:color w:val="1F4E79"/>
          <w:szCs w:val="18"/>
          <w:lang w:eastAsia="es-DO"/>
        </w:rPr>
        <w:t>los programas de asistencia a las intituciones públicas y privadas</w:t>
      </w:r>
      <w:r w:rsidR="00197AE1">
        <w:rPr>
          <w:color w:val="1F4E79"/>
          <w:szCs w:val="18"/>
          <w:lang w:eastAsia="es-DO"/>
        </w:rPr>
        <w:t>.</w:t>
      </w:r>
    </w:p>
    <w:p w14:paraId="25640446" w14:textId="77777777" w:rsidR="00510C91" w:rsidRDefault="00510C91" w:rsidP="002149C8">
      <w:pPr>
        <w:ind w:left="0" w:firstLine="646"/>
        <w:rPr>
          <w:color w:val="1F4E79"/>
          <w:szCs w:val="18"/>
          <w:lang w:eastAsia="es-DO"/>
        </w:rPr>
      </w:pPr>
    </w:p>
    <w:p w14:paraId="2F65390F" w14:textId="603D44C1" w:rsidR="00932443" w:rsidRDefault="00932443" w:rsidP="002149C8">
      <w:pPr>
        <w:ind w:left="0" w:firstLine="646"/>
        <w:rPr>
          <w:color w:val="1F4E79"/>
          <w:szCs w:val="18"/>
          <w:lang w:eastAsia="es-DO"/>
        </w:rPr>
      </w:pPr>
      <w:r>
        <w:rPr>
          <w:color w:val="1F4E79"/>
          <w:szCs w:val="18"/>
          <w:lang w:eastAsia="es-DO"/>
        </w:rPr>
        <w:t>A fin de fortalecer el rol fiscalizador de la institución</w:t>
      </w:r>
      <w:r w:rsidR="00510C91">
        <w:rPr>
          <w:color w:val="1F4E79"/>
          <w:szCs w:val="18"/>
          <w:lang w:eastAsia="es-DO"/>
        </w:rPr>
        <w:t>,</w:t>
      </w:r>
      <w:r>
        <w:rPr>
          <w:color w:val="1F4E79"/>
          <w:szCs w:val="18"/>
          <w:lang w:eastAsia="es-DO"/>
        </w:rPr>
        <w:t xml:space="preserve"> se estructuraron equipos técnicos de análisis y auditor</w:t>
      </w:r>
      <w:r w:rsidR="003623C9">
        <w:rPr>
          <w:color w:val="1F4E79"/>
          <w:szCs w:val="18"/>
          <w:lang w:eastAsia="es-DO"/>
        </w:rPr>
        <w:t>í</w:t>
      </w:r>
      <w:r>
        <w:rPr>
          <w:color w:val="1F4E79"/>
          <w:szCs w:val="18"/>
          <w:lang w:eastAsia="es-DO"/>
        </w:rPr>
        <w:t>a</w:t>
      </w:r>
      <w:r w:rsidR="003623C9">
        <w:rPr>
          <w:color w:val="1F4E79"/>
          <w:szCs w:val="18"/>
          <w:lang w:eastAsia="es-DO"/>
        </w:rPr>
        <w:t>,</w:t>
      </w:r>
      <w:r>
        <w:rPr>
          <w:color w:val="1F4E79"/>
          <w:szCs w:val="18"/>
          <w:lang w:eastAsia="es-DO"/>
        </w:rPr>
        <w:t xml:space="preserve"> incluyendo </w:t>
      </w:r>
      <w:r w:rsidR="00E27B92">
        <w:rPr>
          <w:color w:val="1F4E79"/>
          <w:szCs w:val="18"/>
          <w:lang w:eastAsia="es-DO"/>
        </w:rPr>
        <w:t xml:space="preserve">la contratación de </w:t>
      </w:r>
      <w:r>
        <w:rPr>
          <w:color w:val="1F4E79"/>
          <w:szCs w:val="18"/>
          <w:lang w:eastAsia="es-DO"/>
        </w:rPr>
        <w:t>profesionales expertos en</w:t>
      </w:r>
      <w:r w:rsidR="00E27B92">
        <w:rPr>
          <w:color w:val="1F4E79"/>
          <w:szCs w:val="18"/>
          <w:lang w:eastAsia="es-DO"/>
        </w:rPr>
        <w:t xml:space="preserve"> los procesos industriales de las empresas capitalizadas</w:t>
      </w:r>
      <w:r w:rsidR="003623C9">
        <w:rPr>
          <w:color w:val="1F4E79"/>
          <w:szCs w:val="18"/>
          <w:lang w:eastAsia="es-DO"/>
        </w:rPr>
        <w:t>,</w:t>
      </w:r>
      <w:r w:rsidR="00E27B92">
        <w:rPr>
          <w:color w:val="1F4E79"/>
          <w:szCs w:val="18"/>
          <w:lang w:eastAsia="es-DO"/>
        </w:rPr>
        <w:t xml:space="preserve"> así como en las disciplinas de la economía y las finanzas.</w:t>
      </w:r>
    </w:p>
    <w:p w14:paraId="51C8CCD9" w14:textId="77777777" w:rsidR="00510C91" w:rsidRDefault="00510C91" w:rsidP="002149C8">
      <w:pPr>
        <w:ind w:left="0" w:firstLine="646"/>
        <w:rPr>
          <w:color w:val="1F4E79"/>
          <w:szCs w:val="18"/>
          <w:lang w:eastAsia="es-DO"/>
        </w:rPr>
      </w:pPr>
    </w:p>
    <w:p w14:paraId="4742CE48" w14:textId="547A489D" w:rsidR="00E85DA1" w:rsidRDefault="00E85DA1" w:rsidP="002149C8">
      <w:pPr>
        <w:ind w:left="0" w:firstLine="646"/>
        <w:rPr>
          <w:color w:val="1F4E79"/>
          <w:szCs w:val="18"/>
          <w:lang w:eastAsia="es-DO"/>
        </w:rPr>
      </w:pPr>
      <w:r>
        <w:rPr>
          <w:color w:val="1F4E79"/>
          <w:szCs w:val="18"/>
          <w:lang w:eastAsia="es-DO"/>
        </w:rPr>
        <w:t xml:space="preserve">De igual forma, todos los procesos internos han sido analizados con el objetivo de </w:t>
      </w:r>
      <w:r w:rsidR="00F72BE5">
        <w:rPr>
          <w:color w:val="1F4E79"/>
          <w:szCs w:val="18"/>
          <w:lang w:eastAsia="es-DO"/>
        </w:rPr>
        <w:t>hacerlos</w:t>
      </w:r>
      <w:r w:rsidR="00510C91">
        <w:rPr>
          <w:color w:val="1F4E79"/>
          <w:szCs w:val="18"/>
          <w:lang w:eastAsia="es-DO"/>
        </w:rPr>
        <w:t xml:space="preserve"> má</w:t>
      </w:r>
      <w:r>
        <w:rPr>
          <w:color w:val="1F4E79"/>
          <w:szCs w:val="18"/>
          <w:lang w:eastAsia="es-DO"/>
        </w:rPr>
        <w:t>s eficientes y efectivos</w:t>
      </w:r>
      <w:r w:rsidR="00F72BE5">
        <w:rPr>
          <w:color w:val="1F4E79"/>
          <w:szCs w:val="18"/>
          <w:lang w:eastAsia="es-DO"/>
        </w:rPr>
        <w:t>,</w:t>
      </w:r>
      <w:r>
        <w:rPr>
          <w:color w:val="1F4E79"/>
          <w:szCs w:val="18"/>
          <w:lang w:eastAsia="es-DO"/>
        </w:rPr>
        <w:t xml:space="preserve"> traspasando a las intituciones estatales correspondientes aquellos que no están alineados a la nueva visión estratégica de la institución como, por ejemplo, las concesiones minera</w:t>
      </w:r>
      <w:r w:rsidR="00691FE4">
        <w:rPr>
          <w:color w:val="1F4E79"/>
          <w:szCs w:val="18"/>
          <w:lang w:eastAsia="es-DO"/>
        </w:rPr>
        <w:t>s</w:t>
      </w:r>
      <w:r w:rsidR="00F72BE5">
        <w:rPr>
          <w:color w:val="1F4E79"/>
          <w:szCs w:val="18"/>
          <w:lang w:eastAsia="es-DO"/>
        </w:rPr>
        <w:t xml:space="preserve"> a nombre de CORDE, así como los Activos Pendientes de Capitalización </w:t>
      </w:r>
      <w:r w:rsidR="00691FE4">
        <w:rPr>
          <w:color w:val="1F4E79"/>
          <w:szCs w:val="18"/>
          <w:lang w:eastAsia="es-DO"/>
        </w:rPr>
        <w:t>heredad</w:t>
      </w:r>
      <w:r w:rsidR="003623C9">
        <w:rPr>
          <w:color w:val="1F4E79"/>
          <w:szCs w:val="18"/>
          <w:lang w:eastAsia="es-DO"/>
        </w:rPr>
        <w:t>o</w:t>
      </w:r>
      <w:r w:rsidR="00207340">
        <w:rPr>
          <w:color w:val="1F4E79"/>
          <w:szCs w:val="18"/>
          <w:lang w:eastAsia="es-DO"/>
        </w:rPr>
        <w:t xml:space="preserve">s de </w:t>
      </w:r>
      <w:r w:rsidR="00691FE4">
        <w:rPr>
          <w:color w:val="1F4E79"/>
          <w:szCs w:val="18"/>
          <w:lang w:eastAsia="es-DO"/>
        </w:rPr>
        <w:t xml:space="preserve">la </w:t>
      </w:r>
      <w:r w:rsidR="00207340">
        <w:rPr>
          <w:color w:val="1F4E79"/>
          <w:szCs w:val="18"/>
          <w:lang w:eastAsia="es-DO"/>
        </w:rPr>
        <w:t>Comisión de</w:t>
      </w:r>
      <w:r w:rsidR="00691FE4">
        <w:rPr>
          <w:color w:val="1F4E79"/>
          <w:szCs w:val="18"/>
          <w:lang w:eastAsia="es-DO"/>
        </w:rPr>
        <w:t xml:space="preserve"> Reforma de las Empresas Públicas</w:t>
      </w:r>
      <w:r w:rsidR="00F72BE5">
        <w:rPr>
          <w:color w:val="1F4E79"/>
          <w:szCs w:val="18"/>
          <w:lang w:eastAsia="es-DO"/>
        </w:rPr>
        <w:t xml:space="preserve"> </w:t>
      </w:r>
      <w:r w:rsidR="00207340">
        <w:rPr>
          <w:color w:val="1F4E79"/>
          <w:szCs w:val="18"/>
          <w:lang w:eastAsia="es-DO"/>
        </w:rPr>
        <w:t>-CREP-</w:t>
      </w:r>
      <w:r w:rsidR="003623C9">
        <w:rPr>
          <w:color w:val="1F4E79"/>
          <w:szCs w:val="18"/>
          <w:lang w:eastAsia="es-DO"/>
        </w:rPr>
        <w:t xml:space="preserve">, </w:t>
      </w:r>
      <w:r>
        <w:rPr>
          <w:color w:val="1F4E79"/>
          <w:szCs w:val="18"/>
          <w:lang w:eastAsia="es-DO"/>
        </w:rPr>
        <w:t xml:space="preserve"> </w:t>
      </w:r>
      <w:r w:rsidR="00691FE4">
        <w:rPr>
          <w:color w:val="1F4E79"/>
          <w:szCs w:val="18"/>
          <w:lang w:eastAsia="es-DO"/>
        </w:rPr>
        <w:t>fueron traspasad</w:t>
      </w:r>
      <w:r w:rsidR="003623C9">
        <w:rPr>
          <w:color w:val="1F4E79"/>
          <w:szCs w:val="18"/>
          <w:lang w:eastAsia="es-DO"/>
        </w:rPr>
        <w:t>o</w:t>
      </w:r>
      <w:r w:rsidR="00691FE4">
        <w:rPr>
          <w:color w:val="1F4E79"/>
          <w:szCs w:val="18"/>
          <w:lang w:eastAsia="es-DO"/>
        </w:rPr>
        <w:t xml:space="preserve">s </w:t>
      </w:r>
      <w:r>
        <w:rPr>
          <w:color w:val="1F4E79"/>
          <w:szCs w:val="18"/>
          <w:lang w:eastAsia="es-DO"/>
        </w:rPr>
        <w:t>a la Comisión de Liquidación de los Activos de CORDE.</w:t>
      </w:r>
      <w:r w:rsidR="00F72BE5">
        <w:rPr>
          <w:color w:val="1F4E79"/>
          <w:szCs w:val="18"/>
          <w:lang w:eastAsia="es-DO"/>
        </w:rPr>
        <w:t xml:space="preserve"> </w:t>
      </w:r>
    </w:p>
    <w:p w14:paraId="0FC0457B" w14:textId="77777777" w:rsidR="00510C91" w:rsidRDefault="00510C91" w:rsidP="002149C8">
      <w:pPr>
        <w:ind w:left="0" w:firstLine="646"/>
        <w:rPr>
          <w:color w:val="1F4E79"/>
          <w:szCs w:val="18"/>
          <w:lang w:eastAsia="es-DO"/>
        </w:rPr>
      </w:pPr>
    </w:p>
    <w:p w14:paraId="5F47A29A" w14:textId="111C9687" w:rsidR="00691FE4" w:rsidRDefault="00C87635" w:rsidP="002149C8">
      <w:pPr>
        <w:ind w:left="0" w:firstLine="646"/>
        <w:rPr>
          <w:color w:val="1F4E79"/>
          <w:szCs w:val="18"/>
          <w:lang w:eastAsia="es-DO"/>
        </w:rPr>
      </w:pPr>
      <w:r>
        <w:rPr>
          <w:color w:val="1F4E79"/>
          <w:szCs w:val="18"/>
          <w:lang w:eastAsia="es-DO"/>
        </w:rPr>
        <w:t xml:space="preserve">A partir </w:t>
      </w:r>
      <w:r w:rsidR="003623C9">
        <w:rPr>
          <w:color w:val="1F4E79"/>
          <w:szCs w:val="18"/>
          <w:lang w:eastAsia="es-DO"/>
        </w:rPr>
        <w:t>del mes de agosto</w:t>
      </w:r>
      <w:r w:rsidR="00207340">
        <w:rPr>
          <w:color w:val="1F4E79"/>
          <w:szCs w:val="18"/>
          <w:lang w:eastAsia="es-DO"/>
        </w:rPr>
        <w:t>,</w:t>
      </w:r>
      <w:r w:rsidR="003623C9">
        <w:rPr>
          <w:color w:val="1F4E79"/>
          <w:szCs w:val="18"/>
          <w:lang w:eastAsia="es-DO"/>
        </w:rPr>
        <w:t xml:space="preserve"> </w:t>
      </w:r>
      <w:r w:rsidR="00207340">
        <w:rPr>
          <w:color w:val="1F4E79"/>
          <w:szCs w:val="18"/>
          <w:lang w:eastAsia="es-DO"/>
        </w:rPr>
        <w:t>FONPER</w:t>
      </w:r>
      <w:r w:rsidR="003623C9">
        <w:rPr>
          <w:color w:val="1F4E79"/>
          <w:szCs w:val="18"/>
          <w:lang w:eastAsia="es-DO"/>
        </w:rPr>
        <w:t xml:space="preserve"> ha realizado transferencias </w:t>
      </w:r>
      <w:r w:rsidR="00691FE4">
        <w:rPr>
          <w:color w:val="1F4E79"/>
          <w:szCs w:val="18"/>
          <w:lang w:eastAsia="es-DO"/>
        </w:rPr>
        <w:t>por un valor de RD</w:t>
      </w:r>
      <w:r>
        <w:rPr>
          <w:color w:val="1F4E79"/>
          <w:szCs w:val="18"/>
          <w:lang w:eastAsia="es-DO"/>
        </w:rPr>
        <w:t>$</w:t>
      </w:r>
      <w:r w:rsidR="00691FE4">
        <w:rPr>
          <w:color w:val="1F4E79"/>
          <w:szCs w:val="18"/>
          <w:lang w:eastAsia="es-DO"/>
        </w:rPr>
        <w:t>6,000</w:t>
      </w:r>
      <w:r w:rsidR="00510C91">
        <w:rPr>
          <w:color w:val="1F4E79"/>
          <w:szCs w:val="18"/>
          <w:lang w:eastAsia="es-DO"/>
        </w:rPr>
        <w:t xml:space="preserve"> </w:t>
      </w:r>
      <w:r>
        <w:rPr>
          <w:color w:val="1F4E79"/>
          <w:szCs w:val="18"/>
          <w:lang w:eastAsia="es-DO"/>
        </w:rPr>
        <w:t xml:space="preserve">millones </w:t>
      </w:r>
      <w:r w:rsidR="00691FE4">
        <w:rPr>
          <w:color w:val="1F4E79"/>
          <w:szCs w:val="18"/>
          <w:lang w:eastAsia="es-DO"/>
        </w:rPr>
        <w:t>a la cuenta única de la Tesorería Nacional</w:t>
      </w:r>
      <w:r>
        <w:rPr>
          <w:color w:val="1F4E79"/>
          <w:szCs w:val="18"/>
          <w:lang w:eastAsia="es-DO"/>
        </w:rPr>
        <w:t xml:space="preserve"> que han sido utilizados para atender necesidades del pres</w:t>
      </w:r>
      <w:r w:rsidR="003623C9">
        <w:rPr>
          <w:color w:val="1F4E79"/>
          <w:szCs w:val="18"/>
          <w:lang w:eastAsia="es-DO"/>
        </w:rPr>
        <w:t>upuesto</w:t>
      </w:r>
      <w:r>
        <w:rPr>
          <w:color w:val="1F4E79"/>
          <w:szCs w:val="18"/>
          <w:lang w:eastAsia="es-DO"/>
        </w:rPr>
        <w:t xml:space="preserve"> nacional.</w:t>
      </w:r>
    </w:p>
    <w:p w14:paraId="257B349C" w14:textId="77F2A47C" w:rsidR="00D548A1" w:rsidRPr="009944C2" w:rsidRDefault="00D548A1" w:rsidP="00D548A1">
      <w:pPr>
        <w:ind w:left="0" w:firstLine="646"/>
        <w:rPr>
          <w:color w:val="1F4E79"/>
          <w:szCs w:val="18"/>
          <w:lang w:eastAsia="es-DO"/>
        </w:rPr>
      </w:pPr>
      <w:r>
        <w:rPr>
          <w:color w:val="1F4E79"/>
          <w:szCs w:val="18"/>
          <w:lang w:eastAsia="es-DO"/>
        </w:rPr>
        <w:t xml:space="preserve">Se conformó un equipo técnico integrado por expertos en las áreas de la administración, la economía, las finanzas, y las leyes,  para redactar una nueva ley que se constituya en el marco de sostén de una nueva institución que deberá surgir de la transformación del </w:t>
      </w:r>
      <w:r w:rsidR="00207340">
        <w:rPr>
          <w:color w:val="1F4E79"/>
          <w:szCs w:val="18"/>
          <w:lang w:eastAsia="es-DO"/>
        </w:rPr>
        <w:t>FONPER</w:t>
      </w:r>
      <w:r w:rsidR="00E85DA1">
        <w:rPr>
          <w:color w:val="1F4E79"/>
          <w:szCs w:val="18"/>
          <w:lang w:eastAsia="es-DO"/>
        </w:rPr>
        <w:t xml:space="preserve"> </w:t>
      </w:r>
      <w:r w:rsidR="00E27B92">
        <w:rPr>
          <w:color w:val="1F4E79"/>
          <w:szCs w:val="18"/>
          <w:lang w:eastAsia="es-DO"/>
        </w:rPr>
        <w:t xml:space="preserve">en una institución moderna y </w:t>
      </w:r>
      <w:r w:rsidR="00E85DA1">
        <w:rPr>
          <w:color w:val="1F4E79"/>
          <w:szCs w:val="18"/>
          <w:lang w:eastAsia="es-DO"/>
        </w:rPr>
        <w:t>con</w:t>
      </w:r>
      <w:r w:rsidR="00E27B92">
        <w:rPr>
          <w:color w:val="1F4E79"/>
          <w:szCs w:val="18"/>
          <w:lang w:eastAsia="es-DO"/>
        </w:rPr>
        <w:t xml:space="preserve"> las capacidades necesarias para  responder a los retos que le demanda</w:t>
      </w:r>
      <w:r w:rsidR="00691FE4">
        <w:rPr>
          <w:color w:val="1F4E79"/>
          <w:szCs w:val="18"/>
          <w:lang w:eastAsia="es-DO"/>
        </w:rPr>
        <w:t>rá</w:t>
      </w:r>
      <w:r w:rsidR="00E27B92">
        <w:rPr>
          <w:color w:val="1F4E79"/>
          <w:szCs w:val="18"/>
          <w:lang w:eastAsia="es-DO"/>
        </w:rPr>
        <w:t xml:space="preserve"> el entorno económico  y </w:t>
      </w:r>
      <w:r>
        <w:rPr>
          <w:color w:val="1F4E79"/>
          <w:szCs w:val="18"/>
          <w:lang w:eastAsia="es-DO"/>
        </w:rPr>
        <w:t xml:space="preserve">financiero con el surgimiento de nuevas empresas </w:t>
      </w:r>
      <w:r w:rsidR="00691FE4">
        <w:rPr>
          <w:color w:val="1F4E79"/>
          <w:szCs w:val="18"/>
          <w:lang w:eastAsia="es-DO"/>
        </w:rPr>
        <w:t>en las que el Estado tendrá que desarrollar su rol de fiscalizador</w:t>
      </w:r>
      <w:r w:rsidR="005451F6">
        <w:rPr>
          <w:color w:val="1F4E79"/>
          <w:szCs w:val="18"/>
          <w:lang w:eastAsia="es-DO"/>
        </w:rPr>
        <w:t>.</w:t>
      </w:r>
    </w:p>
    <w:p w14:paraId="486760FB" w14:textId="77777777" w:rsidR="00BA200F" w:rsidRPr="009944C2" w:rsidRDefault="00BA200F" w:rsidP="002149C8">
      <w:pPr>
        <w:ind w:left="646" w:firstLine="357"/>
        <w:rPr>
          <w:color w:val="1F4E79"/>
          <w:szCs w:val="18"/>
          <w:lang w:eastAsia="es-DO"/>
        </w:rPr>
      </w:pPr>
    </w:p>
    <w:p w14:paraId="41004AA9" w14:textId="5EA4E7A9" w:rsidR="00BA200F" w:rsidRPr="009944C2" w:rsidRDefault="00F72BE5" w:rsidP="002149C8">
      <w:pPr>
        <w:ind w:left="0" w:firstLine="646"/>
        <w:rPr>
          <w:color w:val="1F4E79"/>
          <w:szCs w:val="18"/>
          <w:lang w:eastAsia="es-DO"/>
        </w:rPr>
      </w:pPr>
      <w:r w:rsidRPr="003623C9">
        <w:rPr>
          <w:color w:val="1F4E79"/>
          <w:szCs w:val="18"/>
          <w:lang w:eastAsia="es-DO"/>
        </w:rPr>
        <w:t>A</w:t>
      </w:r>
      <w:r w:rsidR="00BA200F" w:rsidRPr="003623C9">
        <w:rPr>
          <w:color w:val="1F4E79"/>
          <w:szCs w:val="18"/>
          <w:lang w:eastAsia="es-DO"/>
        </w:rPr>
        <w:t xml:space="preserve"> continuación</w:t>
      </w:r>
      <w:r w:rsidR="00BE0A06" w:rsidRPr="003623C9">
        <w:rPr>
          <w:color w:val="1F4E79"/>
          <w:szCs w:val="18"/>
          <w:lang w:eastAsia="es-DO"/>
        </w:rPr>
        <w:t xml:space="preserve"> </w:t>
      </w:r>
      <w:r w:rsidR="00BA200F" w:rsidRPr="003623C9">
        <w:rPr>
          <w:color w:val="1F4E79"/>
          <w:szCs w:val="18"/>
          <w:lang w:eastAsia="es-DO"/>
        </w:rPr>
        <w:t xml:space="preserve">se presentan las principales ejecutorias llevadas a cabo por la institución durante el año 2020, tomando en </w:t>
      </w:r>
      <w:r w:rsidR="00BE0A06" w:rsidRPr="003623C9">
        <w:rPr>
          <w:color w:val="1F4E79"/>
          <w:szCs w:val="18"/>
          <w:lang w:eastAsia="es-DO"/>
        </w:rPr>
        <w:t xml:space="preserve">consideración las limitantes impuestas por la pandemia del </w:t>
      </w:r>
      <w:r w:rsidR="00BA200F" w:rsidRPr="003623C9">
        <w:rPr>
          <w:color w:val="1F4E79"/>
          <w:szCs w:val="18"/>
          <w:lang w:eastAsia="es-DO"/>
        </w:rPr>
        <w:t>COVID-19</w:t>
      </w:r>
      <w:r w:rsidR="00BE0A06" w:rsidRPr="003623C9">
        <w:rPr>
          <w:color w:val="1F4E79"/>
          <w:szCs w:val="18"/>
          <w:lang w:eastAsia="es-DO"/>
        </w:rPr>
        <w:t>.</w:t>
      </w:r>
    </w:p>
    <w:p w14:paraId="10A63121" w14:textId="77777777" w:rsidR="002A772B" w:rsidRDefault="002A772B" w:rsidP="002149C8">
      <w:pPr>
        <w:ind w:left="0" w:firstLine="646"/>
        <w:rPr>
          <w:color w:val="1F4E79"/>
          <w:szCs w:val="18"/>
          <w:lang w:eastAsia="es-DO"/>
        </w:rPr>
      </w:pPr>
    </w:p>
    <w:p w14:paraId="17700EA1" w14:textId="1CD0C870" w:rsidR="00BA200F" w:rsidRPr="009944C2" w:rsidRDefault="00956891" w:rsidP="002149C8">
      <w:pPr>
        <w:ind w:left="0" w:firstLine="646"/>
        <w:rPr>
          <w:color w:val="1F4E79"/>
          <w:szCs w:val="18"/>
          <w:lang w:eastAsia="es-DO"/>
        </w:rPr>
      </w:pPr>
      <w:r w:rsidRPr="009944C2">
        <w:rPr>
          <w:color w:val="1F4E79"/>
          <w:szCs w:val="18"/>
          <w:lang w:eastAsia="es-DO"/>
        </w:rPr>
        <w:t>E</w:t>
      </w:r>
      <w:r w:rsidR="00BA200F" w:rsidRPr="009944C2">
        <w:rPr>
          <w:color w:val="1F4E79"/>
          <w:szCs w:val="18"/>
          <w:lang w:eastAsia="es-DO"/>
        </w:rPr>
        <w:t>n cuanto a la Gestión Patrimonial, cumpliendo con su rol de representante del Estado Dominicano en las empresas capitalizadas, la institución mantuvo una relación estrecha y un seguimiento permanente a la gestión operativa y financiera de las mismas, a través de sus representantes en los diferentes consejos de administración, aportando iniciativas y sugerencias, siempre en un marco de transparencia y profesionalidad.</w:t>
      </w:r>
    </w:p>
    <w:p w14:paraId="4CBFCDFF" w14:textId="77777777" w:rsidR="00BA200F" w:rsidRPr="009944C2" w:rsidRDefault="00BA200F" w:rsidP="002A772B">
      <w:pPr>
        <w:ind w:left="646" w:firstLine="357"/>
        <w:rPr>
          <w:color w:val="1F4E79"/>
          <w:szCs w:val="18"/>
          <w:lang w:eastAsia="es-DO"/>
        </w:rPr>
      </w:pPr>
    </w:p>
    <w:p w14:paraId="754E8E58" w14:textId="1AF3ADFE" w:rsidR="00BA200F" w:rsidRPr="009944C2" w:rsidRDefault="00BA200F" w:rsidP="000D081A">
      <w:pPr>
        <w:ind w:left="0" w:firstLine="646"/>
        <w:rPr>
          <w:color w:val="1F4E79"/>
          <w:szCs w:val="18"/>
          <w:lang w:eastAsia="es-DO"/>
        </w:rPr>
      </w:pPr>
      <w:r w:rsidRPr="009944C2">
        <w:rPr>
          <w:color w:val="1F4E79"/>
          <w:szCs w:val="18"/>
          <w:lang w:eastAsia="es-DO"/>
        </w:rPr>
        <w:t xml:space="preserve">Como resultado de una gestión eficaz, la participación del </w:t>
      </w:r>
      <w:r w:rsidR="00207340">
        <w:rPr>
          <w:color w:val="1F4E79"/>
          <w:szCs w:val="18"/>
          <w:lang w:eastAsia="es-DO"/>
        </w:rPr>
        <w:t>FONPER</w:t>
      </w:r>
      <w:r w:rsidRPr="009944C2">
        <w:rPr>
          <w:color w:val="1F4E79"/>
          <w:szCs w:val="18"/>
          <w:lang w:eastAsia="es-DO"/>
        </w:rPr>
        <w:t xml:space="preserve"> en las empresas reformadas del sector industrial, al </w:t>
      </w:r>
      <w:r w:rsidRPr="000557DF">
        <w:rPr>
          <w:b/>
          <w:color w:val="1F4E79"/>
          <w:szCs w:val="18"/>
          <w:lang w:eastAsia="es-DO"/>
        </w:rPr>
        <w:t>31 de octubre 2020</w:t>
      </w:r>
      <w:r w:rsidRPr="009944C2">
        <w:rPr>
          <w:color w:val="1F4E79"/>
          <w:szCs w:val="18"/>
          <w:lang w:eastAsia="es-DO"/>
        </w:rPr>
        <w:t xml:space="preserve">, presenta un incremento de un </w:t>
      </w:r>
      <w:r w:rsidRPr="00E83D61">
        <w:rPr>
          <w:b/>
          <w:color w:val="1F4E79"/>
          <w:szCs w:val="18"/>
          <w:lang w:eastAsia="es-DO"/>
        </w:rPr>
        <w:t>128%</w:t>
      </w:r>
      <w:r w:rsidRPr="009944C2">
        <w:rPr>
          <w:color w:val="1F4E79"/>
          <w:szCs w:val="18"/>
          <w:lang w:eastAsia="es-DO"/>
        </w:rPr>
        <w:t xml:space="preserve">, con respecto a la inversión inicial. Asimismo, durante el año 2020 el </w:t>
      </w:r>
      <w:r w:rsidR="00207340">
        <w:rPr>
          <w:color w:val="1F4E79"/>
          <w:szCs w:val="18"/>
          <w:lang w:eastAsia="es-DO"/>
        </w:rPr>
        <w:t>FONPER</w:t>
      </w:r>
      <w:r w:rsidRPr="009944C2">
        <w:rPr>
          <w:color w:val="1F4E79"/>
          <w:szCs w:val="18"/>
          <w:lang w:eastAsia="es-DO"/>
        </w:rPr>
        <w:t xml:space="preserve"> recibió la suma de </w:t>
      </w:r>
      <w:r w:rsidR="00BB0AC2">
        <w:rPr>
          <w:b/>
          <w:color w:val="1F4E79"/>
          <w:szCs w:val="18"/>
          <w:lang w:eastAsia="es-DO"/>
        </w:rPr>
        <w:t>RD$2,445,857,435.57</w:t>
      </w:r>
      <w:r w:rsidRPr="00E83D61">
        <w:rPr>
          <w:b/>
          <w:color w:val="1F4E79"/>
          <w:szCs w:val="18"/>
          <w:lang w:eastAsia="es-DO"/>
        </w:rPr>
        <w:t xml:space="preserve"> (Dos mil cuatrocientos cuarenta y cinco millones ochocientos cincuenta y siete mil cuatrocie</w:t>
      </w:r>
      <w:r w:rsidR="00B354FE">
        <w:rPr>
          <w:b/>
          <w:color w:val="1F4E79"/>
          <w:szCs w:val="18"/>
          <w:lang w:eastAsia="es-DO"/>
        </w:rPr>
        <w:t>n</w:t>
      </w:r>
      <w:r w:rsidR="00BB0AC2">
        <w:rPr>
          <w:b/>
          <w:color w:val="1F4E79"/>
          <w:szCs w:val="18"/>
          <w:lang w:eastAsia="es-DO"/>
        </w:rPr>
        <w:t>tos treinta y cinco pesos con 57</w:t>
      </w:r>
      <w:r w:rsidRPr="00E83D61">
        <w:rPr>
          <w:b/>
          <w:color w:val="1F4E79"/>
          <w:szCs w:val="18"/>
          <w:lang w:eastAsia="es-DO"/>
        </w:rPr>
        <w:t>/100)</w:t>
      </w:r>
      <w:r w:rsidRPr="009944C2">
        <w:rPr>
          <w:color w:val="1F4E79"/>
          <w:szCs w:val="18"/>
          <w:lang w:eastAsia="es-DO"/>
        </w:rPr>
        <w:t xml:space="preserve"> por concepto de dividendos pagados por las empresas capitalizadas.</w:t>
      </w:r>
    </w:p>
    <w:p w14:paraId="61B7CD96" w14:textId="77777777" w:rsidR="00BA200F" w:rsidRPr="009944C2" w:rsidRDefault="00BA200F" w:rsidP="002A772B">
      <w:pPr>
        <w:ind w:left="646" w:firstLine="357"/>
        <w:rPr>
          <w:color w:val="1F4E79"/>
          <w:szCs w:val="18"/>
          <w:lang w:eastAsia="es-DO"/>
        </w:rPr>
      </w:pPr>
    </w:p>
    <w:p w14:paraId="6356EB00" w14:textId="29DFF4AE" w:rsidR="00BA200F" w:rsidRPr="009944C2" w:rsidRDefault="00BA200F" w:rsidP="000D081A">
      <w:pPr>
        <w:ind w:left="0" w:firstLine="646"/>
        <w:rPr>
          <w:color w:val="1F4E79"/>
          <w:szCs w:val="18"/>
          <w:lang w:eastAsia="es-DO"/>
        </w:rPr>
      </w:pPr>
      <w:r w:rsidRPr="009944C2">
        <w:rPr>
          <w:color w:val="1F4E79"/>
          <w:szCs w:val="18"/>
          <w:lang w:eastAsia="es-DO"/>
        </w:rPr>
        <w:t xml:space="preserve">Por otro lado, refiriéndonos a la Gestión de la Inversión Social, durante el año 2020 el </w:t>
      </w:r>
      <w:r w:rsidR="00207340">
        <w:rPr>
          <w:color w:val="1F4E79"/>
          <w:szCs w:val="18"/>
          <w:lang w:eastAsia="es-DO"/>
        </w:rPr>
        <w:t>FONPER</w:t>
      </w:r>
      <w:r w:rsidRPr="009944C2">
        <w:rPr>
          <w:color w:val="1F4E79"/>
          <w:szCs w:val="18"/>
          <w:lang w:eastAsia="es-DO"/>
        </w:rPr>
        <w:t xml:space="preserve"> desarrolló proyectos y programas que se encontraban en ejecución, los cuales representaron una inversión total de </w:t>
      </w:r>
      <w:r w:rsidRPr="00E83D61">
        <w:rPr>
          <w:b/>
          <w:color w:val="1F4E79"/>
          <w:szCs w:val="18"/>
          <w:lang w:eastAsia="es-DO"/>
        </w:rPr>
        <w:t>RD$357,691,819.85 (Trescientos Cincuenta y Siete Millones Seiscientos Noventa y Un Mil Ochocientos Diecinueve Pesos con 85/100)</w:t>
      </w:r>
      <w:r w:rsidR="000D081A" w:rsidRPr="009944C2">
        <w:rPr>
          <w:color w:val="1F4E79"/>
          <w:szCs w:val="18"/>
          <w:lang w:eastAsia="es-DO"/>
        </w:rPr>
        <w:t>.</w:t>
      </w:r>
    </w:p>
    <w:p w14:paraId="18825457" w14:textId="77777777" w:rsidR="00BA200F" w:rsidRPr="009944C2" w:rsidRDefault="00BA200F" w:rsidP="002A772B">
      <w:pPr>
        <w:ind w:left="646" w:firstLine="357"/>
        <w:rPr>
          <w:color w:val="1F4E79"/>
          <w:szCs w:val="18"/>
          <w:lang w:eastAsia="es-DO"/>
        </w:rPr>
      </w:pPr>
    </w:p>
    <w:p w14:paraId="6B5CAC08" w14:textId="3DB9A5FA" w:rsidR="002A772B" w:rsidRDefault="00BA200F" w:rsidP="000D081A">
      <w:pPr>
        <w:ind w:left="0" w:firstLine="646"/>
        <w:rPr>
          <w:color w:val="1F4E79"/>
          <w:szCs w:val="18"/>
          <w:lang w:eastAsia="es-DO"/>
        </w:rPr>
      </w:pPr>
      <w:r w:rsidRPr="009944C2">
        <w:rPr>
          <w:color w:val="1F4E79"/>
          <w:szCs w:val="18"/>
          <w:lang w:eastAsia="es-DO"/>
        </w:rPr>
        <w:t xml:space="preserve">En cuanto a los </w:t>
      </w:r>
      <w:r w:rsidR="00E83D61" w:rsidRPr="00E83D61">
        <w:rPr>
          <w:b/>
          <w:color w:val="1F4E79"/>
          <w:szCs w:val="18"/>
          <w:lang w:eastAsia="es-DO"/>
        </w:rPr>
        <w:t>P</w:t>
      </w:r>
      <w:r w:rsidRPr="00E83D61">
        <w:rPr>
          <w:b/>
          <w:color w:val="1F4E79"/>
          <w:szCs w:val="18"/>
          <w:lang w:eastAsia="es-DO"/>
        </w:rPr>
        <w:t>rogramas de Asistencia Social</w:t>
      </w:r>
      <w:r w:rsidRPr="009944C2">
        <w:rPr>
          <w:color w:val="1F4E79"/>
          <w:szCs w:val="18"/>
          <w:lang w:eastAsia="es-DO"/>
        </w:rPr>
        <w:t>, ejecut</w:t>
      </w:r>
      <w:r w:rsidR="00E83D61">
        <w:rPr>
          <w:color w:val="1F4E79"/>
          <w:szCs w:val="18"/>
          <w:lang w:eastAsia="es-DO"/>
        </w:rPr>
        <w:t>ó</w:t>
      </w:r>
      <w:r w:rsidRPr="009944C2">
        <w:rPr>
          <w:color w:val="1F4E79"/>
          <w:szCs w:val="18"/>
          <w:lang w:eastAsia="es-DO"/>
        </w:rPr>
        <w:t xml:space="preserve"> una inversión de  </w:t>
      </w:r>
      <w:r w:rsidRPr="00E83D61">
        <w:rPr>
          <w:b/>
          <w:color w:val="1F4E79"/>
          <w:szCs w:val="18"/>
          <w:lang w:eastAsia="es-DO"/>
        </w:rPr>
        <w:t>RD$69,542,623.44 (Sesenta y Nueve Millones Quinientos Cuarenta y Dos Mil Seiscientos Veintitrés Pesos con 44/100),</w:t>
      </w:r>
      <w:r w:rsidRPr="009944C2">
        <w:rPr>
          <w:color w:val="1F4E79"/>
          <w:szCs w:val="18"/>
          <w:lang w:eastAsia="es-DO"/>
        </w:rPr>
        <w:t xml:space="preserve"> lo que abarcó: un Programa de Asistencia Económica, beneficiando aproximadamente a 397 personas de escasos recursos; Programa de Asistencia a la Educación, financiando estudios de Grado y Postgrado a 133 estudiantes meritorios del país, así como también la firma de un convenio con la Fundación Madre y Maestra; Programas de Salud, a través de la firma de convenios interinstitucionales para la Prevención de Enfermedades, Atención Primaria de Salud y Atención a Discapacitados; así como otros aportes en materia de Capacitación y Formación Técnica, Deporte, Cultura y Religión, Ética e Integridad Gubernamental y Seguridad Nacional.</w:t>
      </w:r>
    </w:p>
    <w:p w14:paraId="65B327DB" w14:textId="77777777" w:rsidR="00C439DA" w:rsidRDefault="00C439DA" w:rsidP="00C439DA">
      <w:pPr>
        <w:ind w:left="0" w:firstLine="646"/>
        <w:rPr>
          <w:color w:val="1F4E79"/>
          <w:szCs w:val="18"/>
          <w:lang w:eastAsia="es-DO"/>
        </w:rPr>
      </w:pPr>
    </w:p>
    <w:p w14:paraId="34BC4A37" w14:textId="5EB733BB" w:rsidR="00BA200F" w:rsidRPr="009944C2" w:rsidRDefault="00BA200F" w:rsidP="000D081A">
      <w:pPr>
        <w:ind w:left="0" w:firstLine="646"/>
        <w:rPr>
          <w:color w:val="1F4E79"/>
          <w:szCs w:val="18"/>
          <w:lang w:eastAsia="es-DO"/>
        </w:rPr>
      </w:pPr>
      <w:r w:rsidRPr="009944C2">
        <w:rPr>
          <w:color w:val="1F4E79"/>
          <w:szCs w:val="18"/>
          <w:lang w:eastAsia="es-DO"/>
        </w:rPr>
        <w:t xml:space="preserve">Incluyó además una variada carpeta de </w:t>
      </w:r>
      <w:r w:rsidRPr="00E83D61">
        <w:rPr>
          <w:b/>
          <w:color w:val="1F4E79"/>
          <w:szCs w:val="18"/>
          <w:lang w:eastAsia="es-DO"/>
        </w:rPr>
        <w:t>Proyectos de Construcción y Equipamiento de Infraestructuras</w:t>
      </w:r>
      <w:r w:rsidRPr="009944C2">
        <w:rPr>
          <w:color w:val="1F4E79"/>
          <w:szCs w:val="18"/>
          <w:lang w:eastAsia="es-DO"/>
        </w:rPr>
        <w:t xml:space="preserve">, con una ejecución acumulada al 30 de noviembre, ascendente a </w:t>
      </w:r>
      <w:r w:rsidRPr="00E83D61">
        <w:rPr>
          <w:b/>
          <w:color w:val="1F4E79"/>
          <w:szCs w:val="18"/>
          <w:lang w:eastAsia="es-DO"/>
        </w:rPr>
        <w:t>RD$28</w:t>
      </w:r>
      <w:r w:rsidR="0089473B">
        <w:rPr>
          <w:b/>
          <w:color w:val="1F4E79"/>
          <w:szCs w:val="18"/>
          <w:lang w:eastAsia="es-DO"/>
        </w:rPr>
        <w:t>7</w:t>
      </w:r>
      <w:r w:rsidRPr="00E83D61">
        <w:rPr>
          <w:b/>
          <w:color w:val="1F4E79"/>
          <w:szCs w:val="18"/>
          <w:lang w:eastAsia="es-DO"/>
        </w:rPr>
        <w:t>,</w:t>
      </w:r>
      <w:r w:rsidR="0089473B">
        <w:rPr>
          <w:b/>
          <w:color w:val="1F4E79"/>
          <w:szCs w:val="18"/>
          <w:lang w:eastAsia="es-DO"/>
        </w:rPr>
        <w:t>953</w:t>
      </w:r>
      <w:r w:rsidRPr="00E83D61">
        <w:rPr>
          <w:b/>
          <w:color w:val="1F4E79"/>
          <w:szCs w:val="18"/>
          <w:lang w:eastAsia="es-DO"/>
        </w:rPr>
        <w:t>,</w:t>
      </w:r>
      <w:r w:rsidR="0089473B">
        <w:rPr>
          <w:b/>
          <w:color w:val="1F4E79"/>
          <w:szCs w:val="18"/>
          <w:lang w:eastAsia="es-DO"/>
        </w:rPr>
        <w:t>6</w:t>
      </w:r>
      <w:r w:rsidRPr="00E83D61">
        <w:rPr>
          <w:b/>
          <w:color w:val="1F4E79"/>
          <w:szCs w:val="18"/>
          <w:lang w:eastAsia="es-DO"/>
        </w:rPr>
        <w:t>1</w:t>
      </w:r>
      <w:r w:rsidR="0089473B">
        <w:rPr>
          <w:b/>
          <w:color w:val="1F4E79"/>
          <w:szCs w:val="18"/>
          <w:lang w:eastAsia="es-DO"/>
        </w:rPr>
        <w:t>7</w:t>
      </w:r>
      <w:r w:rsidRPr="00E83D61">
        <w:rPr>
          <w:b/>
          <w:color w:val="1F4E79"/>
          <w:szCs w:val="18"/>
          <w:lang w:eastAsia="es-DO"/>
        </w:rPr>
        <w:t>.</w:t>
      </w:r>
      <w:r w:rsidR="0089473B">
        <w:rPr>
          <w:b/>
          <w:color w:val="1F4E79"/>
          <w:szCs w:val="18"/>
          <w:lang w:eastAsia="es-DO"/>
        </w:rPr>
        <w:t>22</w:t>
      </w:r>
      <w:r w:rsidRPr="00E83D61">
        <w:rPr>
          <w:b/>
          <w:color w:val="1F4E79"/>
          <w:szCs w:val="18"/>
          <w:lang w:eastAsia="es-DO"/>
        </w:rPr>
        <w:t xml:space="preserve"> (Doscientos Ochenta y </w:t>
      </w:r>
      <w:r w:rsidR="0089473B">
        <w:rPr>
          <w:b/>
          <w:color w:val="1F4E79"/>
          <w:szCs w:val="18"/>
          <w:lang w:eastAsia="es-DO"/>
        </w:rPr>
        <w:t>Siete</w:t>
      </w:r>
      <w:r w:rsidRPr="00E83D61">
        <w:rPr>
          <w:b/>
          <w:color w:val="1F4E79"/>
          <w:szCs w:val="18"/>
          <w:lang w:eastAsia="es-DO"/>
        </w:rPr>
        <w:t xml:space="preserve"> Millones </w:t>
      </w:r>
      <w:r w:rsidR="0089473B">
        <w:rPr>
          <w:b/>
          <w:color w:val="1F4E79"/>
          <w:szCs w:val="18"/>
          <w:lang w:eastAsia="es-DO"/>
        </w:rPr>
        <w:t xml:space="preserve">Novecientos </w:t>
      </w:r>
      <w:r w:rsidRPr="00E83D61">
        <w:rPr>
          <w:b/>
          <w:color w:val="1F4E79"/>
          <w:szCs w:val="18"/>
          <w:lang w:eastAsia="es-DO"/>
        </w:rPr>
        <w:t>Cin</w:t>
      </w:r>
      <w:r w:rsidR="0089473B">
        <w:rPr>
          <w:b/>
          <w:color w:val="1F4E79"/>
          <w:szCs w:val="18"/>
          <w:lang w:eastAsia="es-DO"/>
        </w:rPr>
        <w:t>cuen</w:t>
      </w:r>
      <w:r w:rsidRPr="00E83D61">
        <w:rPr>
          <w:b/>
          <w:color w:val="1F4E79"/>
          <w:szCs w:val="18"/>
          <w:lang w:eastAsia="es-DO"/>
        </w:rPr>
        <w:t>t</w:t>
      </w:r>
      <w:r w:rsidR="0089473B">
        <w:rPr>
          <w:b/>
          <w:color w:val="1F4E79"/>
          <w:szCs w:val="18"/>
          <w:lang w:eastAsia="es-DO"/>
        </w:rPr>
        <w:t>a</w:t>
      </w:r>
      <w:r w:rsidRPr="00E83D61">
        <w:rPr>
          <w:b/>
          <w:color w:val="1F4E79"/>
          <w:szCs w:val="18"/>
          <w:lang w:eastAsia="es-DO"/>
        </w:rPr>
        <w:t xml:space="preserve"> </w:t>
      </w:r>
      <w:r w:rsidR="0089473B">
        <w:rPr>
          <w:b/>
          <w:color w:val="1F4E79"/>
          <w:szCs w:val="18"/>
          <w:lang w:eastAsia="es-DO"/>
        </w:rPr>
        <w:t>y Tres</w:t>
      </w:r>
      <w:r w:rsidRPr="00E83D61">
        <w:rPr>
          <w:b/>
          <w:color w:val="1F4E79"/>
          <w:szCs w:val="18"/>
          <w:lang w:eastAsia="es-DO"/>
        </w:rPr>
        <w:t xml:space="preserve"> Mil </w:t>
      </w:r>
      <w:r w:rsidR="0089473B">
        <w:rPr>
          <w:b/>
          <w:color w:val="1F4E79"/>
          <w:szCs w:val="18"/>
          <w:lang w:eastAsia="es-DO"/>
        </w:rPr>
        <w:t xml:space="preserve">Seiscientos Diecisiete </w:t>
      </w:r>
      <w:r w:rsidRPr="00E83D61">
        <w:rPr>
          <w:b/>
          <w:color w:val="1F4E79"/>
          <w:szCs w:val="18"/>
          <w:lang w:eastAsia="es-DO"/>
        </w:rPr>
        <w:t xml:space="preserve">Pesos con </w:t>
      </w:r>
      <w:r w:rsidR="0089473B">
        <w:rPr>
          <w:b/>
          <w:color w:val="1F4E79"/>
          <w:szCs w:val="18"/>
          <w:lang w:eastAsia="es-DO"/>
        </w:rPr>
        <w:t>22</w:t>
      </w:r>
      <w:r w:rsidRPr="00E83D61">
        <w:rPr>
          <w:b/>
          <w:color w:val="1F4E79"/>
          <w:szCs w:val="18"/>
          <w:lang w:eastAsia="es-DO"/>
        </w:rPr>
        <w:t>/100)</w:t>
      </w:r>
      <w:r w:rsidRPr="009944C2">
        <w:rPr>
          <w:color w:val="1F4E79"/>
          <w:szCs w:val="18"/>
          <w:lang w:eastAsia="es-DO"/>
        </w:rPr>
        <w:t>, abarcando la construcción y amueblamiento de 428 viviendas, de las cuales, 390 viviendas se construyen en la Provincia de San Juan y las demás están distribuidas en las provincias de Santiago y Santo Domingo; construcción y equipamiento de panaderías, talleres textiles, espacios deportivos, destacamentos policiales y un centro de atención primaria de salud.</w:t>
      </w:r>
    </w:p>
    <w:p w14:paraId="3677F7A6" w14:textId="77777777" w:rsidR="00BA200F" w:rsidRPr="009944C2" w:rsidRDefault="00BA200F" w:rsidP="002A772B">
      <w:pPr>
        <w:ind w:left="646" w:firstLine="357"/>
        <w:rPr>
          <w:color w:val="1F4E79"/>
          <w:szCs w:val="18"/>
          <w:lang w:eastAsia="es-DO"/>
        </w:rPr>
      </w:pPr>
    </w:p>
    <w:p w14:paraId="336462B6" w14:textId="01E00278" w:rsidR="00BA200F" w:rsidRPr="009944C2" w:rsidRDefault="00BA200F" w:rsidP="000D081A">
      <w:pPr>
        <w:ind w:left="0" w:firstLine="646"/>
        <w:rPr>
          <w:color w:val="1F4E79"/>
          <w:szCs w:val="18"/>
          <w:lang w:eastAsia="es-DO"/>
        </w:rPr>
      </w:pPr>
      <w:r w:rsidRPr="009944C2">
        <w:rPr>
          <w:color w:val="1F4E79"/>
          <w:szCs w:val="18"/>
          <w:lang w:eastAsia="es-DO"/>
        </w:rPr>
        <w:t xml:space="preserve">En cuanto al Fortalecimiento Institucional, en el primer trimestre del año, el </w:t>
      </w:r>
      <w:r w:rsidR="00207340">
        <w:rPr>
          <w:color w:val="1F4E79"/>
          <w:szCs w:val="18"/>
          <w:lang w:eastAsia="es-DO"/>
        </w:rPr>
        <w:t>FONPER</w:t>
      </w:r>
      <w:r w:rsidRPr="009944C2">
        <w:rPr>
          <w:color w:val="1F4E79"/>
          <w:szCs w:val="18"/>
          <w:lang w:eastAsia="es-DO"/>
        </w:rPr>
        <w:t xml:space="preserve"> dirigió sus esfuerzos al cumplimiento de los lineamientos y requerimientos del </w:t>
      </w:r>
      <w:r w:rsidRPr="00E83D61">
        <w:rPr>
          <w:b/>
          <w:color w:val="1F4E79"/>
          <w:szCs w:val="18"/>
          <w:lang w:eastAsia="es-DO"/>
        </w:rPr>
        <w:t>Sistema de Monitoreo y Medición de la Gestión Pública,</w:t>
      </w:r>
      <w:r w:rsidRPr="009944C2">
        <w:rPr>
          <w:color w:val="1F4E79"/>
          <w:szCs w:val="18"/>
          <w:lang w:eastAsia="es-DO"/>
        </w:rPr>
        <w:t xml:space="preserve"> a través de los subsistemas que lo conforman, avanzando en algunos de sus indicadores, y descendiendo en otros.</w:t>
      </w:r>
    </w:p>
    <w:p w14:paraId="2D2BBDEE" w14:textId="77777777" w:rsidR="00BA200F" w:rsidRPr="009944C2" w:rsidRDefault="00BA200F" w:rsidP="002A772B">
      <w:pPr>
        <w:ind w:left="646" w:firstLine="357"/>
        <w:rPr>
          <w:color w:val="1F4E79"/>
          <w:szCs w:val="18"/>
          <w:lang w:eastAsia="es-DO"/>
        </w:rPr>
      </w:pPr>
    </w:p>
    <w:p w14:paraId="022216D3" w14:textId="3346FEBE" w:rsidR="00BA200F" w:rsidRPr="009944C2" w:rsidRDefault="00BA200F" w:rsidP="000D081A">
      <w:pPr>
        <w:ind w:left="0" w:firstLine="646"/>
        <w:rPr>
          <w:color w:val="1F4E79"/>
          <w:szCs w:val="18"/>
          <w:lang w:eastAsia="es-DO"/>
        </w:rPr>
      </w:pPr>
      <w:r w:rsidRPr="009944C2">
        <w:rPr>
          <w:color w:val="1F4E79"/>
          <w:szCs w:val="18"/>
          <w:lang w:eastAsia="es-DO"/>
        </w:rPr>
        <w:t>En ese sentido, el Índice de Uso de TIC e Implementación de Gobierno Electrón</w:t>
      </w:r>
      <w:r w:rsidR="00BB0AC2">
        <w:rPr>
          <w:color w:val="1F4E79"/>
          <w:szCs w:val="18"/>
          <w:lang w:eastAsia="es-DO"/>
        </w:rPr>
        <w:t>ico aumentó su puntuación a 74.</w:t>
      </w:r>
      <w:r w:rsidRPr="009944C2">
        <w:rPr>
          <w:color w:val="1F4E79"/>
          <w:szCs w:val="18"/>
          <w:lang w:eastAsia="es-DO"/>
        </w:rPr>
        <w:t>5</w:t>
      </w:r>
      <w:r w:rsidR="00BB0AC2">
        <w:rPr>
          <w:color w:val="1F4E79"/>
          <w:szCs w:val="18"/>
          <w:lang w:eastAsia="es-DO"/>
        </w:rPr>
        <w:t>4</w:t>
      </w:r>
      <w:r w:rsidRPr="009944C2">
        <w:rPr>
          <w:color w:val="1F4E79"/>
          <w:szCs w:val="18"/>
          <w:lang w:eastAsia="es-DO"/>
        </w:rPr>
        <w:t>; el Cumplimiento de la Ley 200-04 mantuvo una calificación promedio de 90 puntos; y el Sistema Nacional de Compras y Contrataciones, alcanzó un avance significativo, logrando un 98.57.</w:t>
      </w:r>
    </w:p>
    <w:p w14:paraId="240BC88A" w14:textId="1A8E31EA" w:rsidR="000D081A" w:rsidRDefault="000D081A" w:rsidP="002A772B">
      <w:pPr>
        <w:ind w:left="646" w:firstLine="357"/>
        <w:rPr>
          <w:color w:val="1F4E79"/>
          <w:szCs w:val="18"/>
          <w:lang w:eastAsia="es-DO"/>
        </w:rPr>
      </w:pPr>
    </w:p>
    <w:p w14:paraId="5C1D9754" w14:textId="1E73F872" w:rsidR="00C439DA" w:rsidRDefault="00C439DA" w:rsidP="002A772B">
      <w:pPr>
        <w:ind w:left="646" w:firstLine="357"/>
        <w:rPr>
          <w:color w:val="1F4E79"/>
          <w:szCs w:val="18"/>
          <w:lang w:eastAsia="es-DO"/>
        </w:rPr>
      </w:pPr>
    </w:p>
    <w:p w14:paraId="79E5063C" w14:textId="77777777" w:rsidR="00466F5F" w:rsidRPr="009944C2" w:rsidRDefault="00466F5F" w:rsidP="00466F5F">
      <w:pPr>
        <w:ind w:hanging="284"/>
        <w:rPr>
          <w:color w:val="1F4E79"/>
          <w:szCs w:val="18"/>
          <w:lang w:eastAsia="es-DO"/>
        </w:rPr>
      </w:pPr>
    </w:p>
    <w:p w14:paraId="0ABC4914" w14:textId="77777777" w:rsidR="00BA200F" w:rsidRPr="009944C2" w:rsidRDefault="00BA200F" w:rsidP="002149C8">
      <w:pPr>
        <w:ind w:left="0" w:firstLine="646"/>
        <w:rPr>
          <w:color w:val="1F4E79"/>
          <w:szCs w:val="18"/>
          <w:lang w:eastAsia="es-DO"/>
        </w:rPr>
      </w:pPr>
    </w:p>
    <w:p w14:paraId="7B1D6835" w14:textId="1F49DCAF" w:rsidR="001277EF" w:rsidRPr="009944C2" w:rsidRDefault="00BA200F" w:rsidP="002149C8">
      <w:pPr>
        <w:ind w:left="646" w:firstLine="357"/>
        <w:rPr>
          <w:color w:val="1F4E79"/>
          <w:szCs w:val="18"/>
          <w:lang w:eastAsia="es-DO"/>
        </w:rPr>
      </w:pPr>
      <w:r w:rsidRPr="009944C2">
        <w:rPr>
          <w:color w:val="1F4E79"/>
          <w:szCs w:val="18"/>
          <w:lang w:eastAsia="es-DO"/>
        </w:rPr>
        <w:br w:type="page"/>
      </w:r>
    </w:p>
    <w:bookmarkStart w:id="4" w:name="_Toc59540153"/>
    <w:bookmarkEnd w:id="3"/>
    <w:p w14:paraId="4DDEA79C" w14:textId="1FE79272" w:rsidR="00956891" w:rsidRPr="009944C2" w:rsidRDefault="00956891" w:rsidP="00956891">
      <w:pPr>
        <w:pStyle w:val="Ttulo1"/>
        <w:numPr>
          <w:ilvl w:val="0"/>
          <w:numId w:val="1"/>
        </w:numPr>
        <w:spacing w:line="480" w:lineRule="auto"/>
        <w:ind w:left="283"/>
        <w:rPr>
          <w:color w:val="1F4E79"/>
          <w:sz w:val="28"/>
          <w:szCs w:val="36"/>
        </w:rPr>
      </w:pPr>
      <w:r w:rsidRPr="003F382A">
        <w:rPr>
          <w:noProof/>
          <w:color w:val="1F4E79"/>
          <w:sz w:val="28"/>
          <w:szCs w:val="36"/>
          <w:lang w:val="es-ES" w:eastAsia="es-ES"/>
        </w:rPr>
        <mc:AlternateContent>
          <mc:Choice Requires="wps">
            <w:drawing>
              <wp:anchor distT="0" distB="0" distL="114300" distR="114300" simplePos="0" relativeHeight="251687936" behindDoc="0" locked="0" layoutInCell="1" allowOverlap="1" wp14:anchorId="66AEFB29" wp14:editId="61E63274">
                <wp:simplePos x="0" y="0"/>
                <wp:positionH relativeFrom="column">
                  <wp:posOffset>2094931</wp:posOffset>
                </wp:positionH>
                <wp:positionV relativeFrom="paragraph">
                  <wp:posOffset>339772</wp:posOffset>
                </wp:positionV>
                <wp:extent cx="723332" cy="0"/>
                <wp:effectExtent l="0" t="19050" r="19685" b="19050"/>
                <wp:wrapNone/>
                <wp:docPr id="21" name="Conector recto 21"/>
                <wp:cNvGraphicFramePr/>
                <a:graphic xmlns:a="http://schemas.openxmlformats.org/drawingml/2006/main">
                  <a:graphicData uri="http://schemas.microsoft.com/office/word/2010/wordprocessingShape">
                    <wps:wsp>
                      <wps:cNvCnPr/>
                      <wps:spPr>
                        <a:xfrm>
                          <a:off x="0" y="0"/>
                          <a:ext cx="723332" cy="0"/>
                        </a:xfrm>
                        <a:prstGeom prst="line">
                          <a:avLst/>
                        </a:prstGeom>
                        <a:ln w="31750">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F2D4A18" id="Conector recto 2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95pt,26.75pt" to="221.9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" strokecolor="red" strokeweight="2.5pt">
                <v:stroke joinstyle="miter"/>
              </v:line>
            </w:pict>
          </mc:Fallback>
        </mc:AlternateContent>
      </w:r>
      <w:r w:rsidRPr="009944C2">
        <w:rPr>
          <w:color w:val="1F4E79"/>
          <w:sz w:val="28"/>
          <w:szCs w:val="36"/>
        </w:rPr>
        <w:t>INFORMACI</w:t>
      </w:r>
      <w:r w:rsidR="00B354FE">
        <w:rPr>
          <w:color w:val="1F4E79"/>
          <w:sz w:val="28"/>
          <w:szCs w:val="36"/>
        </w:rPr>
        <w:t>Ó</w:t>
      </w:r>
      <w:r w:rsidRPr="009944C2">
        <w:rPr>
          <w:color w:val="1F4E79"/>
          <w:sz w:val="28"/>
          <w:szCs w:val="36"/>
        </w:rPr>
        <w:t>N INSTITUCIONAL</w:t>
      </w:r>
      <w:bookmarkEnd w:id="4"/>
    </w:p>
    <w:p w14:paraId="24B9E090" w14:textId="6BA4FBC5" w:rsidR="0055106B" w:rsidRDefault="0055106B" w:rsidP="0055106B">
      <w:pPr>
        <w:ind w:hanging="284"/>
        <w:jc w:val="center"/>
        <w:rPr>
          <w:rFonts w:ascii="Gotham Medium" w:hAnsi="Gotham Medium"/>
          <w:b/>
          <w:spacing w:val="40"/>
          <w:sz w:val="16"/>
          <w:szCs w:val="16"/>
        </w:rPr>
      </w:pPr>
      <w:r w:rsidRPr="00A1441F">
        <w:rPr>
          <w:rFonts w:ascii="Gotham Medium" w:hAnsi="Gotham Medium"/>
          <w:b/>
          <w:spacing w:val="40"/>
          <w:sz w:val="16"/>
          <w:szCs w:val="16"/>
        </w:rPr>
        <w:t>MEMORIAS 2020</w:t>
      </w:r>
    </w:p>
    <w:p w14:paraId="335B99F2" w14:textId="77777777" w:rsidR="0055106B" w:rsidRPr="00A04A97" w:rsidRDefault="0055106B" w:rsidP="003E1385">
      <w:pPr>
        <w:ind w:left="0" w:firstLine="646"/>
        <w:rPr>
          <w:color w:val="1F4E79"/>
          <w:szCs w:val="18"/>
          <w:lang w:eastAsia="es-DO"/>
        </w:rPr>
      </w:pPr>
    </w:p>
    <w:p w14:paraId="4ABD7998" w14:textId="61ABE684" w:rsidR="00750085" w:rsidRPr="00AC59F8" w:rsidRDefault="00E52CE0" w:rsidP="002149C8">
      <w:pPr>
        <w:pStyle w:val="Prrafodelista"/>
        <w:numPr>
          <w:ilvl w:val="1"/>
          <w:numId w:val="1"/>
        </w:numPr>
        <w:ind w:left="426" w:hanging="426"/>
        <w:jc w:val="center"/>
        <w:outlineLvl w:val="1"/>
        <w:rPr>
          <w:rFonts w:ascii="Gotham Medium" w:hAnsi="Gotham Medium"/>
          <w:b/>
          <w:bCs/>
          <w:color w:val="1F4E79"/>
          <w:sz w:val="16"/>
          <w:szCs w:val="16"/>
        </w:rPr>
      </w:pPr>
      <w:bookmarkStart w:id="5" w:name="_Toc59540154"/>
      <w:r w:rsidRPr="00AC59F8">
        <w:rPr>
          <w:rFonts w:ascii="Gotham Medium" w:hAnsi="Gotham Medium"/>
          <w:b/>
          <w:bCs/>
          <w:color w:val="1F4E79"/>
          <w:sz w:val="16"/>
          <w:szCs w:val="16"/>
        </w:rPr>
        <w:t>MISIÓN Y VISIÓN</w:t>
      </w:r>
      <w:bookmarkEnd w:id="5"/>
    </w:p>
    <w:p w14:paraId="35AEE45B" w14:textId="77777777" w:rsidR="003E1385" w:rsidRPr="003E1385" w:rsidRDefault="003E1385" w:rsidP="003E1385">
      <w:pPr>
        <w:ind w:left="0" w:firstLine="646"/>
        <w:rPr>
          <w:color w:val="1F4E79"/>
          <w:szCs w:val="18"/>
          <w:lang w:eastAsia="es-DO"/>
        </w:rPr>
      </w:pPr>
    </w:p>
    <w:p w14:paraId="6648C657" w14:textId="7F247BD0" w:rsidR="00956891" w:rsidRPr="009944C2" w:rsidRDefault="00956891" w:rsidP="003E1385">
      <w:pPr>
        <w:ind w:left="0"/>
        <w:rPr>
          <w:rFonts w:ascii="Gotham Medium" w:hAnsi="Gotham Medium"/>
          <w:b/>
          <w:bCs/>
          <w:color w:val="1F4E79"/>
          <w:sz w:val="16"/>
          <w:szCs w:val="16"/>
        </w:rPr>
      </w:pPr>
      <w:r w:rsidRPr="009944C2">
        <w:rPr>
          <w:rFonts w:ascii="Gotham Medium" w:hAnsi="Gotham Medium"/>
          <w:b/>
          <w:bCs/>
          <w:color w:val="1F4E79"/>
          <w:sz w:val="16"/>
          <w:szCs w:val="16"/>
        </w:rPr>
        <w:t>Misión</w:t>
      </w:r>
    </w:p>
    <w:p w14:paraId="1012A25F" w14:textId="52A8C3D6" w:rsidR="00956891" w:rsidRDefault="00956891" w:rsidP="003E1385">
      <w:pPr>
        <w:ind w:left="0" w:firstLine="646"/>
        <w:rPr>
          <w:color w:val="1F4E79"/>
          <w:szCs w:val="18"/>
          <w:lang w:eastAsia="es-DO"/>
        </w:rPr>
      </w:pPr>
      <w:r w:rsidRPr="009944C2">
        <w:rPr>
          <w:color w:val="1F4E79"/>
          <w:szCs w:val="18"/>
          <w:lang w:eastAsia="es-DO"/>
        </w:rPr>
        <w:t>Garantizar la inversión de las empresas reformadas</w:t>
      </w:r>
      <w:r w:rsidR="00D94E26" w:rsidRPr="009944C2">
        <w:rPr>
          <w:color w:val="1F4E79"/>
          <w:szCs w:val="18"/>
          <w:lang w:eastAsia="es-DO"/>
        </w:rPr>
        <w:t xml:space="preserve"> y contribuir al desarrollo del </w:t>
      </w:r>
      <w:r w:rsidRPr="009944C2">
        <w:rPr>
          <w:color w:val="1F4E79"/>
          <w:szCs w:val="18"/>
          <w:lang w:eastAsia="es-DO"/>
        </w:rPr>
        <w:t>país, mediante la gestión efectiva de la participación accionaria del Estado.</w:t>
      </w:r>
    </w:p>
    <w:p w14:paraId="2F6DC475" w14:textId="77777777" w:rsidR="003E1385" w:rsidRPr="009944C2" w:rsidRDefault="003E1385" w:rsidP="003E1385">
      <w:pPr>
        <w:ind w:left="0" w:firstLine="646"/>
        <w:rPr>
          <w:color w:val="1F4E79"/>
          <w:szCs w:val="18"/>
          <w:lang w:eastAsia="es-DO"/>
        </w:rPr>
      </w:pPr>
    </w:p>
    <w:p w14:paraId="35EBD467" w14:textId="77777777" w:rsidR="00956891" w:rsidRPr="009944C2" w:rsidRDefault="00956891" w:rsidP="003E1385">
      <w:pPr>
        <w:ind w:left="0"/>
        <w:rPr>
          <w:rFonts w:ascii="Gotham Medium" w:hAnsi="Gotham Medium"/>
          <w:b/>
          <w:bCs/>
          <w:color w:val="1F4E79"/>
          <w:sz w:val="16"/>
          <w:szCs w:val="16"/>
        </w:rPr>
      </w:pPr>
      <w:r w:rsidRPr="009944C2">
        <w:rPr>
          <w:rFonts w:ascii="Gotham Medium" w:hAnsi="Gotham Medium"/>
          <w:b/>
          <w:bCs/>
          <w:color w:val="1F4E79"/>
          <w:sz w:val="16"/>
          <w:szCs w:val="16"/>
        </w:rPr>
        <w:t>Visión</w:t>
      </w:r>
    </w:p>
    <w:p w14:paraId="33404E9B" w14:textId="05FDB879" w:rsidR="00956891" w:rsidRPr="009944C2" w:rsidRDefault="00956891" w:rsidP="003E1385">
      <w:pPr>
        <w:ind w:left="0" w:firstLine="646"/>
        <w:rPr>
          <w:color w:val="1F4E79"/>
          <w:szCs w:val="18"/>
          <w:lang w:eastAsia="es-DO"/>
        </w:rPr>
      </w:pPr>
      <w:r w:rsidRPr="009944C2">
        <w:rPr>
          <w:color w:val="1F4E79"/>
          <w:szCs w:val="18"/>
          <w:lang w:eastAsia="es-DO"/>
        </w:rPr>
        <w:t>Ser reconocida como modelo en el manejo de los recursos generados por las empresas reformadas y al desarrollo del país, con una gestión de calidad, eficiente y eficaz.</w:t>
      </w:r>
    </w:p>
    <w:p w14:paraId="719AA1BE" w14:textId="77777777" w:rsidR="00750085" w:rsidRPr="009944C2" w:rsidRDefault="00750085" w:rsidP="002149C8">
      <w:pPr>
        <w:ind w:left="0" w:firstLine="646"/>
        <w:rPr>
          <w:color w:val="1F4E79"/>
          <w:szCs w:val="18"/>
          <w:lang w:eastAsia="es-DO"/>
        </w:rPr>
      </w:pPr>
    </w:p>
    <w:p w14:paraId="3B8C61BA" w14:textId="4649C8CF" w:rsidR="00956891" w:rsidRPr="009944C2" w:rsidRDefault="00750085" w:rsidP="002149C8">
      <w:pPr>
        <w:pStyle w:val="Prrafodelista"/>
        <w:numPr>
          <w:ilvl w:val="1"/>
          <w:numId w:val="1"/>
        </w:numPr>
        <w:ind w:left="426" w:hanging="426"/>
        <w:jc w:val="center"/>
        <w:outlineLvl w:val="1"/>
        <w:rPr>
          <w:rFonts w:ascii="Gotham Medium" w:hAnsi="Gotham Medium"/>
          <w:b/>
          <w:bCs/>
          <w:color w:val="1F4E79"/>
          <w:sz w:val="16"/>
          <w:szCs w:val="16"/>
        </w:rPr>
      </w:pPr>
      <w:bookmarkStart w:id="6" w:name="_Toc59540155"/>
      <w:r w:rsidRPr="009944C2">
        <w:rPr>
          <w:rFonts w:ascii="Gotham Medium" w:hAnsi="Gotham Medium"/>
          <w:b/>
          <w:bCs/>
          <w:color w:val="1F4E79"/>
          <w:sz w:val="16"/>
          <w:szCs w:val="16"/>
        </w:rPr>
        <w:t>BASE</w:t>
      </w:r>
      <w:r w:rsidR="00E52CE0" w:rsidRPr="009944C2">
        <w:rPr>
          <w:rFonts w:ascii="Gotham Medium" w:hAnsi="Gotham Medium"/>
          <w:b/>
          <w:bCs/>
          <w:color w:val="1F4E79"/>
          <w:sz w:val="16"/>
          <w:szCs w:val="16"/>
        </w:rPr>
        <w:t xml:space="preserve"> LEGAL INSTITUCIONAL</w:t>
      </w:r>
      <w:bookmarkEnd w:id="6"/>
    </w:p>
    <w:p w14:paraId="17A97D9A" w14:textId="77777777" w:rsidR="00750085" w:rsidRPr="00A04A97" w:rsidRDefault="00750085" w:rsidP="00DC2C23">
      <w:pPr>
        <w:ind w:left="0" w:firstLine="646"/>
        <w:rPr>
          <w:color w:val="1F4E79"/>
          <w:szCs w:val="18"/>
          <w:lang w:eastAsia="es-DO"/>
        </w:rPr>
      </w:pPr>
    </w:p>
    <w:p w14:paraId="4E26DD3E" w14:textId="77777777" w:rsidR="003E1385" w:rsidRDefault="00956891" w:rsidP="003E1385">
      <w:pPr>
        <w:ind w:left="0" w:firstLine="646"/>
        <w:rPr>
          <w:color w:val="1F4E79"/>
          <w:szCs w:val="18"/>
          <w:lang w:eastAsia="es-DO"/>
        </w:rPr>
      </w:pPr>
      <w:r w:rsidRPr="009944C2">
        <w:rPr>
          <w:color w:val="1F4E79"/>
          <w:szCs w:val="18"/>
          <w:lang w:eastAsia="es-DO"/>
        </w:rPr>
        <w:t xml:space="preserve">El 10 de junio de 1997 fue promulgada la Ley No.141-97, mediante la cual se creó la Comisión de Reforma de la Empresa Pública (CREP) como una entidad adscrita a la Presidencia de la República Dominicana.  La función principal de la CREP fue dirigir el proceso de reforma y transformación de la Corporación Dominicana de Electricidad (CDE), la Corporación Dominicana de Empresas Estatales (CORDE), el Consejo Estatal del Azúcar (CEA) y la Corporación de Fomento de la Industria Hotelera (CORPHOTEL), a fin de lograr la participación de la inversión privada, nacional y/o extranjera, en la propiedad y gestión de las entidades sujetas a la ley mediante las modalidades de capitalización, concesiones, transferencias de acciones y/o activos y venta de activos. </w:t>
      </w:r>
    </w:p>
    <w:p w14:paraId="49D174EA" w14:textId="77777777" w:rsidR="00E26B6A" w:rsidRDefault="00E26B6A" w:rsidP="003E1385">
      <w:pPr>
        <w:ind w:left="0" w:firstLine="646"/>
        <w:rPr>
          <w:color w:val="1F4E79"/>
          <w:szCs w:val="18"/>
          <w:lang w:eastAsia="es-DO"/>
        </w:rPr>
      </w:pPr>
    </w:p>
    <w:p w14:paraId="3B8F6A43" w14:textId="1CAB03DF" w:rsidR="00970072" w:rsidRPr="009944C2" w:rsidRDefault="00956891" w:rsidP="003E1385">
      <w:pPr>
        <w:ind w:left="0" w:firstLine="646"/>
        <w:rPr>
          <w:color w:val="1F4E79"/>
          <w:szCs w:val="18"/>
          <w:lang w:eastAsia="es-DO"/>
        </w:rPr>
      </w:pPr>
      <w:r w:rsidRPr="009944C2">
        <w:rPr>
          <w:color w:val="1F4E79"/>
          <w:szCs w:val="18"/>
          <w:lang w:eastAsia="es-DO"/>
        </w:rPr>
        <w:t>El artículo 20 de la Ley No.</w:t>
      </w:r>
      <w:r w:rsidR="00B354FE">
        <w:rPr>
          <w:color w:val="1F4E79"/>
          <w:szCs w:val="18"/>
          <w:lang w:eastAsia="es-DO"/>
        </w:rPr>
        <w:t xml:space="preserve"> </w:t>
      </w:r>
      <w:r w:rsidRPr="009944C2">
        <w:rPr>
          <w:color w:val="1F4E79"/>
          <w:szCs w:val="18"/>
          <w:lang w:eastAsia="es-DO"/>
        </w:rPr>
        <w:t>141-97 contempló la c</w:t>
      </w:r>
      <w:r w:rsidR="00970072" w:rsidRPr="009944C2">
        <w:rPr>
          <w:color w:val="1F4E79"/>
          <w:szCs w:val="18"/>
          <w:lang w:eastAsia="es-DO"/>
        </w:rPr>
        <w:t xml:space="preserve">reación de un Fondo Patrimonial </w:t>
      </w:r>
      <w:r w:rsidRPr="009944C2">
        <w:rPr>
          <w:color w:val="1F4E79"/>
          <w:szCs w:val="18"/>
          <w:lang w:eastAsia="es-DO"/>
        </w:rPr>
        <w:t>para el Desarrollo, en el cual se colocaría toda la propiedad accionaria del Estado en las empresas capitalizadas y/o los recursos generados por cualquiera otra de las modalidades establecidas en dicha ley.</w:t>
      </w:r>
    </w:p>
    <w:p w14:paraId="30348CA6" w14:textId="77777777" w:rsidR="00953BEC" w:rsidRPr="009944C2" w:rsidRDefault="00953BEC" w:rsidP="003E1385">
      <w:pPr>
        <w:ind w:left="0" w:firstLine="646"/>
        <w:rPr>
          <w:color w:val="1F4E79"/>
          <w:szCs w:val="18"/>
          <w:lang w:eastAsia="es-DO"/>
        </w:rPr>
      </w:pPr>
    </w:p>
    <w:p w14:paraId="5D2D9E75" w14:textId="1D285CEC" w:rsidR="00956891" w:rsidRPr="009944C2" w:rsidRDefault="00956891" w:rsidP="003E1385">
      <w:pPr>
        <w:ind w:left="0" w:firstLine="646"/>
        <w:rPr>
          <w:color w:val="1F4E79"/>
          <w:szCs w:val="18"/>
          <w:lang w:eastAsia="es-DO"/>
        </w:rPr>
      </w:pPr>
      <w:r w:rsidRPr="009944C2">
        <w:rPr>
          <w:color w:val="1F4E79"/>
          <w:szCs w:val="18"/>
          <w:lang w:eastAsia="es-DO"/>
        </w:rPr>
        <w:t>Para dar cumplimiento a esta disposición fue creado el Fondo Patrimonial para el Desarrollo, que luego fue llamado Fondo Patrimonial de las Empresas Reformadas (</w:t>
      </w:r>
      <w:r w:rsidR="00207340">
        <w:rPr>
          <w:color w:val="1F4E79"/>
          <w:szCs w:val="18"/>
          <w:lang w:eastAsia="es-DO"/>
        </w:rPr>
        <w:t>FONPER</w:t>
      </w:r>
      <w:r w:rsidRPr="009944C2">
        <w:rPr>
          <w:color w:val="1F4E79"/>
          <w:szCs w:val="18"/>
          <w:lang w:eastAsia="es-DO"/>
        </w:rPr>
        <w:t>), mediante la Ley No.</w:t>
      </w:r>
      <w:r w:rsidR="00B354FE">
        <w:rPr>
          <w:color w:val="1F4E79"/>
          <w:szCs w:val="18"/>
          <w:lang w:eastAsia="es-DO"/>
        </w:rPr>
        <w:t xml:space="preserve"> </w:t>
      </w:r>
      <w:r w:rsidRPr="009944C2">
        <w:rPr>
          <w:color w:val="1F4E79"/>
          <w:szCs w:val="18"/>
          <w:lang w:eastAsia="es-DO"/>
        </w:rPr>
        <w:t xml:space="preserve">124-01 de fecha 24 de julio de 2001. Los activos y recursos colocados en </w:t>
      </w:r>
      <w:r w:rsidR="00207340">
        <w:rPr>
          <w:color w:val="1F4E79"/>
          <w:szCs w:val="18"/>
          <w:lang w:eastAsia="es-DO"/>
        </w:rPr>
        <w:t>FONPER</w:t>
      </w:r>
      <w:r w:rsidRPr="009944C2">
        <w:rPr>
          <w:color w:val="1F4E79"/>
          <w:szCs w:val="18"/>
          <w:lang w:eastAsia="es-DO"/>
        </w:rPr>
        <w:t xml:space="preserve"> son el resultado de los activos que originalmente pertenecían a empresas autónomas del Estado, con patrimonio propio, que fueron aportadas por éste a nuevas sociedades comerciales, o que fueron objeto de otras de las modalidades de reforma previstas en la Ley No.</w:t>
      </w:r>
      <w:r w:rsidR="00B354FE">
        <w:rPr>
          <w:color w:val="1F4E79"/>
          <w:szCs w:val="18"/>
          <w:lang w:eastAsia="es-DO"/>
        </w:rPr>
        <w:t xml:space="preserve"> </w:t>
      </w:r>
      <w:r w:rsidRPr="009944C2">
        <w:rPr>
          <w:color w:val="1F4E79"/>
          <w:szCs w:val="18"/>
          <w:lang w:eastAsia="es-DO"/>
        </w:rPr>
        <w:t>141-97.</w:t>
      </w:r>
    </w:p>
    <w:p w14:paraId="74C643C0" w14:textId="77777777" w:rsidR="00953BEC" w:rsidRPr="009944C2" w:rsidRDefault="00953BEC" w:rsidP="003E1385">
      <w:pPr>
        <w:ind w:left="0" w:firstLine="646"/>
        <w:rPr>
          <w:color w:val="1F4E79"/>
          <w:szCs w:val="18"/>
          <w:lang w:eastAsia="es-DO"/>
        </w:rPr>
      </w:pPr>
    </w:p>
    <w:p w14:paraId="3A24E305" w14:textId="751D1639" w:rsidR="00956891" w:rsidRPr="009944C2" w:rsidRDefault="00956891" w:rsidP="003E1385">
      <w:pPr>
        <w:ind w:left="0" w:firstLine="646"/>
        <w:rPr>
          <w:color w:val="1F4E79"/>
          <w:szCs w:val="18"/>
          <w:lang w:eastAsia="es-DO"/>
        </w:rPr>
      </w:pPr>
      <w:r w:rsidRPr="009944C2">
        <w:rPr>
          <w:color w:val="1F4E79"/>
          <w:szCs w:val="18"/>
          <w:lang w:eastAsia="es-DO"/>
        </w:rPr>
        <w:t xml:space="preserve">El 29 de junio de 2003 fue emitido el Decreto No.631-03 donde se establece un Reglamento cuyo objeto es regular internamente el funcionamiento del </w:t>
      </w:r>
      <w:r w:rsidR="00207340">
        <w:rPr>
          <w:color w:val="1F4E79"/>
          <w:szCs w:val="18"/>
          <w:lang w:eastAsia="es-DO"/>
        </w:rPr>
        <w:t>FONPER</w:t>
      </w:r>
      <w:r w:rsidRPr="009944C2">
        <w:rPr>
          <w:color w:val="1F4E79"/>
          <w:szCs w:val="18"/>
          <w:lang w:eastAsia="es-DO"/>
        </w:rPr>
        <w:t>.</w:t>
      </w:r>
    </w:p>
    <w:p w14:paraId="19D140D3" w14:textId="72D1D314" w:rsidR="00750085" w:rsidRDefault="00750085" w:rsidP="002149C8">
      <w:pPr>
        <w:ind w:left="0" w:firstLine="646"/>
        <w:rPr>
          <w:color w:val="1F4E79"/>
          <w:szCs w:val="18"/>
          <w:lang w:eastAsia="es-DO"/>
        </w:rPr>
      </w:pPr>
    </w:p>
    <w:p w14:paraId="769B9CE0" w14:textId="0EE87DBF" w:rsidR="00E26B6A" w:rsidRDefault="00E26B6A" w:rsidP="002149C8">
      <w:pPr>
        <w:ind w:left="0" w:firstLine="646"/>
        <w:rPr>
          <w:color w:val="1F4E79"/>
          <w:szCs w:val="18"/>
          <w:lang w:eastAsia="es-DO"/>
        </w:rPr>
      </w:pPr>
    </w:p>
    <w:p w14:paraId="082CCEE6" w14:textId="0012311A" w:rsidR="00E26B6A" w:rsidRDefault="00E26B6A" w:rsidP="002149C8">
      <w:pPr>
        <w:ind w:left="0" w:firstLine="646"/>
        <w:rPr>
          <w:color w:val="1F4E79"/>
          <w:szCs w:val="18"/>
          <w:lang w:eastAsia="es-DO"/>
        </w:rPr>
      </w:pPr>
    </w:p>
    <w:p w14:paraId="54F26E77" w14:textId="76518D92" w:rsidR="00E26B6A" w:rsidRDefault="00E26B6A" w:rsidP="002149C8">
      <w:pPr>
        <w:ind w:left="0" w:firstLine="646"/>
        <w:rPr>
          <w:color w:val="1F4E79"/>
          <w:szCs w:val="18"/>
          <w:lang w:eastAsia="es-DO"/>
        </w:rPr>
      </w:pPr>
    </w:p>
    <w:p w14:paraId="31B10D48" w14:textId="463838BA" w:rsidR="00E26B6A" w:rsidRDefault="00E26B6A" w:rsidP="002149C8">
      <w:pPr>
        <w:ind w:left="0" w:firstLine="646"/>
        <w:rPr>
          <w:color w:val="1F4E79"/>
          <w:szCs w:val="18"/>
          <w:lang w:eastAsia="es-DO"/>
        </w:rPr>
      </w:pPr>
    </w:p>
    <w:p w14:paraId="5D4388FA" w14:textId="77777777" w:rsidR="003623C9" w:rsidRDefault="003623C9" w:rsidP="002149C8">
      <w:pPr>
        <w:ind w:left="0" w:firstLine="646"/>
        <w:rPr>
          <w:color w:val="1F4E79"/>
          <w:szCs w:val="18"/>
          <w:lang w:eastAsia="es-DO"/>
        </w:rPr>
      </w:pPr>
    </w:p>
    <w:p w14:paraId="3032130C" w14:textId="4DA41BD5" w:rsidR="00956891" w:rsidRPr="009944C2" w:rsidRDefault="00E52CE0" w:rsidP="003E1385">
      <w:pPr>
        <w:pStyle w:val="Prrafodelista"/>
        <w:numPr>
          <w:ilvl w:val="1"/>
          <w:numId w:val="1"/>
        </w:numPr>
        <w:ind w:left="426" w:hanging="426"/>
        <w:jc w:val="center"/>
        <w:outlineLvl w:val="1"/>
        <w:rPr>
          <w:rFonts w:ascii="Gotham Medium" w:hAnsi="Gotham Medium"/>
          <w:b/>
          <w:bCs/>
          <w:color w:val="1F4E79"/>
          <w:sz w:val="16"/>
          <w:szCs w:val="16"/>
        </w:rPr>
      </w:pPr>
      <w:bookmarkStart w:id="7" w:name="_Toc59540156"/>
      <w:r w:rsidRPr="009944C2">
        <w:rPr>
          <w:rFonts w:ascii="Gotham Medium" w:hAnsi="Gotham Medium"/>
          <w:b/>
          <w:bCs/>
          <w:color w:val="1F4E79"/>
          <w:sz w:val="16"/>
          <w:szCs w:val="16"/>
        </w:rPr>
        <w:t>PRINCIPALES FUNCIONARIOS</w:t>
      </w:r>
      <w:bookmarkEnd w:id="7"/>
    </w:p>
    <w:p w14:paraId="33208EEA" w14:textId="77777777" w:rsidR="001D7E28" w:rsidRPr="003E1385" w:rsidRDefault="001D7E28" w:rsidP="00E26B6A">
      <w:pPr>
        <w:ind w:left="0" w:firstLine="646"/>
        <w:rPr>
          <w:color w:val="1F4E79"/>
          <w:szCs w:val="18"/>
          <w:lang w:eastAsia="es-DO"/>
        </w:rPr>
      </w:pPr>
    </w:p>
    <w:p w14:paraId="78913E84" w14:textId="3EFDBF53" w:rsidR="00970072" w:rsidRDefault="00956891" w:rsidP="00D618E7">
      <w:pPr>
        <w:ind w:left="0" w:firstLine="646"/>
        <w:rPr>
          <w:b/>
          <w:color w:val="1F4E79"/>
          <w:szCs w:val="18"/>
          <w:u w:val="single"/>
          <w:lang w:eastAsia="es-DO"/>
        </w:rPr>
      </w:pPr>
      <w:r w:rsidRPr="003E1385">
        <w:rPr>
          <w:b/>
          <w:color w:val="1F4E79"/>
          <w:szCs w:val="18"/>
          <w:u w:val="single"/>
          <w:lang w:eastAsia="es-DO"/>
        </w:rPr>
        <w:t>Consejo de Directores</w:t>
      </w:r>
    </w:p>
    <w:p w14:paraId="27A1B769" w14:textId="77777777" w:rsidR="003E1385" w:rsidRPr="003E1385" w:rsidRDefault="003E1385" w:rsidP="00D618E7">
      <w:pPr>
        <w:ind w:left="0" w:firstLine="646"/>
        <w:rPr>
          <w:color w:val="1F4E79"/>
          <w:szCs w:val="18"/>
          <w:lang w:eastAsia="es-DO"/>
        </w:rPr>
      </w:pPr>
    </w:p>
    <w:p w14:paraId="316CEA1E" w14:textId="2671D799" w:rsidR="00953BEC" w:rsidRPr="00632954" w:rsidRDefault="00956891" w:rsidP="00D618E7">
      <w:pPr>
        <w:ind w:left="0" w:firstLine="646"/>
        <w:rPr>
          <w:color w:val="1F4E79"/>
          <w:szCs w:val="18"/>
          <w:lang w:eastAsia="es-DO"/>
        </w:rPr>
      </w:pPr>
      <w:r w:rsidRPr="009944C2">
        <w:rPr>
          <w:color w:val="1F4E79"/>
          <w:szCs w:val="18"/>
          <w:lang w:eastAsia="es-DO"/>
        </w:rPr>
        <w:t xml:space="preserve">Es el organismo de máxima jerarquía de la institución y el encargado de velar por el cumplimiento de su misión. El mismo está integrado por un Presidente, un Vicepresidente y ocho miembros. El presidente es el representante legal y se encarga de ejecutar las decisiones y medidas emanadas de dicho Consejo, a través de cada una de las áreas estratégicas y operativas de la </w:t>
      </w:r>
      <w:r w:rsidRPr="00632954">
        <w:rPr>
          <w:color w:val="1F4E79"/>
          <w:szCs w:val="18"/>
          <w:lang w:eastAsia="es-DO"/>
        </w:rPr>
        <w:t>institución</w:t>
      </w:r>
      <w:r w:rsidR="00E26B6A" w:rsidRPr="00632954">
        <w:rPr>
          <w:color w:val="1F4E79"/>
          <w:szCs w:val="18"/>
          <w:lang w:eastAsia="es-DO"/>
        </w:rPr>
        <w:t xml:space="preserve"> y </w:t>
      </w:r>
      <w:r w:rsidR="00953BEC" w:rsidRPr="00632954">
        <w:rPr>
          <w:color w:val="1F4E79"/>
          <w:szCs w:val="18"/>
          <w:lang w:eastAsia="es-DO"/>
        </w:rPr>
        <w:t>e</w:t>
      </w:r>
      <w:r w:rsidRPr="00632954">
        <w:rPr>
          <w:color w:val="1F4E79"/>
          <w:szCs w:val="18"/>
          <w:lang w:eastAsia="es-DO"/>
        </w:rPr>
        <w:t>stá conformado de la siguiente manera:</w:t>
      </w:r>
    </w:p>
    <w:p w14:paraId="77D13E39" w14:textId="77777777" w:rsidR="001D7E28" w:rsidRPr="003E1385" w:rsidRDefault="001D7E28" w:rsidP="00632954">
      <w:pPr>
        <w:ind w:left="0" w:firstLine="646"/>
        <w:rPr>
          <w:color w:val="1F4E79"/>
          <w:szCs w:val="18"/>
          <w:lang w:eastAsia="es-DO"/>
        </w:rPr>
      </w:pPr>
    </w:p>
    <w:p w14:paraId="67DDB4F4" w14:textId="77777777" w:rsidR="001D7E28" w:rsidRPr="003E1385" w:rsidRDefault="00956891" w:rsidP="00D618E7">
      <w:pPr>
        <w:rPr>
          <w:color w:val="1F4E79"/>
          <w:szCs w:val="18"/>
          <w:lang w:eastAsia="es-DO"/>
        </w:rPr>
      </w:pPr>
      <w:r w:rsidRPr="003E1385">
        <w:rPr>
          <w:color w:val="1F4E79"/>
          <w:szCs w:val="18"/>
          <w:lang w:eastAsia="es-DO"/>
        </w:rPr>
        <w:t>José Florentino Rodríguez</w:t>
      </w:r>
      <w:r w:rsidRPr="003E1385">
        <w:rPr>
          <w:color w:val="1F4E79"/>
          <w:szCs w:val="18"/>
          <w:lang w:eastAsia="es-DO"/>
        </w:rPr>
        <w:tab/>
        <w:t>Presidente</w:t>
      </w:r>
    </w:p>
    <w:p w14:paraId="5672E504" w14:textId="5B6FB774" w:rsidR="00956891" w:rsidRPr="003E1385" w:rsidRDefault="00956891" w:rsidP="00D618E7">
      <w:pPr>
        <w:rPr>
          <w:color w:val="1F4E79"/>
          <w:szCs w:val="18"/>
          <w:lang w:eastAsia="es-DO"/>
        </w:rPr>
      </w:pPr>
      <w:r w:rsidRPr="003E1385">
        <w:rPr>
          <w:color w:val="1F4E79"/>
          <w:szCs w:val="18"/>
          <w:lang w:eastAsia="es-DO"/>
        </w:rPr>
        <w:t>Josefina Vega</w:t>
      </w:r>
      <w:r w:rsidRPr="003E1385">
        <w:rPr>
          <w:color w:val="1F4E79"/>
          <w:szCs w:val="18"/>
          <w:lang w:eastAsia="es-DO"/>
        </w:rPr>
        <w:tab/>
      </w:r>
      <w:r w:rsidRPr="003E1385">
        <w:rPr>
          <w:color w:val="1F4E79"/>
          <w:szCs w:val="18"/>
          <w:lang w:eastAsia="es-DO"/>
        </w:rPr>
        <w:tab/>
      </w:r>
      <w:r w:rsidRPr="003E1385">
        <w:rPr>
          <w:color w:val="1F4E79"/>
          <w:szCs w:val="18"/>
          <w:lang w:eastAsia="es-DO"/>
        </w:rPr>
        <w:tab/>
        <w:t>Vice-Presidente</w:t>
      </w:r>
    </w:p>
    <w:p w14:paraId="10C8B17C" w14:textId="77777777" w:rsidR="00956891" w:rsidRPr="003E1385" w:rsidRDefault="00956891" w:rsidP="00D618E7">
      <w:pPr>
        <w:rPr>
          <w:color w:val="1F4E79"/>
          <w:szCs w:val="18"/>
          <w:lang w:eastAsia="es-DO"/>
        </w:rPr>
      </w:pPr>
      <w:r w:rsidRPr="003E1385">
        <w:rPr>
          <w:color w:val="1F4E79"/>
          <w:szCs w:val="18"/>
          <w:lang w:eastAsia="es-DO"/>
        </w:rPr>
        <w:t>Ranulfo Rodríguez</w:t>
      </w:r>
      <w:r w:rsidRPr="003E1385">
        <w:rPr>
          <w:color w:val="1F4E79"/>
          <w:szCs w:val="18"/>
          <w:lang w:eastAsia="es-DO"/>
        </w:rPr>
        <w:tab/>
      </w:r>
      <w:r w:rsidRPr="003E1385">
        <w:rPr>
          <w:color w:val="1F4E79"/>
          <w:szCs w:val="18"/>
          <w:lang w:eastAsia="es-DO"/>
        </w:rPr>
        <w:tab/>
        <w:t>Representante MEPyD</w:t>
      </w:r>
    </w:p>
    <w:p w14:paraId="7E4D8C27" w14:textId="2245F958" w:rsidR="00956891" w:rsidRPr="003E1385" w:rsidRDefault="00956891" w:rsidP="00D618E7">
      <w:pPr>
        <w:rPr>
          <w:color w:val="1F4E79"/>
          <w:szCs w:val="18"/>
          <w:lang w:eastAsia="es-DO"/>
        </w:rPr>
      </w:pPr>
      <w:r w:rsidRPr="003E1385">
        <w:rPr>
          <w:color w:val="1F4E79"/>
          <w:szCs w:val="18"/>
          <w:lang w:eastAsia="es-DO"/>
        </w:rPr>
        <w:t>Santos Sánchez</w:t>
      </w:r>
      <w:r w:rsidRPr="003E1385">
        <w:rPr>
          <w:color w:val="1F4E79"/>
          <w:szCs w:val="18"/>
          <w:lang w:eastAsia="es-DO"/>
        </w:rPr>
        <w:tab/>
      </w:r>
      <w:r w:rsidR="009C4CF6" w:rsidRPr="003E1385">
        <w:rPr>
          <w:color w:val="1F4E79"/>
          <w:szCs w:val="18"/>
          <w:lang w:eastAsia="es-DO"/>
        </w:rPr>
        <w:tab/>
      </w:r>
      <w:r w:rsidRPr="003E1385">
        <w:rPr>
          <w:color w:val="1F4E79"/>
          <w:szCs w:val="18"/>
          <w:lang w:eastAsia="es-DO"/>
        </w:rPr>
        <w:t>Representante Sector Sindical</w:t>
      </w:r>
    </w:p>
    <w:p w14:paraId="0006B786" w14:textId="6BE16CAC" w:rsidR="00956891" w:rsidRPr="003E1385" w:rsidRDefault="00956891" w:rsidP="00D618E7">
      <w:pPr>
        <w:rPr>
          <w:color w:val="1F4E79"/>
          <w:szCs w:val="18"/>
          <w:lang w:eastAsia="es-DO"/>
        </w:rPr>
      </w:pPr>
      <w:r w:rsidRPr="003E1385">
        <w:rPr>
          <w:color w:val="1F4E79"/>
          <w:szCs w:val="18"/>
          <w:lang w:eastAsia="es-DO"/>
        </w:rPr>
        <w:t>Betty Soto Viñas</w:t>
      </w:r>
      <w:r w:rsidRPr="003E1385">
        <w:rPr>
          <w:color w:val="1F4E79"/>
          <w:szCs w:val="18"/>
          <w:lang w:eastAsia="es-DO"/>
        </w:rPr>
        <w:tab/>
      </w:r>
      <w:r w:rsidR="009C4CF6" w:rsidRPr="003E1385">
        <w:rPr>
          <w:color w:val="1F4E79"/>
          <w:szCs w:val="18"/>
          <w:lang w:eastAsia="es-DO"/>
        </w:rPr>
        <w:tab/>
      </w:r>
      <w:r w:rsidRPr="003E1385">
        <w:rPr>
          <w:color w:val="1F4E79"/>
          <w:szCs w:val="18"/>
          <w:lang w:eastAsia="es-DO"/>
        </w:rPr>
        <w:t>Ministerio de la Presidencia en representación de CORDE</w:t>
      </w:r>
    </w:p>
    <w:p w14:paraId="1CBB2CD4" w14:textId="1E43956D" w:rsidR="00956891" w:rsidRPr="003E1385" w:rsidRDefault="00956891" w:rsidP="00D618E7">
      <w:pPr>
        <w:rPr>
          <w:color w:val="1F4E79"/>
          <w:szCs w:val="18"/>
          <w:lang w:eastAsia="es-DO"/>
        </w:rPr>
      </w:pPr>
      <w:r w:rsidRPr="003E1385">
        <w:rPr>
          <w:color w:val="1F4E79"/>
          <w:szCs w:val="18"/>
          <w:lang w:eastAsia="es-DO"/>
        </w:rPr>
        <w:t>Rosendo A. Borg</w:t>
      </w:r>
      <w:r w:rsidR="00B354FE">
        <w:rPr>
          <w:color w:val="1F4E79"/>
          <w:szCs w:val="18"/>
          <w:lang w:eastAsia="es-DO"/>
        </w:rPr>
        <w:t>es</w:t>
      </w:r>
      <w:r w:rsidRPr="003E1385">
        <w:rPr>
          <w:color w:val="1F4E79"/>
          <w:szCs w:val="18"/>
          <w:lang w:eastAsia="es-DO"/>
        </w:rPr>
        <w:tab/>
      </w:r>
      <w:r w:rsidRPr="003E1385">
        <w:rPr>
          <w:color w:val="1F4E79"/>
          <w:szCs w:val="18"/>
          <w:lang w:eastAsia="es-DO"/>
        </w:rPr>
        <w:tab/>
        <w:t>Representante CORPHOTEL</w:t>
      </w:r>
    </w:p>
    <w:p w14:paraId="53B38DBE" w14:textId="364F1166" w:rsidR="00956891" w:rsidRPr="003E1385" w:rsidRDefault="00956891" w:rsidP="00D618E7">
      <w:pPr>
        <w:rPr>
          <w:color w:val="1F4E79"/>
          <w:szCs w:val="18"/>
          <w:lang w:eastAsia="es-DO"/>
        </w:rPr>
      </w:pPr>
      <w:r w:rsidRPr="003E1385">
        <w:rPr>
          <w:color w:val="1F4E79"/>
          <w:szCs w:val="18"/>
          <w:lang w:eastAsia="es-DO"/>
        </w:rPr>
        <w:t xml:space="preserve">César R. Dargam </w:t>
      </w:r>
      <w:r w:rsidRPr="003E1385">
        <w:rPr>
          <w:color w:val="1F4E79"/>
          <w:szCs w:val="18"/>
          <w:lang w:eastAsia="es-DO"/>
        </w:rPr>
        <w:tab/>
      </w:r>
      <w:r w:rsidR="009C4CF6" w:rsidRPr="003E1385">
        <w:rPr>
          <w:color w:val="1F4E79"/>
          <w:szCs w:val="18"/>
          <w:lang w:eastAsia="es-DO"/>
        </w:rPr>
        <w:tab/>
      </w:r>
      <w:r w:rsidRPr="003E1385">
        <w:rPr>
          <w:color w:val="1F4E79"/>
          <w:szCs w:val="18"/>
          <w:lang w:eastAsia="es-DO"/>
        </w:rPr>
        <w:t>Representante del CONEP</w:t>
      </w:r>
    </w:p>
    <w:p w14:paraId="2A519980" w14:textId="2A3F52EF" w:rsidR="00956891" w:rsidRPr="003E1385" w:rsidRDefault="00956891" w:rsidP="00D618E7">
      <w:pPr>
        <w:ind w:left="0" w:firstLine="284"/>
        <w:rPr>
          <w:color w:val="1F4E79"/>
          <w:szCs w:val="18"/>
          <w:lang w:eastAsia="es-DO"/>
        </w:rPr>
      </w:pPr>
      <w:r w:rsidRPr="003E1385">
        <w:rPr>
          <w:color w:val="1F4E79"/>
          <w:szCs w:val="18"/>
          <w:lang w:eastAsia="es-DO"/>
        </w:rPr>
        <w:t>Freddy Florián Lara</w:t>
      </w:r>
      <w:r w:rsidRPr="003E1385">
        <w:rPr>
          <w:color w:val="1F4E79"/>
          <w:szCs w:val="18"/>
          <w:lang w:eastAsia="es-DO"/>
        </w:rPr>
        <w:tab/>
      </w:r>
      <w:r w:rsidRPr="003E1385">
        <w:rPr>
          <w:color w:val="1F4E79"/>
          <w:szCs w:val="18"/>
          <w:lang w:eastAsia="es-DO"/>
        </w:rPr>
        <w:tab/>
        <w:t>Ministerio Energía y Minas en representación de CDEEE.</w:t>
      </w:r>
    </w:p>
    <w:p w14:paraId="177A976C" w14:textId="77777777" w:rsidR="00956891" w:rsidRPr="003E1385" w:rsidRDefault="00956891" w:rsidP="00D618E7">
      <w:pPr>
        <w:rPr>
          <w:color w:val="1F4E79"/>
          <w:szCs w:val="18"/>
          <w:lang w:eastAsia="es-DO"/>
        </w:rPr>
      </w:pPr>
      <w:r w:rsidRPr="003E1385">
        <w:rPr>
          <w:color w:val="1F4E79"/>
          <w:szCs w:val="18"/>
          <w:lang w:eastAsia="es-DO"/>
        </w:rPr>
        <w:t>Héctor Ricart</w:t>
      </w:r>
      <w:r w:rsidRPr="003E1385">
        <w:rPr>
          <w:color w:val="1F4E79"/>
          <w:szCs w:val="18"/>
          <w:lang w:eastAsia="es-DO"/>
        </w:rPr>
        <w:tab/>
      </w:r>
      <w:r w:rsidRPr="003E1385">
        <w:rPr>
          <w:color w:val="1F4E79"/>
          <w:szCs w:val="18"/>
          <w:lang w:eastAsia="es-DO"/>
        </w:rPr>
        <w:tab/>
      </w:r>
      <w:r w:rsidRPr="003E1385">
        <w:rPr>
          <w:color w:val="1F4E79"/>
          <w:szCs w:val="18"/>
          <w:lang w:eastAsia="es-DO"/>
        </w:rPr>
        <w:tab/>
        <w:t>Representante del CEA</w:t>
      </w:r>
    </w:p>
    <w:p w14:paraId="550FCE7E" w14:textId="77777777" w:rsidR="00956891" w:rsidRPr="003E1385" w:rsidRDefault="00956891" w:rsidP="00D618E7">
      <w:pPr>
        <w:rPr>
          <w:color w:val="1F4E79"/>
          <w:szCs w:val="18"/>
          <w:lang w:eastAsia="es-DO"/>
        </w:rPr>
      </w:pPr>
      <w:r w:rsidRPr="003E1385">
        <w:rPr>
          <w:color w:val="1F4E79"/>
          <w:szCs w:val="18"/>
          <w:lang w:eastAsia="es-DO"/>
        </w:rPr>
        <w:t xml:space="preserve">Derby De Los Santos </w:t>
      </w:r>
      <w:r w:rsidRPr="003E1385">
        <w:rPr>
          <w:color w:val="1F4E79"/>
          <w:szCs w:val="18"/>
          <w:lang w:eastAsia="es-DO"/>
        </w:rPr>
        <w:tab/>
      </w:r>
      <w:r w:rsidRPr="003E1385">
        <w:rPr>
          <w:color w:val="1F4E79"/>
          <w:szCs w:val="18"/>
          <w:lang w:eastAsia="es-DO"/>
        </w:rPr>
        <w:tab/>
        <w:t>Representante Ministerio de Hacienda</w:t>
      </w:r>
    </w:p>
    <w:p w14:paraId="1461ED4D" w14:textId="59B0DB4F" w:rsidR="00953BEC" w:rsidRDefault="00953BEC" w:rsidP="00D618E7">
      <w:pPr>
        <w:ind w:left="0" w:firstLine="646"/>
        <w:rPr>
          <w:color w:val="1F4E79"/>
          <w:szCs w:val="18"/>
          <w:lang w:eastAsia="es-DO"/>
        </w:rPr>
      </w:pPr>
    </w:p>
    <w:p w14:paraId="137A4D94" w14:textId="569AD442" w:rsidR="00956891" w:rsidRPr="00A03D2A" w:rsidRDefault="00956891" w:rsidP="00D618E7">
      <w:pPr>
        <w:ind w:left="0" w:firstLine="646"/>
        <w:rPr>
          <w:b/>
          <w:color w:val="1F4E79"/>
          <w:szCs w:val="18"/>
          <w:u w:val="single"/>
          <w:lang w:eastAsia="es-DO"/>
        </w:rPr>
      </w:pPr>
      <w:r w:rsidRPr="00A03D2A">
        <w:rPr>
          <w:b/>
          <w:color w:val="1F4E79"/>
          <w:szCs w:val="18"/>
          <w:u w:val="single"/>
          <w:lang w:eastAsia="es-DO"/>
        </w:rPr>
        <w:t>Equipo Directivo</w:t>
      </w:r>
    </w:p>
    <w:p w14:paraId="33637414" w14:textId="77777777" w:rsidR="006C7539" w:rsidRPr="003E1385" w:rsidRDefault="006C7539" w:rsidP="00D618E7">
      <w:pPr>
        <w:rPr>
          <w:color w:val="1F4E79"/>
          <w:szCs w:val="18"/>
          <w:lang w:eastAsia="es-DO"/>
        </w:rPr>
      </w:pPr>
    </w:p>
    <w:p w14:paraId="55FEDCF0" w14:textId="6378FBDF" w:rsidR="00956891" w:rsidRPr="00A03D2A" w:rsidRDefault="00956891" w:rsidP="00D618E7">
      <w:pPr>
        <w:rPr>
          <w:color w:val="1F4E79"/>
          <w:szCs w:val="18"/>
          <w:lang w:eastAsia="es-DO"/>
        </w:rPr>
      </w:pPr>
      <w:r w:rsidRPr="00A03D2A">
        <w:rPr>
          <w:color w:val="1F4E79"/>
          <w:szCs w:val="18"/>
          <w:lang w:eastAsia="es-DO"/>
        </w:rPr>
        <w:t>José Florentino Rodríguez</w:t>
      </w:r>
      <w:r w:rsidRPr="00A03D2A">
        <w:rPr>
          <w:color w:val="1F4E79"/>
          <w:szCs w:val="18"/>
          <w:lang w:eastAsia="es-DO"/>
        </w:rPr>
        <w:tab/>
        <w:t>Presidente</w:t>
      </w:r>
    </w:p>
    <w:p w14:paraId="2D6EC98A" w14:textId="4EB05E88" w:rsidR="00956891" w:rsidRPr="00A03D2A" w:rsidRDefault="00956891" w:rsidP="00D618E7">
      <w:pPr>
        <w:rPr>
          <w:color w:val="1F4E79"/>
          <w:szCs w:val="18"/>
          <w:lang w:eastAsia="es-DO"/>
        </w:rPr>
      </w:pPr>
      <w:r w:rsidRPr="00A03D2A">
        <w:rPr>
          <w:color w:val="1F4E79"/>
          <w:szCs w:val="18"/>
          <w:lang w:eastAsia="es-DO"/>
        </w:rPr>
        <w:t>Josefina Vega</w:t>
      </w:r>
      <w:r w:rsidRPr="00A03D2A">
        <w:rPr>
          <w:color w:val="1F4E79"/>
          <w:szCs w:val="18"/>
          <w:lang w:eastAsia="es-DO"/>
        </w:rPr>
        <w:tab/>
      </w:r>
      <w:r w:rsidRPr="00A03D2A">
        <w:rPr>
          <w:color w:val="1F4E79"/>
          <w:szCs w:val="18"/>
          <w:lang w:eastAsia="es-DO"/>
        </w:rPr>
        <w:tab/>
      </w:r>
      <w:r w:rsidR="00A03D2A">
        <w:rPr>
          <w:color w:val="1F4E79"/>
          <w:szCs w:val="18"/>
          <w:lang w:eastAsia="es-DO"/>
        </w:rPr>
        <w:tab/>
      </w:r>
      <w:r w:rsidRPr="00A03D2A">
        <w:rPr>
          <w:color w:val="1F4E79"/>
          <w:szCs w:val="18"/>
          <w:lang w:eastAsia="es-DO"/>
        </w:rPr>
        <w:t xml:space="preserve">Vicepresidente </w:t>
      </w:r>
    </w:p>
    <w:p w14:paraId="0E36919F" w14:textId="15C26F61" w:rsidR="00956891" w:rsidRPr="00A03D2A" w:rsidRDefault="00956891" w:rsidP="00D618E7">
      <w:pPr>
        <w:rPr>
          <w:color w:val="1F4E79"/>
          <w:szCs w:val="18"/>
          <w:lang w:eastAsia="es-DO"/>
        </w:rPr>
      </w:pPr>
      <w:r w:rsidRPr="00A03D2A">
        <w:rPr>
          <w:color w:val="1F4E79"/>
          <w:szCs w:val="18"/>
          <w:lang w:eastAsia="es-DO"/>
        </w:rPr>
        <w:t>Salvador Ricourt</w:t>
      </w:r>
      <w:r w:rsidRPr="00A03D2A">
        <w:rPr>
          <w:color w:val="1F4E79"/>
          <w:szCs w:val="18"/>
          <w:lang w:eastAsia="es-DO"/>
        </w:rPr>
        <w:tab/>
      </w:r>
      <w:r w:rsidRPr="00A03D2A">
        <w:rPr>
          <w:color w:val="1F4E79"/>
          <w:szCs w:val="18"/>
          <w:lang w:eastAsia="es-DO"/>
        </w:rPr>
        <w:tab/>
        <w:t>Director Gestión Patrimonial</w:t>
      </w:r>
    </w:p>
    <w:p w14:paraId="5E7D361C" w14:textId="77777777" w:rsidR="00956891" w:rsidRPr="00A03D2A" w:rsidRDefault="00956891" w:rsidP="00D618E7">
      <w:pPr>
        <w:rPr>
          <w:color w:val="1F4E79"/>
          <w:szCs w:val="18"/>
          <w:lang w:eastAsia="es-DO"/>
        </w:rPr>
      </w:pPr>
      <w:r w:rsidRPr="00A03D2A">
        <w:rPr>
          <w:color w:val="1F4E79"/>
          <w:szCs w:val="18"/>
          <w:lang w:eastAsia="es-DO"/>
        </w:rPr>
        <w:t>Marleny Medrano</w:t>
      </w:r>
      <w:r w:rsidRPr="00A03D2A">
        <w:rPr>
          <w:color w:val="1F4E79"/>
          <w:szCs w:val="18"/>
          <w:lang w:eastAsia="es-DO"/>
        </w:rPr>
        <w:tab/>
      </w:r>
      <w:r w:rsidRPr="00A03D2A">
        <w:rPr>
          <w:color w:val="1F4E79"/>
          <w:szCs w:val="18"/>
          <w:lang w:eastAsia="es-DO"/>
        </w:rPr>
        <w:tab/>
        <w:t>Directora Administrativa - Financiera</w:t>
      </w:r>
    </w:p>
    <w:p w14:paraId="0491B69A" w14:textId="65B6A016" w:rsidR="00956891" w:rsidRPr="00A03D2A" w:rsidRDefault="00956891" w:rsidP="00D618E7">
      <w:pPr>
        <w:rPr>
          <w:color w:val="1F4E79"/>
          <w:szCs w:val="18"/>
          <w:lang w:eastAsia="es-DO"/>
        </w:rPr>
      </w:pPr>
      <w:r w:rsidRPr="00A03D2A">
        <w:rPr>
          <w:color w:val="1F4E79"/>
          <w:szCs w:val="18"/>
          <w:lang w:eastAsia="es-DO"/>
        </w:rPr>
        <w:t>Maritza Ortiz</w:t>
      </w:r>
      <w:r w:rsidRPr="00A03D2A">
        <w:rPr>
          <w:color w:val="1F4E79"/>
          <w:szCs w:val="18"/>
          <w:lang w:eastAsia="es-DO"/>
        </w:rPr>
        <w:tab/>
      </w:r>
      <w:r w:rsidRPr="00A03D2A">
        <w:rPr>
          <w:color w:val="1F4E79"/>
          <w:szCs w:val="18"/>
          <w:lang w:eastAsia="es-DO"/>
        </w:rPr>
        <w:tab/>
      </w:r>
      <w:r w:rsidR="00A03D2A">
        <w:rPr>
          <w:color w:val="1F4E79"/>
          <w:szCs w:val="18"/>
          <w:lang w:eastAsia="es-DO"/>
        </w:rPr>
        <w:tab/>
      </w:r>
      <w:r w:rsidRPr="00A03D2A">
        <w:rPr>
          <w:color w:val="1F4E79"/>
          <w:szCs w:val="18"/>
          <w:lang w:eastAsia="es-DO"/>
        </w:rPr>
        <w:t>Encargada Dirección de Proyectos Construcciones</w:t>
      </w:r>
    </w:p>
    <w:p w14:paraId="6516F108" w14:textId="6E64C2C8" w:rsidR="00956891" w:rsidRPr="00A03D2A" w:rsidRDefault="00956891" w:rsidP="00D618E7">
      <w:pPr>
        <w:rPr>
          <w:color w:val="1F4E79"/>
          <w:szCs w:val="18"/>
          <w:lang w:eastAsia="es-DO"/>
        </w:rPr>
      </w:pPr>
      <w:r w:rsidRPr="00A03D2A">
        <w:rPr>
          <w:color w:val="1F4E79"/>
          <w:szCs w:val="18"/>
          <w:lang w:eastAsia="es-DO"/>
        </w:rPr>
        <w:t>Luís Antonio Moquete</w:t>
      </w:r>
      <w:r w:rsidRPr="00A03D2A">
        <w:rPr>
          <w:color w:val="1F4E79"/>
          <w:szCs w:val="18"/>
          <w:lang w:eastAsia="es-DO"/>
        </w:rPr>
        <w:tab/>
        <w:t>Encargado Departamento Jurídico</w:t>
      </w:r>
    </w:p>
    <w:p w14:paraId="3C29BDDC" w14:textId="77777777" w:rsidR="00956891" w:rsidRPr="00A03D2A" w:rsidRDefault="00956891" w:rsidP="00D618E7">
      <w:pPr>
        <w:rPr>
          <w:color w:val="1F4E79"/>
          <w:szCs w:val="18"/>
          <w:lang w:eastAsia="es-DO"/>
        </w:rPr>
      </w:pPr>
      <w:r w:rsidRPr="00A03D2A">
        <w:rPr>
          <w:color w:val="1F4E79"/>
          <w:szCs w:val="18"/>
          <w:lang w:eastAsia="es-DO"/>
        </w:rPr>
        <w:t>Mayrubi Lázaro V.</w:t>
      </w:r>
      <w:r w:rsidRPr="00A03D2A">
        <w:rPr>
          <w:color w:val="1F4E79"/>
          <w:szCs w:val="18"/>
          <w:lang w:eastAsia="es-DO"/>
        </w:rPr>
        <w:tab/>
      </w:r>
      <w:r w:rsidRPr="00A03D2A">
        <w:rPr>
          <w:color w:val="1F4E79"/>
          <w:szCs w:val="18"/>
          <w:lang w:eastAsia="es-DO"/>
        </w:rPr>
        <w:tab/>
        <w:t>Encargada Departamento Recursos Humanos</w:t>
      </w:r>
    </w:p>
    <w:p w14:paraId="286587BA" w14:textId="45BE0749" w:rsidR="00956891" w:rsidRPr="00A03D2A" w:rsidRDefault="00956891" w:rsidP="00D618E7">
      <w:pPr>
        <w:rPr>
          <w:color w:val="1F4E79"/>
          <w:szCs w:val="18"/>
          <w:lang w:eastAsia="es-DO"/>
        </w:rPr>
      </w:pPr>
      <w:r w:rsidRPr="00A03D2A">
        <w:rPr>
          <w:color w:val="1F4E79"/>
          <w:szCs w:val="18"/>
          <w:lang w:eastAsia="es-DO"/>
        </w:rPr>
        <w:t xml:space="preserve">Sauri Ramírez </w:t>
      </w:r>
      <w:r w:rsidRPr="00A03D2A">
        <w:rPr>
          <w:color w:val="1F4E79"/>
          <w:szCs w:val="18"/>
          <w:lang w:eastAsia="es-DO"/>
        </w:rPr>
        <w:tab/>
      </w:r>
      <w:r w:rsidRPr="00A03D2A">
        <w:rPr>
          <w:color w:val="1F4E79"/>
          <w:szCs w:val="18"/>
          <w:lang w:eastAsia="es-DO"/>
        </w:rPr>
        <w:tab/>
        <w:t>Encargado Departamento Comunicaciones</w:t>
      </w:r>
    </w:p>
    <w:p w14:paraId="5A14A623" w14:textId="7D4BAD5F" w:rsidR="00956891" w:rsidRPr="00A03D2A" w:rsidRDefault="00D254F0" w:rsidP="00D618E7">
      <w:pPr>
        <w:rPr>
          <w:color w:val="1F4E79"/>
          <w:szCs w:val="18"/>
          <w:lang w:eastAsia="es-DO"/>
        </w:rPr>
      </w:pPr>
      <w:r>
        <w:rPr>
          <w:color w:val="1F4E79"/>
          <w:szCs w:val="18"/>
          <w:lang w:eastAsia="es-DO"/>
        </w:rPr>
        <w:t>José Peg</w:t>
      </w:r>
      <w:r w:rsidR="00956891" w:rsidRPr="00A03D2A">
        <w:rPr>
          <w:color w:val="1F4E79"/>
          <w:szCs w:val="18"/>
          <w:lang w:eastAsia="es-DO"/>
        </w:rPr>
        <w:t>uero</w:t>
      </w:r>
      <w:r w:rsidR="00956891" w:rsidRPr="00A03D2A">
        <w:rPr>
          <w:color w:val="1F4E79"/>
          <w:szCs w:val="18"/>
          <w:lang w:eastAsia="es-DO"/>
        </w:rPr>
        <w:tab/>
      </w:r>
      <w:r w:rsidR="00956891" w:rsidRPr="00A03D2A">
        <w:rPr>
          <w:color w:val="1F4E79"/>
          <w:szCs w:val="18"/>
          <w:lang w:eastAsia="es-DO"/>
        </w:rPr>
        <w:tab/>
      </w:r>
      <w:r w:rsidR="00956891" w:rsidRPr="00A03D2A">
        <w:rPr>
          <w:color w:val="1F4E79"/>
          <w:szCs w:val="18"/>
          <w:lang w:eastAsia="es-DO"/>
        </w:rPr>
        <w:tab/>
        <w:t xml:space="preserve">Encargado Interino </w:t>
      </w:r>
      <w:r w:rsidR="00D94E26" w:rsidRPr="00A03D2A">
        <w:rPr>
          <w:color w:val="1F4E79"/>
          <w:szCs w:val="18"/>
          <w:lang w:eastAsia="es-DO"/>
        </w:rPr>
        <w:t>D</w:t>
      </w:r>
      <w:r>
        <w:rPr>
          <w:color w:val="1F4E79"/>
          <w:szCs w:val="18"/>
          <w:lang w:eastAsia="es-DO"/>
        </w:rPr>
        <w:t>e</w:t>
      </w:r>
      <w:r w:rsidR="00956891" w:rsidRPr="00A03D2A">
        <w:rPr>
          <w:color w:val="1F4E79"/>
          <w:szCs w:val="18"/>
          <w:lang w:eastAsia="es-DO"/>
        </w:rPr>
        <w:t>p</w:t>
      </w:r>
      <w:r>
        <w:rPr>
          <w:color w:val="1F4E79"/>
          <w:szCs w:val="18"/>
          <w:lang w:eastAsia="es-DO"/>
        </w:rPr>
        <w:t>artamen</w:t>
      </w:r>
      <w:r w:rsidR="00956891" w:rsidRPr="00A03D2A">
        <w:rPr>
          <w:color w:val="1F4E79"/>
          <w:szCs w:val="18"/>
          <w:lang w:eastAsia="es-DO"/>
        </w:rPr>
        <w:t>to Revisión y Fiscalización</w:t>
      </w:r>
    </w:p>
    <w:p w14:paraId="65367610" w14:textId="79EF3B9D" w:rsidR="00956891" w:rsidRPr="00A03D2A" w:rsidRDefault="00956891" w:rsidP="00D254F0">
      <w:pPr>
        <w:ind w:left="2832" w:hanging="2548"/>
        <w:rPr>
          <w:color w:val="1F4E79"/>
          <w:szCs w:val="18"/>
          <w:lang w:eastAsia="es-DO"/>
        </w:rPr>
      </w:pPr>
      <w:r w:rsidRPr="00A03D2A">
        <w:rPr>
          <w:color w:val="1F4E79"/>
          <w:szCs w:val="18"/>
          <w:lang w:eastAsia="es-DO"/>
        </w:rPr>
        <w:t>Máximo Peralta</w:t>
      </w:r>
      <w:r w:rsidRPr="00A03D2A">
        <w:rPr>
          <w:color w:val="1F4E79"/>
          <w:szCs w:val="18"/>
          <w:lang w:eastAsia="es-DO"/>
        </w:rPr>
        <w:tab/>
        <w:t xml:space="preserve">Encargado </w:t>
      </w:r>
      <w:r w:rsidR="00D94E26" w:rsidRPr="00A03D2A">
        <w:rPr>
          <w:color w:val="1F4E79"/>
          <w:szCs w:val="18"/>
          <w:lang w:eastAsia="es-DO"/>
        </w:rPr>
        <w:t>D</w:t>
      </w:r>
      <w:r w:rsidR="00D254F0">
        <w:rPr>
          <w:color w:val="1F4E79"/>
          <w:szCs w:val="18"/>
          <w:lang w:eastAsia="es-DO"/>
        </w:rPr>
        <w:t>e</w:t>
      </w:r>
      <w:r w:rsidRPr="00A03D2A">
        <w:rPr>
          <w:color w:val="1F4E79"/>
          <w:szCs w:val="18"/>
          <w:lang w:eastAsia="es-DO"/>
        </w:rPr>
        <w:t>p</w:t>
      </w:r>
      <w:r w:rsidR="00D254F0">
        <w:rPr>
          <w:color w:val="1F4E79"/>
          <w:szCs w:val="18"/>
          <w:lang w:eastAsia="es-DO"/>
        </w:rPr>
        <w:t>artamen</w:t>
      </w:r>
      <w:r w:rsidR="00D94E26" w:rsidRPr="00A03D2A">
        <w:rPr>
          <w:color w:val="1F4E79"/>
          <w:szCs w:val="18"/>
          <w:lang w:eastAsia="es-DO"/>
        </w:rPr>
        <w:t>t</w:t>
      </w:r>
      <w:r w:rsidRPr="00A03D2A">
        <w:rPr>
          <w:color w:val="1F4E79"/>
          <w:szCs w:val="18"/>
          <w:lang w:eastAsia="es-DO"/>
        </w:rPr>
        <w:t>o Tecnología de</w:t>
      </w:r>
      <w:r w:rsidR="00D254F0">
        <w:rPr>
          <w:color w:val="1F4E79"/>
          <w:szCs w:val="18"/>
          <w:lang w:eastAsia="es-DO"/>
        </w:rPr>
        <w:t xml:space="preserve"> </w:t>
      </w:r>
      <w:r w:rsidR="00907906">
        <w:rPr>
          <w:color w:val="1F4E79"/>
          <w:szCs w:val="18"/>
          <w:lang w:eastAsia="es-DO"/>
        </w:rPr>
        <w:t xml:space="preserve">la </w:t>
      </w:r>
      <w:r w:rsidRPr="00A03D2A">
        <w:rPr>
          <w:color w:val="1F4E79"/>
          <w:szCs w:val="18"/>
          <w:lang w:eastAsia="es-DO"/>
        </w:rPr>
        <w:t xml:space="preserve">Información y </w:t>
      </w:r>
      <w:r w:rsidR="00907906" w:rsidRPr="00A03D2A">
        <w:rPr>
          <w:color w:val="1F4E79"/>
          <w:szCs w:val="18"/>
          <w:lang w:eastAsia="es-DO"/>
        </w:rPr>
        <w:t>Com</w:t>
      </w:r>
      <w:r w:rsidR="00207340">
        <w:rPr>
          <w:color w:val="1F4E79"/>
          <w:szCs w:val="18"/>
          <w:lang w:eastAsia="es-DO"/>
        </w:rPr>
        <w:t>unicación</w:t>
      </w:r>
    </w:p>
    <w:p w14:paraId="755C2C7C" w14:textId="6A14877F" w:rsidR="00956891" w:rsidRPr="00A03D2A" w:rsidRDefault="00956891" w:rsidP="00D618E7">
      <w:pPr>
        <w:rPr>
          <w:color w:val="1F4E79"/>
          <w:szCs w:val="18"/>
          <w:lang w:eastAsia="es-DO"/>
        </w:rPr>
      </w:pPr>
      <w:r w:rsidRPr="00A03D2A">
        <w:rPr>
          <w:color w:val="1F4E79"/>
          <w:szCs w:val="18"/>
          <w:lang w:eastAsia="es-DO"/>
        </w:rPr>
        <w:t>Aída Pardilla M.</w:t>
      </w:r>
      <w:r w:rsidRPr="00A03D2A">
        <w:rPr>
          <w:color w:val="1F4E79"/>
          <w:szCs w:val="18"/>
          <w:lang w:eastAsia="es-DO"/>
        </w:rPr>
        <w:tab/>
      </w:r>
      <w:r w:rsidRPr="00A03D2A">
        <w:rPr>
          <w:color w:val="1F4E79"/>
          <w:szCs w:val="18"/>
          <w:lang w:eastAsia="es-DO"/>
        </w:rPr>
        <w:tab/>
        <w:t xml:space="preserve">Coordinadora </w:t>
      </w:r>
      <w:r w:rsidR="00D94E26" w:rsidRPr="00A03D2A">
        <w:rPr>
          <w:color w:val="1F4E79"/>
          <w:szCs w:val="18"/>
          <w:lang w:eastAsia="es-DO"/>
        </w:rPr>
        <w:t xml:space="preserve">Departamento </w:t>
      </w:r>
      <w:r w:rsidRPr="00A03D2A">
        <w:rPr>
          <w:color w:val="1F4E79"/>
          <w:szCs w:val="18"/>
          <w:lang w:eastAsia="es-DO"/>
        </w:rPr>
        <w:t>Planificación y Desarrollo</w:t>
      </w:r>
    </w:p>
    <w:p w14:paraId="6C2387BB" w14:textId="77777777" w:rsidR="00956891" w:rsidRPr="00A03D2A" w:rsidRDefault="00956891" w:rsidP="00D618E7">
      <w:pPr>
        <w:rPr>
          <w:color w:val="1F4E79"/>
          <w:szCs w:val="18"/>
          <w:lang w:eastAsia="es-DO"/>
        </w:rPr>
      </w:pPr>
      <w:r w:rsidRPr="00A03D2A">
        <w:rPr>
          <w:color w:val="1F4E79"/>
          <w:szCs w:val="18"/>
          <w:lang w:eastAsia="es-DO"/>
        </w:rPr>
        <w:t>Lilian Reyes Mora</w:t>
      </w:r>
      <w:r w:rsidRPr="00A03D2A">
        <w:rPr>
          <w:color w:val="1F4E79"/>
          <w:szCs w:val="18"/>
          <w:lang w:eastAsia="es-DO"/>
        </w:rPr>
        <w:tab/>
      </w:r>
      <w:r w:rsidRPr="00A03D2A">
        <w:rPr>
          <w:color w:val="1F4E79"/>
          <w:szCs w:val="18"/>
          <w:lang w:eastAsia="es-DO"/>
        </w:rPr>
        <w:tab/>
        <w:t>Responsable Acceso a la Información (RAI)</w:t>
      </w:r>
    </w:p>
    <w:p w14:paraId="4FBA8383" w14:textId="561F1698" w:rsidR="00BB48DF" w:rsidRPr="00D618E7" w:rsidRDefault="00BB48DF" w:rsidP="00D618E7">
      <w:pPr>
        <w:rPr>
          <w:color w:val="1F4E79"/>
          <w:szCs w:val="18"/>
          <w:lang w:eastAsia="es-DO"/>
        </w:rPr>
      </w:pPr>
    </w:p>
    <w:p w14:paraId="01B2AD4C" w14:textId="6AB857D4" w:rsidR="00A03D2A" w:rsidRDefault="00A03D2A">
      <w:pPr>
        <w:spacing w:line="259" w:lineRule="auto"/>
        <w:ind w:left="0"/>
        <w:jc w:val="left"/>
        <w:rPr>
          <w:b/>
          <w:color w:val="1F4E79"/>
        </w:rPr>
      </w:pPr>
      <w:r>
        <w:rPr>
          <w:b/>
          <w:color w:val="1F4E79"/>
        </w:rPr>
        <w:br w:type="page"/>
      </w:r>
    </w:p>
    <w:bookmarkStart w:id="8" w:name="_Toc59540157"/>
    <w:p w14:paraId="29970C52" w14:textId="616AAA1F" w:rsidR="00C57419" w:rsidRPr="009944C2" w:rsidRDefault="00C57419" w:rsidP="003F382A">
      <w:pPr>
        <w:pStyle w:val="Ttulo1"/>
        <w:numPr>
          <w:ilvl w:val="0"/>
          <w:numId w:val="1"/>
        </w:numPr>
        <w:spacing w:line="480" w:lineRule="auto"/>
        <w:ind w:left="283"/>
        <w:rPr>
          <w:color w:val="1F4E79"/>
          <w:sz w:val="28"/>
          <w:szCs w:val="36"/>
        </w:rPr>
      </w:pPr>
      <w:r w:rsidRPr="003F382A">
        <w:rPr>
          <w:noProof/>
          <w:color w:val="1F4E79"/>
          <w:sz w:val="28"/>
          <w:szCs w:val="36"/>
          <w:lang w:val="es-ES" w:eastAsia="es-ES"/>
        </w:rPr>
        <mc:AlternateContent>
          <mc:Choice Requires="wps">
            <w:drawing>
              <wp:anchor distT="0" distB="0" distL="114300" distR="114300" simplePos="0" relativeHeight="251689984" behindDoc="0" locked="0" layoutInCell="1" allowOverlap="1" wp14:anchorId="22C073B7" wp14:editId="4C2409B9">
                <wp:simplePos x="0" y="0"/>
                <wp:positionH relativeFrom="column">
                  <wp:posOffset>2094931</wp:posOffset>
                </wp:positionH>
                <wp:positionV relativeFrom="paragraph">
                  <wp:posOffset>339772</wp:posOffset>
                </wp:positionV>
                <wp:extent cx="723332" cy="0"/>
                <wp:effectExtent l="0" t="19050" r="19685" b="19050"/>
                <wp:wrapNone/>
                <wp:docPr id="25" name="Conector recto 25"/>
                <wp:cNvGraphicFramePr/>
                <a:graphic xmlns:a="http://schemas.openxmlformats.org/drawingml/2006/main">
                  <a:graphicData uri="http://schemas.microsoft.com/office/word/2010/wordprocessingShape">
                    <wps:wsp>
                      <wps:cNvCnPr/>
                      <wps:spPr>
                        <a:xfrm>
                          <a:off x="0" y="0"/>
                          <a:ext cx="723332" cy="0"/>
                        </a:xfrm>
                        <a:prstGeom prst="line">
                          <a:avLst/>
                        </a:prstGeom>
                        <a:ln w="31750">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49EDBC8" id="Conector recto 25"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95pt,26.75pt" to="221.9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" strokecolor="red" strokeweight="2.5pt">
                <v:stroke joinstyle="miter"/>
              </v:line>
            </w:pict>
          </mc:Fallback>
        </mc:AlternateContent>
      </w:r>
      <w:r w:rsidRPr="009944C2">
        <w:rPr>
          <w:color w:val="1F4E79"/>
          <w:sz w:val="28"/>
          <w:szCs w:val="36"/>
        </w:rPr>
        <w:t>RESULTADOS DE LA GESTI</w:t>
      </w:r>
      <w:r w:rsidR="00907906">
        <w:rPr>
          <w:color w:val="1F4E79"/>
          <w:sz w:val="28"/>
          <w:szCs w:val="36"/>
        </w:rPr>
        <w:t>Ó</w:t>
      </w:r>
      <w:r w:rsidRPr="009944C2">
        <w:rPr>
          <w:color w:val="1F4E79"/>
          <w:sz w:val="28"/>
          <w:szCs w:val="36"/>
        </w:rPr>
        <w:t>N 2020</w:t>
      </w:r>
      <w:bookmarkEnd w:id="8"/>
    </w:p>
    <w:p w14:paraId="5CE63DF2" w14:textId="6CB7151A" w:rsidR="00BA39B0" w:rsidRDefault="00BA39B0" w:rsidP="00BA39B0">
      <w:pPr>
        <w:ind w:hanging="284"/>
        <w:jc w:val="center"/>
        <w:rPr>
          <w:rFonts w:ascii="Gotham Medium" w:hAnsi="Gotham Medium"/>
          <w:b/>
          <w:spacing w:val="40"/>
          <w:sz w:val="16"/>
          <w:szCs w:val="16"/>
        </w:rPr>
      </w:pPr>
      <w:r w:rsidRPr="00A1441F">
        <w:rPr>
          <w:rFonts w:ascii="Gotham Medium" w:hAnsi="Gotham Medium"/>
          <w:b/>
          <w:spacing w:val="40"/>
          <w:sz w:val="16"/>
          <w:szCs w:val="16"/>
        </w:rPr>
        <w:t>MEMORIAS 2020</w:t>
      </w:r>
    </w:p>
    <w:p w14:paraId="46B16BAC" w14:textId="77777777" w:rsidR="00BA39B0" w:rsidRPr="006C7539" w:rsidRDefault="00BA39B0" w:rsidP="00D618E7">
      <w:pPr>
        <w:ind w:left="0" w:firstLine="646"/>
        <w:rPr>
          <w:color w:val="1F4E79"/>
          <w:szCs w:val="18"/>
          <w:lang w:eastAsia="es-DO"/>
        </w:rPr>
      </w:pPr>
    </w:p>
    <w:p w14:paraId="2BA74D51" w14:textId="79B8D9CD" w:rsidR="00BB48DF" w:rsidRPr="009944C2" w:rsidRDefault="00BB48DF" w:rsidP="00D618E7">
      <w:pPr>
        <w:ind w:left="0" w:firstLine="646"/>
        <w:rPr>
          <w:color w:val="1F4E79"/>
          <w:szCs w:val="18"/>
          <w:lang w:eastAsia="es-DO"/>
        </w:rPr>
      </w:pPr>
      <w:r w:rsidRPr="009944C2">
        <w:rPr>
          <w:color w:val="1F4E79"/>
          <w:szCs w:val="18"/>
          <w:lang w:eastAsia="es-DO"/>
        </w:rPr>
        <w:t>Tal y como establece la Ley 124-01, la función principal del Fondo Patrimonial de la Empresas Reformadas (</w:t>
      </w:r>
      <w:r w:rsidR="00207340">
        <w:rPr>
          <w:color w:val="1F4E79"/>
          <w:szCs w:val="18"/>
          <w:lang w:eastAsia="es-DO"/>
        </w:rPr>
        <w:t>FONPER</w:t>
      </w:r>
      <w:r w:rsidRPr="009944C2">
        <w:rPr>
          <w:color w:val="1F4E79"/>
          <w:szCs w:val="18"/>
          <w:lang w:eastAsia="es-DO"/>
        </w:rPr>
        <w:t>), es la conservación, custodia y manejo de la participación accionaria del Estado en las empresas capitalizadas, así como la fiscalización del cumplimiento de los contratos resultantes de los procesos de reforma, garantizando la inversión de sus beneficios en proyectos de desarrollo sostenibles, capaces de mejorar los niveles de vida de las comunidades más necesitadas del país.</w:t>
      </w:r>
    </w:p>
    <w:p w14:paraId="4C4DF55E" w14:textId="77777777" w:rsidR="00BB48DF" w:rsidRPr="006C7539" w:rsidRDefault="00BB48DF" w:rsidP="00D618E7">
      <w:pPr>
        <w:ind w:left="0" w:firstLine="646"/>
        <w:rPr>
          <w:color w:val="1F4E79"/>
          <w:szCs w:val="18"/>
          <w:lang w:eastAsia="es-DO"/>
        </w:rPr>
      </w:pPr>
    </w:p>
    <w:p w14:paraId="65CAE1ED" w14:textId="6922F26B" w:rsidR="00BB48DF" w:rsidRPr="00D618E7" w:rsidRDefault="00BB48DF" w:rsidP="00D618E7">
      <w:pPr>
        <w:ind w:left="0" w:firstLine="646"/>
        <w:rPr>
          <w:color w:val="1F4E79"/>
          <w:szCs w:val="18"/>
          <w:lang w:eastAsia="es-DO"/>
        </w:rPr>
      </w:pPr>
      <w:r w:rsidRPr="009944C2">
        <w:rPr>
          <w:color w:val="1F4E79"/>
          <w:szCs w:val="18"/>
          <w:lang w:eastAsia="es-DO"/>
        </w:rPr>
        <w:t>Dirigido a cumplir su misión, bajo el prisma de los planteamientos de la Estrategia Nacional de Desarroll</w:t>
      </w:r>
      <w:r w:rsidR="00907906">
        <w:rPr>
          <w:color w:val="1F4E79"/>
          <w:szCs w:val="18"/>
          <w:lang w:eastAsia="es-DO"/>
        </w:rPr>
        <w:t>o (END)</w:t>
      </w:r>
      <w:r w:rsidRPr="009944C2">
        <w:rPr>
          <w:color w:val="1F4E79"/>
          <w:szCs w:val="18"/>
          <w:lang w:eastAsia="es-DO"/>
        </w:rPr>
        <w:t xml:space="preserve"> y alineado con las políticas gubernamentales, el </w:t>
      </w:r>
      <w:r w:rsidR="00207340">
        <w:rPr>
          <w:color w:val="1F4E79"/>
          <w:szCs w:val="18"/>
          <w:lang w:eastAsia="es-DO"/>
        </w:rPr>
        <w:t>FONPER</w:t>
      </w:r>
      <w:r w:rsidRPr="009944C2">
        <w:rPr>
          <w:color w:val="1F4E79"/>
          <w:szCs w:val="18"/>
          <w:lang w:eastAsia="es-DO"/>
        </w:rPr>
        <w:t xml:space="preserve"> tiene definidas sus metas estratégicas e indicadores de gestión en su Plan Estratégico 2019-2022, el cual establece tres Objetivos Institucionales</w:t>
      </w:r>
      <w:r w:rsidRPr="00D618E7">
        <w:rPr>
          <w:color w:val="1F4E79"/>
          <w:szCs w:val="18"/>
          <w:lang w:eastAsia="es-DO"/>
        </w:rPr>
        <w:t>:</w:t>
      </w:r>
    </w:p>
    <w:p w14:paraId="334A2594" w14:textId="77777777" w:rsidR="00BB48DF" w:rsidRPr="006C7539" w:rsidRDefault="00BB48DF" w:rsidP="00D618E7">
      <w:pPr>
        <w:ind w:left="0" w:firstLine="646"/>
        <w:rPr>
          <w:color w:val="1F4E79"/>
          <w:szCs w:val="18"/>
          <w:lang w:eastAsia="es-DO"/>
        </w:rPr>
      </w:pPr>
    </w:p>
    <w:p w14:paraId="3E90687F" w14:textId="77777777" w:rsidR="00BB48DF" w:rsidRPr="009944C2" w:rsidRDefault="00BB48DF" w:rsidP="00D618E7">
      <w:pPr>
        <w:ind w:left="0" w:firstLine="646"/>
        <w:rPr>
          <w:color w:val="1F4E79"/>
          <w:szCs w:val="18"/>
          <w:lang w:eastAsia="es-DO"/>
        </w:rPr>
      </w:pPr>
      <w:r w:rsidRPr="009944C2">
        <w:rPr>
          <w:color w:val="1F4E79"/>
          <w:szCs w:val="18"/>
          <w:lang w:eastAsia="es-DO"/>
        </w:rPr>
        <w:t>Eje I:   Fortalecimiento de la Gestión Patrimonial.</w:t>
      </w:r>
    </w:p>
    <w:p w14:paraId="45059FC9" w14:textId="77777777" w:rsidR="00BB48DF" w:rsidRPr="009944C2" w:rsidRDefault="00BB48DF" w:rsidP="00D618E7">
      <w:pPr>
        <w:ind w:left="0" w:firstLine="646"/>
        <w:rPr>
          <w:color w:val="1F4E79"/>
          <w:szCs w:val="18"/>
          <w:lang w:eastAsia="es-DO"/>
        </w:rPr>
      </w:pPr>
      <w:r w:rsidRPr="009944C2">
        <w:rPr>
          <w:color w:val="1F4E79"/>
          <w:szCs w:val="18"/>
          <w:lang w:eastAsia="es-DO"/>
        </w:rPr>
        <w:t>Eje II:  Fortalecimiento de la Gestión de la Inversión Social.</w:t>
      </w:r>
    </w:p>
    <w:p w14:paraId="03CFBF16" w14:textId="77777777" w:rsidR="00BB48DF" w:rsidRPr="009944C2" w:rsidRDefault="00BB48DF" w:rsidP="00D618E7">
      <w:pPr>
        <w:ind w:left="0" w:firstLine="646"/>
        <w:rPr>
          <w:color w:val="1F4E79"/>
          <w:szCs w:val="18"/>
          <w:lang w:eastAsia="es-DO"/>
        </w:rPr>
      </w:pPr>
      <w:r w:rsidRPr="009944C2">
        <w:rPr>
          <w:color w:val="1F4E79"/>
          <w:szCs w:val="18"/>
          <w:lang w:eastAsia="es-DO"/>
        </w:rPr>
        <w:t>Eje III: Fortalecimiento del Desarrollo Institucional.</w:t>
      </w:r>
    </w:p>
    <w:p w14:paraId="7CE0EF2B" w14:textId="77777777" w:rsidR="003E1385" w:rsidRDefault="003E1385" w:rsidP="00D618E7">
      <w:pPr>
        <w:ind w:left="0" w:firstLine="646"/>
        <w:rPr>
          <w:color w:val="1F4E79"/>
          <w:szCs w:val="18"/>
          <w:lang w:eastAsia="es-DO"/>
        </w:rPr>
      </w:pPr>
    </w:p>
    <w:p w14:paraId="2C9841E9" w14:textId="14A44467" w:rsidR="00BB48DF" w:rsidRPr="009944C2" w:rsidRDefault="00BB48DF" w:rsidP="00D618E7">
      <w:pPr>
        <w:ind w:left="0" w:firstLine="646"/>
        <w:rPr>
          <w:color w:val="1F4E79"/>
          <w:szCs w:val="18"/>
          <w:lang w:eastAsia="es-DO"/>
        </w:rPr>
      </w:pPr>
      <w:r w:rsidRPr="009944C2">
        <w:rPr>
          <w:color w:val="1F4E79"/>
          <w:szCs w:val="18"/>
          <w:lang w:eastAsia="es-DO"/>
        </w:rPr>
        <w:t xml:space="preserve">En este marco, como una expresión concreta y práctica del Plan Estratégico, elaboró su Plan Operativo Anual 2020 (POA 2020), cuya ejecución se vio afectada significativamente por el surgimiento de la Pandemia COVID-19. </w:t>
      </w:r>
    </w:p>
    <w:p w14:paraId="78065E2C" w14:textId="77777777" w:rsidR="00BB48DF" w:rsidRPr="009944C2" w:rsidRDefault="00BB48DF" w:rsidP="00D618E7">
      <w:pPr>
        <w:ind w:left="0" w:firstLine="646"/>
        <w:rPr>
          <w:color w:val="1F4E79"/>
          <w:szCs w:val="18"/>
          <w:lang w:eastAsia="es-DO"/>
        </w:rPr>
      </w:pPr>
    </w:p>
    <w:p w14:paraId="4E94477E" w14:textId="77777777" w:rsidR="00BB48DF" w:rsidRPr="009944C2" w:rsidRDefault="00BB48DF" w:rsidP="00D618E7">
      <w:pPr>
        <w:ind w:left="0" w:firstLine="646"/>
        <w:rPr>
          <w:color w:val="1F4E79"/>
          <w:szCs w:val="18"/>
          <w:lang w:eastAsia="es-DO"/>
        </w:rPr>
      </w:pPr>
      <w:r w:rsidRPr="009944C2">
        <w:rPr>
          <w:color w:val="1F4E79"/>
          <w:szCs w:val="18"/>
          <w:lang w:eastAsia="es-DO"/>
        </w:rPr>
        <w:t>En este sentido, como resultado de una evaluación preliminar del POA 2020, este presentó un avance general de un 64%, desglosado por ejes estratégicos, de la siguiente manera:</w:t>
      </w:r>
    </w:p>
    <w:p w14:paraId="298780D8" w14:textId="77777777" w:rsidR="00BB48DF" w:rsidRPr="003E1385" w:rsidRDefault="00BB48DF" w:rsidP="00D618E7">
      <w:pPr>
        <w:ind w:left="0" w:firstLine="646"/>
        <w:rPr>
          <w:color w:val="1F4E79"/>
          <w:szCs w:val="18"/>
          <w:lang w:eastAsia="es-DO"/>
        </w:rPr>
      </w:pPr>
    </w:p>
    <w:tbl>
      <w:tblPr>
        <w:tblW w:w="5620" w:type="dxa"/>
        <w:jc w:val="center"/>
        <w:tblCellMar>
          <w:left w:w="70" w:type="dxa"/>
          <w:right w:w="70" w:type="dxa"/>
        </w:tblCellMar>
        <w:tblLook w:val="04A0" w:firstRow="1" w:lastRow="0" w:firstColumn="1" w:lastColumn="0" w:noHBand="0" w:noVBand="1"/>
      </w:tblPr>
      <w:tblGrid>
        <w:gridCol w:w="5371"/>
        <w:gridCol w:w="1229"/>
      </w:tblGrid>
      <w:tr w:rsidR="00BB48DF" w:rsidRPr="00BB48DF" w14:paraId="5870650D" w14:textId="77777777" w:rsidTr="002C5E75">
        <w:trPr>
          <w:trHeight w:val="330"/>
          <w:jc w:val="center"/>
        </w:trPr>
        <w:tc>
          <w:tcPr>
            <w:tcW w:w="5371" w:type="dxa"/>
            <w:tcBorders>
              <w:top w:val="single" w:sz="8" w:space="0" w:color="FFFFFF"/>
              <w:left w:val="single" w:sz="8" w:space="0" w:color="FFFFFF"/>
              <w:bottom w:val="single" w:sz="8" w:space="0" w:color="FFFFFF"/>
              <w:right w:val="single" w:sz="8" w:space="0" w:color="FFFFFF"/>
            </w:tcBorders>
            <w:shd w:val="clear" w:color="000000" w:fill="002060"/>
            <w:noWrap/>
            <w:vAlign w:val="center"/>
            <w:hideMark/>
          </w:tcPr>
          <w:p w14:paraId="4E66B0AA" w14:textId="77777777" w:rsidR="00BB48DF" w:rsidRPr="00BB48DF" w:rsidRDefault="00BB48DF" w:rsidP="00BB48DF">
            <w:pPr>
              <w:spacing w:after="0" w:line="240" w:lineRule="auto"/>
              <w:ind w:left="0"/>
              <w:jc w:val="left"/>
              <w:rPr>
                <w:rFonts w:ascii="Calibri Light" w:eastAsia="Times New Roman" w:hAnsi="Calibri Light" w:cs="Calibri Light"/>
                <w:b/>
                <w:bCs/>
                <w:color w:val="FFFFFF"/>
                <w:sz w:val="24"/>
                <w:szCs w:val="24"/>
                <w:lang w:eastAsia="es-DO"/>
              </w:rPr>
            </w:pPr>
            <w:r w:rsidRPr="00BB48DF">
              <w:rPr>
                <w:rFonts w:ascii="Calibri Light" w:eastAsia="Times New Roman" w:hAnsi="Calibri Light" w:cs="Calibri Light"/>
                <w:b/>
                <w:bCs/>
                <w:color w:val="FFFFFF"/>
                <w:sz w:val="24"/>
                <w:szCs w:val="24"/>
                <w:lang w:eastAsia="es-DO"/>
              </w:rPr>
              <w:t>EJES ESTRATEGICOS</w:t>
            </w:r>
          </w:p>
        </w:tc>
        <w:tc>
          <w:tcPr>
            <w:tcW w:w="249" w:type="dxa"/>
            <w:tcBorders>
              <w:top w:val="single" w:sz="8" w:space="0" w:color="FFFFFF"/>
              <w:left w:val="nil"/>
              <w:bottom w:val="single" w:sz="8" w:space="0" w:color="FFFFFF"/>
              <w:right w:val="single" w:sz="8" w:space="0" w:color="FFFFFF"/>
            </w:tcBorders>
            <w:shd w:val="clear" w:color="000000" w:fill="0070C0"/>
            <w:noWrap/>
            <w:vAlign w:val="center"/>
            <w:hideMark/>
          </w:tcPr>
          <w:p w14:paraId="54944D90" w14:textId="77777777" w:rsidR="00BB48DF" w:rsidRPr="00BB48DF" w:rsidRDefault="00BB48DF" w:rsidP="00BB48DF">
            <w:pPr>
              <w:spacing w:after="0" w:line="240" w:lineRule="auto"/>
              <w:ind w:left="0"/>
              <w:jc w:val="center"/>
              <w:rPr>
                <w:rFonts w:ascii="Calibri Light" w:eastAsia="Times New Roman" w:hAnsi="Calibri Light" w:cs="Calibri Light"/>
                <w:b/>
                <w:bCs/>
                <w:color w:val="FFFFFF"/>
                <w:sz w:val="24"/>
                <w:szCs w:val="24"/>
                <w:lang w:eastAsia="es-DO"/>
              </w:rPr>
            </w:pPr>
            <w:r w:rsidRPr="00BB48DF">
              <w:rPr>
                <w:rFonts w:ascii="Calibri Light" w:eastAsia="Times New Roman" w:hAnsi="Calibri Light" w:cs="Calibri Light"/>
                <w:b/>
                <w:bCs/>
                <w:color w:val="FFFFFF"/>
                <w:sz w:val="24"/>
                <w:szCs w:val="24"/>
                <w:lang w:eastAsia="es-DO"/>
              </w:rPr>
              <w:t>EJECUCION</w:t>
            </w:r>
          </w:p>
        </w:tc>
      </w:tr>
      <w:tr w:rsidR="00BB48DF" w:rsidRPr="00BB48DF" w14:paraId="5DC1F1C2" w14:textId="77777777" w:rsidTr="002C5E75">
        <w:trPr>
          <w:trHeight w:val="330"/>
          <w:jc w:val="center"/>
        </w:trPr>
        <w:tc>
          <w:tcPr>
            <w:tcW w:w="5371" w:type="dxa"/>
            <w:tcBorders>
              <w:top w:val="nil"/>
              <w:left w:val="single" w:sz="8" w:space="0" w:color="FFFFFF"/>
              <w:bottom w:val="single" w:sz="8" w:space="0" w:color="FFFFFF"/>
              <w:right w:val="single" w:sz="8" w:space="0" w:color="FFFFFF"/>
            </w:tcBorders>
            <w:shd w:val="clear" w:color="000000" w:fill="F2F2F2"/>
            <w:noWrap/>
            <w:vAlign w:val="center"/>
            <w:hideMark/>
          </w:tcPr>
          <w:p w14:paraId="6AE19875" w14:textId="77777777" w:rsidR="00BB48DF" w:rsidRPr="00BB48DF" w:rsidRDefault="00BB48DF" w:rsidP="00BB48DF">
            <w:pPr>
              <w:spacing w:after="0" w:line="240" w:lineRule="auto"/>
              <w:ind w:left="0"/>
              <w:jc w:val="left"/>
              <w:rPr>
                <w:rFonts w:ascii="Calibri Light" w:eastAsia="Times New Roman" w:hAnsi="Calibri Light" w:cs="Calibri Light"/>
                <w:color w:val="000000"/>
                <w:sz w:val="24"/>
                <w:szCs w:val="24"/>
                <w:lang w:eastAsia="es-DO"/>
              </w:rPr>
            </w:pPr>
            <w:r w:rsidRPr="00BB48DF">
              <w:rPr>
                <w:rFonts w:ascii="Calibri Light" w:eastAsia="Times New Roman" w:hAnsi="Calibri Light" w:cs="Calibri Light"/>
                <w:color w:val="000000"/>
                <w:sz w:val="24"/>
                <w:szCs w:val="24"/>
                <w:lang w:eastAsia="es-DO"/>
              </w:rPr>
              <w:t>Eje 1 – Gestión Patrimonial</w:t>
            </w:r>
          </w:p>
        </w:tc>
        <w:tc>
          <w:tcPr>
            <w:tcW w:w="249" w:type="dxa"/>
            <w:tcBorders>
              <w:top w:val="nil"/>
              <w:left w:val="nil"/>
              <w:bottom w:val="single" w:sz="8" w:space="0" w:color="FFFFFF"/>
              <w:right w:val="single" w:sz="8" w:space="0" w:color="FFFFFF"/>
            </w:tcBorders>
            <w:shd w:val="clear" w:color="000000" w:fill="F2F2F2"/>
            <w:noWrap/>
            <w:vAlign w:val="center"/>
          </w:tcPr>
          <w:p w14:paraId="6BA2C08E" w14:textId="77777777" w:rsidR="00BB48DF" w:rsidRPr="00BB48DF" w:rsidRDefault="00BB48DF" w:rsidP="00BB48DF">
            <w:pPr>
              <w:spacing w:after="0" w:line="240" w:lineRule="auto"/>
              <w:ind w:left="0"/>
              <w:jc w:val="center"/>
              <w:rPr>
                <w:rFonts w:ascii="Calibri Light" w:eastAsia="Times New Roman" w:hAnsi="Calibri Light" w:cs="Calibri Light"/>
                <w:color w:val="000000"/>
                <w:sz w:val="24"/>
                <w:szCs w:val="24"/>
                <w:lang w:eastAsia="es-DO"/>
              </w:rPr>
            </w:pPr>
            <w:r w:rsidRPr="00BB48DF">
              <w:rPr>
                <w:rFonts w:ascii="Calibri Light" w:eastAsia="Times New Roman" w:hAnsi="Calibri Light" w:cs="Calibri Light"/>
                <w:color w:val="000000"/>
                <w:sz w:val="24"/>
                <w:szCs w:val="24"/>
                <w:lang w:eastAsia="es-DO"/>
              </w:rPr>
              <w:t>75%</w:t>
            </w:r>
          </w:p>
        </w:tc>
      </w:tr>
      <w:tr w:rsidR="00BB48DF" w:rsidRPr="00BB48DF" w14:paraId="492D80D3" w14:textId="77777777" w:rsidTr="002C5E75">
        <w:trPr>
          <w:trHeight w:val="330"/>
          <w:jc w:val="center"/>
        </w:trPr>
        <w:tc>
          <w:tcPr>
            <w:tcW w:w="5371" w:type="dxa"/>
            <w:tcBorders>
              <w:top w:val="nil"/>
              <w:left w:val="single" w:sz="8" w:space="0" w:color="FFFFFF"/>
              <w:bottom w:val="single" w:sz="8" w:space="0" w:color="FFFFFF"/>
              <w:right w:val="single" w:sz="8" w:space="0" w:color="FFFFFF"/>
            </w:tcBorders>
            <w:shd w:val="clear" w:color="000000" w:fill="F2F2F2"/>
            <w:noWrap/>
            <w:vAlign w:val="center"/>
            <w:hideMark/>
          </w:tcPr>
          <w:p w14:paraId="74648826" w14:textId="77777777" w:rsidR="00BB48DF" w:rsidRPr="00BB48DF" w:rsidRDefault="00BB48DF" w:rsidP="00BB48DF">
            <w:pPr>
              <w:spacing w:after="0" w:line="240" w:lineRule="auto"/>
              <w:ind w:left="0"/>
              <w:jc w:val="left"/>
              <w:rPr>
                <w:rFonts w:ascii="Calibri Light" w:eastAsia="Times New Roman" w:hAnsi="Calibri Light" w:cs="Calibri Light"/>
                <w:color w:val="000000"/>
                <w:sz w:val="24"/>
                <w:szCs w:val="24"/>
                <w:lang w:eastAsia="es-DO"/>
              </w:rPr>
            </w:pPr>
            <w:r w:rsidRPr="00BB48DF">
              <w:rPr>
                <w:rFonts w:ascii="Calibri Light" w:eastAsia="Times New Roman" w:hAnsi="Calibri Light" w:cs="Calibri Light"/>
                <w:color w:val="000000"/>
                <w:sz w:val="24"/>
                <w:szCs w:val="24"/>
                <w:lang w:eastAsia="es-DO"/>
              </w:rPr>
              <w:t>Eje 2 – Desarrollo Social Sostenible</w:t>
            </w:r>
          </w:p>
        </w:tc>
        <w:tc>
          <w:tcPr>
            <w:tcW w:w="249" w:type="dxa"/>
            <w:tcBorders>
              <w:top w:val="nil"/>
              <w:left w:val="nil"/>
              <w:bottom w:val="single" w:sz="8" w:space="0" w:color="FFFFFF"/>
              <w:right w:val="single" w:sz="8" w:space="0" w:color="FFFFFF"/>
            </w:tcBorders>
            <w:shd w:val="clear" w:color="000000" w:fill="F2F2F2"/>
            <w:noWrap/>
            <w:vAlign w:val="center"/>
          </w:tcPr>
          <w:p w14:paraId="4FC8107E" w14:textId="77777777" w:rsidR="00BB48DF" w:rsidRPr="00BB48DF" w:rsidRDefault="00BB48DF" w:rsidP="00BB48DF">
            <w:pPr>
              <w:spacing w:after="0" w:line="240" w:lineRule="auto"/>
              <w:ind w:left="0"/>
              <w:jc w:val="center"/>
              <w:rPr>
                <w:rFonts w:ascii="Calibri Light" w:eastAsia="Times New Roman" w:hAnsi="Calibri Light" w:cs="Calibri Light"/>
                <w:color w:val="000000"/>
                <w:sz w:val="24"/>
                <w:szCs w:val="24"/>
                <w:lang w:eastAsia="es-DO"/>
              </w:rPr>
            </w:pPr>
            <w:r w:rsidRPr="00BB48DF">
              <w:rPr>
                <w:rFonts w:ascii="Calibri Light" w:eastAsia="Times New Roman" w:hAnsi="Calibri Light" w:cs="Calibri Light"/>
                <w:color w:val="000000"/>
                <w:sz w:val="24"/>
                <w:szCs w:val="24"/>
                <w:lang w:eastAsia="es-DO"/>
              </w:rPr>
              <w:t>67%</w:t>
            </w:r>
          </w:p>
        </w:tc>
      </w:tr>
      <w:tr w:rsidR="00BB48DF" w:rsidRPr="00BB48DF" w14:paraId="6C9D808A" w14:textId="77777777" w:rsidTr="002C5E75">
        <w:trPr>
          <w:trHeight w:val="330"/>
          <w:jc w:val="center"/>
        </w:trPr>
        <w:tc>
          <w:tcPr>
            <w:tcW w:w="5371" w:type="dxa"/>
            <w:tcBorders>
              <w:top w:val="nil"/>
              <w:left w:val="single" w:sz="8" w:space="0" w:color="FFFFFF"/>
              <w:bottom w:val="single" w:sz="8" w:space="0" w:color="FFFFFF"/>
              <w:right w:val="single" w:sz="8" w:space="0" w:color="FFFFFF"/>
            </w:tcBorders>
            <w:shd w:val="clear" w:color="000000" w:fill="F2F2F2"/>
            <w:noWrap/>
            <w:vAlign w:val="center"/>
            <w:hideMark/>
          </w:tcPr>
          <w:p w14:paraId="71B3EA54" w14:textId="77777777" w:rsidR="00BB48DF" w:rsidRPr="00BB48DF" w:rsidRDefault="00BB48DF" w:rsidP="00BB48DF">
            <w:pPr>
              <w:spacing w:after="0" w:line="240" w:lineRule="auto"/>
              <w:ind w:left="0"/>
              <w:jc w:val="left"/>
              <w:rPr>
                <w:rFonts w:ascii="Calibri Light" w:eastAsia="Times New Roman" w:hAnsi="Calibri Light" w:cs="Calibri Light"/>
                <w:color w:val="000000"/>
                <w:sz w:val="24"/>
                <w:szCs w:val="24"/>
                <w:lang w:eastAsia="es-DO"/>
              </w:rPr>
            </w:pPr>
            <w:r w:rsidRPr="00BB48DF">
              <w:rPr>
                <w:rFonts w:ascii="Calibri Light" w:eastAsia="Times New Roman" w:hAnsi="Calibri Light" w:cs="Calibri Light"/>
                <w:color w:val="000000"/>
                <w:sz w:val="24"/>
                <w:szCs w:val="24"/>
                <w:lang w:eastAsia="es-DO"/>
              </w:rPr>
              <w:t>Eje 3 – Desarrollo Institucional</w:t>
            </w:r>
          </w:p>
        </w:tc>
        <w:tc>
          <w:tcPr>
            <w:tcW w:w="249" w:type="dxa"/>
            <w:tcBorders>
              <w:top w:val="nil"/>
              <w:left w:val="nil"/>
              <w:bottom w:val="single" w:sz="8" w:space="0" w:color="FFFFFF"/>
              <w:right w:val="single" w:sz="8" w:space="0" w:color="FFFFFF"/>
            </w:tcBorders>
            <w:shd w:val="clear" w:color="000000" w:fill="F2F2F2"/>
            <w:noWrap/>
            <w:vAlign w:val="center"/>
          </w:tcPr>
          <w:p w14:paraId="1E3183E4" w14:textId="77777777" w:rsidR="00BB48DF" w:rsidRPr="00BB48DF" w:rsidRDefault="00BB48DF" w:rsidP="00BB48DF">
            <w:pPr>
              <w:spacing w:after="0" w:line="240" w:lineRule="auto"/>
              <w:ind w:left="0"/>
              <w:jc w:val="center"/>
              <w:rPr>
                <w:rFonts w:ascii="Calibri Light" w:eastAsia="Times New Roman" w:hAnsi="Calibri Light" w:cs="Calibri Light"/>
                <w:color w:val="000000"/>
                <w:sz w:val="24"/>
                <w:szCs w:val="24"/>
                <w:lang w:eastAsia="es-DO"/>
              </w:rPr>
            </w:pPr>
            <w:r w:rsidRPr="00BB48DF">
              <w:rPr>
                <w:rFonts w:ascii="Calibri Light" w:eastAsia="Times New Roman" w:hAnsi="Calibri Light" w:cs="Calibri Light"/>
                <w:color w:val="000000"/>
                <w:sz w:val="24"/>
                <w:szCs w:val="24"/>
                <w:lang w:eastAsia="es-DO"/>
              </w:rPr>
              <w:t>50%</w:t>
            </w:r>
          </w:p>
        </w:tc>
      </w:tr>
      <w:tr w:rsidR="00BB48DF" w:rsidRPr="00BB48DF" w14:paraId="3EE6749D" w14:textId="77777777" w:rsidTr="002C5E75">
        <w:trPr>
          <w:trHeight w:val="330"/>
          <w:jc w:val="center"/>
        </w:trPr>
        <w:tc>
          <w:tcPr>
            <w:tcW w:w="5371" w:type="dxa"/>
            <w:tcBorders>
              <w:top w:val="nil"/>
              <w:left w:val="single" w:sz="8" w:space="0" w:color="FFFFFF"/>
              <w:bottom w:val="single" w:sz="8" w:space="0" w:color="FFFFFF"/>
              <w:right w:val="single" w:sz="8" w:space="0" w:color="FFFFFF"/>
            </w:tcBorders>
            <w:shd w:val="clear" w:color="000000" w:fill="F2F2F2"/>
            <w:noWrap/>
            <w:vAlign w:val="center"/>
            <w:hideMark/>
          </w:tcPr>
          <w:p w14:paraId="71592F9B" w14:textId="77777777" w:rsidR="00BB48DF" w:rsidRPr="00BB48DF" w:rsidRDefault="00BB48DF" w:rsidP="00BB48DF">
            <w:pPr>
              <w:spacing w:after="0" w:line="240" w:lineRule="auto"/>
              <w:ind w:left="0"/>
              <w:jc w:val="left"/>
              <w:rPr>
                <w:rFonts w:ascii="Calibri Light" w:eastAsia="Times New Roman" w:hAnsi="Calibri Light" w:cs="Calibri Light"/>
                <w:b/>
                <w:color w:val="0070C0"/>
                <w:sz w:val="24"/>
                <w:szCs w:val="24"/>
                <w:lang w:eastAsia="es-DO"/>
              </w:rPr>
            </w:pPr>
            <w:r w:rsidRPr="00BB48DF">
              <w:rPr>
                <w:rFonts w:ascii="Calibri Light" w:eastAsia="Times New Roman" w:hAnsi="Calibri Light" w:cs="Calibri Light"/>
                <w:b/>
                <w:color w:val="0070C0"/>
                <w:sz w:val="24"/>
                <w:szCs w:val="24"/>
                <w:lang w:eastAsia="es-DO"/>
              </w:rPr>
              <w:t>Promedio General</w:t>
            </w:r>
          </w:p>
        </w:tc>
        <w:tc>
          <w:tcPr>
            <w:tcW w:w="249" w:type="dxa"/>
            <w:tcBorders>
              <w:top w:val="nil"/>
              <w:left w:val="nil"/>
              <w:bottom w:val="single" w:sz="8" w:space="0" w:color="FFFFFF"/>
              <w:right w:val="single" w:sz="8" w:space="0" w:color="FFFFFF"/>
            </w:tcBorders>
            <w:shd w:val="clear" w:color="000000" w:fill="F2F2F2"/>
            <w:noWrap/>
            <w:vAlign w:val="center"/>
          </w:tcPr>
          <w:p w14:paraId="058448B8" w14:textId="77777777" w:rsidR="00BB48DF" w:rsidRPr="00BB48DF" w:rsidRDefault="00BB48DF" w:rsidP="00BB48DF">
            <w:pPr>
              <w:spacing w:after="0" w:line="240" w:lineRule="auto"/>
              <w:ind w:left="0"/>
              <w:jc w:val="center"/>
              <w:rPr>
                <w:rFonts w:ascii="Calibri Light" w:eastAsia="Times New Roman" w:hAnsi="Calibri Light" w:cs="Calibri Light"/>
                <w:b/>
                <w:color w:val="0070C0"/>
                <w:sz w:val="24"/>
                <w:szCs w:val="24"/>
                <w:lang w:eastAsia="es-DO"/>
              </w:rPr>
            </w:pPr>
            <w:r w:rsidRPr="00BB48DF">
              <w:rPr>
                <w:rFonts w:ascii="Calibri Light" w:eastAsia="Times New Roman" w:hAnsi="Calibri Light" w:cs="Calibri Light"/>
                <w:b/>
                <w:color w:val="0070C0"/>
                <w:sz w:val="24"/>
                <w:szCs w:val="24"/>
                <w:lang w:eastAsia="es-DO"/>
              </w:rPr>
              <w:t>64%</w:t>
            </w:r>
          </w:p>
        </w:tc>
      </w:tr>
    </w:tbl>
    <w:p w14:paraId="2A148699" w14:textId="77777777" w:rsidR="00BB48DF" w:rsidRPr="003E1385" w:rsidRDefault="00BB48DF" w:rsidP="003E1385">
      <w:pPr>
        <w:ind w:left="0" w:firstLine="646"/>
        <w:rPr>
          <w:color w:val="1F4E79"/>
          <w:szCs w:val="18"/>
          <w:lang w:eastAsia="es-DO"/>
        </w:rPr>
      </w:pPr>
    </w:p>
    <w:p w14:paraId="59CCB54B" w14:textId="61514525" w:rsidR="00BB48DF" w:rsidRPr="003E1385" w:rsidRDefault="00BB48DF" w:rsidP="003E1385">
      <w:pPr>
        <w:ind w:left="0" w:firstLine="646"/>
        <w:rPr>
          <w:color w:val="1F4E79"/>
          <w:szCs w:val="18"/>
          <w:lang w:eastAsia="es-DO"/>
        </w:rPr>
      </w:pPr>
    </w:p>
    <w:p w14:paraId="2053413E" w14:textId="1E65EE33" w:rsidR="00655FFD" w:rsidRPr="006F7560" w:rsidRDefault="00655FFD" w:rsidP="0027737A">
      <w:pPr>
        <w:pStyle w:val="Prrafodelista"/>
        <w:numPr>
          <w:ilvl w:val="1"/>
          <w:numId w:val="1"/>
        </w:numPr>
        <w:spacing w:after="0" w:line="360" w:lineRule="auto"/>
        <w:ind w:left="284"/>
        <w:jc w:val="center"/>
        <w:outlineLvl w:val="1"/>
        <w:rPr>
          <w:rFonts w:ascii="Gotham Medium" w:eastAsia="Times New Roman" w:hAnsi="Gotham Medium" w:cs="Times New Roman"/>
          <w:b/>
          <w:color w:val="1F4E79"/>
          <w:sz w:val="16"/>
          <w:szCs w:val="16"/>
        </w:rPr>
      </w:pPr>
      <w:bookmarkStart w:id="9" w:name="_Toc59540158"/>
      <w:r w:rsidRPr="006F7560">
        <w:rPr>
          <w:rFonts w:ascii="Gotham Medium" w:eastAsia="Times New Roman" w:hAnsi="Gotham Medium" w:cs="Times New Roman"/>
          <w:b/>
          <w:color w:val="1F4E79"/>
          <w:sz w:val="16"/>
          <w:szCs w:val="16"/>
        </w:rPr>
        <w:t>GESTI</w:t>
      </w:r>
      <w:r w:rsidR="00907906">
        <w:rPr>
          <w:rFonts w:ascii="Gotham Medium" w:eastAsia="Times New Roman" w:hAnsi="Gotham Medium" w:cs="Times New Roman"/>
          <w:b/>
          <w:color w:val="1F4E79"/>
          <w:sz w:val="16"/>
          <w:szCs w:val="16"/>
        </w:rPr>
        <w:t>Ó</w:t>
      </w:r>
      <w:r w:rsidRPr="006F7560">
        <w:rPr>
          <w:rFonts w:ascii="Gotham Medium" w:eastAsia="Times New Roman" w:hAnsi="Gotham Medium" w:cs="Times New Roman"/>
          <w:b/>
          <w:color w:val="1F4E79"/>
          <w:sz w:val="16"/>
          <w:szCs w:val="16"/>
        </w:rPr>
        <w:t>N PATRIMONIAL</w:t>
      </w:r>
      <w:bookmarkEnd w:id="9"/>
    </w:p>
    <w:p w14:paraId="6BDA15EC" w14:textId="77777777" w:rsidR="00655FFD" w:rsidRPr="00FA1EEC" w:rsidRDefault="00655FFD" w:rsidP="00D618E7">
      <w:pPr>
        <w:ind w:left="0" w:firstLine="646"/>
        <w:rPr>
          <w:color w:val="1F4E79"/>
          <w:szCs w:val="18"/>
          <w:lang w:eastAsia="es-DO"/>
        </w:rPr>
      </w:pPr>
    </w:p>
    <w:p w14:paraId="2887EDA1" w14:textId="2A5119FB" w:rsidR="00655FFD" w:rsidRPr="00FA1EEC" w:rsidRDefault="00655FFD" w:rsidP="00E03CB3">
      <w:pPr>
        <w:ind w:left="0" w:firstLine="646"/>
        <w:rPr>
          <w:color w:val="1F4E79"/>
          <w:szCs w:val="18"/>
          <w:lang w:eastAsia="es-DO"/>
        </w:rPr>
      </w:pPr>
      <w:r w:rsidRPr="00FA1EEC">
        <w:rPr>
          <w:color w:val="1F4E79"/>
          <w:szCs w:val="18"/>
          <w:lang w:eastAsia="es-DO"/>
        </w:rPr>
        <w:t xml:space="preserve">El </w:t>
      </w:r>
      <w:r w:rsidR="00207340">
        <w:rPr>
          <w:color w:val="1F4E79"/>
          <w:szCs w:val="18"/>
          <w:lang w:eastAsia="es-DO"/>
        </w:rPr>
        <w:t>FONPER</w:t>
      </w:r>
      <w:r w:rsidRPr="00FA1EEC">
        <w:rPr>
          <w:color w:val="1F4E79"/>
          <w:szCs w:val="18"/>
          <w:lang w:eastAsia="es-DO"/>
        </w:rPr>
        <w:t xml:space="preserve">, a través de un equipo de representantes en los diferentes consejos de administración de las empresas capitalizadas y con el soporte de la Dirección de Gestión Patrimonial, desempeña un papel fundamental como salvaguarda de los intereses del Estado en las empresas capitalizadas, estableciendo mecanismos de supervisión de las operaciones de las empresas socias y dando un mayor seguimiento al desempeño económico de las mismas. Además, cuenta con el Comité de Gestión Patrimonial integrado por representantes de los departamentos Financiero, Jurídico, Revisión y Fiscalización, Gestión Patrimonial, así como los representantes ante las empresas reformadas. </w:t>
      </w:r>
    </w:p>
    <w:p w14:paraId="01B40CBD" w14:textId="77777777" w:rsidR="00655FFD" w:rsidRPr="003E1385" w:rsidRDefault="00655FFD" w:rsidP="00E03CB3">
      <w:pPr>
        <w:ind w:left="0" w:firstLine="646"/>
        <w:rPr>
          <w:color w:val="1F4E79"/>
          <w:szCs w:val="18"/>
          <w:lang w:eastAsia="es-DO"/>
        </w:rPr>
      </w:pPr>
    </w:p>
    <w:p w14:paraId="28BA800D" w14:textId="3A0655AA" w:rsidR="00953BEC" w:rsidRDefault="00655FFD" w:rsidP="00E03CB3">
      <w:pPr>
        <w:ind w:left="0" w:firstLine="646"/>
        <w:rPr>
          <w:color w:val="1F4E79"/>
          <w:szCs w:val="18"/>
          <w:lang w:eastAsia="es-DO"/>
        </w:rPr>
      </w:pPr>
      <w:r w:rsidRPr="00FA1EEC">
        <w:rPr>
          <w:color w:val="1F4E79"/>
          <w:szCs w:val="18"/>
          <w:lang w:eastAsia="es-DO"/>
        </w:rPr>
        <w:t xml:space="preserve">De esta forma, el </w:t>
      </w:r>
      <w:r w:rsidR="00207340">
        <w:rPr>
          <w:color w:val="1F4E79"/>
          <w:szCs w:val="18"/>
          <w:lang w:eastAsia="es-DO"/>
        </w:rPr>
        <w:t>FONPER</w:t>
      </w:r>
      <w:r w:rsidRPr="00FA1EEC">
        <w:rPr>
          <w:color w:val="1F4E79"/>
          <w:szCs w:val="18"/>
          <w:lang w:eastAsia="es-DO"/>
        </w:rPr>
        <w:t xml:space="preserve"> ha contribuido con el desarrollo de las empresas capitalizadas EGEITABO, EGEHAINA, La Tabacalera y Molinos del Ozama, mediante un programa de asistencia técnica que abarca, entre otras actividades, un seguimiento constante a la gestión operativa, comercial y financiera de las empresas, a través de reuniones de trabajo con los Representantes, Comisarios de Cuentas y el Comité de Gestión Patrimonial, así como también con los principales funcionarios de las empresas; participación en los consejos de administración y en asambleas ordinarias y extraordinarias.</w:t>
      </w:r>
    </w:p>
    <w:p w14:paraId="1780B75C" w14:textId="77777777" w:rsidR="003E1385" w:rsidRPr="00FA1EEC" w:rsidRDefault="003E1385" w:rsidP="00E03CB3">
      <w:pPr>
        <w:ind w:left="0" w:firstLine="646"/>
        <w:rPr>
          <w:color w:val="1F4E79"/>
          <w:szCs w:val="18"/>
          <w:lang w:eastAsia="es-DO"/>
        </w:rPr>
      </w:pPr>
    </w:p>
    <w:p w14:paraId="49CBC166" w14:textId="526FDE93" w:rsidR="00655FFD" w:rsidRPr="00FA1EEC" w:rsidRDefault="00655FFD" w:rsidP="00E03CB3">
      <w:pPr>
        <w:ind w:left="0" w:firstLine="646"/>
        <w:rPr>
          <w:color w:val="1F4E79"/>
          <w:szCs w:val="18"/>
          <w:lang w:eastAsia="es-DO"/>
        </w:rPr>
      </w:pPr>
      <w:r w:rsidRPr="00FA1EEC">
        <w:rPr>
          <w:color w:val="1F4E79"/>
          <w:szCs w:val="18"/>
          <w:lang w:eastAsia="es-DO"/>
        </w:rPr>
        <w:t>A continuación, presentamos un resumen de los aspectos más relevantes del desempeño de las empresas capitalizadas.</w:t>
      </w:r>
    </w:p>
    <w:p w14:paraId="28C7521A" w14:textId="77777777" w:rsidR="00655FFD" w:rsidRPr="003E1385" w:rsidRDefault="00655FFD" w:rsidP="00E03CB3">
      <w:pPr>
        <w:ind w:left="0" w:firstLine="646"/>
        <w:rPr>
          <w:color w:val="1F4E79"/>
          <w:szCs w:val="18"/>
          <w:lang w:eastAsia="es-DO"/>
        </w:rPr>
      </w:pPr>
      <w:r w:rsidRPr="003E1385">
        <w:rPr>
          <w:color w:val="1F4E79"/>
          <w:szCs w:val="18"/>
          <w:lang w:eastAsia="es-DO"/>
        </w:rPr>
        <w:t xml:space="preserve"> </w:t>
      </w:r>
    </w:p>
    <w:p w14:paraId="01A58671" w14:textId="77777777" w:rsidR="00655FFD" w:rsidRPr="00D618E7" w:rsidRDefault="00655FFD" w:rsidP="00E03CB3">
      <w:pPr>
        <w:pStyle w:val="Prrafodelista"/>
        <w:numPr>
          <w:ilvl w:val="0"/>
          <w:numId w:val="35"/>
        </w:numPr>
        <w:ind w:left="426"/>
        <w:rPr>
          <w:b/>
          <w:color w:val="1F4E79"/>
          <w:szCs w:val="18"/>
          <w:lang w:eastAsia="es-DO"/>
        </w:rPr>
      </w:pPr>
      <w:r w:rsidRPr="00D618E7">
        <w:rPr>
          <w:b/>
          <w:color w:val="1F4E79"/>
          <w:szCs w:val="18"/>
          <w:lang w:eastAsia="es-DO"/>
        </w:rPr>
        <w:t>Empresa Generadora de Electricidad Haina (EGEHAINA).</w:t>
      </w:r>
    </w:p>
    <w:p w14:paraId="2FAE79D2" w14:textId="77777777" w:rsidR="00B11723" w:rsidRPr="00FA1EEC" w:rsidRDefault="00B11723" w:rsidP="00E03CB3">
      <w:pPr>
        <w:ind w:left="0" w:firstLine="646"/>
        <w:rPr>
          <w:color w:val="1F4E79"/>
          <w:szCs w:val="18"/>
          <w:lang w:eastAsia="es-DO"/>
        </w:rPr>
      </w:pPr>
    </w:p>
    <w:p w14:paraId="45F4B247" w14:textId="77777777" w:rsidR="006C7539" w:rsidRDefault="00655FFD" w:rsidP="00E03CB3">
      <w:pPr>
        <w:ind w:left="0" w:firstLine="646"/>
        <w:rPr>
          <w:color w:val="1F4E79"/>
          <w:szCs w:val="18"/>
          <w:lang w:eastAsia="es-DO"/>
        </w:rPr>
      </w:pPr>
      <w:r w:rsidRPr="00FA1EEC">
        <w:rPr>
          <w:color w:val="1F4E79"/>
          <w:szCs w:val="18"/>
          <w:lang w:eastAsia="es-DO"/>
        </w:rPr>
        <w:t>Es la mayor empresa de generación de la República Dominicana, con una capacidad instalada de 1,000 MW de 10 centrales de generación eléctrica (7 propias y 3 de terceros), compuesto por un diversificado portafolio de activos con capacidad de generación a carbón, fuel oíl, gas natural y energía eólica, diseminados en San Pedro de Macorís, San Cristóbal, Barahona y Pedernales. Aporta cerca del 18% de la energía que se produce en</w:t>
      </w:r>
      <w:r w:rsidRPr="00D618E7">
        <w:rPr>
          <w:rFonts w:ascii="Calibri" w:hAnsi="Calibri" w:cs="Calibri"/>
          <w:color w:val="1F4E79"/>
          <w:szCs w:val="18"/>
          <w:lang w:eastAsia="es-DO"/>
        </w:rPr>
        <w:t> </w:t>
      </w:r>
      <w:r w:rsidRPr="00FA1EEC">
        <w:rPr>
          <w:color w:val="1F4E79"/>
          <w:szCs w:val="18"/>
          <w:lang w:eastAsia="es-DO"/>
        </w:rPr>
        <w:t>la República Dominicana, y es reconocida como la pionera y líder con mayor producción de energía eólica del Caribe (capacidad instalada de 175 MW), en los parques Los Cocos y Larimar; y fue reconocida por la OEA con Bonos de Carbón, por el Parque Eólico Los Cocos contribuir al ahorro de 900K barriles de petróleo y evitar la emisión de 300K t</w:t>
      </w:r>
      <w:r w:rsidR="006C7539">
        <w:rPr>
          <w:color w:val="1F4E79"/>
          <w:szCs w:val="18"/>
          <w:lang w:eastAsia="es-DO"/>
        </w:rPr>
        <w:t>oneladas de CO2 a la atmósfera.</w:t>
      </w:r>
    </w:p>
    <w:p w14:paraId="574F1431" w14:textId="77777777" w:rsidR="006C7539" w:rsidRDefault="006C7539" w:rsidP="00E03CB3">
      <w:pPr>
        <w:ind w:left="0" w:firstLine="646"/>
        <w:rPr>
          <w:color w:val="1F4E79"/>
          <w:szCs w:val="18"/>
          <w:lang w:eastAsia="es-DO"/>
        </w:rPr>
      </w:pPr>
    </w:p>
    <w:p w14:paraId="379C4E59" w14:textId="4C3044E1" w:rsidR="006C7539" w:rsidRDefault="00655FFD" w:rsidP="00E03CB3">
      <w:pPr>
        <w:ind w:left="0" w:firstLine="646"/>
        <w:rPr>
          <w:color w:val="1F4E79"/>
          <w:szCs w:val="18"/>
          <w:lang w:eastAsia="es-DO"/>
        </w:rPr>
      </w:pPr>
      <w:r w:rsidRPr="00FA1EEC">
        <w:rPr>
          <w:color w:val="1F4E79"/>
          <w:szCs w:val="18"/>
          <w:lang w:eastAsia="es-DO"/>
        </w:rPr>
        <w:t xml:space="preserve">Al 30 de septiembre 2020, EGEHAINA reportó una Utilidad Neta de RD$1,896.5 Millones. En abril 2020, la empresa entregó al </w:t>
      </w:r>
      <w:r w:rsidR="00207340">
        <w:rPr>
          <w:color w:val="1F4E79"/>
          <w:szCs w:val="18"/>
          <w:lang w:eastAsia="es-DO"/>
        </w:rPr>
        <w:t>FONPER</w:t>
      </w:r>
      <w:r w:rsidRPr="00FA1EEC">
        <w:rPr>
          <w:color w:val="1F4E79"/>
          <w:szCs w:val="18"/>
          <w:lang w:eastAsia="es-DO"/>
        </w:rPr>
        <w:t xml:space="preserve"> la suma de US$30.1 Millones netos, por concepto de pago de dividendos por participación en el capital accionario de EGEHAINA, en virtud de la declaración de dividendos en la Asamblea General Ordinaria Anual de la empresa de fecha 14 de abril del 2020. </w:t>
      </w:r>
    </w:p>
    <w:p w14:paraId="457AA815" w14:textId="77777777" w:rsidR="006C7539" w:rsidRDefault="006C7539" w:rsidP="00E03CB3">
      <w:pPr>
        <w:ind w:left="0" w:firstLine="646"/>
        <w:rPr>
          <w:color w:val="1F4E79"/>
          <w:szCs w:val="18"/>
          <w:lang w:eastAsia="es-DO"/>
        </w:rPr>
      </w:pPr>
    </w:p>
    <w:p w14:paraId="06FD2988" w14:textId="37B21273" w:rsidR="00655FFD" w:rsidRPr="00FA1EEC" w:rsidRDefault="00655FFD" w:rsidP="00E03CB3">
      <w:pPr>
        <w:ind w:left="0" w:firstLine="646"/>
        <w:rPr>
          <w:color w:val="1F4E79"/>
          <w:szCs w:val="18"/>
          <w:lang w:eastAsia="es-DO"/>
        </w:rPr>
      </w:pPr>
      <w:r w:rsidRPr="00FA1EEC">
        <w:rPr>
          <w:color w:val="1F4E79"/>
          <w:szCs w:val="18"/>
          <w:lang w:eastAsia="es-DO"/>
        </w:rPr>
        <w:t>Como parte de las inversiones realizadas por la empresa, en este año se concluyó la construcción del gaseoducto del parque Quisqueya II, con una inversión de alrededor de US$6.0 Millones, y que opera a través del uso de gas natural.</w:t>
      </w:r>
    </w:p>
    <w:p w14:paraId="392F03C6" w14:textId="77777777" w:rsidR="00655FFD" w:rsidRPr="006C7539" w:rsidRDefault="00655FFD" w:rsidP="00E03CB3">
      <w:pPr>
        <w:ind w:left="0" w:firstLine="646"/>
        <w:rPr>
          <w:color w:val="1F4E79"/>
          <w:szCs w:val="18"/>
          <w:lang w:eastAsia="es-DO"/>
        </w:rPr>
      </w:pPr>
    </w:p>
    <w:p w14:paraId="5BB093B3" w14:textId="77777777" w:rsidR="00655FFD" w:rsidRPr="00FA1EEC" w:rsidRDefault="00655FFD" w:rsidP="00E03CB3">
      <w:pPr>
        <w:ind w:left="0" w:firstLine="646"/>
        <w:rPr>
          <w:color w:val="1F4E79"/>
          <w:szCs w:val="18"/>
          <w:lang w:eastAsia="es-DO"/>
        </w:rPr>
      </w:pPr>
      <w:r w:rsidRPr="00FA1EEC">
        <w:rPr>
          <w:color w:val="1F4E79"/>
          <w:szCs w:val="18"/>
          <w:lang w:eastAsia="es-DO"/>
        </w:rPr>
        <w:t>Asimismo, se continuó la construcción del Proyecto del Parque Solar Girasol, para el cual se estimó una inversión aproximada de US$120 Millones y, a la fecha, cuenta con avance de un 95%. Este parque contará con una capacidad instalada de 120 MW y se proyecta entrará en operación en mayo del 2021.</w:t>
      </w:r>
    </w:p>
    <w:p w14:paraId="7E674AE9" w14:textId="77777777" w:rsidR="00655FFD" w:rsidRPr="00FA1EEC" w:rsidRDefault="00655FFD" w:rsidP="00E03CB3">
      <w:pPr>
        <w:ind w:left="0" w:firstLine="646"/>
        <w:rPr>
          <w:color w:val="1F4E79"/>
          <w:szCs w:val="18"/>
          <w:lang w:eastAsia="es-DO"/>
        </w:rPr>
      </w:pPr>
    </w:p>
    <w:p w14:paraId="5BB1C2E1" w14:textId="77777777" w:rsidR="00655FFD" w:rsidRPr="00FA1EEC" w:rsidRDefault="00655FFD" w:rsidP="00E03CB3">
      <w:pPr>
        <w:ind w:left="0" w:firstLine="646"/>
        <w:rPr>
          <w:color w:val="1F4E79"/>
          <w:szCs w:val="18"/>
          <w:lang w:eastAsia="es-DO"/>
        </w:rPr>
      </w:pPr>
      <w:r w:rsidRPr="00FA1EEC">
        <w:rPr>
          <w:color w:val="1F4E79"/>
          <w:szCs w:val="18"/>
          <w:lang w:eastAsia="es-DO"/>
        </w:rPr>
        <w:t>En fecha 20 de octubre de este año, mediante comunicación recibida de la Presidencia de la República Dominicana, se recomendó la designación del señor George Jacob Shwarzbartl como representante ante el Consejo de Administración de EGEHAINA, en sustitución del señor Carlos Hernández De Moya, cuyo nombramiento se conoció en la Asamblea General Ordinaria de la empresa celebrada en fecha 25 de noviembre del 2020.</w:t>
      </w:r>
    </w:p>
    <w:p w14:paraId="4D8E23DB" w14:textId="77777777" w:rsidR="00655FFD" w:rsidRPr="006C7539" w:rsidRDefault="00655FFD" w:rsidP="00E03CB3">
      <w:pPr>
        <w:ind w:left="0" w:firstLine="646"/>
        <w:rPr>
          <w:color w:val="1F4E79"/>
          <w:szCs w:val="18"/>
          <w:lang w:eastAsia="es-DO"/>
        </w:rPr>
      </w:pPr>
    </w:p>
    <w:p w14:paraId="61025489" w14:textId="77777777" w:rsidR="00655FFD" w:rsidRPr="00FA1EEC" w:rsidRDefault="00655FFD" w:rsidP="00E03CB3">
      <w:pPr>
        <w:pStyle w:val="Prrafodelista"/>
        <w:numPr>
          <w:ilvl w:val="0"/>
          <w:numId w:val="35"/>
        </w:numPr>
        <w:ind w:left="426"/>
        <w:rPr>
          <w:b/>
          <w:color w:val="1F4E79"/>
          <w:szCs w:val="18"/>
          <w:lang w:eastAsia="es-DO"/>
        </w:rPr>
      </w:pPr>
      <w:r w:rsidRPr="00FA1EEC">
        <w:rPr>
          <w:b/>
          <w:color w:val="1F4E79"/>
          <w:szCs w:val="18"/>
          <w:lang w:eastAsia="es-DO"/>
        </w:rPr>
        <w:t>Empresa Generadora de Electricidad Itabo (EGEITABO).</w:t>
      </w:r>
    </w:p>
    <w:p w14:paraId="3171ECA7" w14:textId="77777777" w:rsidR="00655FFD" w:rsidRPr="00FA1EEC" w:rsidRDefault="00655FFD" w:rsidP="00E03CB3">
      <w:pPr>
        <w:ind w:left="0" w:firstLine="646"/>
        <w:rPr>
          <w:color w:val="1F4E79"/>
          <w:szCs w:val="18"/>
          <w:lang w:eastAsia="es-DO"/>
        </w:rPr>
      </w:pPr>
    </w:p>
    <w:p w14:paraId="7A90972F" w14:textId="77777777" w:rsidR="00655FFD" w:rsidRPr="00FA1EEC" w:rsidRDefault="00655FFD" w:rsidP="00E03CB3">
      <w:pPr>
        <w:ind w:left="0" w:firstLine="646"/>
        <w:rPr>
          <w:color w:val="1F4E79"/>
          <w:szCs w:val="18"/>
          <w:lang w:eastAsia="es-DO"/>
        </w:rPr>
      </w:pPr>
      <w:r w:rsidRPr="00FA1EEC">
        <w:rPr>
          <w:color w:val="1F4E79"/>
          <w:szCs w:val="18"/>
          <w:lang w:eastAsia="es-DO"/>
        </w:rPr>
        <w:t xml:space="preserve">Esta empresa es propietaria de unidades de generación de energía que aportan un total de 294.5 MW de capacidad instalada en base a carbón mineral. Cuenta con un muelle internacional de descarga de 580 Mts. de longitud para la recepción de carbón o petcoke, así como cualquier otro producto a granel, con una capacidad de descarga de 1,600 toneladas de carbón por hora. </w:t>
      </w:r>
    </w:p>
    <w:p w14:paraId="1804E215" w14:textId="77777777" w:rsidR="00655FFD" w:rsidRPr="00FA1EEC" w:rsidRDefault="00655FFD" w:rsidP="00E03CB3">
      <w:pPr>
        <w:ind w:left="0" w:firstLine="646"/>
        <w:rPr>
          <w:color w:val="1F4E79"/>
          <w:szCs w:val="18"/>
          <w:lang w:eastAsia="es-DO"/>
        </w:rPr>
      </w:pPr>
    </w:p>
    <w:p w14:paraId="7D75FB1C" w14:textId="143455DF" w:rsidR="00D618E7" w:rsidRDefault="00655FFD" w:rsidP="00E03CB3">
      <w:pPr>
        <w:ind w:left="0" w:firstLine="646"/>
        <w:rPr>
          <w:color w:val="1F4E79"/>
          <w:szCs w:val="18"/>
          <w:lang w:eastAsia="es-DO"/>
        </w:rPr>
      </w:pPr>
      <w:r w:rsidRPr="00FA1EEC">
        <w:rPr>
          <w:color w:val="1F4E79"/>
          <w:szCs w:val="18"/>
          <w:lang w:eastAsia="es-DO"/>
        </w:rPr>
        <w:t xml:space="preserve">Al 30 de septiembre 2020 reportó una utilidad neta de RD$2,361.8 Millones, estimándose que al cierre del año alcance los RD$2,660.4 Millones. Este año la empresa entregó al </w:t>
      </w:r>
      <w:r w:rsidR="00207340">
        <w:rPr>
          <w:color w:val="1F4E79"/>
          <w:szCs w:val="18"/>
          <w:lang w:eastAsia="es-DO"/>
        </w:rPr>
        <w:t>FONPER</w:t>
      </w:r>
      <w:r w:rsidRPr="00FA1EEC">
        <w:rPr>
          <w:color w:val="1F4E79"/>
          <w:szCs w:val="18"/>
          <w:lang w:eastAsia="es-DO"/>
        </w:rPr>
        <w:t xml:space="preserve"> dividendos netos po</w:t>
      </w:r>
      <w:r w:rsidR="00D618E7">
        <w:rPr>
          <w:color w:val="1F4E79"/>
          <w:szCs w:val="18"/>
          <w:lang w:eastAsia="es-DO"/>
        </w:rPr>
        <w:t>r la suma de RD$580.6 Millones.</w:t>
      </w:r>
    </w:p>
    <w:p w14:paraId="76AA83BB" w14:textId="77777777" w:rsidR="00632954" w:rsidRDefault="00632954" w:rsidP="00632954">
      <w:pPr>
        <w:ind w:left="0" w:firstLine="646"/>
        <w:rPr>
          <w:color w:val="1F4E79"/>
          <w:szCs w:val="18"/>
          <w:lang w:eastAsia="es-DO"/>
        </w:rPr>
      </w:pPr>
    </w:p>
    <w:p w14:paraId="78471185" w14:textId="79FD175B" w:rsidR="00655FFD" w:rsidRPr="00FA1EEC" w:rsidRDefault="00655FFD" w:rsidP="00E03CB3">
      <w:pPr>
        <w:ind w:left="0" w:firstLine="646"/>
        <w:rPr>
          <w:color w:val="1F4E79"/>
          <w:szCs w:val="18"/>
          <w:lang w:eastAsia="es-DO"/>
        </w:rPr>
      </w:pPr>
      <w:r w:rsidRPr="00FA1EEC">
        <w:rPr>
          <w:color w:val="1F4E79"/>
          <w:szCs w:val="18"/>
          <w:lang w:eastAsia="es-DO"/>
        </w:rPr>
        <w:t>En fecha 20 de octubre de este año, mediante comunicación recibida de la Presidencia de la República Dominicana, se recomendó la designación del señor Ángel José Beato como representante ante el Consejo de Administración de EGEITABO, en sustitución del señor Samuel Tineo, cuyo nombramiento se conoció en la Asamblea General Ordinaria de la empresa celebrada en fecha 16 de noviembre del 2020.</w:t>
      </w:r>
    </w:p>
    <w:p w14:paraId="59781333" w14:textId="77777777" w:rsidR="00655FFD" w:rsidRPr="00FA1EEC" w:rsidRDefault="00655FFD" w:rsidP="00E03CB3">
      <w:pPr>
        <w:ind w:left="0" w:firstLine="646"/>
        <w:rPr>
          <w:color w:val="1F4E79"/>
          <w:szCs w:val="18"/>
          <w:lang w:eastAsia="es-DO"/>
        </w:rPr>
      </w:pPr>
    </w:p>
    <w:p w14:paraId="6E857D57" w14:textId="77777777" w:rsidR="00655FFD" w:rsidRPr="00FA1EEC" w:rsidRDefault="00655FFD" w:rsidP="00E03CB3">
      <w:pPr>
        <w:pStyle w:val="Prrafodelista"/>
        <w:numPr>
          <w:ilvl w:val="0"/>
          <w:numId w:val="35"/>
        </w:numPr>
        <w:ind w:left="426"/>
        <w:rPr>
          <w:b/>
          <w:color w:val="1F4E79"/>
          <w:szCs w:val="18"/>
          <w:lang w:eastAsia="es-DO"/>
        </w:rPr>
      </w:pPr>
      <w:r w:rsidRPr="00FA1EEC">
        <w:rPr>
          <w:b/>
          <w:color w:val="1F4E79"/>
          <w:szCs w:val="18"/>
          <w:lang w:eastAsia="es-DO"/>
        </w:rPr>
        <w:t>Molinos del Ozama, C. Por A.</w:t>
      </w:r>
    </w:p>
    <w:p w14:paraId="12266F70" w14:textId="77777777" w:rsidR="00655FFD" w:rsidRPr="006C7539" w:rsidRDefault="00655FFD" w:rsidP="00E03CB3">
      <w:pPr>
        <w:ind w:left="0" w:firstLine="646"/>
        <w:rPr>
          <w:color w:val="1F4E79"/>
          <w:szCs w:val="18"/>
          <w:lang w:eastAsia="es-DO"/>
        </w:rPr>
      </w:pPr>
    </w:p>
    <w:p w14:paraId="678DE6D7" w14:textId="77777777" w:rsidR="00655FFD" w:rsidRPr="00FA1EEC" w:rsidRDefault="00655FFD" w:rsidP="00E03CB3">
      <w:pPr>
        <w:ind w:left="0" w:firstLine="646"/>
        <w:rPr>
          <w:color w:val="1F4E79"/>
          <w:szCs w:val="18"/>
          <w:lang w:eastAsia="es-DO"/>
        </w:rPr>
      </w:pPr>
      <w:r w:rsidRPr="00FA1EEC">
        <w:rPr>
          <w:color w:val="1F4E79"/>
          <w:szCs w:val="18"/>
          <w:lang w:eastAsia="es-DO"/>
        </w:rPr>
        <w:t>Es una empresa dedicada a la producción y comercialización de harina de trigo como producto principal, con una capacidad de molienda de trigo de 700 toneladas diarias, considerado el más grande de la región del Caribe y Centroamérica.</w:t>
      </w:r>
    </w:p>
    <w:p w14:paraId="49DDA710" w14:textId="77777777" w:rsidR="00655FFD" w:rsidRPr="00FA1EEC" w:rsidRDefault="00655FFD" w:rsidP="00E03CB3">
      <w:pPr>
        <w:ind w:left="0" w:firstLine="646"/>
        <w:rPr>
          <w:color w:val="1F4E79"/>
          <w:szCs w:val="18"/>
          <w:lang w:eastAsia="es-DO"/>
        </w:rPr>
      </w:pPr>
    </w:p>
    <w:p w14:paraId="575EEC4D" w14:textId="77777777" w:rsidR="00655FFD" w:rsidRPr="00FA1EEC" w:rsidRDefault="00655FFD" w:rsidP="00E03CB3">
      <w:pPr>
        <w:ind w:left="0" w:firstLine="646"/>
        <w:rPr>
          <w:color w:val="1F4E79"/>
          <w:szCs w:val="18"/>
          <w:lang w:eastAsia="es-DO"/>
        </w:rPr>
      </w:pPr>
      <w:r w:rsidRPr="00FA1EEC">
        <w:rPr>
          <w:color w:val="1F4E79"/>
          <w:szCs w:val="18"/>
          <w:lang w:eastAsia="es-DO"/>
        </w:rPr>
        <w:t xml:space="preserve">En aspectos comerciales, Molinos del Ozama continua en la posición líder en este mercado, y para el primer semestre de 2020 presentó un crecimiento de su participación en 2.8% para una participación a junio de 43.1%. </w:t>
      </w:r>
    </w:p>
    <w:p w14:paraId="6F9C177E" w14:textId="77777777" w:rsidR="00655FFD" w:rsidRPr="00FA1EEC" w:rsidRDefault="00655FFD" w:rsidP="00E03CB3">
      <w:pPr>
        <w:ind w:left="0" w:firstLine="646"/>
        <w:rPr>
          <w:color w:val="1F4E79"/>
          <w:szCs w:val="18"/>
          <w:lang w:eastAsia="es-DO"/>
        </w:rPr>
      </w:pPr>
    </w:p>
    <w:p w14:paraId="523E2E97" w14:textId="410C0EFA" w:rsidR="00655FFD" w:rsidRPr="00FA1EEC" w:rsidRDefault="00655FFD" w:rsidP="00E03CB3">
      <w:pPr>
        <w:ind w:left="0" w:firstLine="646"/>
        <w:rPr>
          <w:color w:val="1F4E79"/>
          <w:szCs w:val="18"/>
          <w:lang w:eastAsia="es-DO"/>
        </w:rPr>
      </w:pPr>
      <w:r w:rsidRPr="00FA1EEC">
        <w:rPr>
          <w:color w:val="1F4E79"/>
          <w:szCs w:val="18"/>
          <w:lang w:eastAsia="es-DO"/>
        </w:rPr>
        <w:t xml:space="preserve">Al 30 de septiembre, reportó una Utilidad Neta de RD$146.3 Millones, estimándose que al cierre del año alcance los RD$202 Millones.  En este año la empresa entregó al </w:t>
      </w:r>
      <w:r w:rsidR="00207340">
        <w:rPr>
          <w:color w:val="1F4E79"/>
          <w:szCs w:val="18"/>
          <w:lang w:eastAsia="es-DO"/>
        </w:rPr>
        <w:t>FONPER</w:t>
      </w:r>
      <w:r w:rsidRPr="00FA1EEC">
        <w:rPr>
          <w:color w:val="1F4E79"/>
          <w:szCs w:val="18"/>
          <w:lang w:eastAsia="es-DO"/>
        </w:rPr>
        <w:t xml:space="preserve"> dividendos netos por la suma de RD$85.4 Millones.</w:t>
      </w:r>
    </w:p>
    <w:p w14:paraId="368E2D66" w14:textId="77777777" w:rsidR="00655FFD" w:rsidRPr="00FA1EEC" w:rsidRDefault="00655FFD" w:rsidP="00E03CB3">
      <w:pPr>
        <w:ind w:left="0" w:firstLine="646"/>
        <w:rPr>
          <w:color w:val="1F4E79"/>
          <w:szCs w:val="18"/>
          <w:lang w:eastAsia="es-DO"/>
        </w:rPr>
      </w:pPr>
    </w:p>
    <w:p w14:paraId="07707408" w14:textId="03D2049D" w:rsidR="00655FFD" w:rsidRDefault="00655FFD" w:rsidP="00E03CB3">
      <w:pPr>
        <w:ind w:left="0" w:firstLine="646"/>
        <w:rPr>
          <w:color w:val="1F4E79"/>
          <w:szCs w:val="18"/>
          <w:lang w:eastAsia="es-DO"/>
        </w:rPr>
      </w:pPr>
      <w:r w:rsidRPr="00FA1EEC">
        <w:rPr>
          <w:color w:val="1F4E79"/>
          <w:szCs w:val="18"/>
          <w:lang w:eastAsia="es-DO"/>
        </w:rPr>
        <w:t>En fecha 20 de octubre de este año, mediante comunicación recibida de la Presidencia de la República Dominicana, se recomendó la designación de la señora Rocío Salcedo como representante ante el Consejo de Administración de Molinos del Ozama, en sustitución del señor Leandro González. Está pendiente la designación formal como Secretaria en el Consejo de Directores y posterior celebración de Asamblea de Accionistas.</w:t>
      </w:r>
    </w:p>
    <w:p w14:paraId="2B07BB53" w14:textId="77777777" w:rsidR="00BA39B0" w:rsidRPr="00FA1EEC" w:rsidRDefault="00BA39B0" w:rsidP="006C7539">
      <w:pPr>
        <w:ind w:left="0" w:firstLine="646"/>
        <w:rPr>
          <w:color w:val="1F4E79"/>
          <w:szCs w:val="18"/>
          <w:lang w:eastAsia="es-DO"/>
        </w:rPr>
      </w:pPr>
    </w:p>
    <w:p w14:paraId="66977627" w14:textId="77777777" w:rsidR="00655FFD" w:rsidRPr="00FA1EEC" w:rsidRDefault="00655FFD" w:rsidP="00E03CB3">
      <w:pPr>
        <w:pStyle w:val="Prrafodelista"/>
        <w:numPr>
          <w:ilvl w:val="0"/>
          <w:numId w:val="35"/>
        </w:numPr>
        <w:ind w:left="426"/>
        <w:rPr>
          <w:b/>
          <w:color w:val="1F4E79"/>
          <w:szCs w:val="18"/>
          <w:lang w:eastAsia="es-DO"/>
        </w:rPr>
      </w:pPr>
      <w:r w:rsidRPr="00FA1EEC">
        <w:rPr>
          <w:b/>
          <w:color w:val="1F4E79"/>
          <w:szCs w:val="18"/>
          <w:lang w:eastAsia="es-DO"/>
        </w:rPr>
        <w:t xml:space="preserve"> La Tabacalera, S. A.</w:t>
      </w:r>
    </w:p>
    <w:p w14:paraId="5B9CA9C8" w14:textId="77777777" w:rsidR="00655FFD" w:rsidRPr="006C7539" w:rsidRDefault="00655FFD" w:rsidP="00E03CB3">
      <w:pPr>
        <w:ind w:left="0" w:firstLine="646"/>
        <w:rPr>
          <w:color w:val="1F4E79"/>
          <w:szCs w:val="18"/>
          <w:lang w:eastAsia="es-DO"/>
        </w:rPr>
      </w:pPr>
    </w:p>
    <w:p w14:paraId="242A504C" w14:textId="77777777" w:rsidR="00655FFD" w:rsidRPr="00FA1EEC" w:rsidRDefault="00655FFD" w:rsidP="00E03CB3">
      <w:pPr>
        <w:ind w:left="0" w:firstLine="646"/>
        <w:rPr>
          <w:color w:val="1F4E79"/>
          <w:szCs w:val="18"/>
          <w:lang w:eastAsia="es-DO"/>
        </w:rPr>
      </w:pPr>
      <w:r w:rsidRPr="00FA1EEC">
        <w:rPr>
          <w:color w:val="1F4E79"/>
          <w:szCs w:val="18"/>
          <w:lang w:eastAsia="es-DO"/>
        </w:rPr>
        <w:t>La Tabacalera, S.A. es una empresa que se dedica al procesamiento, compra y venta, exportación e importación de tabaco, así como la elaboración y fabricación de cigarrillos y cigarros, la distribución y comercialización de los mismos al por mayor y al detalle en todo el territorio nacional, al igual que su exportación.</w:t>
      </w:r>
    </w:p>
    <w:p w14:paraId="06574A01" w14:textId="77777777" w:rsidR="00655FFD" w:rsidRPr="006C7539" w:rsidRDefault="00655FFD" w:rsidP="00E03CB3">
      <w:pPr>
        <w:ind w:left="0" w:firstLine="646"/>
        <w:rPr>
          <w:color w:val="1F4E79"/>
          <w:szCs w:val="18"/>
          <w:lang w:eastAsia="es-DO"/>
        </w:rPr>
      </w:pPr>
    </w:p>
    <w:p w14:paraId="5DBECC66" w14:textId="77777777" w:rsidR="00655FFD" w:rsidRPr="00FA1EEC" w:rsidRDefault="00655FFD" w:rsidP="00E03CB3">
      <w:pPr>
        <w:ind w:left="0" w:firstLine="646"/>
        <w:rPr>
          <w:color w:val="1F4E79"/>
          <w:szCs w:val="18"/>
          <w:lang w:eastAsia="es-DO"/>
        </w:rPr>
      </w:pPr>
      <w:r w:rsidRPr="00FA1EEC">
        <w:rPr>
          <w:color w:val="1F4E79"/>
          <w:szCs w:val="18"/>
          <w:lang w:eastAsia="es-DO"/>
        </w:rPr>
        <w:t>Al 30 de septiembre 2020, la empresa reportó una pérdida neta ascendente a RD$138.9 Millones. Estos resultados son ocasionados por el contrabando de cigarrillos, ya que entran al país por los diferentes puertos y son vendidos en los establecimientos comerciales detallistas sin dificultad.</w:t>
      </w:r>
    </w:p>
    <w:p w14:paraId="7BB43C31" w14:textId="77777777" w:rsidR="00655FFD" w:rsidRPr="00FA1EEC" w:rsidRDefault="00655FFD" w:rsidP="00E03CB3">
      <w:pPr>
        <w:ind w:left="0" w:firstLine="646"/>
        <w:rPr>
          <w:color w:val="1F4E79"/>
          <w:szCs w:val="18"/>
          <w:lang w:eastAsia="es-DO"/>
        </w:rPr>
      </w:pPr>
    </w:p>
    <w:p w14:paraId="4C762D85" w14:textId="77777777" w:rsidR="00655FFD" w:rsidRPr="00FA1EEC" w:rsidRDefault="00655FFD" w:rsidP="00E03CB3">
      <w:pPr>
        <w:ind w:left="0" w:firstLine="646"/>
        <w:rPr>
          <w:color w:val="1F4E79"/>
          <w:szCs w:val="18"/>
          <w:lang w:eastAsia="es-DO"/>
        </w:rPr>
      </w:pPr>
      <w:r w:rsidRPr="00FA1EEC">
        <w:rPr>
          <w:color w:val="1F4E79"/>
          <w:szCs w:val="18"/>
          <w:lang w:eastAsia="es-DO"/>
        </w:rPr>
        <w:t xml:space="preserve">A inicios del año 2020, la sociedad sustituyó al Administrador General, Joaquín De Ramón, por el Sr. Armando Sánchez, quien posee vasta experiencia en el sector y quién ya formaba parte del grupo Japan Tobacco International. </w:t>
      </w:r>
    </w:p>
    <w:p w14:paraId="6CBD1BC2" w14:textId="77777777" w:rsidR="00655FFD" w:rsidRPr="00FA1EEC" w:rsidRDefault="00655FFD" w:rsidP="00E03CB3">
      <w:pPr>
        <w:ind w:left="0" w:firstLine="646"/>
        <w:rPr>
          <w:color w:val="1F4E79"/>
          <w:szCs w:val="18"/>
          <w:lang w:eastAsia="es-DO"/>
        </w:rPr>
      </w:pPr>
    </w:p>
    <w:p w14:paraId="2DDED684" w14:textId="73BD6F2E" w:rsidR="00655FFD" w:rsidRPr="00FA1EEC" w:rsidRDefault="00655FFD" w:rsidP="00E03CB3">
      <w:pPr>
        <w:ind w:left="0" w:firstLine="646"/>
        <w:rPr>
          <w:color w:val="1F4E79"/>
          <w:szCs w:val="18"/>
          <w:lang w:eastAsia="es-DO"/>
        </w:rPr>
      </w:pPr>
      <w:r w:rsidRPr="00FA1EEC">
        <w:rPr>
          <w:color w:val="1F4E79"/>
          <w:szCs w:val="18"/>
          <w:lang w:eastAsia="es-DO"/>
        </w:rPr>
        <w:t>Asimismo, en fecha 20 de octubre de este año, mediante comunicación recibida de la Presidencia de la República Dominicana, se recomendó la designación del señor César Pichardo como representante ante e</w:t>
      </w:r>
      <w:r w:rsidR="00C87066">
        <w:rPr>
          <w:color w:val="1F4E79"/>
          <w:szCs w:val="18"/>
          <w:lang w:eastAsia="es-DO"/>
        </w:rPr>
        <w:t>l Consejo de Administración de La Tabacalera</w:t>
      </w:r>
      <w:r w:rsidRPr="00FA1EEC">
        <w:rPr>
          <w:color w:val="1F4E79"/>
          <w:szCs w:val="18"/>
          <w:lang w:eastAsia="es-DO"/>
        </w:rPr>
        <w:t>, en sustitución del señor Pablo Grullón, cuya formal designación se conoció en la sesión del Consejo de Directores de La Tabacalera, en fecha 22 de octubre 2020.</w:t>
      </w:r>
    </w:p>
    <w:p w14:paraId="420914DC" w14:textId="77777777" w:rsidR="003E49E2" w:rsidRPr="00FA1EEC" w:rsidRDefault="003E49E2" w:rsidP="00E03CB3">
      <w:pPr>
        <w:ind w:left="0" w:firstLine="646"/>
        <w:rPr>
          <w:color w:val="1F4E79"/>
          <w:szCs w:val="18"/>
          <w:lang w:eastAsia="es-DO"/>
        </w:rPr>
      </w:pPr>
    </w:p>
    <w:p w14:paraId="7E4D5285" w14:textId="77777777" w:rsidR="00655FFD" w:rsidRPr="00FA1EEC" w:rsidRDefault="00655FFD" w:rsidP="00E03CB3">
      <w:pPr>
        <w:pStyle w:val="Prrafodelista"/>
        <w:numPr>
          <w:ilvl w:val="0"/>
          <w:numId w:val="35"/>
        </w:numPr>
        <w:ind w:left="426"/>
        <w:rPr>
          <w:b/>
          <w:color w:val="1F4E79"/>
          <w:szCs w:val="18"/>
          <w:lang w:eastAsia="es-DO"/>
        </w:rPr>
      </w:pPr>
      <w:r w:rsidRPr="00FA1EEC">
        <w:rPr>
          <w:b/>
          <w:color w:val="1F4E79"/>
          <w:szCs w:val="18"/>
          <w:lang w:eastAsia="es-DO"/>
        </w:rPr>
        <w:t>Empresas Distribuidoras de Electricidad.</w:t>
      </w:r>
    </w:p>
    <w:p w14:paraId="7763B991" w14:textId="77777777" w:rsidR="00655FFD" w:rsidRPr="00FA1EEC" w:rsidRDefault="00655FFD" w:rsidP="00E03CB3">
      <w:pPr>
        <w:ind w:left="0" w:firstLine="646"/>
        <w:rPr>
          <w:color w:val="1F4E79"/>
          <w:szCs w:val="18"/>
          <w:lang w:eastAsia="es-DO"/>
        </w:rPr>
      </w:pPr>
    </w:p>
    <w:p w14:paraId="47D2D641" w14:textId="5C2914F3" w:rsidR="00655FFD" w:rsidRPr="00FA1EEC" w:rsidRDefault="00655FFD" w:rsidP="00E03CB3">
      <w:pPr>
        <w:ind w:left="0" w:firstLine="646"/>
        <w:rPr>
          <w:color w:val="1F4E79"/>
          <w:szCs w:val="18"/>
          <w:lang w:eastAsia="es-DO"/>
        </w:rPr>
      </w:pPr>
      <w:r w:rsidRPr="00FA1EEC">
        <w:rPr>
          <w:color w:val="1F4E79"/>
          <w:szCs w:val="18"/>
          <w:lang w:eastAsia="es-DO"/>
        </w:rPr>
        <w:t xml:space="preserve">En cuanto al subsector eléctrico de distribución, compuesto por las Empresas Distribuidoras de Electricidad: EDEESTE, EDENORTE y EDESUR, el </w:t>
      </w:r>
      <w:r w:rsidR="00207340">
        <w:rPr>
          <w:color w:val="1F4E79"/>
          <w:szCs w:val="18"/>
          <w:lang w:eastAsia="es-DO"/>
        </w:rPr>
        <w:t>FONPER</w:t>
      </w:r>
      <w:r w:rsidRPr="00FA1EEC">
        <w:rPr>
          <w:color w:val="1F4E79"/>
          <w:szCs w:val="18"/>
          <w:lang w:eastAsia="es-DO"/>
        </w:rPr>
        <w:t xml:space="preserve"> se ha mantenido presente a través de su representación en los diferentes consejos de administración de las diferentes empresas distribuidoras, colaborando y aportando propuestas a fin de lograr el desarrollo y la eficiencia de las mismas.</w:t>
      </w:r>
    </w:p>
    <w:p w14:paraId="5646C043" w14:textId="77777777" w:rsidR="00530D4A" w:rsidRPr="00FA1EEC" w:rsidRDefault="00530D4A" w:rsidP="00E03CB3">
      <w:pPr>
        <w:ind w:left="0" w:firstLine="646"/>
        <w:rPr>
          <w:color w:val="1F4E79"/>
          <w:szCs w:val="18"/>
          <w:lang w:eastAsia="es-DO"/>
        </w:rPr>
      </w:pPr>
    </w:p>
    <w:p w14:paraId="7E7248B6" w14:textId="239EC77E" w:rsidR="00655FFD" w:rsidRPr="00FA1EEC" w:rsidRDefault="00655FFD" w:rsidP="00E03CB3">
      <w:pPr>
        <w:ind w:left="0" w:firstLine="646"/>
        <w:rPr>
          <w:color w:val="1F4E79"/>
          <w:szCs w:val="18"/>
          <w:lang w:eastAsia="es-DO"/>
        </w:rPr>
      </w:pPr>
      <w:r w:rsidRPr="00FA1EEC">
        <w:rPr>
          <w:color w:val="1F4E79"/>
          <w:szCs w:val="18"/>
          <w:lang w:eastAsia="es-DO"/>
        </w:rPr>
        <w:t>De dichas empresas, destacamos el comportamiento de sus principales indicadores comerciales:</w:t>
      </w:r>
    </w:p>
    <w:p w14:paraId="1D57EBDE" w14:textId="77777777" w:rsidR="00530D4A" w:rsidRPr="00FA1EEC" w:rsidRDefault="00530D4A" w:rsidP="00E03CB3">
      <w:pPr>
        <w:ind w:left="0" w:firstLine="646"/>
        <w:rPr>
          <w:color w:val="1F4E79"/>
          <w:szCs w:val="18"/>
          <w:lang w:eastAsia="es-DO"/>
        </w:rPr>
      </w:pPr>
    </w:p>
    <w:p w14:paraId="05FFC6D6" w14:textId="77777777" w:rsidR="00530D4A" w:rsidRPr="00FA1EEC" w:rsidRDefault="00655FFD" w:rsidP="00E03CB3">
      <w:pPr>
        <w:ind w:left="0" w:firstLine="646"/>
        <w:rPr>
          <w:color w:val="1F4E79"/>
          <w:szCs w:val="18"/>
          <w:lang w:eastAsia="es-DO"/>
        </w:rPr>
      </w:pPr>
      <w:r w:rsidRPr="00FA1EEC">
        <w:rPr>
          <w:color w:val="1F4E79"/>
          <w:szCs w:val="18"/>
          <w:lang w:eastAsia="es-DO"/>
        </w:rPr>
        <w:t>Para agosto de 2020, las empresas distribuidoras presentaron un promedio de compra de energía de 3,435 GWh, a un precio de compra de 10.8 USCents/KWh, equivalentes en términos monetarios a US$1,111.3 MM. No obstante, la energía facturada fue de US$1,000.1 MM. La diferencia entre el importe de compra y facturación de energía arroja una pérdida monetaria de US$111.2 MM.  Los cobros por concepto de energía se situaron en US$902.5 MM (17% menos que lo recaudado durante el mismo período del año anterior).</w:t>
      </w:r>
    </w:p>
    <w:p w14:paraId="015C6ACD" w14:textId="15AF6D46" w:rsidR="00655FFD" w:rsidRPr="00FA1EEC" w:rsidRDefault="00655FFD" w:rsidP="00E03CB3">
      <w:pPr>
        <w:ind w:left="0" w:firstLine="646"/>
        <w:rPr>
          <w:color w:val="1F4E79"/>
          <w:szCs w:val="18"/>
          <w:lang w:eastAsia="es-DO"/>
        </w:rPr>
      </w:pPr>
      <w:r w:rsidRPr="00FA1EEC">
        <w:rPr>
          <w:color w:val="1F4E79"/>
          <w:szCs w:val="18"/>
          <w:lang w:eastAsia="es-DO"/>
        </w:rPr>
        <w:t xml:space="preserve"> </w:t>
      </w:r>
    </w:p>
    <w:p w14:paraId="5179F78A" w14:textId="77777777" w:rsidR="00655FFD" w:rsidRPr="00FA1EEC" w:rsidRDefault="00655FFD" w:rsidP="00E03CB3">
      <w:pPr>
        <w:ind w:left="0" w:firstLine="646"/>
        <w:rPr>
          <w:color w:val="1F4E79"/>
          <w:szCs w:val="18"/>
          <w:lang w:eastAsia="es-DO"/>
        </w:rPr>
      </w:pPr>
      <w:r w:rsidRPr="00FA1EEC">
        <w:rPr>
          <w:color w:val="1F4E79"/>
          <w:szCs w:val="18"/>
          <w:lang w:eastAsia="es-DO"/>
        </w:rPr>
        <w:t xml:space="preserve">Es preciso señalar que EDENORTE presentó el menor porcentaje por concepto de pérdidas, el cual alcanzó un 23.1%. Asimismo, EDESUR con un 25.3% en pérdidas, reflejando un porcentaje mayor al período anterior. Mientras que EDEESTE representó perdidas de alrededor del 49.4%. </w:t>
      </w:r>
    </w:p>
    <w:p w14:paraId="5A9D9F83" w14:textId="77777777" w:rsidR="00655FFD" w:rsidRPr="00FA1EEC" w:rsidRDefault="00655FFD" w:rsidP="00E03CB3">
      <w:pPr>
        <w:ind w:left="0" w:firstLine="646"/>
        <w:rPr>
          <w:color w:val="1F4E79"/>
          <w:szCs w:val="18"/>
          <w:lang w:eastAsia="es-DO"/>
        </w:rPr>
      </w:pPr>
    </w:p>
    <w:p w14:paraId="5AD60220" w14:textId="77777777" w:rsidR="00655FFD" w:rsidRPr="00FA1EEC" w:rsidRDefault="00655FFD" w:rsidP="00E03CB3">
      <w:pPr>
        <w:ind w:left="0" w:firstLine="646"/>
        <w:rPr>
          <w:color w:val="1F4E79"/>
          <w:szCs w:val="18"/>
          <w:lang w:eastAsia="es-DO"/>
        </w:rPr>
      </w:pPr>
      <w:r w:rsidRPr="00FA1EEC">
        <w:rPr>
          <w:color w:val="1F4E79"/>
          <w:szCs w:val="18"/>
          <w:lang w:eastAsia="es-DO"/>
        </w:rPr>
        <w:t>En otro tenor, la Cobranza y el CRI de las distribuidoras fue de 90.2% y 60.4%, respectivamente. El abastecimiento de energía fue de 95.8%.</w:t>
      </w:r>
    </w:p>
    <w:tbl>
      <w:tblPr>
        <w:tblW w:w="8080" w:type="dxa"/>
        <w:jc w:val="center"/>
        <w:tblCellMar>
          <w:left w:w="70" w:type="dxa"/>
          <w:right w:w="70" w:type="dxa"/>
        </w:tblCellMar>
        <w:tblLook w:val="04A0" w:firstRow="1" w:lastRow="0" w:firstColumn="1" w:lastColumn="0" w:noHBand="0" w:noVBand="1"/>
      </w:tblPr>
      <w:tblGrid>
        <w:gridCol w:w="4300"/>
        <w:gridCol w:w="1320"/>
        <w:gridCol w:w="1260"/>
        <w:gridCol w:w="1200"/>
      </w:tblGrid>
      <w:tr w:rsidR="00E2668E" w:rsidRPr="00E2668E" w14:paraId="3C60FBFF" w14:textId="77777777" w:rsidTr="002C5E75">
        <w:trPr>
          <w:trHeight w:val="330"/>
          <w:jc w:val="center"/>
        </w:trPr>
        <w:tc>
          <w:tcPr>
            <w:tcW w:w="4300" w:type="dxa"/>
            <w:tcBorders>
              <w:top w:val="single" w:sz="8" w:space="0" w:color="FFFFFF"/>
              <w:left w:val="single" w:sz="8" w:space="0" w:color="FFFFFF"/>
              <w:bottom w:val="single" w:sz="8" w:space="0" w:color="FFFFFF"/>
              <w:right w:val="single" w:sz="8" w:space="0" w:color="FFFFFF"/>
            </w:tcBorders>
            <w:shd w:val="clear" w:color="000000" w:fill="002060"/>
            <w:noWrap/>
            <w:vAlign w:val="center"/>
            <w:hideMark/>
          </w:tcPr>
          <w:p w14:paraId="3E245488" w14:textId="77777777" w:rsidR="00E2668E" w:rsidRPr="00E2668E" w:rsidRDefault="00E2668E" w:rsidP="00E2668E">
            <w:pPr>
              <w:spacing w:after="0" w:line="240" w:lineRule="auto"/>
              <w:ind w:left="0"/>
              <w:jc w:val="left"/>
              <w:rPr>
                <w:rFonts w:ascii="Calibri Light" w:eastAsia="Times New Roman" w:hAnsi="Calibri Light" w:cs="Calibri Light"/>
                <w:b/>
                <w:bCs/>
                <w:color w:val="FFFFFF"/>
                <w:sz w:val="24"/>
                <w:szCs w:val="24"/>
                <w:lang w:eastAsia="es-DO"/>
              </w:rPr>
            </w:pPr>
            <w:r w:rsidRPr="00E2668E">
              <w:rPr>
                <w:rFonts w:ascii="Calibri Light" w:eastAsia="Times New Roman" w:hAnsi="Calibri Light" w:cs="Calibri Light"/>
                <w:b/>
                <w:bCs/>
                <w:color w:val="FFFFFF"/>
                <w:sz w:val="24"/>
                <w:szCs w:val="24"/>
                <w:lang w:eastAsia="es-DO"/>
              </w:rPr>
              <w:t>Indicadores Comerciales</w:t>
            </w:r>
          </w:p>
        </w:tc>
        <w:tc>
          <w:tcPr>
            <w:tcW w:w="1320" w:type="dxa"/>
            <w:tcBorders>
              <w:top w:val="single" w:sz="8" w:space="0" w:color="FFFFFF"/>
              <w:left w:val="nil"/>
              <w:bottom w:val="single" w:sz="8" w:space="0" w:color="FFFFFF"/>
              <w:right w:val="single" w:sz="8" w:space="0" w:color="FFFFFF"/>
            </w:tcBorders>
            <w:shd w:val="clear" w:color="000000" w:fill="0070C0"/>
            <w:noWrap/>
            <w:vAlign w:val="center"/>
            <w:hideMark/>
          </w:tcPr>
          <w:p w14:paraId="12CBC3BE" w14:textId="77777777" w:rsidR="00E2668E" w:rsidRPr="00E2668E" w:rsidRDefault="00E2668E" w:rsidP="00E2668E">
            <w:pPr>
              <w:spacing w:after="0" w:line="240" w:lineRule="auto"/>
              <w:ind w:left="0"/>
              <w:jc w:val="center"/>
              <w:rPr>
                <w:rFonts w:ascii="Calibri Light" w:eastAsia="Times New Roman" w:hAnsi="Calibri Light" w:cs="Calibri Light"/>
                <w:b/>
                <w:bCs/>
                <w:color w:val="FFFFFF"/>
                <w:sz w:val="24"/>
                <w:szCs w:val="24"/>
                <w:lang w:eastAsia="es-DO"/>
              </w:rPr>
            </w:pPr>
            <w:r w:rsidRPr="00E2668E">
              <w:rPr>
                <w:rFonts w:ascii="Calibri Light" w:eastAsia="Times New Roman" w:hAnsi="Calibri Light" w:cs="Calibri Light"/>
                <w:b/>
                <w:bCs/>
                <w:color w:val="FFFFFF"/>
                <w:sz w:val="24"/>
                <w:szCs w:val="24"/>
                <w:lang w:eastAsia="es-DO"/>
              </w:rPr>
              <w:t>EDENORTE</w:t>
            </w:r>
          </w:p>
        </w:tc>
        <w:tc>
          <w:tcPr>
            <w:tcW w:w="1260" w:type="dxa"/>
            <w:tcBorders>
              <w:top w:val="single" w:sz="8" w:space="0" w:color="FFFFFF"/>
              <w:left w:val="nil"/>
              <w:bottom w:val="single" w:sz="8" w:space="0" w:color="FFFFFF"/>
              <w:right w:val="single" w:sz="8" w:space="0" w:color="FFFFFF"/>
            </w:tcBorders>
            <w:shd w:val="clear" w:color="000000" w:fill="ED7D31"/>
            <w:noWrap/>
            <w:vAlign w:val="center"/>
            <w:hideMark/>
          </w:tcPr>
          <w:p w14:paraId="2E211DCD" w14:textId="77777777" w:rsidR="00E2668E" w:rsidRPr="00E2668E" w:rsidRDefault="00E2668E" w:rsidP="00E2668E">
            <w:pPr>
              <w:spacing w:after="0" w:line="240" w:lineRule="auto"/>
              <w:ind w:left="0"/>
              <w:jc w:val="center"/>
              <w:rPr>
                <w:rFonts w:ascii="Calibri Light" w:eastAsia="Times New Roman" w:hAnsi="Calibri Light" w:cs="Calibri Light"/>
                <w:b/>
                <w:bCs/>
                <w:color w:val="FFFFFF"/>
                <w:sz w:val="24"/>
                <w:szCs w:val="24"/>
                <w:lang w:eastAsia="es-DO"/>
              </w:rPr>
            </w:pPr>
            <w:r w:rsidRPr="00E2668E">
              <w:rPr>
                <w:rFonts w:ascii="Calibri Light" w:eastAsia="Times New Roman" w:hAnsi="Calibri Light" w:cs="Calibri Light"/>
                <w:b/>
                <w:bCs/>
                <w:color w:val="FFFFFF"/>
                <w:sz w:val="24"/>
                <w:szCs w:val="24"/>
                <w:lang w:eastAsia="es-DO"/>
              </w:rPr>
              <w:t>EDESUR</w:t>
            </w:r>
          </w:p>
        </w:tc>
        <w:tc>
          <w:tcPr>
            <w:tcW w:w="1200" w:type="dxa"/>
            <w:tcBorders>
              <w:top w:val="single" w:sz="8" w:space="0" w:color="FFFFFF"/>
              <w:left w:val="nil"/>
              <w:bottom w:val="single" w:sz="8" w:space="0" w:color="FFFFFF"/>
              <w:right w:val="single" w:sz="8" w:space="0" w:color="FFFFFF"/>
            </w:tcBorders>
            <w:shd w:val="clear" w:color="000000" w:fill="FFC000"/>
            <w:noWrap/>
            <w:vAlign w:val="center"/>
            <w:hideMark/>
          </w:tcPr>
          <w:p w14:paraId="478109C7" w14:textId="77777777" w:rsidR="00E2668E" w:rsidRPr="00E2668E" w:rsidRDefault="00E2668E" w:rsidP="00E2668E">
            <w:pPr>
              <w:spacing w:after="0" w:line="240" w:lineRule="auto"/>
              <w:ind w:left="0"/>
              <w:jc w:val="center"/>
              <w:rPr>
                <w:rFonts w:ascii="Calibri Light" w:eastAsia="Times New Roman" w:hAnsi="Calibri Light" w:cs="Calibri Light"/>
                <w:b/>
                <w:bCs/>
                <w:color w:val="FFFFFF"/>
                <w:sz w:val="24"/>
                <w:szCs w:val="24"/>
                <w:lang w:eastAsia="es-DO"/>
              </w:rPr>
            </w:pPr>
            <w:r w:rsidRPr="00E2668E">
              <w:rPr>
                <w:rFonts w:ascii="Calibri Light" w:eastAsia="Times New Roman" w:hAnsi="Calibri Light" w:cs="Calibri Light"/>
                <w:b/>
                <w:bCs/>
                <w:color w:val="FFFFFF"/>
                <w:sz w:val="24"/>
                <w:szCs w:val="24"/>
                <w:lang w:eastAsia="es-DO"/>
              </w:rPr>
              <w:t>EDEESTE</w:t>
            </w:r>
          </w:p>
        </w:tc>
      </w:tr>
      <w:tr w:rsidR="00E2668E" w:rsidRPr="00E2668E" w14:paraId="59C4E2D8" w14:textId="77777777" w:rsidTr="002C5E75">
        <w:trPr>
          <w:trHeight w:val="330"/>
          <w:jc w:val="center"/>
        </w:trPr>
        <w:tc>
          <w:tcPr>
            <w:tcW w:w="4300" w:type="dxa"/>
            <w:tcBorders>
              <w:top w:val="nil"/>
              <w:left w:val="single" w:sz="8" w:space="0" w:color="FFFFFF"/>
              <w:bottom w:val="single" w:sz="8" w:space="0" w:color="FFFFFF"/>
              <w:right w:val="single" w:sz="8" w:space="0" w:color="FFFFFF"/>
            </w:tcBorders>
            <w:shd w:val="clear" w:color="000000" w:fill="F2F2F2"/>
            <w:noWrap/>
            <w:vAlign w:val="bottom"/>
            <w:hideMark/>
          </w:tcPr>
          <w:p w14:paraId="6FB04445" w14:textId="77777777" w:rsidR="00E2668E" w:rsidRPr="00E2668E" w:rsidRDefault="00E2668E" w:rsidP="00E2668E">
            <w:pPr>
              <w:spacing w:after="0" w:line="240" w:lineRule="auto"/>
              <w:ind w:left="0"/>
              <w:jc w:val="left"/>
              <w:rPr>
                <w:rFonts w:ascii="Calibri Light" w:eastAsia="Times New Roman" w:hAnsi="Calibri Light" w:cs="Calibri Light"/>
                <w:color w:val="000000"/>
                <w:sz w:val="24"/>
                <w:szCs w:val="24"/>
                <w:lang w:eastAsia="es-DO"/>
              </w:rPr>
            </w:pPr>
            <w:r w:rsidRPr="00E2668E">
              <w:rPr>
                <w:rFonts w:ascii="Calibri Light" w:eastAsia="Times New Roman" w:hAnsi="Calibri Light" w:cs="Calibri Light"/>
                <w:color w:val="000000"/>
                <w:sz w:val="24"/>
                <w:szCs w:val="24"/>
                <w:lang w:eastAsia="es-DO"/>
              </w:rPr>
              <w:t>Energía Comprada (GWh)</w:t>
            </w:r>
          </w:p>
        </w:tc>
        <w:tc>
          <w:tcPr>
            <w:tcW w:w="1320" w:type="dxa"/>
            <w:tcBorders>
              <w:top w:val="nil"/>
              <w:left w:val="nil"/>
              <w:bottom w:val="single" w:sz="8" w:space="0" w:color="FFFFFF"/>
              <w:right w:val="single" w:sz="8" w:space="0" w:color="FFFFFF"/>
            </w:tcBorders>
            <w:shd w:val="clear" w:color="000000" w:fill="F2F2F2"/>
            <w:noWrap/>
            <w:vAlign w:val="bottom"/>
            <w:hideMark/>
          </w:tcPr>
          <w:p w14:paraId="5837F4B7" w14:textId="77777777" w:rsidR="00E2668E" w:rsidRPr="00E2668E" w:rsidRDefault="00E2668E" w:rsidP="00E2668E">
            <w:pPr>
              <w:spacing w:after="0" w:line="240" w:lineRule="auto"/>
              <w:ind w:left="0"/>
              <w:jc w:val="left"/>
              <w:rPr>
                <w:rFonts w:ascii="Calibri Light" w:eastAsia="Times New Roman" w:hAnsi="Calibri Light" w:cs="Calibri Light"/>
                <w:color w:val="000000"/>
                <w:sz w:val="24"/>
                <w:szCs w:val="24"/>
                <w:lang w:eastAsia="es-DO"/>
              </w:rPr>
            </w:pPr>
            <w:r w:rsidRPr="00E2668E">
              <w:rPr>
                <w:rFonts w:ascii="Calibri Light" w:eastAsia="Times New Roman" w:hAnsi="Calibri Light" w:cs="Calibri Light"/>
                <w:color w:val="000000"/>
                <w:sz w:val="24"/>
                <w:szCs w:val="24"/>
                <w:lang w:eastAsia="es-DO"/>
              </w:rPr>
              <w:t xml:space="preserve">       3,024.8 </w:t>
            </w:r>
          </w:p>
        </w:tc>
        <w:tc>
          <w:tcPr>
            <w:tcW w:w="1260" w:type="dxa"/>
            <w:tcBorders>
              <w:top w:val="nil"/>
              <w:left w:val="nil"/>
              <w:bottom w:val="single" w:sz="8" w:space="0" w:color="FFFFFF"/>
              <w:right w:val="single" w:sz="8" w:space="0" w:color="FFFFFF"/>
            </w:tcBorders>
            <w:shd w:val="clear" w:color="000000" w:fill="F2F2F2"/>
            <w:noWrap/>
            <w:vAlign w:val="bottom"/>
            <w:hideMark/>
          </w:tcPr>
          <w:p w14:paraId="75B3EED0" w14:textId="77777777" w:rsidR="00E2668E" w:rsidRPr="00E2668E" w:rsidRDefault="00E2668E" w:rsidP="00E2668E">
            <w:pPr>
              <w:spacing w:after="0" w:line="240" w:lineRule="auto"/>
              <w:ind w:left="0"/>
              <w:jc w:val="left"/>
              <w:rPr>
                <w:rFonts w:ascii="Calibri Light" w:eastAsia="Times New Roman" w:hAnsi="Calibri Light" w:cs="Calibri Light"/>
                <w:color w:val="000000"/>
                <w:sz w:val="24"/>
                <w:szCs w:val="24"/>
                <w:lang w:eastAsia="es-DO"/>
              </w:rPr>
            </w:pPr>
            <w:r w:rsidRPr="00E2668E">
              <w:rPr>
                <w:rFonts w:ascii="Calibri Light" w:eastAsia="Times New Roman" w:hAnsi="Calibri Light" w:cs="Calibri Light"/>
                <w:color w:val="000000"/>
                <w:sz w:val="24"/>
                <w:szCs w:val="24"/>
                <w:lang w:eastAsia="es-DO"/>
              </w:rPr>
              <w:t xml:space="preserve">      3,677.1 </w:t>
            </w:r>
          </w:p>
        </w:tc>
        <w:tc>
          <w:tcPr>
            <w:tcW w:w="1200" w:type="dxa"/>
            <w:tcBorders>
              <w:top w:val="nil"/>
              <w:left w:val="nil"/>
              <w:bottom w:val="single" w:sz="8" w:space="0" w:color="FFFFFF"/>
              <w:right w:val="single" w:sz="8" w:space="0" w:color="FFFFFF"/>
            </w:tcBorders>
            <w:shd w:val="clear" w:color="000000" w:fill="F2F2F2"/>
            <w:noWrap/>
            <w:vAlign w:val="bottom"/>
            <w:hideMark/>
          </w:tcPr>
          <w:p w14:paraId="12DD95B4" w14:textId="77777777" w:rsidR="00E2668E" w:rsidRPr="00E2668E" w:rsidRDefault="00E2668E" w:rsidP="00E2668E">
            <w:pPr>
              <w:spacing w:after="0" w:line="240" w:lineRule="auto"/>
              <w:ind w:left="0"/>
              <w:jc w:val="left"/>
              <w:rPr>
                <w:rFonts w:ascii="Calibri Light" w:eastAsia="Times New Roman" w:hAnsi="Calibri Light" w:cs="Calibri Light"/>
                <w:color w:val="000000"/>
                <w:sz w:val="24"/>
                <w:szCs w:val="24"/>
                <w:lang w:eastAsia="es-DO"/>
              </w:rPr>
            </w:pPr>
            <w:r w:rsidRPr="00E2668E">
              <w:rPr>
                <w:rFonts w:ascii="Calibri Light" w:eastAsia="Times New Roman" w:hAnsi="Calibri Light" w:cs="Calibri Light"/>
                <w:color w:val="000000"/>
                <w:sz w:val="24"/>
                <w:szCs w:val="24"/>
                <w:lang w:eastAsia="es-DO"/>
              </w:rPr>
              <w:t xml:space="preserve">     3,603.2 </w:t>
            </w:r>
          </w:p>
        </w:tc>
      </w:tr>
      <w:tr w:rsidR="00E2668E" w:rsidRPr="00E2668E" w14:paraId="68C12B38" w14:textId="77777777" w:rsidTr="002C5E75">
        <w:trPr>
          <w:trHeight w:val="330"/>
          <w:jc w:val="center"/>
        </w:trPr>
        <w:tc>
          <w:tcPr>
            <w:tcW w:w="4300" w:type="dxa"/>
            <w:tcBorders>
              <w:top w:val="nil"/>
              <w:left w:val="single" w:sz="8" w:space="0" w:color="FFFFFF"/>
              <w:bottom w:val="single" w:sz="8" w:space="0" w:color="FFFFFF"/>
              <w:right w:val="single" w:sz="8" w:space="0" w:color="FFFFFF"/>
            </w:tcBorders>
            <w:shd w:val="clear" w:color="000000" w:fill="F2F2F2"/>
            <w:noWrap/>
            <w:vAlign w:val="bottom"/>
            <w:hideMark/>
          </w:tcPr>
          <w:p w14:paraId="713F6B1B" w14:textId="77777777" w:rsidR="00E2668E" w:rsidRPr="00E2668E" w:rsidRDefault="00E2668E" w:rsidP="00E2668E">
            <w:pPr>
              <w:spacing w:after="0" w:line="240" w:lineRule="auto"/>
              <w:ind w:left="0"/>
              <w:jc w:val="left"/>
              <w:rPr>
                <w:rFonts w:ascii="Calibri Light" w:eastAsia="Times New Roman" w:hAnsi="Calibri Light" w:cs="Calibri Light"/>
                <w:color w:val="000000"/>
                <w:sz w:val="24"/>
                <w:szCs w:val="24"/>
                <w:lang w:eastAsia="es-DO"/>
              </w:rPr>
            </w:pPr>
            <w:r w:rsidRPr="00E2668E">
              <w:rPr>
                <w:rFonts w:ascii="Calibri Light" w:eastAsia="Times New Roman" w:hAnsi="Calibri Light" w:cs="Calibri Light"/>
                <w:color w:val="000000"/>
                <w:sz w:val="24"/>
                <w:szCs w:val="24"/>
                <w:lang w:eastAsia="es-DO"/>
              </w:rPr>
              <w:t>Energía Facturada (GWh)</w:t>
            </w:r>
          </w:p>
        </w:tc>
        <w:tc>
          <w:tcPr>
            <w:tcW w:w="1320" w:type="dxa"/>
            <w:tcBorders>
              <w:top w:val="nil"/>
              <w:left w:val="nil"/>
              <w:bottom w:val="single" w:sz="8" w:space="0" w:color="FFFFFF"/>
              <w:right w:val="single" w:sz="8" w:space="0" w:color="FFFFFF"/>
            </w:tcBorders>
            <w:shd w:val="clear" w:color="000000" w:fill="F2F2F2"/>
            <w:noWrap/>
            <w:vAlign w:val="bottom"/>
            <w:hideMark/>
          </w:tcPr>
          <w:p w14:paraId="28FCE791" w14:textId="77777777" w:rsidR="00E2668E" w:rsidRPr="00E2668E" w:rsidRDefault="00E2668E" w:rsidP="00E2668E">
            <w:pPr>
              <w:spacing w:after="0" w:line="240" w:lineRule="auto"/>
              <w:ind w:left="0"/>
              <w:jc w:val="left"/>
              <w:rPr>
                <w:rFonts w:ascii="Calibri Light" w:eastAsia="Times New Roman" w:hAnsi="Calibri Light" w:cs="Calibri Light"/>
                <w:color w:val="000000"/>
                <w:sz w:val="24"/>
                <w:szCs w:val="24"/>
                <w:lang w:eastAsia="es-DO"/>
              </w:rPr>
            </w:pPr>
            <w:r w:rsidRPr="00E2668E">
              <w:rPr>
                <w:rFonts w:ascii="Calibri Light" w:eastAsia="Times New Roman" w:hAnsi="Calibri Light" w:cs="Calibri Light"/>
                <w:color w:val="000000"/>
                <w:sz w:val="24"/>
                <w:szCs w:val="24"/>
                <w:lang w:eastAsia="es-DO"/>
              </w:rPr>
              <w:t xml:space="preserve">       2,324.9 </w:t>
            </w:r>
          </w:p>
        </w:tc>
        <w:tc>
          <w:tcPr>
            <w:tcW w:w="1260" w:type="dxa"/>
            <w:tcBorders>
              <w:top w:val="nil"/>
              <w:left w:val="nil"/>
              <w:bottom w:val="single" w:sz="8" w:space="0" w:color="FFFFFF"/>
              <w:right w:val="single" w:sz="8" w:space="0" w:color="FFFFFF"/>
            </w:tcBorders>
            <w:shd w:val="clear" w:color="000000" w:fill="F2F2F2"/>
            <w:noWrap/>
            <w:vAlign w:val="bottom"/>
            <w:hideMark/>
          </w:tcPr>
          <w:p w14:paraId="094C69CA" w14:textId="77777777" w:rsidR="00E2668E" w:rsidRPr="00E2668E" w:rsidRDefault="00E2668E" w:rsidP="00E2668E">
            <w:pPr>
              <w:spacing w:after="0" w:line="240" w:lineRule="auto"/>
              <w:ind w:left="0"/>
              <w:jc w:val="left"/>
              <w:rPr>
                <w:rFonts w:ascii="Calibri Light" w:eastAsia="Times New Roman" w:hAnsi="Calibri Light" w:cs="Calibri Light"/>
                <w:color w:val="000000"/>
                <w:sz w:val="24"/>
                <w:szCs w:val="24"/>
                <w:lang w:eastAsia="es-DO"/>
              </w:rPr>
            </w:pPr>
            <w:r w:rsidRPr="00E2668E">
              <w:rPr>
                <w:rFonts w:ascii="Calibri Light" w:eastAsia="Times New Roman" w:hAnsi="Calibri Light" w:cs="Calibri Light"/>
                <w:color w:val="000000"/>
                <w:sz w:val="24"/>
                <w:szCs w:val="24"/>
                <w:lang w:eastAsia="es-DO"/>
              </w:rPr>
              <w:t xml:space="preserve">      2,745.0 </w:t>
            </w:r>
          </w:p>
        </w:tc>
        <w:tc>
          <w:tcPr>
            <w:tcW w:w="1200" w:type="dxa"/>
            <w:tcBorders>
              <w:top w:val="nil"/>
              <w:left w:val="nil"/>
              <w:bottom w:val="single" w:sz="8" w:space="0" w:color="FFFFFF"/>
              <w:right w:val="single" w:sz="8" w:space="0" w:color="FFFFFF"/>
            </w:tcBorders>
            <w:shd w:val="clear" w:color="000000" w:fill="F2F2F2"/>
            <w:noWrap/>
            <w:vAlign w:val="bottom"/>
            <w:hideMark/>
          </w:tcPr>
          <w:p w14:paraId="53832221" w14:textId="77777777" w:rsidR="00E2668E" w:rsidRPr="00E2668E" w:rsidRDefault="00E2668E" w:rsidP="00E2668E">
            <w:pPr>
              <w:spacing w:after="0" w:line="240" w:lineRule="auto"/>
              <w:ind w:left="0"/>
              <w:jc w:val="left"/>
              <w:rPr>
                <w:rFonts w:ascii="Calibri Light" w:eastAsia="Times New Roman" w:hAnsi="Calibri Light" w:cs="Calibri Light"/>
                <w:color w:val="000000"/>
                <w:sz w:val="24"/>
                <w:szCs w:val="24"/>
                <w:lang w:eastAsia="es-DO"/>
              </w:rPr>
            </w:pPr>
            <w:r w:rsidRPr="00E2668E">
              <w:rPr>
                <w:rFonts w:ascii="Calibri Light" w:eastAsia="Times New Roman" w:hAnsi="Calibri Light" w:cs="Calibri Light"/>
                <w:color w:val="000000"/>
                <w:sz w:val="24"/>
                <w:szCs w:val="24"/>
                <w:lang w:eastAsia="es-DO"/>
              </w:rPr>
              <w:t xml:space="preserve">     1,824.2 </w:t>
            </w:r>
          </w:p>
        </w:tc>
      </w:tr>
      <w:tr w:rsidR="00E2668E" w:rsidRPr="00E2668E" w14:paraId="16CE7B89" w14:textId="77777777" w:rsidTr="002C5E75">
        <w:trPr>
          <w:trHeight w:val="330"/>
          <w:jc w:val="center"/>
        </w:trPr>
        <w:tc>
          <w:tcPr>
            <w:tcW w:w="4300" w:type="dxa"/>
            <w:tcBorders>
              <w:top w:val="nil"/>
              <w:left w:val="single" w:sz="8" w:space="0" w:color="FFFFFF"/>
              <w:bottom w:val="single" w:sz="8" w:space="0" w:color="FFFFFF"/>
              <w:right w:val="single" w:sz="8" w:space="0" w:color="FFFFFF"/>
            </w:tcBorders>
            <w:shd w:val="clear" w:color="000000" w:fill="F2F2F2"/>
            <w:noWrap/>
            <w:vAlign w:val="bottom"/>
            <w:hideMark/>
          </w:tcPr>
          <w:p w14:paraId="55A3FE60" w14:textId="77777777" w:rsidR="00E2668E" w:rsidRPr="00E2668E" w:rsidRDefault="00E2668E" w:rsidP="00E2668E">
            <w:pPr>
              <w:spacing w:after="0" w:line="240" w:lineRule="auto"/>
              <w:ind w:left="0"/>
              <w:jc w:val="left"/>
              <w:rPr>
                <w:rFonts w:ascii="Calibri Light" w:eastAsia="Times New Roman" w:hAnsi="Calibri Light" w:cs="Calibri Light"/>
                <w:color w:val="000000"/>
                <w:sz w:val="24"/>
                <w:szCs w:val="24"/>
                <w:lang w:eastAsia="es-DO"/>
              </w:rPr>
            </w:pPr>
            <w:r w:rsidRPr="00E2668E">
              <w:rPr>
                <w:rFonts w:ascii="Calibri Light" w:eastAsia="Times New Roman" w:hAnsi="Calibri Light" w:cs="Calibri Light"/>
                <w:color w:val="000000"/>
                <w:sz w:val="24"/>
                <w:szCs w:val="24"/>
                <w:lang w:eastAsia="es-DO"/>
              </w:rPr>
              <w:t>Precio Medio Compra (US$Cent/KWh)</w:t>
            </w:r>
          </w:p>
        </w:tc>
        <w:tc>
          <w:tcPr>
            <w:tcW w:w="1320" w:type="dxa"/>
            <w:tcBorders>
              <w:top w:val="nil"/>
              <w:left w:val="nil"/>
              <w:bottom w:val="single" w:sz="8" w:space="0" w:color="FFFFFF"/>
              <w:right w:val="single" w:sz="8" w:space="0" w:color="FFFFFF"/>
            </w:tcBorders>
            <w:shd w:val="clear" w:color="000000" w:fill="F2F2F2"/>
            <w:noWrap/>
            <w:vAlign w:val="bottom"/>
            <w:hideMark/>
          </w:tcPr>
          <w:p w14:paraId="0F628C75" w14:textId="77777777" w:rsidR="00E2668E" w:rsidRPr="00E2668E" w:rsidRDefault="00E2668E" w:rsidP="00E2668E">
            <w:pPr>
              <w:spacing w:after="0" w:line="240" w:lineRule="auto"/>
              <w:ind w:left="0"/>
              <w:jc w:val="right"/>
              <w:rPr>
                <w:rFonts w:ascii="Calibri Light" w:eastAsia="Times New Roman" w:hAnsi="Calibri Light" w:cs="Calibri Light"/>
                <w:color w:val="000000"/>
                <w:sz w:val="24"/>
                <w:szCs w:val="24"/>
                <w:lang w:eastAsia="es-DO"/>
              </w:rPr>
            </w:pPr>
            <w:r w:rsidRPr="00E2668E">
              <w:rPr>
                <w:rFonts w:ascii="Calibri Light" w:eastAsia="Times New Roman" w:hAnsi="Calibri Light" w:cs="Calibri Light"/>
                <w:color w:val="000000"/>
                <w:sz w:val="24"/>
                <w:szCs w:val="24"/>
                <w:lang w:eastAsia="es-DO"/>
              </w:rPr>
              <w:t>11.6</w:t>
            </w:r>
          </w:p>
        </w:tc>
        <w:tc>
          <w:tcPr>
            <w:tcW w:w="1260" w:type="dxa"/>
            <w:tcBorders>
              <w:top w:val="nil"/>
              <w:left w:val="nil"/>
              <w:bottom w:val="single" w:sz="8" w:space="0" w:color="FFFFFF"/>
              <w:right w:val="single" w:sz="8" w:space="0" w:color="FFFFFF"/>
            </w:tcBorders>
            <w:shd w:val="clear" w:color="000000" w:fill="F2F2F2"/>
            <w:noWrap/>
            <w:vAlign w:val="bottom"/>
            <w:hideMark/>
          </w:tcPr>
          <w:p w14:paraId="52B32757" w14:textId="77777777" w:rsidR="00E2668E" w:rsidRPr="00E2668E" w:rsidRDefault="00E2668E" w:rsidP="00E2668E">
            <w:pPr>
              <w:spacing w:after="0" w:line="240" w:lineRule="auto"/>
              <w:ind w:left="0"/>
              <w:jc w:val="right"/>
              <w:rPr>
                <w:rFonts w:ascii="Calibri Light" w:eastAsia="Times New Roman" w:hAnsi="Calibri Light" w:cs="Calibri Light"/>
                <w:color w:val="000000"/>
                <w:sz w:val="24"/>
                <w:szCs w:val="24"/>
                <w:lang w:eastAsia="es-DO"/>
              </w:rPr>
            </w:pPr>
            <w:r w:rsidRPr="00E2668E">
              <w:rPr>
                <w:rFonts w:ascii="Calibri Light" w:eastAsia="Times New Roman" w:hAnsi="Calibri Light" w:cs="Calibri Light"/>
                <w:color w:val="000000"/>
                <w:sz w:val="24"/>
                <w:szCs w:val="24"/>
                <w:lang w:eastAsia="es-DO"/>
              </w:rPr>
              <w:t>10.8</w:t>
            </w:r>
          </w:p>
        </w:tc>
        <w:tc>
          <w:tcPr>
            <w:tcW w:w="1200" w:type="dxa"/>
            <w:tcBorders>
              <w:top w:val="nil"/>
              <w:left w:val="nil"/>
              <w:bottom w:val="single" w:sz="8" w:space="0" w:color="FFFFFF"/>
              <w:right w:val="single" w:sz="8" w:space="0" w:color="FFFFFF"/>
            </w:tcBorders>
            <w:shd w:val="clear" w:color="000000" w:fill="F2F2F2"/>
            <w:noWrap/>
            <w:vAlign w:val="bottom"/>
            <w:hideMark/>
          </w:tcPr>
          <w:p w14:paraId="3DF90F58" w14:textId="77777777" w:rsidR="00E2668E" w:rsidRPr="00E2668E" w:rsidRDefault="00E2668E" w:rsidP="00E2668E">
            <w:pPr>
              <w:spacing w:after="0" w:line="240" w:lineRule="auto"/>
              <w:ind w:left="0"/>
              <w:jc w:val="right"/>
              <w:rPr>
                <w:rFonts w:ascii="Calibri Light" w:eastAsia="Times New Roman" w:hAnsi="Calibri Light" w:cs="Calibri Light"/>
                <w:color w:val="000000"/>
                <w:sz w:val="24"/>
                <w:szCs w:val="24"/>
                <w:lang w:eastAsia="es-DO"/>
              </w:rPr>
            </w:pPr>
            <w:r w:rsidRPr="00E2668E">
              <w:rPr>
                <w:rFonts w:ascii="Calibri Light" w:eastAsia="Times New Roman" w:hAnsi="Calibri Light" w:cs="Calibri Light"/>
                <w:color w:val="000000"/>
                <w:sz w:val="24"/>
                <w:szCs w:val="24"/>
                <w:lang w:eastAsia="es-DO"/>
              </w:rPr>
              <w:t>10.0</w:t>
            </w:r>
          </w:p>
        </w:tc>
      </w:tr>
      <w:tr w:rsidR="00E2668E" w:rsidRPr="00E2668E" w14:paraId="33151362" w14:textId="77777777" w:rsidTr="002C5E75">
        <w:trPr>
          <w:trHeight w:val="330"/>
          <w:jc w:val="center"/>
        </w:trPr>
        <w:tc>
          <w:tcPr>
            <w:tcW w:w="4300" w:type="dxa"/>
            <w:tcBorders>
              <w:top w:val="nil"/>
              <w:left w:val="single" w:sz="8" w:space="0" w:color="FFFFFF"/>
              <w:bottom w:val="single" w:sz="8" w:space="0" w:color="FFFFFF"/>
              <w:right w:val="single" w:sz="8" w:space="0" w:color="FFFFFF"/>
            </w:tcBorders>
            <w:shd w:val="clear" w:color="000000" w:fill="F2F2F2"/>
            <w:noWrap/>
            <w:vAlign w:val="bottom"/>
            <w:hideMark/>
          </w:tcPr>
          <w:p w14:paraId="0A660513" w14:textId="77777777" w:rsidR="00E2668E" w:rsidRPr="00E2668E" w:rsidRDefault="00E2668E" w:rsidP="00E2668E">
            <w:pPr>
              <w:spacing w:after="0" w:line="240" w:lineRule="auto"/>
              <w:ind w:left="0"/>
              <w:jc w:val="left"/>
              <w:rPr>
                <w:rFonts w:ascii="Calibri Light" w:eastAsia="Times New Roman" w:hAnsi="Calibri Light" w:cs="Calibri Light"/>
                <w:color w:val="000000"/>
                <w:sz w:val="24"/>
                <w:szCs w:val="24"/>
                <w:lang w:eastAsia="es-DO"/>
              </w:rPr>
            </w:pPr>
            <w:r w:rsidRPr="00E2668E">
              <w:rPr>
                <w:rFonts w:ascii="Calibri Light" w:eastAsia="Times New Roman" w:hAnsi="Calibri Light" w:cs="Calibri Light"/>
                <w:color w:val="000000"/>
                <w:sz w:val="24"/>
                <w:szCs w:val="24"/>
                <w:lang w:eastAsia="es-DO"/>
              </w:rPr>
              <w:t>Precio Medio Venta (US$Cent/KWh)</w:t>
            </w:r>
          </w:p>
        </w:tc>
        <w:tc>
          <w:tcPr>
            <w:tcW w:w="1320" w:type="dxa"/>
            <w:tcBorders>
              <w:top w:val="nil"/>
              <w:left w:val="nil"/>
              <w:bottom w:val="single" w:sz="8" w:space="0" w:color="FFFFFF"/>
              <w:right w:val="single" w:sz="8" w:space="0" w:color="FFFFFF"/>
            </w:tcBorders>
            <w:shd w:val="clear" w:color="000000" w:fill="F2F2F2"/>
            <w:noWrap/>
            <w:vAlign w:val="bottom"/>
            <w:hideMark/>
          </w:tcPr>
          <w:p w14:paraId="06DD5644" w14:textId="77777777" w:rsidR="00E2668E" w:rsidRPr="00E2668E" w:rsidRDefault="00E2668E" w:rsidP="00E2668E">
            <w:pPr>
              <w:spacing w:after="0" w:line="240" w:lineRule="auto"/>
              <w:ind w:left="0"/>
              <w:jc w:val="right"/>
              <w:rPr>
                <w:rFonts w:ascii="Calibri Light" w:eastAsia="Times New Roman" w:hAnsi="Calibri Light" w:cs="Calibri Light"/>
                <w:color w:val="000000"/>
                <w:sz w:val="24"/>
                <w:szCs w:val="24"/>
                <w:lang w:eastAsia="es-DO"/>
              </w:rPr>
            </w:pPr>
            <w:r w:rsidRPr="00E2668E">
              <w:rPr>
                <w:rFonts w:ascii="Calibri Light" w:eastAsia="Times New Roman" w:hAnsi="Calibri Light" w:cs="Calibri Light"/>
                <w:color w:val="000000"/>
                <w:sz w:val="24"/>
                <w:szCs w:val="24"/>
                <w:lang w:eastAsia="es-DO"/>
              </w:rPr>
              <w:t>13.8</w:t>
            </w:r>
          </w:p>
        </w:tc>
        <w:tc>
          <w:tcPr>
            <w:tcW w:w="1260" w:type="dxa"/>
            <w:tcBorders>
              <w:top w:val="nil"/>
              <w:left w:val="nil"/>
              <w:bottom w:val="single" w:sz="8" w:space="0" w:color="FFFFFF"/>
              <w:right w:val="single" w:sz="8" w:space="0" w:color="FFFFFF"/>
            </w:tcBorders>
            <w:shd w:val="clear" w:color="000000" w:fill="F2F2F2"/>
            <w:noWrap/>
            <w:vAlign w:val="bottom"/>
            <w:hideMark/>
          </w:tcPr>
          <w:p w14:paraId="74431031" w14:textId="77777777" w:rsidR="00E2668E" w:rsidRPr="00E2668E" w:rsidRDefault="00E2668E" w:rsidP="00E2668E">
            <w:pPr>
              <w:spacing w:after="0" w:line="240" w:lineRule="auto"/>
              <w:ind w:left="0"/>
              <w:jc w:val="right"/>
              <w:rPr>
                <w:rFonts w:ascii="Calibri Light" w:eastAsia="Times New Roman" w:hAnsi="Calibri Light" w:cs="Calibri Light"/>
                <w:color w:val="000000"/>
                <w:sz w:val="24"/>
                <w:szCs w:val="24"/>
                <w:lang w:eastAsia="es-DO"/>
              </w:rPr>
            </w:pPr>
            <w:r w:rsidRPr="00E2668E">
              <w:rPr>
                <w:rFonts w:ascii="Calibri Light" w:eastAsia="Times New Roman" w:hAnsi="Calibri Light" w:cs="Calibri Light"/>
                <w:color w:val="000000"/>
                <w:sz w:val="24"/>
                <w:szCs w:val="24"/>
                <w:lang w:eastAsia="es-DO"/>
              </w:rPr>
              <w:t>15.3</w:t>
            </w:r>
          </w:p>
        </w:tc>
        <w:tc>
          <w:tcPr>
            <w:tcW w:w="1200" w:type="dxa"/>
            <w:tcBorders>
              <w:top w:val="nil"/>
              <w:left w:val="nil"/>
              <w:bottom w:val="single" w:sz="8" w:space="0" w:color="FFFFFF"/>
              <w:right w:val="single" w:sz="8" w:space="0" w:color="FFFFFF"/>
            </w:tcBorders>
            <w:shd w:val="clear" w:color="000000" w:fill="F2F2F2"/>
            <w:noWrap/>
            <w:vAlign w:val="bottom"/>
            <w:hideMark/>
          </w:tcPr>
          <w:p w14:paraId="4BD12F6C" w14:textId="77777777" w:rsidR="00E2668E" w:rsidRPr="00E2668E" w:rsidRDefault="00E2668E" w:rsidP="00E2668E">
            <w:pPr>
              <w:spacing w:after="0" w:line="240" w:lineRule="auto"/>
              <w:ind w:left="0"/>
              <w:jc w:val="right"/>
              <w:rPr>
                <w:rFonts w:ascii="Calibri Light" w:eastAsia="Times New Roman" w:hAnsi="Calibri Light" w:cs="Calibri Light"/>
                <w:color w:val="000000"/>
                <w:sz w:val="24"/>
                <w:szCs w:val="24"/>
                <w:lang w:eastAsia="es-DO"/>
              </w:rPr>
            </w:pPr>
            <w:r w:rsidRPr="00E2668E">
              <w:rPr>
                <w:rFonts w:ascii="Calibri Light" w:eastAsia="Times New Roman" w:hAnsi="Calibri Light" w:cs="Calibri Light"/>
                <w:color w:val="000000"/>
                <w:sz w:val="24"/>
                <w:szCs w:val="24"/>
                <w:lang w:eastAsia="es-DO"/>
              </w:rPr>
              <w:t>14.2</w:t>
            </w:r>
          </w:p>
        </w:tc>
      </w:tr>
    </w:tbl>
    <w:p w14:paraId="608DC404" w14:textId="6CB908F8" w:rsidR="00632954" w:rsidRDefault="00632954" w:rsidP="00632954">
      <w:pPr>
        <w:ind w:left="0" w:firstLine="646"/>
        <w:rPr>
          <w:color w:val="1F4E79"/>
          <w:szCs w:val="18"/>
          <w:lang w:eastAsia="es-DO"/>
        </w:rPr>
      </w:pPr>
    </w:p>
    <w:p w14:paraId="09A74327" w14:textId="70935E18" w:rsidR="00655FFD" w:rsidRPr="00FA1EEC" w:rsidRDefault="00655FFD" w:rsidP="00E03CB3">
      <w:pPr>
        <w:pStyle w:val="Prrafodelista"/>
        <w:numPr>
          <w:ilvl w:val="0"/>
          <w:numId w:val="35"/>
        </w:numPr>
        <w:ind w:left="426"/>
        <w:rPr>
          <w:b/>
          <w:color w:val="1F4E79"/>
          <w:szCs w:val="18"/>
          <w:lang w:eastAsia="es-DO"/>
        </w:rPr>
      </w:pPr>
      <w:r w:rsidRPr="00FA1EEC">
        <w:rPr>
          <w:b/>
          <w:color w:val="1F4E79"/>
          <w:szCs w:val="18"/>
          <w:lang w:eastAsia="es-DO"/>
        </w:rPr>
        <w:t>Activos Pendientes de Capitalización.</w:t>
      </w:r>
    </w:p>
    <w:p w14:paraId="70C7D275" w14:textId="77777777" w:rsidR="00655FFD" w:rsidRPr="006C7539" w:rsidRDefault="00655FFD" w:rsidP="00663B7E">
      <w:pPr>
        <w:ind w:left="0" w:firstLine="646"/>
        <w:rPr>
          <w:color w:val="1F4E79"/>
          <w:szCs w:val="18"/>
          <w:lang w:eastAsia="es-DO"/>
        </w:rPr>
      </w:pPr>
    </w:p>
    <w:p w14:paraId="3CE1C18C" w14:textId="68D72FC6" w:rsidR="00655FFD" w:rsidRPr="00FA1EEC" w:rsidRDefault="00655FFD" w:rsidP="00E03CB3">
      <w:pPr>
        <w:ind w:left="0" w:firstLine="646"/>
        <w:rPr>
          <w:color w:val="1F4E79"/>
          <w:szCs w:val="18"/>
          <w:lang w:eastAsia="es-DO"/>
        </w:rPr>
      </w:pPr>
      <w:r w:rsidRPr="00FA1EEC">
        <w:rPr>
          <w:color w:val="1F4E79"/>
          <w:szCs w:val="18"/>
          <w:lang w:eastAsia="es-DO"/>
        </w:rPr>
        <w:t xml:space="preserve">A través de la Dirección de Gestión Patrimonial, el </w:t>
      </w:r>
      <w:r w:rsidR="00207340">
        <w:rPr>
          <w:color w:val="1F4E79"/>
          <w:szCs w:val="18"/>
          <w:lang w:eastAsia="es-DO"/>
        </w:rPr>
        <w:t>FONPER</w:t>
      </w:r>
      <w:r w:rsidRPr="00FA1EEC">
        <w:rPr>
          <w:color w:val="1F4E79"/>
          <w:szCs w:val="18"/>
          <w:lang w:eastAsia="es-DO"/>
        </w:rPr>
        <w:t xml:space="preserve"> cuenta con un mecanismo de supervisión constante de los activos no capitalizables de las empresas de la Corporación Dominicana de Empresas Estatales (CORDE), tales como: Industria Nacional del Vidrio (FAVIDRIO), Industria Nacional del Papel (INDUSPAPEL), Compañía Dominicana de Aviación (CDA) y terrenos de la antigua Compañía Anónima La Tabacalera (CAT).</w:t>
      </w:r>
    </w:p>
    <w:p w14:paraId="575797C9" w14:textId="77777777" w:rsidR="00530D4A" w:rsidRPr="00FA1EEC" w:rsidRDefault="00530D4A" w:rsidP="00E03CB3">
      <w:pPr>
        <w:ind w:left="0" w:firstLine="646"/>
        <w:rPr>
          <w:color w:val="1F4E79"/>
          <w:szCs w:val="18"/>
          <w:lang w:eastAsia="es-DO"/>
        </w:rPr>
      </w:pPr>
    </w:p>
    <w:p w14:paraId="3BCAF931" w14:textId="6BDF0458" w:rsidR="00655FFD" w:rsidRDefault="00655FFD" w:rsidP="00507DDE">
      <w:pPr>
        <w:ind w:left="0" w:firstLine="646"/>
        <w:rPr>
          <w:color w:val="1F4E79"/>
          <w:szCs w:val="18"/>
          <w:lang w:eastAsia="es-DO"/>
        </w:rPr>
      </w:pPr>
      <w:r w:rsidRPr="00F40AEE">
        <w:rPr>
          <w:b/>
          <w:color w:val="1F4E79"/>
          <w:szCs w:val="18"/>
          <w:lang w:eastAsia="es-DO"/>
        </w:rPr>
        <w:t>Los activos bajo responsabilidad de la CREP-</w:t>
      </w:r>
      <w:r w:rsidR="00207340">
        <w:rPr>
          <w:b/>
          <w:color w:val="1F4E79"/>
          <w:szCs w:val="18"/>
          <w:lang w:eastAsia="es-DO"/>
        </w:rPr>
        <w:t>FONPER</w:t>
      </w:r>
      <w:r w:rsidRPr="00F40AEE">
        <w:rPr>
          <w:b/>
          <w:color w:val="1F4E79"/>
          <w:szCs w:val="18"/>
          <w:lang w:eastAsia="es-DO"/>
        </w:rPr>
        <w:t xml:space="preserve"> actualmente son los </w:t>
      </w:r>
      <w:r w:rsidRPr="00F40AEE">
        <w:rPr>
          <w:color w:val="1F4E79"/>
          <w:szCs w:val="18"/>
          <w:lang w:eastAsia="es-DO"/>
        </w:rPr>
        <w:t>siguientes:</w:t>
      </w:r>
    </w:p>
    <w:p w14:paraId="65B69003" w14:textId="77777777" w:rsidR="00F164B9" w:rsidRDefault="00F164B9" w:rsidP="00507DDE">
      <w:pPr>
        <w:ind w:left="0" w:firstLine="646"/>
        <w:rPr>
          <w:color w:val="1F4E79"/>
          <w:szCs w:val="18"/>
          <w:lang w:eastAsia="es-DO"/>
        </w:rPr>
      </w:pPr>
    </w:p>
    <w:p w14:paraId="74C6A4C4" w14:textId="77777777" w:rsidR="00655FFD" w:rsidRPr="00FA1EEC" w:rsidRDefault="00655FFD" w:rsidP="00E03CB3">
      <w:pPr>
        <w:numPr>
          <w:ilvl w:val="0"/>
          <w:numId w:val="3"/>
        </w:numPr>
        <w:ind w:left="1003" w:hanging="357"/>
        <w:rPr>
          <w:color w:val="1F4E79"/>
          <w:szCs w:val="18"/>
          <w:lang w:eastAsia="es-DO"/>
        </w:rPr>
      </w:pPr>
      <w:r w:rsidRPr="00FA1EEC">
        <w:rPr>
          <w:color w:val="1F4E79"/>
          <w:szCs w:val="18"/>
          <w:lang w:eastAsia="es-DO"/>
        </w:rPr>
        <w:t>Desechos Metálicos y Piezas de la Compañía Dominicana de Aviación (CDA).</w:t>
      </w:r>
    </w:p>
    <w:p w14:paraId="03ABD67D" w14:textId="77777777" w:rsidR="00655FFD" w:rsidRPr="00FA1EEC" w:rsidRDefault="00655FFD" w:rsidP="00E03CB3">
      <w:pPr>
        <w:numPr>
          <w:ilvl w:val="0"/>
          <w:numId w:val="3"/>
        </w:numPr>
        <w:ind w:left="1003" w:hanging="357"/>
        <w:rPr>
          <w:color w:val="1F4E79"/>
          <w:szCs w:val="18"/>
          <w:lang w:eastAsia="es-DO"/>
        </w:rPr>
      </w:pPr>
      <w:r w:rsidRPr="00FA1EEC">
        <w:rPr>
          <w:color w:val="1F4E79"/>
          <w:szCs w:val="18"/>
          <w:lang w:eastAsia="es-DO"/>
        </w:rPr>
        <w:t>Oficina Compañía Dominicana de Aviación (CDA)</w:t>
      </w:r>
    </w:p>
    <w:p w14:paraId="72502072" w14:textId="77777777" w:rsidR="00655FFD" w:rsidRPr="00FA1EEC" w:rsidRDefault="00655FFD" w:rsidP="00E03CB3">
      <w:pPr>
        <w:numPr>
          <w:ilvl w:val="0"/>
          <w:numId w:val="3"/>
        </w:numPr>
        <w:ind w:left="1003" w:hanging="357"/>
        <w:rPr>
          <w:color w:val="1F4E79"/>
          <w:szCs w:val="18"/>
          <w:lang w:eastAsia="es-DO"/>
        </w:rPr>
      </w:pPr>
      <w:r w:rsidRPr="00FA1EEC">
        <w:rPr>
          <w:color w:val="1F4E79"/>
          <w:szCs w:val="18"/>
          <w:lang w:eastAsia="es-DO"/>
        </w:rPr>
        <w:t>Casa Club de la Compañía Dominicana de Aviación (CDA)</w:t>
      </w:r>
    </w:p>
    <w:p w14:paraId="4EA52C53" w14:textId="77777777" w:rsidR="00F40AEE" w:rsidRDefault="00655FFD" w:rsidP="00E03CB3">
      <w:pPr>
        <w:numPr>
          <w:ilvl w:val="0"/>
          <w:numId w:val="3"/>
        </w:numPr>
        <w:ind w:left="1003" w:hanging="357"/>
        <w:rPr>
          <w:color w:val="1F4E79"/>
          <w:szCs w:val="18"/>
          <w:lang w:eastAsia="es-DO"/>
        </w:rPr>
      </w:pPr>
      <w:r w:rsidRPr="00FA1EEC">
        <w:rPr>
          <w:color w:val="1F4E79"/>
          <w:szCs w:val="18"/>
          <w:lang w:eastAsia="es-DO"/>
        </w:rPr>
        <w:t>Minas de Sal, Salinas</w:t>
      </w:r>
    </w:p>
    <w:p w14:paraId="1D452109" w14:textId="77777777" w:rsidR="00F40AEE" w:rsidRDefault="00655FFD" w:rsidP="00E03CB3">
      <w:pPr>
        <w:numPr>
          <w:ilvl w:val="0"/>
          <w:numId w:val="3"/>
        </w:numPr>
        <w:ind w:left="1003" w:hanging="357"/>
        <w:rPr>
          <w:color w:val="1F4E79"/>
          <w:szCs w:val="18"/>
          <w:lang w:eastAsia="es-DO"/>
        </w:rPr>
      </w:pPr>
      <w:r w:rsidRPr="00F40AEE">
        <w:rPr>
          <w:color w:val="1F4E79"/>
          <w:szCs w:val="18"/>
          <w:lang w:eastAsia="es-DO"/>
        </w:rPr>
        <w:t>Barrio PIDOCA</w:t>
      </w:r>
    </w:p>
    <w:p w14:paraId="346C7260" w14:textId="0CBBD773" w:rsidR="00655FFD" w:rsidRPr="00F40AEE" w:rsidRDefault="00655FFD" w:rsidP="00E03CB3">
      <w:pPr>
        <w:numPr>
          <w:ilvl w:val="0"/>
          <w:numId w:val="3"/>
        </w:numPr>
        <w:ind w:left="1003" w:hanging="357"/>
        <w:rPr>
          <w:color w:val="1F4E79"/>
          <w:szCs w:val="18"/>
          <w:lang w:eastAsia="es-DO"/>
        </w:rPr>
      </w:pPr>
      <w:r w:rsidRPr="00F40AEE">
        <w:rPr>
          <w:color w:val="1F4E79"/>
          <w:szCs w:val="18"/>
          <w:lang w:eastAsia="es-DO"/>
        </w:rPr>
        <w:t>Minas de Arena en Cotuí</w:t>
      </w:r>
    </w:p>
    <w:p w14:paraId="3F6CA1C5" w14:textId="77777777" w:rsidR="00655FFD" w:rsidRPr="00FA1EEC" w:rsidRDefault="00655FFD" w:rsidP="00E03CB3">
      <w:pPr>
        <w:numPr>
          <w:ilvl w:val="0"/>
          <w:numId w:val="3"/>
        </w:numPr>
        <w:ind w:left="1003" w:hanging="357"/>
        <w:rPr>
          <w:color w:val="1F4E79"/>
          <w:szCs w:val="18"/>
          <w:lang w:eastAsia="es-DO"/>
        </w:rPr>
      </w:pPr>
      <w:r w:rsidRPr="00FA1EEC">
        <w:rPr>
          <w:color w:val="1F4E79"/>
          <w:szCs w:val="18"/>
          <w:lang w:eastAsia="es-DO"/>
        </w:rPr>
        <w:t xml:space="preserve">Apartamento ubicado en la calle Máximo Gómez de la Industria Nacional de Papel (INDUSPAPEL).  </w:t>
      </w:r>
    </w:p>
    <w:p w14:paraId="4586D4B0" w14:textId="563CFD88" w:rsidR="00655FFD" w:rsidRDefault="00655FFD" w:rsidP="00E03CB3">
      <w:pPr>
        <w:numPr>
          <w:ilvl w:val="0"/>
          <w:numId w:val="3"/>
        </w:numPr>
        <w:ind w:left="1003" w:hanging="357"/>
        <w:rPr>
          <w:color w:val="1F4E79"/>
          <w:szCs w:val="18"/>
          <w:lang w:eastAsia="es-DO"/>
        </w:rPr>
      </w:pPr>
      <w:r w:rsidRPr="00FA1EEC">
        <w:rPr>
          <w:color w:val="1F4E79"/>
          <w:szCs w:val="18"/>
          <w:lang w:eastAsia="es-DO"/>
        </w:rPr>
        <w:t>Terrenos de la Compañía Anónima Tabacalera (CAT):</w:t>
      </w:r>
    </w:p>
    <w:p w14:paraId="609A40C6" w14:textId="77777777" w:rsidR="00655FFD" w:rsidRPr="00FA1EEC" w:rsidRDefault="00655FFD" w:rsidP="00E03CB3">
      <w:pPr>
        <w:numPr>
          <w:ilvl w:val="1"/>
          <w:numId w:val="25"/>
        </w:numPr>
        <w:ind w:left="1418"/>
        <w:rPr>
          <w:color w:val="1F4E79"/>
          <w:szCs w:val="18"/>
          <w:lang w:eastAsia="es-DO"/>
        </w:rPr>
      </w:pPr>
      <w:r w:rsidRPr="00FA1EEC">
        <w:rPr>
          <w:color w:val="1F4E79"/>
          <w:szCs w:val="18"/>
          <w:lang w:eastAsia="es-DO"/>
        </w:rPr>
        <w:t>Parcela No. 601 en la provincia de Santiago, 5,285 Mts2</w:t>
      </w:r>
    </w:p>
    <w:p w14:paraId="18B3C7CB" w14:textId="77777777" w:rsidR="00655FFD" w:rsidRPr="00FA1EEC" w:rsidRDefault="00655FFD" w:rsidP="00E03CB3">
      <w:pPr>
        <w:numPr>
          <w:ilvl w:val="1"/>
          <w:numId w:val="25"/>
        </w:numPr>
        <w:ind w:left="1418"/>
        <w:rPr>
          <w:color w:val="1F4E79"/>
          <w:szCs w:val="18"/>
          <w:lang w:eastAsia="es-DO"/>
        </w:rPr>
      </w:pPr>
      <w:r w:rsidRPr="00FA1EEC">
        <w:rPr>
          <w:color w:val="1F4E79"/>
          <w:szCs w:val="18"/>
          <w:lang w:eastAsia="es-DO"/>
        </w:rPr>
        <w:t>Finca en el municipio de Villa González, provincia de Santiago, 182,219 Mts2</w:t>
      </w:r>
    </w:p>
    <w:p w14:paraId="440484BF" w14:textId="77777777" w:rsidR="00655FFD" w:rsidRPr="00FA1EEC" w:rsidRDefault="00655FFD" w:rsidP="00E03CB3">
      <w:pPr>
        <w:numPr>
          <w:ilvl w:val="1"/>
          <w:numId w:val="25"/>
        </w:numPr>
        <w:ind w:left="1418"/>
        <w:rPr>
          <w:color w:val="1F4E79"/>
          <w:szCs w:val="18"/>
          <w:lang w:eastAsia="es-DO"/>
        </w:rPr>
      </w:pPr>
      <w:r w:rsidRPr="00FA1EEC">
        <w:rPr>
          <w:color w:val="1F4E79"/>
          <w:szCs w:val="18"/>
          <w:lang w:eastAsia="es-DO"/>
        </w:rPr>
        <w:t>Parcela No. 310 en la provincia de Santiago Rodríguez, 10,000 Mts2</w:t>
      </w:r>
    </w:p>
    <w:p w14:paraId="7C657098" w14:textId="77777777" w:rsidR="00655FFD" w:rsidRPr="00FA1EEC" w:rsidRDefault="00655FFD" w:rsidP="00E03CB3">
      <w:pPr>
        <w:numPr>
          <w:ilvl w:val="1"/>
          <w:numId w:val="25"/>
        </w:numPr>
        <w:ind w:left="1418"/>
        <w:rPr>
          <w:color w:val="1F4E79"/>
          <w:szCs w:val="18"/>
          <w:lang w:eastAsia="es-DO"/>
        </w:rPr>
      </w:pPr>
      <w:r w:rsidRPr="00FA1EEC">
        <w:rPr>
          <w:color w:val="1F4E79"/>
          <w:szCs w:val="18"/>
          <w:lang w:eastAsia="es-DO"/>
        </w:rPr>
        <w:t>Parcela No. 78, Sabana del Puerto, provincia de la Vega, 611 Mts2</w:t>
      </w:r>
    </w:p>
    <w:p w14:paraId="5A9D75EC" w14:textId="77777777" w:rsidR="00655FFD" w:rsidRPr="00FA1EEC" w:rsidRDefault="00655FFD" w:rsidP="00E03CB3">
      <w:pPr>
        <w:numPr>
          <w:ilvl w:val="1"/>
          <w:numId w:val="25"/>
        </w:numPr>
        <w:ind w:left="1418"/>
        <w:rPr>
          <w:color w:val="1F4E79"/>
          <w:szCs w:val="18"/>
          <w:lang w:eastAsia="es-DO"/>
        </w:rPr>
      </w:pPr>
      <w:r w:rsidRPr="00FA1EEC">
        <w:rPr>
          <w:color w:val="1F4E79"/>
          <w:szCs w:val="18"/>
          <w:lang w:eastAsia="es-DO"/>
        </w:rPr>
        <w:t>Parcela No. 70 en el municipio de Santiago de los Caballeros, provincia de Santiago, 34,873 Mts2</w:t>
      </w:r>
    </w:p>
    <w:p w14:paraId="65C1BE91" w14:textId="77777777" w:rsidR="00655FFD" w:rsidRPr="00FA1EEC" w:rsidRDefault="00655FFD" w:rsidP="00E03CB3">
      <w:pPr>
        <w:numPr>
          <w:ilvl w:val="1"/>
          <w:numId w:val="25"/>
        </w:numPr>
        <w:ind w:left="1418"/>
        <w:rPr>
          <w:color w:val="1F4E79"/>
          <w:szCs w:val="18"/>
          <w:lang w:eastAsia="es-DO"/>
        </w:rPr>
      </w:pPr>
      <w:r w:rsidRPr="00FA1EEC">
        <w:rPr>
          <w:color w:val="1F4E79"/>
          <w:szCs w:val="18"/>
          <w:lang w:eastAsia="es-DO"/>
        </w:rPr>
        <w:t>Parcela No. 123 en el municipio de Villa González, provincia de Santiago, 123,744 Mts2</w:t>
      </w:r>
    </w:p>
    <w:p w14:paraId="54B8A6BA" w14:textId="77777777" w:rsidR="00655FFD" w:rsidRPr="00FA1EEC" w:rsidRDefault="00655FFD" w:rsidP="00E03CB3">
      <w:pPr>
        <w:numPr>
          <w:ilvl w:val="1"/>
          <w:numId w:val="25"/>
        </w:numPr>
        <w:ind w:left="1418"/>
        <w:rPr>
          <w:color w:val="1F4E79"/>
          <w:szCs w:val="18"/>
          <w:lang w:eastAsia="es-DO"/>
        </w:rPr>
      </w:pPr>
      <w:r w:rsidRPr="00FA1EEC">
        <w:rPr>
          <w:color w:val="1F4E79"/>
          <w:szCs w:val="18"/>
          <w:lang w:eastAsia="es-DO"/>
        </w:rPr>
        <w:t>Parcela No. 57B 2A en el municipio de Jarabacoa, provincia de La Vega, 2,359 Mts2</w:t>
      </w:r>
    </w:p>
    <w:p w14:paraId="2900B2FC" w14:textId="77777777" w:rsidR="00E03CB3" w:rsidRPr="005E50B0" w:rsidRDefault="00E03CB3" w:rsidP="00663B7E">
      <w:pPr>
        <w:ind w:left="0" w:firstLine="646"/>
        <w:rPr>
          <w:color w:val="1F4E79"/>
          <w:szCs w:val="18"/>
          <w:lang w:eastAsia="es-DO"/>
        </w:rPr>
      </w:pPr>
    </w:p>
    <w:p w14:paraId="150A1D76" w14:textId="2CDCC1EE" w:rsidR="00E2668E" w:rsidRPr="00FA1EEC" w:rsidRDefault="00E2668E" w:rsidP="0027737A">
      <w:pPr>
        <w:pStyle w:val="Prrafodelista"/>
        <w:numPr>
          <w:ilvl w:val="1"/>
          <w:numId w:val="1"/>
        </w:numPr>
        <w:spacing w:after="0" w:line="360" w:lineRule="auto"/>
        <w:ind w:left="426" w:hanging="425"/>
        <w:jc w:val="center"/>
        <w:outlineLvl w:val="1"/>
        <w:rPr>
          <w:rFonts w:ascii="Gotham Medium" w:eastAsia="Times New Roman" w:hAnsi="Gotham Medium" w:cs="Times New Roman"/>
          <w:b/>
          <w:color w:val="1F4E79"/>
          <w:sz w:val="16"/>
          <w:szCs w:val="16"/>
        </w:rPr>
      </w:pPr>
      <w:bookmarkStart w:id="10" w:name="_Toc59540159"/>
      <w:r w:rsidRPr="00FA1EEC">
        <w:rPr>
          <w:rFonts w:ascii="Gotham Medium" w:eastAsia="Times New Roman" w:hAnsi="Gotham Medium" w:cs="Times New Roman"/>
          <w:b/>
          <w:color w:val="1F4E79"/>
          <w:sz w:val="16"/>
          <w:szCs w:val="16"/>
        </w:rPr>
        <w:t>INVERSIÓN EN PROGRAMAS Y PROYECTOS DE DESARROLLO SOCIAL.</w:t>
      </w:r>
      <w:bookmarkEnd w:id="10"/>
    </w:p>
    <w:p w14:paraId="4018F7EE" w14:textId="77777777" w:rsidR="00E2668E" w:rsidRPr="00FA1EEC" w:rsidRDefault="00E2668E" w:rsidP="00507DDE">
      <w:pPr>
        <w:ind w:left="0" w:firstLine="646"/>
        <w:rPr>
          <w:color w:val="1F4E79"/>
          <w:szCs w:val="18"/>
          <w:lang w:eastAsia="es-DO"/>
        </w:rPr>
      </w:pPr>
    </w:p>
    <w:p w14:paraId="18EC4AEB" w14:textId="21CEC66B" w:rsidR="00E2668E" w:rsidRPr="00FA1EEC" w:rsidRDefault="00E2668E" w:rsidP="00507DDE">
      <w:pPr>
        <w:ind w:left="0" w:firstLine="646"/>
        <w:rPr>
          <w:color w:val="1F4E79"/>
          <w:szCs w:val="18"/>
          <w:lang w:eastAsia="es-DO"/>
        </w:rPr>
      </w:pPr>
      <w:r w:rsidRPr="00FA1EEC">
        <w:rPr>
          <w:color w:val="1F4E79"/>
          <w:szCs w:val="18"/>
          <w:lang w:eastAsia="es-DO"/>
        </w:rPr>
        <w:t xml:space="preserve">Las intervenciones de orden social y económico dirigidas por el </w:t>
      </w:r>
      <w:r w:rsidR="00207340">
        <w:rPr>
          <w:color w:val="1F4E79"/>
          <w:szCs w:val="18"/>
          <w:lang w:eastAsia="es-DO"/>
        </w:rPr>
        <w:t>FONPER</w:t>
      </w:r>
      <w:r w:rsidRPr="00FA1EEC">
        <w:rPr>
          <w:color w:val="1F4E79"/>
          <w:szCs w:val="18"/>
          <w:lang w:eastAsia="es-DO"/>
        </w:rPr>
        <w:t xml:space="preserve"> en todo el territorio nacional, han sido ponderadas y analizadas bajo el prisma de la Estrategia Nacional de Desarrollo (END), de tal manera que cada proyecto ejecutado ha contribuido con el logro de los ejes transversales Nos. 2 y 3: “Una sociedad con igualdad de derechos y oportunidades, en la que toda la población tiene garantizada educación, salud y servicios básicos de calidad, y que promueve la reducción progresiva de la pobreza y la desigualdad social y territorial” y “Una economía territorial y sectorialmente integrada, innovadora, diversificada, plural, orientada a la calidad y ambientalmente sostenible, que genera crecimiento alto y sostenido con equidad y empleo digno, y que aprovecha y potencia las oportunidades del mercado local y se inserta de forma competitiva en la economía global” respectivamente.</w:t>
      </w:r>
    </w:p>
    <w:p w14:paraId="3C02CA99" w14:textId="77777777" w:rsidR="00E2668E" w:rsidRPr="005E50B0" w:rsidRDefault="00E2668E" w:rsidP="00507DDE">
      <w:pPr>
        <w:ind w:left="0" w:firstLine="646"/>
        <w:rPr>
          <w:color w:val="1F4E79"/>
          <w:szCs w:val="18"/>
          <w:lang w:eastAsia="es-DO"/>
        </w:rPr>
      </w:pPr>
    </w:p>
    <w:p w14:paraId="52233662" w14:textId="28DF88A4" w:rsidR="00E2668E" w:rsidRPr="00FA1EEC" w:rsidRDefault="00E2668E" w:rsidP="00507DDE">
      <w:pPr>
        <w:ind w:left="0" w:firstLine="646"/>
        <w:rPr>
          <w:color w:val="1F4E79"/>
          <w:szCs w:val="18"/>
          <w:lang w:eastAsia="es-DO"/>
        </w:rPr>
      </w:pPr>
      <w:r w:rsidRPr="00FA1EEC">
        <w:rPr>
          <w:color w:val="1F4E79"/>
          <w:szCs w:val="18"/>
          <w:lang w:eastAsia="es-DO"/>
        </w:rPr>
        <w:t xml:space="preserve">En este sentido, durante el año 2020 el </w:t>
      </w:r>
      <w:r w:rsidR="00207340">
        <w:rPr>
          <w:color w:val="1F4E79"/>
          <w:szCs w:val="18"/>
          <w:lang w:eastAsia="es-DO"/>
        </w:rPr>
        <w:t>FONPER</w:t>
      </w:r>
      <w:r w:rsidRPr="00FA1EEC">
        <w:rPr>
          <w:color w:val="1F4E79"/>
          <w:szCs w:val="18"/>
          <w:lang w:eastAsia="es-DO"/>
        </w:rPr>
        <w:t xml:space="preserve"> realizó una inversión en programas y proyectos de desarrollo social por un monto de sesenta y nueve millones quinientos cuarenta y dos mil seiscientos veintitrés pesos con 44/100, (RD$69,542,623.44).</w:t>
      </w:r>
    </w:p>
    <w:p w14:paraId="79E73DA3" w14:textId="22916516" w:rsidR="007D0E20" w:rsidRDefault="007D0E20" w:rsidP="00663B7E">
      <w:pPr>
        <w:ind w:left="0" w:firstLine="646"/>
        <w:rPr>
          <w:color w:val="1F4E79"/>
          <w:szCs w:val="18"/>
          <w:lang w:eastAsia="es-DO"/>
        </w:rPr>
      </w:pPr>
    </w:p>
    <w:p w14:paraId="050BAE84" w14:textId="51A6BDF3" w:rsidR="00E2668E" w:rsidRPr="00FA1EEC" w:rsidRDefault="00551CE5" w:rsidP="00507DDE">
      <w:pPr>
        <w:pStyle w:val="Prrafodelista"/>
        <w:numPr>
          <w:ilvl w:val="2"/>
          <w:numId w:val="1"/>
        </w:numPr>
        <w:spacing w:after="0" w:line="360" w:lineRule="auto"/>
        <w:ind w:left="709"/>
        <w:jc w:val="center"/>
        <w:rPr>
          <w:rFonts w:ascii="Gotham Medium" w:eastAsia="Times New Roman" w:hAnsi="Gotham Medium" w:cs="Times New Roman"/>
          <w:b/>
          <w:color w:val="1F4E79"/>
          <w:sz w:val="16"/>
          <w:szCs w:val="16"/>
        </w:rPr>
      </w:pPr>
      <w:r w:rsidRPr="00FA1EEC">
        <w:rPr>
          <w:rFonts w:ascii="Gotham Medium" w:hAnsi="Gotham Medium"/>
          <w:b/>
          <w:color w:val="1F4E79"/>
          <w:sz w:val="16"/>
          <w:szCs w:val="16"/>
          <w:lang w:eastAsia="es-DO"/>
        </w:rPr>
        <w:t>PROGRAMAS DE ASISTENCIA SOCIAL.</w:t>
      </w:r>
    </w:p>
    <w:p w14:paraId="2C32C2F7" w14:textId="77777777" w:rsidR="00E2668E" w:rsidRPr="00FA1EEC" w:rsidRDefault="00E2668E" w:rsidP="0054625A">
      <w:pPr>
        <w:ind w:left="0" w:firstLine="646"/>
        <w:rPr>
          <w:color w:val="1F4E79"/>
          <w:szCs w:val="18"/>
          <w:lang w:eastAsia="es-DO"/>
        </w:rPr>
      </w:pPr>
    </w:p>
    <w:p w14:paraId="326E3C5F" w14:textId="77777777" w:rsidR="00E2668E" w:rsidRPr="00507DDE" w:rsidRDefault="00E2668E" w:rsidP="0054625A">
      <w:pPr>
        <w:ind w:left="0" w:firstLine="646"/>
        <w:rPr>
          <w:b/>
          <w:color w:val="1F4E79"/>
          <w:szCs w:val="18"/>
          <w:u w:val="single"/>
          <w:lang w:eastAsia="es-DO"/>
        </w:rPr>
      </w:pPr>
      <w:r w:rsidRPr="00507DDE">
        <w:rPr>
          <w:b/>
          <w:color w:val="1F4E79"/>
          <w:szCs w:val="18"/>
          <w:u w:val="single"/>
          <w:lang w:eastAsia="es-DO"/>
        </w:rPr>
        <w:t>Asistencia Económica</w:t>
      </w:r>
    </w:p>
    <w:p w14:paraId="3733F232" w14:textId="189FEBA8" w:rsidR="00E2668E" w:rsidRPr="00FA1EEC" w:rsidRDefault="00E2668E" w:rsidP="0054625A">
      <w:pPr>
        <w:ind w:left="0" w:firstLine="646"/>
        <w:rPr>
          <w:color w:val="1F4E79"/>
          <w:szCs w:val="18"/>
          <w:lang w:eastAsia="es-DO"/>
        </w:rPr>
      </w:pPr>
      <w:r w:rsidRPr="00FA1EEC">
        <w:rPr>
          <w:color w:val="1F4E79"/>
          <w:szCs w:val="18"/>
          <w:lang w:eastAsia="es-DO"/>
        </w:rPr>
        <w:t xml:space="preserve">A través de este programa, el </w:t>
      </w:r>
      <w:r w:rsidR="00207340">
        <w:rPr>
          <w:color w:val="1F4E79"/>
          <w:szCs w:val="18"/>
          <w:lang w:eastAsia="es-DO"/>
        </w:rPr>
        <w:t>FONPER</w:t>
      </w:r>
      <w:r w:rsidRPr="00FA1EEC">
        <w:rPr>
          <w:color w:val="1F4E79"/>
          <w:szCs w:val="18"/>
          <w:lang w:eastAsia="es-DO"/>
        </w:rPr>
        <w:t xml:space="preserve"> realizó esfuerzos para ir de la mano con las políticas sociales del gobierno, dirigidas a mejorar la calidad de vida de los sectores más empobrecidos de nuestro país, beneficiando aproximadamente 397 personas en toda la geografía nacional y con una inversión de </w:t>
      </w:r>
      <w:r w:rsidRPr="00507DDE">
        <w:rPr>
          <w:b/>
          <w:color w:val="1F4E79"/>
          <w:szCs w:val="18"/>
          <w:lang w:eastAsia="es-DO"/>
        </w:rPr>
        <w:t>catorce millones setecientos ochenta mil pesos con 00/100 (RD$14,780,000.00).</w:t>
      </w:r>
    </w:p>
    <w:p w14:paraId="5EDF47D9" w14:textId="77777777" w:rsidR="00E2668E" w:rsidRPr="00507DDE" w:rsidRDefault="00E2668E" w:rsidP="0054625A">
      <w:pPr>
        <w:ind w:left="0" w:firstLine="646"/>
        <w:rPr>
          <w:b/>
          <w:color w:val="1F4E79"/>
          <w:szCs w:val="18"/>
          <w:u w:val="single"/>
          <w:lang w:eastAsia="es-DO"/>
        </w:rPr>
      </w:pPr>
    </w:p>
    <w:p w14:paraId="36D427F3" w14:textId="77777777" w:rsidR="00E2668E" w:rsidRPr="00FA1EEC" w:rsidRDefault="00E2668E" w:rsidP="0054625A">
      <w:pPr>
        <w:ind w:left="0" w:firstLine="646"/>
        <w:rPr>
          <w:b/>
          <w:color w:val="1F4E79"/>
          <w:szCs w:val="18"/>
          <w:u w:val="single"/>
          <w:lang w:eastAsia="es-DO"/>
        </w:rPr>
      </w:pPr>
      <w:r w:rsidRPr="00FA1EEC">
        <w:rPr>
          <w:b/>
          <w:color w:val="1F4E79"/>
          <w:szCs w:val="18"/>
          <w:u w:val="single"/>
          <w:lang w:eastAsia="es-DO"/>
        </w:rPr>
        <w:t>Estudios Superiores (Grado y Postgrado)</w:t>
      </w:r>
    </w:p>
    <w:p w14:paraId="102DBD70" w14:textId="51E67343" w:rsidR="00E2668E" w:rsidRPr="00507DDE" w:rsidRDefault="00E2668E" w:rsidP="0054625A">
      <w:pPr>
        <w:ind w:left="0" w:firstLine="646"/>
        <w:rPr>
          <w:color w:val="1F4E79"/>
          <w:szCs w:val="18"/>
          <w:lang w:eastAsia="es-DO"/>
        </w:rPr>
      </w:pPr>
      <w:r w:rsidRPr="00507DDE">
        <w:rPr>
          <w:color w:val="1F4E79"/>
          <w:szCs w:val="18"/>
          <w:lang w:eastAsia="es-DO"/>
        </w:rPr>
        <w:t xml:space="preserve">Mediante este programa el </w:t>
      </w:r>
      <w:r w:rsidR="00207340">
        <w:rPr>
          <w:color w:val="1F4E79"/>
          <w:szCs w:val="18"/>
          <w:lang w:eastAsia="es-DO"/>
        </w:rPr>
        <w:t>FONPER</w:t>
      </w:r>
      <w:r w:rsidRPr="00507DDE">
        <w:rPr>
          <w:color w:val="1F4E79"/>
          <w:szCs w:val="18"/>
          <w:lang w:eastAsia="es-DO"/>
        </w:rPr>
        <w:t xml:space="preserve"> financió los estudios de 133 estudiantes meritorios y de escasos recursos en todo el territorio nacional en varias universidades del país. Esta inversión ascendió a un monto de siete millones doscientos dos mil pesos con 00/100 (RD$7,202,000.00).</w:t>
      </w:r>
    </w:p>
    <w:p w14:paraId="5B9A51C7" w14:textId="77777777" w:rsidR="00E2668E" w:rsidRPr="0054625A" w:rsidRDefault="00E2668E" w:rsidP="0054625A">
      <w:pPr>
        <w:ind w:left="0" w:firstLine="646"/>
        <w:rPr>
          <w:color w:val="1F4E79"/>
          <w:szCs w:val="18"/>
          <w:lang w:eastAsia="es-DO"/>
        </w:rPr>
      </w:pPr>
    </w:p>
    <w:p w14:paraId="535B2EA2" w14:textId="77777777" w:rsidR="00E2668E" w:rsidRPr="0054625A" w:rsidRDefault="00E2668E" w:rsidP="0054625A">
      <w:pPr>
        <w:ind w:left="0" w:firstLine="646"/>
        <w:rPr>
          <w:b/>
          <w:color w:val="1F4E79"/>
          <w:szCs w:val="18"/>
          <w:u w:val="single"/>
          <w:lang w:eastAsia="es-DO"/>
        </w:rPr>
      </w:pPr>
      <w:r w:rsidRPr="0054625A">
        <w:rPr>
          <w:b/>
          <w:color w:val="1F4E79"/>
          <w:szCs w:val="18"/>
          <w:u w:val="single"/>
          <w:lang w:eastAsia="es-DO"/>
        </w:rPr>
        <w:t>Asistencia Médica a Personas de Escasos Recursos.</w:t>
      </w:r>
    </w:p>
    <w:p w14:paraId="0FE5967E" w14:textId="14D1E3DF" w:rsidR="00E2668E" w:rsidRPr="0054625A" w:rsidRDefault="00E2668E" w:rsidP="0054625A">
      <w:pPr>
        <w:ind w:left="0" w:firstLine="646"/>
        <w:rPr>
          <w:color w:val="1F4E79"/>
          <w:szCs w:val="18"/>
          <w:lang w:eastAsia="es-DO"/>
        </w:rPr>
      </w:pPr>
      <w:r w:rsidRPr="0054625A">
        <w:rPr>
          <w:color w:val="1F4E79"/>
          <w:szCs w:val="18"/>
          <w:lang w:eastAsia="es-DO"/>
        </w:rPr>
        <w:t xml:space="preserve">Colaborando con la mejoría de la calidad de vida de personas de escasos recursos, el </w:t>
      </w:r>
      <w:r w:rsidR="00207340">
        <w:rPr>
          <w:color w:val="1F4E79"/>
          <w:szCs w:val="18"/>
          <w:lang w:eastAsia="es-DO"/>
        </w:rPr>
        <w:t>FONPER</w:t>
      </w:r>
      <w:r w:rsidRPr="0054625A">
        <w:rPr>
          <w:color w:val="1F4E79"/>
          <w:szCs w:val="18"/>
          <w:lang w:eastAsia="es-DO"/>
        </w:rPr>
        <w:t xml:space="preserve"> realiz</w:t>
      </w:r>
      <w:r w:rsidR="00C87066">
        <w:rPr>
          <w:color w:val="1F4E79"/>
          <w:szCs w:val="18"/>
          <w:lang w:eastAsia="es-DO"/>
        </w:rPr>
        <w:t>ó</w:t>
      </w:r>
      <w:r w:rsidRPr="0054625A">
        <w:rPr>
          <w:color w:val="1F4E79"/>
          <w:szCs w:val="18"/>
          <w:lang w:eastAsia="es-DO"/>
        </w:rPr>
        <w:t xml:space="preserve"> donaciones por un monto de trescientos cuarenta mil pesos con 00/100 (RD$340,000.00).</w:t>
      </w:r>
    </w:p>
    <w:p w14:paraId="75CB236E" w14:textId="77777777" w:rsidR="00E2668E" w:rsidRPr="0054625A" w:rsidRDefault="00E2668E" w:rsidP="0054625A">
      <w:pPr>
        <w:ind w:left="0" w:firstLine="646"/>
        <w:rPr>
          <w:color w:val="1F4E79"/>
          <w:szCs w:val="18"/>
          <w:lang w:eastAsia="es-DO"/>
        </w:rPr>
      </w:pPr>
    </w:p>
    <w:p w14:paraId="0D1B33FE" w14:textId="77777777" w:rsidR="00E2668E" w:rsidRPr="0054625A" w:rsidRDefault="00E2668E" w:rsidP="0054625A">
      <w:pPr>
        <w:ind w:left="0" w:firstLine="646"/>
        <w:rPr>
          <w:b/>
          <w:color w:val="1F4E79"/>
          <w:szCs w:val="18"/>
          <w:u w:val="single"/>
          <w:lang w:eastAsia="es-DO"/>
        </w:rPr>
      </w:pPr>
      <w:r w:rsidRPr="0054625A">
        <w:rPr>
          <w:b/>
          <w:color w:val="1F4E79"/>
          <w:szCs w:val="18"/>
          <w:u w:val="single"/>
          <w:lang w:eastAsia="es-DO"/>
        </w:rPr>
        <w:t>Deporte</w:t>
      </w:r>
    </w:p>
    <w:p w14:paraId="67A642A8" w14:textId="77777777" w:rsidR="00E2668E" w:rsidRPr="0054625A" w:rsidRDefault="00E2668E" w:rsidP="0054625A">
      <w:pPr>
        <w:ind w:left="0" w:firstLine="646"/>
        <w:rPr>
          <w:color w:val="1F4E79"/>
          <w:szCs w:val="18"/>
          <w:lang w:eastAsia="es-DO"/>
        </w:rPr>
      </w:pPr>
      <w:r w:rsidRPr="0054625A">
        <w:rPr>
          <w:color w:val="1F4E79"/>
          <w:szCs w:val="18"/>
          <w:lang w:eastAsia="es-DO"/>
        </w:rPr>
        <w:t>En este contexto, se realizaron varios aportes económicos a distintos clubes y eventos deportivos por un valor de quinientos setenta y cinco mil pesos con 00/100, (RD$575,000.00).</w:t>
      </w:r>
    </w:p>
    <w:p w14:paraId="5AE5113C" w14:textId="77777777" w:rsidR="007D0E20" w:rsidRPr="0054625A" w:rsidRDefault="007D0E20" w:rsidP="0054625A">
      <w:pPr>
        <w:ind w:left="0" w:firstLine="646"/>
        <w:rPr>
          <w:color w:val="1F4E79"/>
          <w:szCs w:val="18"/>
          <w:lang w:eastAsia="es-DO"/>
        </w:rPr>
      </w:pPr>
    </w:p>
    <w:p w14:paraId="62D938B2" w14:textId="671CE75F" w:rsidR="00E2668E" w:rsidRPr="0054625A" w:rsidRDefault="00E2668E" w:rsidP="0054625A">
      <w:pPr>
        <w:ind w:left="0" w:firstLine="646"/>
        <w:rPr>
          <w:b/>
          <w:color w:val="1F4E79"/>
          <w:szCs w:val="18"/>
          <w:u w:val="single"/>
          <w:lang w:eastAsia="es-DO"/>
        </w:rPr>
      </w:pPr>
      <w:r w:rsidRPr="0054625A">
        <w:rPr>
          <w:b/>
          <w:color w:val="1F4E79"/>
          <w:szCs w:val="18"/>
          <w:u w:val="single"/>
          <w:lang w:eastAsia="es-DO"/>
        </w:rPr>
        <w:t xml:space="preserve">Otros aportes y donaciones. </w:t>
      </w:r>
    </w:p>
    <w:p w14:paraId="4260DE47" w14:textId="77777777" w:rsidR="00E2668E" w:rsidRPr="0054625A" w:rsidRDefault="00E2668E" w:rsidP="0054625A">
      <w:pPr>
        <w:ind w:left="0" w:firstLine="646"/>
        <w:rPr>
          <w:color w:val="1F4E79"/>
          <w:szCs w:val="18"/>
          <w:lang w:eastAsia="es-DO"/>
        </w:rPr>
      </w:pPr>
      <w:r w:rsidRPr="0054625A">
        <w:rPr>
          <w:color w:val="1F4E79"/>
          <w:szCs w:val="18"/>
          <w:lang w:eastAsia="es-DO"/>
        </w:rPr>
        <w:t>Se realizaron donaciones de diversos tipos, para la celebración de actividades de instituciones dedicadas a promover el desarrollo social comunitario, por valor de un millón ochenta y cuatro mil trescientos treinta y cuatro pesos con 07/100 (RD$1,084,334.07), con las cuales fueron beneficiadas 267 personas e instituciones sin fines de lucro.</w:t>
      </w:r>
    </w:p>
    <w:p w14:paraId="193C2CED" w14:textId="77777777" w:rsidR="00E2668E" w:rsidRPr="0054625A" w:rsidRDefault="00E2668E" w:rsidP="0054625A">
      <w:pPr>
        <w:ind w:left="0" w:firstLine="646"/>
        <w:rPr>
          <w:color w:val="1F4E79"/>
          <w:szCs w:val="18"/>
          <w:lang w:eastAsia="es-DO"/>
        </w:rPr>
      </w:pPr>
    </w:p>
    <w:p w14:paraId="34943F7D" w14:textId="1ECEC942" w:rsidR="00E2668E" w:rsidRPr="0054625A" w:rsidRDefault="007D0E20" w:rsidP="0054625A">
      <w:pPr>
        <w:ind w:left="0" w:firstLine="646"/>
        <w:rPr>
          <w:b/>
          <w:color w:val="1F4E79"/>
          <w:szCs w:val="18"/>
          <w:u w:val="single"/>
          <w:lang w:eastAsia="es-DO"/>
        </w:rPr>
      </w:pPr>
      <w:r w:rsidRPr="0054625A">
        <w:rPr>
          <w:b/>
          <w:color w:val="1F4E79"/>
          <w:szCs w:val="18"/>
          <w:u w:val="single"/>
          <w:lang w:eastAsia="es-DO"/>
        </w:rPr>
        <w:t>Convenios destinados a la salud</w:t>
      </w:r>
    </w:p>
    <w:p w14:paraId="5FAD56E8" w14:textId="7DD36CC9" w:rsidR="00E2668E" w:rsidRPr="0054625A" w:rsidRDefault="00E2668E" w:rsidP="0054625A">
      <w:pPr>
        <w:ind w:left="0" w:firstLine="646"/>
        <w:rPr>
          <w:color w:val="1F4E79"/>
          <w:szCs w:val="18"/>
          <w:lang w:eastAsia="es-DO"/>
        </w:rPr>
      </w:pPr>
      <w:r w:rsidRPr="0054625A">
        <w:rPr>
          <w:color w:val="1F4E79"/>
          <w:szCs w:val="18"/>
          <w:lang w:eastAsia="es-DO"/>
        </w:rPr>
        <w:t xml:space="preserve">A través de la firma de convenios con diferentes ONG y otras instituciones, cuya naturaleza es el desarrollo de programas de educación para prevenir enfermedades en la población de escasos recursos, así como de la donación directa a personas de escasos recursos, el </w:t>
      </w:r>
      <w:r w:rsidR="00207340">
        <w:rPr>
          <w:color w:val="1F4E79"/>
          <w:szCs w:val="18"/>
          <w:lang w:eastAsia="es-DO"/>
        </w:rPr>
        <w:t>FONPER</w:t>
      </w:r>
      <w:r w:rsidRPr="0054625A">
        <w:rPr>
          <w:color w:val="1F4E79"/>
          <w:szCs w:val="18"/>
          <w:lang w:eastAsia="es-DO"/>
        </w:rPr>
        <w:t xml:space="preserve"> invirtió un monto de veinte millones cien mil pesos con 00/100 (RD$20,100,000.00), en los siguientes programas de salud: </w:t>
      </w:r>
    </w:p>
    <w:p w14:paraId="17EBE5B7" w14:textId="77777777" w:rsidR="00E2668E" w:rsidRPr="00FA1EEC" w:rsidRDefault="00E2668E" w:rsidP="007D0E20">
      <w:pPr>
        <w:ind w:left="0" w:firstLine="646"/>
        <w:rPr>
          <w:color w:val="1F4E79"/>
          <w:szCs w:val="18"/>
          <w:lang w:eastAsia="es-DO"/>
        </w:rPr>
      </w:pPr>
    </w:p>
    <w:p w14:paraId="4FD85261" w14:textId="63F03106" w:rsidR="00E2668E" w:rsidRPr="00FA1EEC" w:rsidRDefault="00E2668E" w:rsidP="0015147E">
      <w:pPr>
        <w:numPr>
          <w:ilvl w:val="0"/>
          <w:numId w:val="10"/>
        </w:numPr>
        <w:ind w:left="284" w:hanging="357"/>
        <w:rPr>
          <w:b/>
          <w:color w:val="1F4E79"/>
          <w:szCs w:val="18"/>
          <w:lang w:eastAsia="es-DO"/>
        </w:rPr>
      </w:pPr>
      <w:r w:rsidRPr="00FA1EEC">
        <w:rPr>
          <w:b/>
          <w:color w:val="1F4E79"/>
          <w:szCs w:val="18"/>
          <w:lang w:eastAsia="es-DO"/>
        </w:rPr>
        <w:t>Vida Saludable (Fundación de Mujeres Para el Desarrollo de San Juan de la Maguana (FUMUDESJU)</w:t>
      </w:r>
      <w:r w:rsidR="007D0E20">
        <w:rPr>
          <w:b/>
          <w:color w:val="1F4E79"/>
          <w:szCs w:val="18"/>
          <w:lang w:eastAsia="es-DO"/>
        </w:rPr>
        <w:t>.</w:t>
      </w:r>
    </w:p>
    <w:p w14:paraId="1C90500D" w14:textId="77777777" w:rsidR="00041EBE" w:rsidRDefault="00041EBE" w:rsidP="0054625A">
      <w:pPr>
        <w:ind w:left="0" w:firstLine="646"/>
        <w:rPr>
          <w:color w:val="1F4E79"/>
          <w:szCs w:val="18"/>
          <w:lang w:eastAsia="es-DO"/>
        </w:rPr>
      </w:pPr>
    </w:p>
    <w:p w14:paraId="39D45CDE" w14:textId="1D9C2CAF" w:rsidR="00041EBE" w:rsidRDefault="00E2668E" w:rsidP="0054625A">
      <w:pPr>
        <w:ind w:left="0" w:firstLine="646"/>
        <w:rPr>
          <w:color w:val="1F4E79"/>
          <w:szCs w:val="18"/>
          <w:lang w:eastAsia="es-DO"/>
        </w:rPr>
      </w:pPr>
      <w:r w:rsidRPr="00FA1EEC">
        <w:rPr>
          <w:color w:val="1F4E79"/>
          <w:szCs w:val="18"/>
          <w:lang w:eastAsia="es-DO"/>
        </w:rPr>
        <w:t xml:space="preserve">Este programa se ejecuta a través del convenio </w:t>
      </w:r>
      <w:r w:rsidR="00207340">
        <w:rPr>
          <w:color w:val="1F4E79"/>
          <w:szCs w:val="18"/>
          <w:lang w:eastAsia="es-DO"/>
        </w:rPr>
        <w:t>FONPER</w:t>
      </w:r>
      <w:r w:rsidRPr="00FA1EEC">
        <w:rPr>
          <w:color w:val="1F4E79"/>
          <w:szCs w:val="18"/>
          <w:lang w:eastAsia="es-DO"/>
        </w:rPr>
        <w:t xml:space="preserve">-FUMUDESJU, en el cual el </w:t>
      </w:r>
      <w:r w:rsidR="00207340">
        <w:rPr>
          <w:color w:val="1F4E79"/>
          <w:szCs w:val="18"/>
          <w:lang w:eastAsia="es-DO"/>
        </w:rPr>
        <w:t>FONPER</w:t>
      </w:r>
      <w:r w:rsidRPr="00FA1EEC">
        <w:rPr>
          <w:color w:val="1F4E79"/>
          <w:szCs w:val="18"/>
          <w:lang w:eastAsia="es-DO"/>
        </w:rPr>
        <w:t xml:space="preserve"> aporta la suma de </w:t>
      </w:r>
      <w:r w:rsidR="007B5493">
        <w:rPr>
          <w:color w:val="1F4E79"/>
          <w:szCs w:val="18"/>
          <w:lang w:eastAsia="es-DO"/>
        </w:rPr>
        <w:t>Cinco</w:t>
      </w:r>
      <w:r w:rsidRPr="00FA1EEC">
        <w:rPr>
          <w:color w:val="1F4E79"/>
          <w:szCs w:val="18"/>
          <w:lang w:eastAsia="es-DO"/>
        </w:rPr>
        <w:t xml:space="preserve"> </w:t>
      </w:r>
      <w:r w:rsidR="007B5493">
        <w:rPr>
          <w:color w:val="1F4E79"/>
          <w:szCs w:val="18"/>
          <w:lang w:eastAsia="es-DO"/>
        </w:rPr>
        <w:t>M</w:t>
      </w:r>
      <w:r w:rsidRPr="00FA1EEC">
        <w:rPr>
          <w:color w:val="1F4E79"/>
          <w:szCs w:val="18"/>
          <w:lang w:eastAsia="es-DO"/>
        </w:rPr>
        <w:t xml:space="preserve">illones </w:t>
      </w:r>
      <w:r w:rsidR="007B5493">
        <w:rPr>
          <w:color w:val="1F4E79"/>
          <w:szCs w:val="18"/>
          <w:lang w:eastAsia="es-DO"/>
        </w:rPr>
        <w:t>Doscientos Cincuenta</w:t>
      </w:r>
      <w:r w:rsidRPr="00FA1EEC">
        <w:rPr>
          <w:color w:val="1F4E79"/>
          <w:szCs w:val="18"/>
          <w:lang w:eastAsia="es-DO"/>
        </w:rPr>
        <w:t xml:space="preserve"> mil pesos (RD$</w:t>
      </w:r>
      <w:r w:rsidR="007B5493">
        <w:rPr>
          <w:color w:val="1F4E79"/>
          <w:szCs w:val="18"/>
          <w:lang w:eastAsia="es-DO"/>
        </w:rPr>
        <w:t>5</w:t>
      </w:r>
      <w:r w:rsidRPr="00FA1EEC">
        <w:rPr>
          <w:color w:val="1F4E79"/>
          <w:szCs w:val="18"/>
          <w:lang w:eastAsia="es-DO"/>
        </w:rPr>
        <w:t>,</w:t>
      </w:r>
      <w:r w:rsidR="007B5493">
        <w:rPr>
          <w:color w:val="1F4E79"/>
          <w:szCs w:val="18"/>
          <w:lang w:eastAsia="es-DO"/>
        </w:rPr>
        <w:t>2</w:t>
      </w:r>
      <w:r w:rsidRPr="00FA1EEC">
        <w:rPr>
          <w:color w:val="1F4E79"/>
          <w:szCs w:val="18"/>
          <w:lang w:eastAsia="es-DO"/>
        </w:rPr>
        <w:t xml:space="preserve">50,000.00), con la finalidad de mejorar la calidad de vida y transformar positivamente la realidad social, cultural y económica de algunas comunidades de la Provincia de San Juan de la Maguana, integrando principalmente a las mujeres a través de la formación y desarrollo de liderazgo. </w:t>
      </w:r>
    </w:p>
    <w:p w14:paraId="78BD2A14" w14:textId="77777777" w:rsidR="00041EBE" w:rsidRDefault="00041EBE" w:rsidP="0054625A">
      <w:pPr>
        <w:ind w:left="0" w:firstLine="646"/>
        <w:rPr>
          <w:color w:val="1F4E79"/>
          <w:szCs w:val="18"/>
          <w:lang w:eastAsia="es-DO"/>
        </w:rPr>
      </w:pPr>
    </w:p>
    <w:p w14:paraId="20E3B81A" w14:textId="77777777" w:rsidR="00041EBE" w:rsidRDefault="00E2668E" w:rsidP="0054625A">
      <w:pPr>
        <w:ind w:left="0" w:firstLine="646"/>
        <w:rPr>
          <w:color w:val="1F4E79"/>
          <w:szCs w:val="18"/>
          <w:lang w:eastAsia="es-DO"/>
        </w:rPr>
      </w:pPr>
      <w:r w:rsidRPr="00FA1EEC">
        <w:rPr>
          <w:color w:val="1F4E79"/>
          <w:szCs w:val="18"/>
          <w:lang w:eastAsia="es-DO"/>
        </w:rPr>
        <w:t>En el marco de dicho convenio se ofrecieron los siguientes servicios:</w:t>
      </w:r>
    </w:p>
    <w:p w14:paraId="7B288637" w14:textId="1A73EDD1" w:rsidR="00041EBE" w:rsidRPr="00041EBE" w:rsidRDefault="00E2668E" w:rsidP="0054625A">
      <w:pPr>
        <w:pStyle w:val="Prrafodelista"/>
        <w:numPr>
          <w:ilvl w:val="0"/>
          <w:numId w:val="26"/>
        </w:numPr>
        <w:ind w:left="1134"/>
        <w:rPr>
          <w:color w:val="1F4E79"/>
          <w:szCs w:val="18"/>
          <w:lang w:eastAsia="es-DO"/>
        </w:rPr>
      </w:pPr>
      <w:r w:rsidRPr="00041EBE">
        <w:rPr>
          <w:color w:val="1F4E79"/>
          <w:szCs w:val="18"/>
          <w:lang w:eastAsia="es-DO"/>
        </w:rPr>
        <w:t>Promoci</w:t>
      </w:r>
      <w:r w:rsidR="00041EBE" w:rsidRPr="00041EBE">
        <w:rPr>
          <w:color w:val="1F4E79"/>
          <w:szCs w:val="18"/>
          <w:lang w:eastAsia="es-DO"/>
        </w:rPr>
        <w:t>ón y prevención de enfermedade</w:t>
      </w:r>
      <w:r w:rsidR="00FD511A">
        <w:rPr>
          <w:color w:val="1F4E79"/>
          <w:szCs w:val="18"/>
          <w:lang w:eastAsia="es-DO"/>
        </w:rPr>
        <w:t>s</w:t>
      </w:r>
    </w:p>
    <w:p w14:paraId="278D431C" w14:textId="4EC019E1" w:rsidR="00E2668E" w:rsidRPr="00041EBE" w:rsidRDefault="00E2668E" w:rsidP="0054625A">
      <w:pPr>
        <w:pStyle w:val="Prrafodelista"/>
        <w:numPr>
          <w:ilvl w:val="0"/>
          <w:numId w:val="26"/>
        </w:numPr>
        <w:ind w:left="1134"/>
        <w:rPr>
          <w:color w:val="1F4E79"/>
          <w:szCs w:val="18"/>
          <w:lang w:eastAsia="es-DO"/>
        </w:rPr>
      </w:pPr>
      <w:r w:rsidRPr="00041EBE">
        <w:rPr>
          <w:color w:val="1F4E79"/>
          <w:szCs w:val="18"/>
          <w:lang w:eastAsia="es-DO"/>
        </w:rPr>
        <w:t>Atención primaria en salud</w:t>
      </w:r>
    </w:p>
    <w:p w14:paraId="7154420A" w14:textId="55BE0EE0" w:rsidR="00E2668E" w:rsidRPr="00041EBE" w:rsidRDefault="00E2668E" w:rsidP="0054625A">
      <w:pPr>
        <w:pStyle w:val="Prrafodelista"/>
        <w:numPr>
          <w:ilvl w:val="0"/>
          <w:numId w:val="26"/>
        </w:numPr>
        <w:ind w:left="1134"/>
        <w:rPr>
          <w:color w:val="1F4E79"/>
          <w:szCs w:val="18"/>
          <w:lang w:eastAsia="es-DO"/>
        </w:rPr>
      </w:pPr>
      <w:r w:rsidRPr="00041EBE">
        <w:rPr>
          <w:color w:val="1F4E79"/>
          <w:szCs w:val="18"/>
          <w:lang w:eastAsia="es-DO"/>
        </w:rPr>
        <w:t>Atención a la morbilidad, mediante consultas y emergencias</w:t>
      </w:r>
    </w:p>
    <w:p w14:paraId="487674AA" w14:textId="58545BF9" w:rsidR="00E2668E" w:rsidRPr="00041EBE" w:rsidRDefault="00E2668E" w:rsidP="0054625A">
      <w:pPr>
        <w:pStyle w:val="Prrafodelista"/>
        <w:numPr>
          <w:ilvl w:val="0"/>
          <w:numId w:val="26"/>
        </w:numPr>
        <w:ind w:left="1134"/>
        <w:rPr>
          <w:color w:val="1F4E79"/>
          <w:szCs w:val="18"/>
          <w:lang w:eastAsia="es-DO"/>
        </w:rPr>
      </w:pPr>
      <w:r w:rsidRPr="00041EBE">
        <w:rPr>
          <w:color w:val="1F4E79"/>
          <w:szCs w:val="18"/>
          <w:lang w:eastAsia="es-DO"/>
        </w:rPr>
        <w:t>Salud Bucal</w:t>
      </w:r>
    </w:p>
    <w:p w14:paraId="7B494DC7" w14:textId="77777777" w:rsidR="00FD511A" w:rsidRDefault="00E2668E" w:rsidP="0054625A">
      <w:pPr>
        <w:pStyle w:val="Prrafodelista"/>
        <w:numPr>
          <w:ilvl w:val="0"/>
          <w:numId w:val="26"/>
        </w:numPr>
        <w:ind w:left="1134"/>
        <w:rPr>
          <w:color w:val="1F4E79"/>
          <w:szCs w:val="18"/>
          <w:lang w:eastAsia="es-DO"/>
        </w:rPr>
      </w:pPr>
      <w:r w:rsidRPr="00041EBE">
        <w:rPr>
          <w:color w:val="1F4E79"/>
          <w:szCs w:val="18"/>
          <w:lang w:eastAsia="es-DO"/>
        </w:rPr>
        <w:t>Análisis clínicos</w:t>
      </w:r>
    </w:p>
    <w:p w14:paraId="6EF44085" w14:textId="77777777" w:rsidR="00FD511A" w:rsidRDefault="00E2668E" w:rsidP="0054625A">
      <w:pPr>
        <w:pStyle w:val="Prrafodelista"/>
        <w:numPr>
          <w:ilvl w:val="0"/>
          <w:numId w:val="26"/>
        </w:numPr>
        <w:ind w:left="1134"/>
        <w:rPr>
          <w:color w:val="1F4E79"/>
          <w:szCs w:val="18"/>
          <w:lang w:eastAsia="es-DO"/>
        </w:rPr>
      </w:pPr>
      <w:r w:rsidRPr="00FD511A">
        <w:rPr>
          <w:color w:val="1F4E79"/>
          <w:szCs w:val="18"/>
          <w:lang w:eastAsia="es-DO"/>
        </w:rPr>
        <w:t>Entrega de medicamentos, los cuales se ofrecen a las personas día a día de manera gratuita, ponderando la calidad y calidez en cada atención.</w:t>
      </w:r>
    </w:p>
    <w:p w14:paraId="3C0A0292" w14:textId="4B1B3CB1" w:rsidR="00E2668E" w:rsidRPr="00FD511A" w:rsidRDefault="00E2668E" w:rsidP="0054625A">
      <w:pPr>
        <w:pStyle w:val="Prrafodelista"/>
        <w:numPr>
          <w:ilvl w:val="0"/>
          <w:numId w:val="26"/>
        </w:numPr>
        <w:ind w:left="1134"/>
        <w:rPr>
          <w:color w:val="1F4E79"/>
          <w:szCs w:val="18"/>
          <w:lang w:eastAsia="es-DO"/>
        </w:rPr>
      </w:pPr>
      <w:r w:rsidRPr="00FD511A">
        <w:rPr>
          <w:color w:val="1F4E79"/>
          <w:szCs w:val="18"/>
          <w:lang w:eastAsia="es-DO"/>
        </w:rPr>
        <w:t>Promoción de estilo de vida saludable en los barrios y sectores vulnerables.</w:t>
      </w:r>
    </w:p>
    <w:p w14:paraId="6711745A" w14:textId="77777777" w:rsidR="00E2668E" w:rsidRPr="00041EBE" w:rsidRDefault="00E2668E" w:rsidP="0054625A">
      <w:pPr>
        <w:ind w:left="0" w:firstLine="646"/>
        <w:rPr>
          <w:color w:val="1F4E79"/>
          <w:szCs w:val="18"/>
          <w:lang w:eastAsia="es-DO"/>
        </w:rPr>
      </w:pPr>
    </w:p>
    <w:p w14:paraId="23A98E51" w14:textId="77777777" w:rsidR="00E2668E" w:rsidRPr="00FA1EEC" w:rsidRDefault="00E2668E" w:rsidP="0054625A">
      <w:pPr>
        <w:ind w:left="0" w:firstLine="646"/>
        <w:rPr>
          <w:color w:val="1F4E79"/>
          <w:szCs w:val="18"/>
          <w:lang w:eastAsia="es-DO"/>
        </w:rPr>
      </w:pPr>
      <w:r w:rsidRPr="00FA1EEC">
        <w:rPr>
          <w:color w:val="1F4E79"/>
          <w:szCs w:val="18"/>
          <w:lang w:eastAsia="es-DO"/>
        </w:rPr>
        <w:t>Estos servicios se dividieron en dos renglones: Uno en Área de salud y el otro, Actividades de promoción y capacitación, beneficiando un total de 4,051 pacientes y realizando 22 charlas y actividades en la que participaron 706 personas.</w:t>
      </w:r>
    </w:p>
    <w:p w14:paraId="7E1F3B90" w14:textId="6CA69AD9" w:rsidR="00E2668E" w:rsidRDefault="00E2668E" w:rsidP="0054625A">
      <w:pPr>
        <w:ind w:left="0" w:firstLine="646"/>
        <w:rPr>
          <w:color w:val="1F4E79"/>
          <w:szCs w:val="18"/>
          <w:lang w:eastAsia="es-DO"/>
        </w:rPr>
      </w:pPr>
    </w:p>
    <w:p w14:paraId="4E8F6966" w14:textId="77777777" w:rsidR="00F164B9" w:rsidRPr="00FA1EEC" w:rsidRDefault="00F164B9" w:rsidP="0054625A">
      <w:pPr>
        <w:ind w:left="0" w:firstLine="646"/>
        <w:rPr>
          <w:color w:val="1F4E79"/>
          <w:szCs w:val="18"/>
          <w:lang w:eastAsia="es-DO"/>
        </w:rPr>
      </w:pPr>
    </w:p>
    <w:p w14:paraId="47311A93" w14:textId="77777777" w:rsidR="00E2668E" w:rsidRPr="00FA1EEC" w:rsidRDefault="00E2668E" w:rsidP="0054625A">
      <w:pPr>
        <w:numPr>
          <w:ilvl w:val="0"/>
          <w:numId w:val="10"/>
        </w:numPr>
        <w:ind w:left="284" w:hanging="357"/>
        <w:rPr>
          <w:b/>
          <w:color w:val="1F4E79"/>
          <w:szCs w:val="18"/>
          <w:lang w:eastAsia="es-DO"/>
        </w:rPr>
      </w:pPr>
      <w:r w:rsidRPr="00FA1EEC">
        <w:rPr>
          <w:b/>
          <w:color w:val="1F4E79"/>
          <w:szCs w:val="18"/>
          <w:lang w:eastAsia="es-DO"/>
        </w:rPr>
        <w:t xml:space="preserve">Atención Integral para Discapacitados. </w:t>
      </w:r>
    </w:p>
    <w:p w14:paraId="41D55DCE" w14:textId="77777777" w:rsidR="00E2668E" w:rsidRPr="00FA1EEC" w:rsidRDefault="00E2668E" w:rsidP="0054625A">
      <w:pPr>
        <w:ind w:left="0" w:firstLine="646"/>
        <w:rPr>
          <w:color w:val="1F4E79"/>
          <w:szCs w:val="18"/>
          <w:lang w:eastAsia="es-DO"/>
        </w:rPr>
      </w:pPr>
    </w:p>
    <w:p w14:paraId="317C90F6" w14:textId="77777777" w:rsidR="00E2668E" w:rsidRPr="00FA1EEC" w:rsidRDefault="00E2668E" w:rsidP="0054625A">
      <w:pPr>
        <w:ind w:left="0" w:firstLine="646"/>
        <w:rPr>
          <w:color w:val="1F4E79"/>
          <w:szCs w:val="18"/>
          <w:lang w:eastAsia="es-DO"/>
        </w:rPr>
      </w:pPr>
      <w:r w:rsidRPr="00FA1EEC">
        <w:rPr>
          <w:color w:val="1F4E79"/>
          <w:szCs w:val="18"/>
          <w:lang w:eastAsia="es-DO"/>
        </w:rPr>
        <w:t>Consiste en la firma de un convenio con el Despacho de la Primera Dama, renovado el 15 julio 2019 hasta el 15 julio del 2020, mediante el cual se aporta la suma de doce millones de pesos con 00/100 (RD$12,000,000.00), en apoyo al proyecto centro de atención integral para discapacitados, que tiene como finalidad primordial brindar un espacio íntegro para el cuidado, educación, rehabilitación y atención de los niños con síndrome de Down, trastornos del espectro autista y parálisis cerebral infantil, buscando mayor desarrollo de sus potencialidades para lograr una mejor inclusión social, de lo cual se carecía hasta el surgimiento de este proyecto.</w:t>
      </w:r>
    </w:p>
    <w:p w14:paraId="12D20124" w14:textId="77777777" w:rsidR="00E2668E" w:rsidRPr="00444680" w:rsidRDefault="00E2668E" w:rsidP="0054625A">
      <w:pPr>
        <w:ind w:left="0" w:firstLine="646"/>
        <w:rPr>
          <w:color w:val="1F4E79"/>
          <w:szCs w:val="18"/>
          <w:lang w:eastAsia="es-DO"/>
        </w:rPr>
      </w:pPr>
    </w:p>
    <w:p w14:paraId="1D827867" w14:textId="77777777" w:rsidR="00E2668E" w:rsidRPr="00FA1EEC" w:rsidRDefault="00E2668E" w:rsidP="0054625A">
      <w:pPr>
        <w:numPr>
          <w:ilvl w:val="0"/>
          <w:numId w:val="10"/>
        </w:numPr>
        <w:ind w:left="284" w:hanging="357"/>
        <w:rPr>
          <w:b/>
          <w:color w:val="1F4E79"/>
          <w:szCs w:val="18"/>
          <w:lang w:eastAsia="es-DO"/>
        </w:rPr>
      </w:pPr>
      <w:r w:rsidRPr="00FA1EEC">
        <w:rPr>
          <w:b/>
          <w:color w:val="1F4E79"/>
          <w:szCs w:val="18"/>
          <w:lang w:eastAsia="es-DO"/>
        </w:rPr>
        <w:t>Fundación Dominicana de Enfermedades Metabólicas, Menopausia y Osteoporosis (FUNDEMOS).</w:t>
      </w:r>
    </w:p>
    <w:p w14:paraId="3151D558" w14:textId="77777777" w:rsidR="00E2668E" w:rsidRPr="00FA1EEC" w:rsidRDefault="00E2668E" w:rsidP="00663B7E">
      <w:pPr>
        <w:ind w:left="0" w:firstLine="646"/>
        <w:rPr>
          <w:color w:val="1F4E79"/>
          <w:szCs w:val="18"/>
          <w:lang w:eastAsia="es-DO"/>
        </w:rPr>
      </w:pPr>
    </w:p>
    <w:p w14:paraId="2B726736" w14:textId="23669C43" w:rsidR="00E2668E" w:rsidRPr="00FA1EEC" w:rsidRDefault="00E2668E" w:rsidP="0054625A">
      <w:pPr>
        <w:ind w:left="0" w:firstLine="646"/>
        <w:rPr>
          <w:color w:val="1F4E79"/>
          <w:szCs w:val="18"/>
          <w:lang w:eastAsia="es-DO"/>
        </w:rPr>
      </w:pPr>
      <w:r w:rsidRPr="00FA1EEC">
        <w:rPr>
          <w:color w:val="1F4E79"/>
          <w:szCs w:val="18"/>
          <w:lang w:eastAsia="es-DO"/>
        </w:rPr>
        <w:t xml:space="preserve">El propósito principal de este programa es la atención oportuna, integral y accesible a mujeres en edades cercanas a la menopausia, con énfasis en aquellas que tienen pocos recursos y que suelen ser afectadas por la osteoporosis y para lo cual el </w:t>
      </w:r>
      <w:r w:rsidR="00207340">
        <w:rPr>
          <w:color w:val="1F4E79"/>
          <w:szCs w:val="18"/>
          <w:lang w:eastAsia="es-DO"/>
        </w:rPr>
        <w:t>FONPER</w:t>
      </w:r>
      <w:r w:rsidRPr="00FA1EEC">
        <w:rPr>
          <w:color w:val="1F4E79"/>
          <w:szCs w:val="18"/>
          <w:lang w:eastAsia="es-DO"/>
        </w:rPr>
        <w:t xml:space="preserve"> aportó la suma de tres millones de pesos (RD$3,000,000.00).</w:t>
      </w:r>
    </w:p>
    <w:p w14:paraId="5EEE5F14" w14:textId="77777777" w:rsidR="00E2668E" w:rsidRPr="00FA1EEC" w:rsidRDefault="00E2668E" w:rsidP="0054625A">
      <w:pPr>
        <w:ind w:left="0" w:firstLine="646"/>
        <w:rPr>
          <w:color w:val="1F4E79"/>
          <w:szCs w:val="18"/>
          <w:lang w:eastAsia="es-DO"/>
        </w:rPr>
      </w:pPr>
    </w:p>
    <w:p w14:paraId="79C261A5" w14:textId="77777777" w:rsidR="00E2668E" w:rsidRPr="00FA1EEC" w:rsidRDefault="00E2668E" w:rsidP="0054625A">
      <w:pPr>
        <w:ind w:left="0" w:firstLine="646"/>
        <w:rPr>
          <w:color w:val="1F4E79"/>
          <w:szCs w:val="18"/>
          <w:lang w:eastAsia="es-DO"/>
        </w:rPr>
      </w:pPr>
      <w:r w:rsidRPr="00FA1EEC">
        <w:rPr>
          <w:color w:val="1F4E79"/>
          <w:szCs w:val="18"/>
          <w:lang w:eastAsia="es-DO"/>
        </w:rPr>
        <w:t>El programa se implementa en varias fases que abarcan, desde la educación y prevención en salud, hasta la atención integral y tratamiento. Además, permite una amplia cobertura en los servicios y tratamiento de atención integral, así como consulta médica y la realización de estudio de densitometría ósea.</w:t>
      </w:r>
    </w:p>
    <w:p w14:paraId="313E4F22" w14:textId="77777777" w:rsidR="00E2668E" w:rsidRPr="00444680" w:rsidRDefault="00E2668E" w:rsidP="0054625A">
      <w:pPr>
        <w:ind w:left="0" w:firstLine="646"/>
        <w:rPr>
          <w:color w:val="1F4E79"/>
          <w:szCs w:val="18"/>
          <w:lang w:eastAsia="es-DO"/>
        </w:rPr>
      </w:pPr>
    </w:p>
    <w:p w14:paraId="3E6E9F0C" w14:textId="77777777" w:rsidR="00E2668E" w:rsidRPr="00FA1EEC" w:rsidRDefault="00E2668E" w:rsidP="0054625A">
      <w:pPr>
        <w:numPr>
          <w:ilvl w:val="0"/>
          <w:numId w:val="10"/>
        </w:numPr>
        <w:ind w:left="284" w:hanging="357"/>
        <w:rPr>
          <w:b/>
          <w:color w:val="1F4E79"/>
          <w:szCs w:val="18"/>
          <w:lang w:eastAsia="es-DO"/>
        </w:rPr>
      </w:pPr>
      <w:r w:rsidRPr="00FA1EEC">
        <w:rPr>
          <w:b/>
          <w:color w:val="1F4E79"/>
          <w:szCs w:val="18"/>
          <w:lang w:eastAsia="es-DO"/>
        </w:rPr>
        <w:t>Asistencia médica y alimentación a niños de escasos recursos (Fundación Estancia Infantil Ana Josefina).</w:t>
      </w:r>
    </w:p>
    <w:p w14:paraId="34D86514" w14:textId="77777777" w:rsidR="00E2668E" w:rsidRPr="00444680" w:rsidRDefault="00E2668E" w:rsidP="0054625A">
      <w:pPr>
        <w:ind w:left="0" w:firstLine="646"/>
        <w:rPr>
          <w:color w:val="1F4E79"/>
          <w:szCs w:val="18"/>
          <w:lang w:eastAsia="es-DO"/>
        </w:rPr>
      </w:pPr>
    </w:p>
    <w:p w14:paraId="6CAA824F" w14:textId="4616479F" w:rsidR="00E2668E" w:rsidRPr="00FA1EEC" w:rsidRDefault="00E2668E" w:rsidP="0054625A">
      <w:pPr>
        <w:ind w:left="0" w:firstLine="646"/>
        <w:rPr>
          <w:color w:val="1F4E79"/>
          <w:szCs w:val="18"/>
          <w:lang w:eastAsia="es-DO"/>
        </w:rPr>
      </w:pPr>
      <w:r w:rsidRPr="00FA1EEC">
        <w:rPr>
          <w:color w:val="1F4E79"/>
          <w:szCs w:val="18"/>
          <w:lang w:eastAsia="es-DO"/>
        </w:rPr>
        <w:t xml:space="preserve">Este programa tiene como objetivo principal proporcionar el sustento básico, en términos de alimentación y salud, a niños y niñas del sector de Sabana Perdida, para lo cual el </w:t>
      </w:r>
      <w:r w:rsidR="00207340">
        <w:rPr>
          <w:color w:val="1F4E79"/>
          <w:szCs w:val="18"/>
          <w:lang w:eastAsia="es-DO"/>
        </w:rPr>
        <w:t>FONPER</w:t>
      </w:r>
      <w:r w:rsidRPr="00FA1EEC">
        <w:rPr>
          <w:color w:val="1F4E79"/>
          <w:szCs w:val="18"/>
          <w:lang w:eastAsia="es-DO"/>
        </w:rPr>
        <w:t xml:space="preserve"> aportó a la Fundación Estancia Infantil Ana Josefina, la sum</w:t>
      </w:r>
      <w:r w:rsidR="007B5493">
        <w:rPr>
          <w:color w:val="1F4E79"/>
          <w:szCs w:val="18"/>
          <w:lang w:eastAsia="es-DO"/>
        </w:rPr>
        <w:t>a de novecientos mil pesos (RD$9</w:t>
      </w:r>
      <w:r w:rsidRPr="00FA1EEC">
        <w:rPr>
          <w:color w:val="1F4E79"/>
          <w:szCs w:val="18"/>
          <w:lang w:eastAsia="es-DO"/>
        </w:rPr>
        <w:t>00,000.00). Actualmente la fundación da servicios a 230 niños entre 1 y 7 años.</w:t>
      </w:r>
    </w:p>
    <w:p w14:paraId="543AE698" w14:textId="77777777" w:rsidR="00E2668E" w:rsidRPr="00444680" w:rsidRDefault="00E2668E" w:rsidP="0054625A">
      <w:pPr>
        <w:ind w:left="0" w:firstLine="646"/>
        <w:rPr>
          <w:color w:val="1F4E79"/>
          <w:szCs w:val="18"/>
          <w:lang w:eastAsia="es-DO"/>
        </w:rPr>
      </w:pPr>
    </w:p>
    <w:p w14:paraId="72AD30C7" w14:textId="54673BEB" w:rsidR="00E2668E" w:rsidRPr="00FA1EEC" w:rsidRDefault="00134B5F" w:rsidP="0054625A">
      <w:pPr>
        <w:numPr>
          <w:ilvl w:val="0"/>
          <w:numId w:val="10"/>
        </w:numPr>
        <w:ind w:left="284" w:hanging="357"/>
        <w:rPr>
          <w:b/>
          <w:color w:val="1F4E79"/>
          <w:szCs w:val="18"/>
          <w:lang w:eastAsia="es-DO"/>
        </w:rPr>
      </w:pPr>
      <w:r w:rsidRPr="00FA1EEC">
        <w:rPr>
          <w:b/>
          <w:color w:val="1F4E79"/>
          <w:szCs w:val="18"/>
          <w:lang w:eastAsia="es-DO"/>
        </w:rPr>
        <w:t>Otros convenios.</w:t>
      </w:r>
    </w:p>
    <w:p w14:paraId="688EBC88" w14:textId="77777777" w:rsidR="00134B5F" w:rsidRPr="00FA1EEC" w:rsidRDefault="00134B5F" w:rsidP="0054625A">
      <w:pPr>
        <w:ind w:left="0" w:firstLine="646"/>
        <w:rPr>
          <w:color w:val="1F4E79"/>
          <w:szCs w:val="18"/>
          <w:lang w:eastAsia="es-DO"/>
        </w:rPr>
      </w:pPr>
    </w:p>
    <w:p w14:paraId="79354125" w14:textId="59BA7863" w:rsidR="00E2668E" w:rsidRPr="00FA1EEC" w:rsidRDefault="00E2668E" w:rsidP="0054625A">
      <w:pPr>
        <w:ind w:left="0" w:firstLine="646"/>
        <w:rPr>
          <w:color w:val="1F4E79"/>
          <w:szCs w:val="18"/>
          <w:lang w:eastAsia="es-DO"/>
        </w:rPr>
      </w:pPr>
      <w:r w:rsidRPr="00FA1EEC">
        <w:rPr>
          <w:color w:val="1F4E79"/>
          <w:szCs w:val="18"/>
          <w:lang w:eastAsia="es-DO"/>
        </w:rPr>
        <w:t xml:space="preserve">A través de la firma de convenios con diferentes instituciones, el </w:t>
      </w:r>
      <w:r w:rsidR="00207340">
        <w:rPr>
          <w:color w:val="1F4E79"/>
          <w:szCs w:val="18"/>
          <w:lang w:eastAsia="es-DO"/>
        </w:rPr>
        <w:t>FONPER</w:t>
      </w:r>
      <w:r w:rsidRPr="00FA1EEC">
        <w:rPr>
          <w:color w:val="1F4E79"/>
          <w:szCs w:val="18"/>
          <w:lang w:eastAsia="es-DO"/>
        </w:rPr>
        <w:t xml:space="preserve"> invirtió un monto de veinticinco millones cuatrocientos sesenta y un mil, doscientos ochenta y nueve pesos con 37/100 (RD$25,461,289.37), las cuales detallamos a continuación: </w:t>
      </w:r>
    </w:p>
    <w:p w14:paraId="0B111637" w14:textId="77777777" w:rsidR="00E2668E" w:rsidRPr="00FA1EEC" w:rsidRDefault="00E2668E" w:rsidP="0054625A">
      <w:pPr>
        <w:ind w:left="0" w:firstLine="646"/>
        <w:rPr>
          <w:color w:val="1F4E79"/>
          <w:szCs w:val="18"/>
          <w:lang w:eastAsia="es-DO"/>
        </w:rPr>
      </w:pPr>
    </w:p>
    <w:p w14:paraId="298DF381" w14:textId="77777777" w:rsidR="00E2668E" w:rsidRPr="00444680" w:rsidRDefault="00E2668E" w:rsidP="0054625A">
      <w:pPr>
        <w:ind w:left="0" w:firstLine="646"/>
        <w:rPr>
          <w:b/>
          <w:color w:val="1F4E79"/>
          <w:szCs w:val="18"/>
          <w:lang w:eastAsia="es-DO"/>
        </w:rPr>
      </w:pPr>
      <w:r w:rsidRPr="00444680">
        <w:rPr>
          <w:b/>
          <w:color w:val="1F4E79"/>
          <w:szCs w:val="18"/>
          <w:lang w:eastAsia="es-DO"/>
        </w:rPr>
        <w:t>Progresando con Solidaridad.</w:t>
      </w:r>
    </w:p>
    <w:p w14:paraId="45C36631" w14:textId="377F0CA3" w:rsidR="00E2668E" w:rsidRPr="00444680" w:rsidRDefault="00E2668E" w:rsidP="0054625A">
      <w:pPr>
        <w:ind w:left="0" w:firstLine="646"/>
        <w:rPr>
          <w:color w:val="1F4E79"/>
          <w:szCs w:val="18"/>
          <w:lang w:eastAsia="es-DO"/>
        </w:rPr>
      </w:pPr>
      <w:r w:rsidRPr="00444680">
        <w:rPr>
          <w:color w:val="1F4E79"/>
          <w:szCs w:val="18"/>
          <w:lang w:eastAsia="es-DO"/>
        </w:rPr>
        <w:t xml:space="preserve">El </w:t>
      </w:r>
      <w:r w:rsidR="00207340">
        <w:rPr>
          <w:color w:val="1F4E79"/>
          <w:szCs w:val="18"/>
          <w:lang w:eastAsia="es-DO"/>
        </w:rPr>
        <w:t>FONPER</w:t>
      </w:r>
      <w:r w:rsidRPr="00444680">
        <w:rPr>
          <w:color w:val="1F4E79"/>
          <w:szCs w:val="18"/>
          <w:lang w:eastAsia="es-DO"/>
        </w:rPr>
        <w:t xml:space="preserve">, en apoyo a la capacitación e integración para el desarrollo en la ciudad de Santiago, aportó fondos para suplir el local donde opera el Centro de Capacitación Progresando con solidaridad de Santiago, por un monto de </w:t>
      </w:r>
      <w:r w:rsidR="002A4C22">
        <w:rPr>
          <w:color w:val="1F4E79"/>
          <w:szCs w:val="18"/>
          <w:lang w:eastAsia="es-DO"/>
        </w:rPr>
        <w:t xml:space="preserve">ciento cincuenta </w:t>
      </w:r>
      <w:r w:rsidRPr="00444680">
        <w:rPr>
          <w:color w:val="1F4E79"/>
          <w:szCs w:val="18"/>
          <w:lang w:eastAsia="es-DO"/>
        </w:rPr>
        <w:t>mil pesos con 00/100. (RD$</w:t>
      </w:r>
      <w:r w:rsidR="002A4C22">
        <w:rPr>
          <w:color w:val="1F4E79"/>
          <w:szCs w:val="18"/>
          <w:lang w:eastAsia="es-DO"/>
        </w:rPr>
        <w:t>1</w:t>
      </w:r>
      <w:r w:rsidRPr="00444680">
        <w:rPr>
          <w:color w:val="1F4E79"/>
          <w:szCs w:val="18"/>
          <w:lang w:eastAsia="es-DO"/>
        </w:rPr>
        <w:t>5</w:t>
      </w:r>
      <w:r w:rsidR="002A4C22">
        <w:rPr>
          <w:color w:val="1F4E79"/>
          <w:szCs w:val="18"/>
          <w:lang w:eastAsia="es-DO"/>
        </w:rPr>
        <w:t>0</w:t>
      </w:r>
      <w:r w:rsidRPr="00444680">
        <w:rPr>
          <w:color w:val="1F4E79"/>
          <w:szCs w:val="18"/>
          <w:lang w:eastAsia="es-DO"/>
        </w:rPr>
        <w:t>,000.00).</w:t>
      </w:r>
    </w:p>
    <w:p w14:paraId="743446D4" w14:textId="77777777" w:rsidR="00E2668E" w:rsidRPr="00FA1EEC" w:rsidRDefault="00E2668E" w:rsidP="00444680">
      <w:pPr>
        <w:ind w:left="0" w:firstLine="646"/>
        <w:rPr>
          <w:color w:val="1F4E79"/>
          <w:szCs w:val="18"/>
          <w:lang w:eastAsia="es-DO"/>
        </w:rPr>
      </w:pPr>
    </w:p>
    <w:p w14:paraId="148E3BD6" w14:textId="77777777" w:rsidR="00E2668E" w:rsidRPr="00EA1C16" w:rsidRDefault="00E2668E" w:rsidP="00EA1C16">
      <w:pPr>
        <w:ind w:left="0" w:firstLine="646"/>
        <w:rPr>
          <w:b/>
          <w:color w:val="1F4E79"/>
          <w:szCs w:val="18"/>
          <w:lang w:eastAsia="es-DO"/>
        </w:rPr>
      </w:pPr>
      <w:r w:rsidRPr="00EA1C16">
        <w:rPr>
          <w:b/>
          <w:color w:val="1F4E79"/>
          <w:szCs w:val="18"/>
          <w:lang w:eastAsia="es-DO"/>
        </w:rPr>
        <w:t>Arzobispado Metropolitano de Santiago de los Caballeros.</w:t>
      </w:r>
    </w:p>
    <w:p w14:paraId="2F9A4E4B" w14:textId="77777777" w:rsidR="00E2668E" w:rsidRPr="00FA1EEC" w:rsidRDefault="00E2668E" w:rsidP="00EA1C16">
      <w:pPr>
        <w:ind w:left="0" w:firstLine="646"/>
        <w:rPr>
          <w:color w:val="1F4E79"/>
          <w:szCs w:val="18"/>
          <w:lang w:eastAsia="es-DO"/>
        </w:rPr>
      </w:pPr>
      <w:r w:rsidRPr="00FA1EEC">
        <w:rPr>
          <w:color w:val="1F4E79"/>
          <w:szCs w:val="18"/>
          <w:lang w:eastAsia="es-DO"/>
        </w:rPr>
        <w:t xml:space="preserve">Este convenio tiene como finalidad, el equipamiento de la Iglesia de los Santos Médicos Cosme y Damián, por un monto de dos millones de pesos con 00/100 (RD$2,000,000.00). </w:t>
      </w:r>
    </w:p>
    <w:p w14:paraId="4DBA6D02" w14:textId="77777777" w:rsidR="00E2668E" w:rsidRPr="00EA1C16" w:rsidRDefault="00E2668E" w:rsidP="00444680">
      <w:pPr>
        <w:ind w:left="0" w:firstLine="646"/>
        <w:rPr>
          <w:color w:val="1F4E79"/>
          <w:szCs w:val="18"/>
          <w:lang w:eastAsia="es-DO"/>
        </w:rPr>
      </w:pPr>
    </w:p>
    <w:p w14:paraId="03F4D6CC" w14:textId="77777777" w:rsidR="00E2668E" w:rsidRPr="00EA1C16" w:rsidRDefault="00E2668E" w:rsidP="00EA1C16">
      <w:pPr>
        <w:ind w:left="0" w:firstLine="646"/>
        <w:rPr>
          <w:b/>
          <w:color w:val="1F4E79"/>
          <w:szCs w:val="18"/>
          <w:lang w:eastAsia="es-DO"/>
        </w:rPr>
      </w:pPr>
      <w:r w:rsidRPr="00EA1C16">
        <w:rPr>
          <w:b/>
          <w:color w:val="1F4E79"/>
          <w:szCs w:val="18"/>
          <w:lang w:eastAsia="es-DO"/>
        </w:rPr>
        <w:t>Instituto Nacional de la Vivienda (INVI).</w:t>
      </w:r>
    </w:p>
    <w:p w14:paraId="62E10741" w14:textId="50A699F1" w:rsidR="00E2668E" w:rsidRPr="00EA1C16" w:rsidRDefault="00E2668E" w:rsidP="00444680">
      <w:pPr>
        <w:ind w:left="0" w:firstLine="646"/>
        <w:rPr>
          <w:color w:val="1F4E79"/>
          <w:szCs w:val="18"/>
          <w:lang w:eastAsia="es-DO"/>
        </w:rPr>
      </w:pPr>
      <w:r w:rsidRPr="00EA1C16">
        <w:rPr>
          <w:color w:val="1F4E79"/>
          <w:szCs w:val="18"/>
          <w:lang w:eastAsia="es-DO"/>
        </w:rPr>
        <w:t>Convenio de colaboración Ins</w:t>
      </w:r>
      <w:r w:rsidR="00C712E3">
        <w:rPr>
          <w:color w:val="1F4E79"/>
          <w:szCs w:val="18"/>
          <w:lang w:eastAsia="es-DO"/>
        </w:rPr>
        <w:t>titucional, para la reparación ó</w:t>
      </w:r>
      <w:r w:rsidRPr="00EA1C16">
        <w:rPr>
          <w:color w:val="1F4E79"/>
          <w:szCs w:val="18"/>
          <w:lang w:eastAsia="es-DO"/>
        </w:rPr>
        <w:t xml:space="preserve"> construcción de 214 viviendas a personas de escasos recursos, el cual será ejecutado por el INVI y supervisado por el </w:t>
      </w:r>
      <w:r w:rsidR="00207340">
        <w:rPr>
          <w:color w:val="1F4E79"/>
          <w:szCs w:val="18"/>
          <w:lang w:eastAsia="es-DO"/>
        </w:rPr>
        <w:t>FONPER</w:t>
      </w:r>
      <w:r w:rsidRPr="00EA1C16">
        <w:rPr>
          <w:color w:val="1F4E79"/>
          <w:szCs w:val="18"/>
          <w:lang w:eastAsia="es-DO"/>
        </w:rPr>
        <w:t>, en toda la geografía nacional, por un valor de sesenta y cuatro millones treinta mil doscientos veintiocho pesos con 91/100 (RD$64,030,228.91), de los cuales se ha desembolsado la suma de, veintidós millones novecientos treinta y seis mil doscientos ochenta y nueve pesos con 37/100 (RD$22,936,289.37).</w:t>
      </w:r>
    </w:p>
    <w:p w14:paraId="722513F8" w14:textId="77777777" w:rsidR="00551CE5" w:rsidRPr="00FA1EEC" w:rsidRDefault="00551CE5" w:rsidP="0054625A">
      <w:pPr>
        <w:ind w:left="0" w:firstLine="646"/>
        <w:rPr>
          <w:color w:val="1F4E79"/>
          <w:szCs w:val="18"/>
          <w:lang w:eastAsia="es-DO"/>
        </w:rPr>
      </w:pPr>
    </w:p>
    <w:p w14:paraId="75088EFA" w14:textId="42C1BF97" w:rsidR="00E2668E" w:rsidRPr="00FA1EEC" w:rsidRDefault="00E2668E" w:rsidP="0054625A">
      <w:pPr>
        <w:pStyle w:val="Prrafodelista"/>
        <w:numPr>
          <w:ilvl w:val="2"/>
          <w:numId w:val="1"/>
        </w:numPr>
        <w:spacing w:after="0" w:line="360" w:lineRule="auto"/>
        <w:ind w:left="709"/>
        <w:jc w:val="center"/>
        <w:rPr>
          <w:rFonts w:ascii="Gotham Medium" w:hAnsi="Gotham Medium"/>
          <w:b/>
          <w:color w:val="1F4E79"/>
          <w:sz w:val="16"/>
          <w:szCs w:val="16"/>
          <w:lang w:eastAsia="es-DO"/>
        </w:rPr>
      </w:pPr>
      <w:r w:rsidRPr="00FA1EEC">
        <w:rPr>
          <w:rFonts w:ascii="Gotham Medium" w:hAnsi="Gotham Medium"/>
          <w:b/>
          <w:color w:val="1F4E79"/>
          <w:sz w:val="16"/>
          <w:szCs w:val="16"/>
          <w:lang w:eastAsia="es-DO"/>
        </w:rPr>
        <w:t>PROYECTOS DE CONSTRUCCIÓN DE INFRAESTRUCTURA.</w:t>
      </w:r>
    </w:p>
    <w:p w14:paraId="64621111" w14:textId="77777777" w:rsidR="00E2668E" w:rsidRPr="00444680" w:rsidRDefault="00E2668E" w:rsidP="00EA1C16">
      <w:pPr>
        <w:ind w:left="0" w:firstLine="646"/>
        <w:rPr>
          <w:color w:val="1F4E79"/>
          <w:szCs w:val="18"/>
          <w:lang w:eastAsia="es-DO"/>
        </w:rPr>
      </w:pPr>
    </w:p>
    <w:p w14:paraId="2135A9F2" w14:textId="39C2C4F5" w:rsidR="00E2668E" w:rsidRPr="00FA1EEC" w:rsidRDefault="00E2668E" w:rsidP="00EA1C16">
      <w:pPr>
        <w:ind w:left="0" w:firstLine="646"/>
        <w:rPr>
          <w:color w:val="1F4E79"/>
          <w:szCs w:val="18"/>
          <w:lang w:eastAsia="es-DO"/>
        </w:rPr>
      </w:pPr>
      <w:r w:rsidRPr="00FA1EEC">
        <w:rPr>
          <w:color w:val="1F4E79"/>
          <w:szCs w:val="18"/>
          <w:lang w:eastAsia="es-DO"/>
        </w:rPr>
        <w:t xml:space="preserve">A través de la Dirección de Proyectos de Construcciones y Edificaciones, el </w:t>
      </w:r>
      <w:r w:rsidR="00207340">
        <w:rPr>
          <w:color w:val="1F4E79"/>
          <w:szCs w:val="18"/>
          <w:lang w:eastAsia="es-DO"/>
        </w:rPr>
        <w:t>FONPER</w:t>
      </w:r>
      <w:r w:rsidRPr="00FA1EEC">
        <w:rPr>
          <w:color w:val="1F4E79"/>
          <w:szCs w:val="18"/>
          <w:lang w:eastAsia="es-DO"/>
        </w:rPr>
        <w:t xml:space="preserve"> ejecuta proyectos de infraestructura demandados por las comunidades, de tal manera que los mismos garanticen alcanzar los objetivos institucionales en lo referente a impactar y favorecer el desarrollo de las comunidades más necesitadas.  </w:t>
      </w:r>
    </w:p>
    <w:p w14:paraId="22C56A8E" w14:textId="77777777" w:rsidR="00E2668E" w:rsidRPr="00FA1EEC" w:rsidRDefault="00E2668E" w:rsidP="00444680">
      <w:pPr>
        <w:ind w:left="0" w:firstLine="646"/>
        <w:rPr>
          <w:color w:val="1F4E79"/>
          <w:szCs w:val="18"/>
          <w:lang w:eastAsia="es-DO"/>
        </w:rPr>
      </w:pPr>
    </w:p>
    <w:p w14:paraId="5534926E" w14:textId="77777777" w:rsidR="00F164B9" w:rsidRDefault="00E2668E" w:rsidP="00EA1C16">
      <w:pPr>
        <w:ind w:left="0" w:firstLine="646"/>
        <w:rPr>
          <w:color w:val="1F4E79"/>
          <w:szCs w:val="18"/>
          <w:lang w:eastAsia="es-DO"/>
        </w:rPr>
      </w:pPr>
      <w:r w:rsidRPr="00FA1EEC">
        <w:rPr>
          <w:color w:val="1F4E79"/>
          <w:szCs w:val="18"/>
          <w:lang w:eastAsia="es-DO"/>
        </w:rPr>
        <w:t>Para cada caso se realizaron estudios de factibilidad, levantamientos topográficos, confección de planos, cálculos estructurales y presupuestos correspondientes, estudios geotécnicos y de impacto ambiental, así como visitas previas y contacto con las comunidades beneficiadas y coordinación con las instituciones gubernamentales involucradas en cada proyecto, además de la supervisión periódica en cada etapa de su ejecución.</w:t>
      </w:r>
    </w:p>
    <w:p w14:paraId="0A958190" w14:textId="4CC24DEE" w:rsidR="00E2668E" w:rsidRPr="00FA1EEC" w:rsidRDefault="00E2668E" w:rsidP="00EA1C16">
      <w:pPr>
        <w:ind w:left="0" w:firstLine="646"/>
        <w:rPr>
          <w:color w:val="1F4E79"/>
          <w:szCs w:val="18"/>
          <w:lang w:eastAsia="es-DO"/>
        </w:rPr>
      </w:pPr>
      <w:r w:rsidRPr="00FA1EEC">
        <w:rPr>
          <w:color w:val="1F4E79"/>
          <w:szCs w:val="18"/>
          <w:lang w:eastAsia="es-DO"/>
        </w:rPr>
        <w:t xml:space="preserve"> </w:t>
      </w:r>
    </w:p>
    <w:p w14:paraId="79F95FDF" w14:textId="716BBC28" w:rsidR="00E2668E" w:rsidRDefault="00E2668E" w:rsidP="00EA1C16">
      <w:pPr>
        <w:ind w:left="0" w:firstLine="646"/>
        <w:rPr>
          <w:color w:val="1F4E79"/>
          <w:szCs w:val="18"/>
          <w:lang w:eastAsia="es-DO"/>
        </w:rPr>
      </w:pPr>
      <w:r w:rsidRPr="00FA1EEC">
        <w:rPr>
          <w:color w:val="1F4E79"/>
          <w:szCs w:val="18"/>
          <w:lang w:eastAsia="es-DO"/>
        </w:rPr>
        <w:t>Asimismo, cada proyecto es ejecutado cumpliendo con las disposiciones de la Ley No.340-06 sobre Contratación Pública de Bienes, Servicios, Obras y Concesiones y sus modificaciones, así como las normas establecidas por la Dirección General de Compras y Contrataciones.</w:t>
      </w:r>
    </w:p>
    <w:p w14:paraId="216352E7" w14:textId="37065176" w:rsidR="00E2668E" w:rsidRPr="00FA1EEC" w:rsidRDefault="00E2668E" w:rsidP="006F543E">
      <w:pPr>
        <w:ind w:left="0" w:firstLine="646"/>
        <w:rPr>
          <w:color w:val="1F4E79"/>
          <w:szCs w:val="18"/>
          <w:lang w:eastAsia="es-DO"/>
        </w:rPr>
      </w:pPr>
      <w:r w:rsidRPr="00FA1EEC">
        <w:rPr>
          <w:color w:val="1F4E79"/>
          <w:szCs w:val="18"/>
          <w:lang w:eastAsia="es-DO"/>
        </w:rPr>
        <w:t xml:space="preserve">En tal sentido, durante el año 2020 el </w:t>
      </w:r>
      <w:r w:rsidR="00207340">
        <w:rPr>
          <w:color w:val="1F4E79"/>
          <w:szCs w:val="18"/>
          <w:lang w:eastAsia="es-DO"/>
        </w:rPr>
        <w:t>FONPER</w:t>
      </w:r>
      <w:r w:rsidRPr="00FA1EEC">
        <w:rPr>
          <w:color w:val="1F4E79"/>
          <w:szCs w:val="18"/>
          <w:lang w:eastAsia="es-DO"/>
        </w:rPr>
        <w:t xml:space="preserve"> ejecutó un programa de inversión en infraestructura, ascendente a la suma de RD$</w:t>
      </w:r>
      <w:r w:rsidR="0089473B">
        <w:rPr>
          <w:color w:val="1F4E79"/>
          <w:szCs w:val="18"/>
          <w:lang w:eastAsia="es-DO"/>
        </w:rPr>
        <w:t>50</w:t>
      </w:r>
      <w:r w:rsidRPr="00FA1EEC">
        <w:rPr>
          <w:color w:val="1F4E79"/>
          <w:szCs w:val="18"/>
          <w:lang w:eastAsia="es-DO"/>
        </w:rPr>
        <w:t>4,</w:t>
      </w:r>
      <w:r w:rsidR="0089473B">
        <w:rPr>
          <w:color w:val="1F4E79"/>
          <w:szCs w:val="18"/>
          <w:lang w:eastAsia="es-DO"/>
        </w:rPr>
        <w:t>494</w:t>
      </w:r>
      <w:r w:rsidRPr="00FA1EEC">
        <w:rPr>
          <w:color w:val="1F4E79"/>
          <w:szCs w:val="18"/>
          <w:lang w:eastAsia="es-DO"/>
        </w:rPr>
        <w:t>,</w:t>
      </w:r>
      <w:r w:rsidR="0089473B">
        <w:rPr>
          <w:color w:val="1F4E79"/>
          <w:szCs w:val="18"/>
          <w:lang w:eastAsia="es-DO"/>
        </w:rPr>
        <w:t>4</w:t>
      </w:r>
      <w:r w:rsidR="00B7788D">
        <w:rPr>
          <w:color w:val="1F4E79"/>
          <w:szCs w:val="18"/>
          <w:lang w:eastAsia="es-DO"/>
        </w:rPr>
        <w:t>3</w:t>
      </w:r>
      <w:r w:rsidR="0089473B">
        <w:rPr>
          <w:color w:val="1F4E79"/>
          <w:szCs w:val="18"/>
          <w:lang w:eastAsia="es-DO"/>
        </w:rPr>
        <w:t>0</w:t>
      </w:r>
      <w:r w:rsidRPr="00FA1EEC">
        <w:rPr>
          <w:color w:val="1F4E79"/>
          <w:szCs w:val="18"/>
          <w:lang w:eastAsia="es-DO"/>
        </w:rPr>
        <w:t>.</w:t>
      </w:r>
      <w:r w:rsidR="0089473B">
        <w:rPr>
          <w:color w:val="1F4E79"/>
          <w:szCs w:val="18"/>
          <w:lang w:eastAsia="es-DO"/>
        </w:rPr>
        <w:t xml:space="preserve">99 (Quinientos Cuatro </w:t>
      </w:r>
      <w:r w:rsidRPr="00FA1EEC">
        <w:rPr>
          <w:color w:val="1F4E79"/>
          <w:szCs w:val="18"/>
          <w:lang w:eastAsia="es-DO"/>
        </w:rPr>
        <w:t xml:space="preserve">Millones </w:t>
      </w:r>
      <w:r w:rsidR="0089473B">
        <w:rPr>
          <w:color w:val="1F4E79"/>
          <w:szCs w:val="18"/>
          <w:lang w:eastAsia="es-DO"/>
        </w:rPr>
        <w:t xml:space="preserve">Cuatrocientos Noventa y Cuatro Mil Cuatrocientos Treinta </w:t>
      </w:r>
      <w:r w:rsidRPr="00FA1EEC">
        <w:rPr>
          <w:color w:val="1F4E79"/>
          <w:szCs w:val="18"/>
          <w:lang w:eastAsia="es-DO"/>
        </w:rPr>
        <w:t xml:space="preserve">Pesos con </w:t>
      </w:r>
      <w:r w:rsidR="00E22C95">
        <w:rPr>
          <w:color w:val="1F4E79"/>
          <w:szCs w:val="18"/>
          <w:lang w:eastAsia="es-DO"/>
        </w:rPr>
        <w:t>99</w:t>
      </w:r>
      <w:r w:rsidRPr="00FA1EEC">
        <w:rPr>
          <w:color w:val="1F4E79"/>
          <w:szCs w:val="18"/>
          <w:lang w:eastAsia="es-DO"/>
        </w:rPr>
        <w:t>/100), de los cuales, al mes de noviembre, fue desembolsado un monto de RD$288,149,196.41 (Doscientos Ochenta y Ocho Millones Ciento Cuarenta y Nueve Mil Ciento Noventa y Seis Pesos con 41/100), para la ejecución de los proyectos que detallamos a continuación.</w:t>
      </w:r>
    </w:p>
    <w:p w14:paraId="771FB321" w14:textId="77777777" w:rsidR="00E2668E" w:rsidRPr="00FA1EEC" w:rsidRDefault="00E2668E" w:rsidP="006F543E">
      <w:pPr>
        <w:ind w:left="0" w:firstLine="646"/>
        <w:rPr>
          <w:color w:val="1F4E79"/>
          <w:szCs w:val="18"/>
          <w:lang w:eastAsia="es-DO"/>
        </w:rPr>
      </w:pPr>
    </w:p>
    <w:p w14:paraId="1627E171" w14:textId="77777777" w:rsidR="00E2668E" w:rsidRPr="006F543E" w:rsidRDefault="00E2668E" w:rsidP="006F543E">
      <w:pPr>
        <w:ind w:left="0" w:firstLine="646"/>
        <w:rPr>
          <w:b/>
          <w:color w:val="1F4E79"/>
          <w:szCs w:val="18"/>
          <w:u w:val="single"/>
          <w:lang w:eastAsia="es-DO"/>
        </w:rPr>
      </w:pPr>
      <w:r w:rsidRPr="006F543E">
        <w:rPr>
          <w:b/>
          <w:color w:val="1F4E79"/>
          <w:szCs w:val="18"/>
          <w:u w:val="single"/>
          <w:lang w:eastAsia="es-DO"/>
        </w:rPr>
        <w:t>Proyectos de Producción</w:t>
      </w:r>
    </w:p>
    <w:p w14:paraId="119401C0" w14:textId="41E2BC3B" w:rsidR="00E2668E" w:rsidRPr="00EA1C16" w:rsidRDefault="00E2668E" w:rsidP="006F543E">
      <w:pPr>
        <w:ind w:left="0" w:firstLine="646"/>
        <w:rPr>
          <w:color w:val="1F4E79"/>
          <w:szCs w:val="18"/>
          <w:lang w:eastAsia="es-DO"/>
        </w:rPr>
      </w:pPr>
      <w:r w:rsidRPr="00EA1C16">
        <w:rPr>
          <w:color w:val="1F4E79"/>
          <w:szCs w:val="18"/>
          <w:lang w:eastAsia="es-DO"/>
        </w:rPr>
        <w:t xml:space="preserve">Con una inversión presupuestada RD$ </w:t>
      </w:r>
      <w:r w:rsidR="00E22C95">
        <w:rPr>
          <w:color w:val="1F4E79"/>
          <w:szCs w:val="18"/>
          <w:lang w:eastAsia="es-DO"/>
        </w:rPr>
        <w:t>91</w:t>
      </w:r>
      <w:r w:rsidRPr="00EA1C16">
        <w:rPr>
          <w:color w:val="1F4E79"/>
          <w:szCs w:val="18"/>
          <w:lang w:eastAsia="es-DO"/>
        </w:rPr>
        <w:t>,83</w:t>
      </w:r>
      <w:r w:rsidR="00E22C95">
        <w:rPr>
          <w:color w:val="1F4E79"/>
          <w:szCs w:val="18"/>
          <w:lang w:eastAsia="es-DO"/>
        </w:rPr>
        <w:t>0</w:t>
      </w:r>
      <w:r w:rsidRPr="00EA1C16">
        <w:rPr>
          <w:color w:val="1F4E79"/>
          <w:szCs w:val="18"/>
          <w:lang w:eastAsia="es-DO"/>
        </w:rPr>
        <w:t>,</w:t>
      </w:r>
      <w:r w:rsidR="00E22C95">
        <w:rPr>
          <w:color w:val="1F4E79"/>
          <w:szCs w:val="18"/>
          <w:lang w:eastAsia="es-DO"/>
        </w:rPr>
        <w:t>149</w:t>
      </w:r>
      <w:r w:rsidRPr="00EA1C16">
        <w:rPr>
          <w:color w:val="1F4E79"/>
          <w:szCs w:val="18"/>
          <w:lang w:eastAsia="es-DO"/>
        </w:rPr>
        <w:t>.</w:t>
      </w:r>
      <w:r w:rsidR="00E22C95">
        <w:rPr>
          <w:color w:val="1F4E79"/>
          <w:szCs w:val="18"/>
          <w:lang w:eastAsia="es-DO"/>
        </w:rPr>
        <w:t>25</w:t>
      </w:r>
      <w:r w:rsidRPr="00EA1C16">
        <w:rPr>
          <w:color w:val="1F4E79"/>
          <w:szCs w:val="18"/>
          <w:lang w:eastAsia="es-DO"/>
        </w:rPr>
        <w:t>, de lo que fue ejecutado un monto de RD$ 17,</w:t>
      </w:r>
      <w:r w:rsidR="00F05F5D">
        <w:rPr>
          <w:color w:val="1F4E79"/>
          <w:szCs w:val="18"/>
          <w:lang w:eastAsia="es-DO"/>
        </w:rPr>
        <w:t>789</w:t>
      </w:r>
      <w:r w:rsidRPr="00EA1C16">
        <w:rPr>
          <w:color w:val="1F4E79"/>
          <w:szCs w:val="18"/>
          <w:lang w:eastAsia="es-DO"/>
        </w:rPr>
        <w:t>,6</w:t>
      </w:r>
      <w:r w:rsidR="00F05F5D">
        <w:rPr>
          <w:color w:val="1F4E79"/>
          <w:szCs w:val="18"/>
          <w:lang w:eastAsia="es-DO"/>
        </w:rPr>
        <w:t>77</w:t>
      </w:r>
      <w:r w:rsidRPr="00EA1C16">
        <w:rPr>
          <w:color w:val="1F4E79"/>
          <w:szCs w:val="18"/>
          <w:lang w:eastAsia="es-DO"/>
        </w:rPr>
        <w:t>.</w:t>
      </w:r>
      <w:r w:rsidR="00F05F5D">
        <w:rPr>
          <w:color w:val="1F4E79"/>
          <w:szCs w:val="18"/>
          <w:lang w:eastAsia="es-DO"/>
        </w:rPr>
        <w:t>55</w:t>
      </w:r>
      <w:r w:rsidRPr="00EA1C16">
        <w:rPr>
          <w:color w:val="1F4E79"/>
          <w:szCs w:val="18"/>
          <w:lang w:eastAsia="es-DO"/>
        </w:rPr>
        <w:t>, en los siguientes proyectos:</w:t>
      </w:r>
    </w:p>
    <w:p w14:paraId="7613E50F" w14:textId="77777777" w:rsidR="00E2668E" w:rsidRPr="00FA1EEC" w:rsidRDefault="00E2668E" w:rsidP="006F543E">
      <w:pPr>
        <w:ind w:left="0" w:firstLine="646"/>
        <w:rPr>
          <w:color w:val="1F4E79"/>
          <w:szCs w:val="18"/>
          <w:lang w:eastAsia="es-DO"/>
        </w:rPr>
      </w:pPr>
    </w:p>
    <w:p w14:paraId="74476722" w14:textId="77777777" w:rsidR="00E2668E" w:rsidRPr="00FA1EEC" w:rsidRDefault="00E2668E" w:rsidP="006F543E">
      <w:pPr>
        <w:numPr>
          <w:ilvl w:val="0"/>
          <w:numId w:val="3"/>
        </w:numPr>
        <w:ind w:left="426" w:hanging="357"/>
        <w:rPr>
          <w:color w:val="1F4E79"/>
          <w:szCs w:val="18"/>
          <w:lang w:eastAsia="es-DO"/>
        </w:rPr>
      </w:pPr>
      <w:r w:rsidRPr="00FA1EEC">
        <w:rPr>
          <w:color w:val="1F4E79"/>
          <w:szCs w:val="18"/>
          <w:lang w:eastAsia="es-DO"/>
        </w:rPr>
        <w:t>Construcción Panadería y Repostería, Distrito Municipal Sabana Larga, Provincia Elías Piña.  Presupuestado RD$6,995,464.22. Desembolsado RD$ 595,876.94</w:t>
      </w:r>
    </w:p>
    <w:p w14:paraId="724C78C3" w14:textId="77777777" w:rsidR="00E2668E" w:rsidRPr="00FA1EEC" w:rsidRDefault="00E2668E" w:rsidP="006F543E">
      <w:pPr>
        <w:numPr>
          <w:ilvl w:val="0"/>
          <w:numId w:val="3"/>
        </w:numPr>
        <w:ind w:left="426" w:hanging="357"/>
        <w:rPr>
          <w:color w:val="1F4E79"/>
          <w:szCs w:val="18"/>
          <w:lang w:eastAsia="es-DO"/>
        </w:rPr>
      </w:pPr>
      <w:r w:rsidRPr="00FA1EEC">
        <w:rPr>
          <w:color w:val="1F4E79"/>
          <w:szCs w:val="18"/>
          <w:lang w:eastAsia="es-DO"/>
        </w:rPr>
        <w:t>Construcción Panadería Repostería La Cumbre, Provincia Santiago.</w:t>
      </w:r>
    </w:p>
    <w:p w14:paraId="7AC1C2F4" w14:textId="77777777" w:rsidR="00E2668E" w:rsidRPr="00FA1EEC" w:rsidRDefault="00E2668E" w:rsidP="00C712E3">
      <w:pPr>
        <w:ind w:left="426"/>
        <w:rPr>
          <w:color w:val="1F4E79"/>
          <w:szCs w:val="18"/>
          <w:lang w:eastAsia="es-DO"/>
        </w:rPr>
      </w:pPr>
      <w:r w:rsidRPr="00FA1EEC">
        <w:rPr>
          <w:color w:val="1F4E79"/>
          <w:szCs w:val="18"/>
          <w:lang w:eastAsia="es-DO"/>
        </w:rPr>
        <w:t>Presupuestado RD$9,120,882.05, Desembolsado RD$1,792,845.31.</w:t>
      </w:r>
    </w:p>
    <w:p w14:paraId="7660FD0E" w14:textId="77777777" w:rsidR="00E2668E" w:rsidRPr="00FA1EEC" w:rsidRDefault="00E2668E" w:rsidP="006F543E">
      <w:pPr>
        <w:numPr>
          <w:ilvl w:val="0"/>
          <w:numId w:val="3"/>
        </w:numPr>
        <w:ind w:left="426" w:hanging="357"/>
        <w:rPr>
          <w:color w:val="1F4E79"/>
          <w:szCs w:val="18"/>
          <w:lang w:eastAsia="es-DO"/>
        </w:rPr>
      </w:pPr>
      <w:r w:rsidRPr="00FA1EEC">
        <w:rPr>
          <w:color w:val="1F4E79"/>
          <w:szCs w:val="18"/>
          <w:lang w:eastAsia="es-DO"/>
        </w:rPr>
        <w:t>Construcción de Centro de Confección Textil, La Cumbre, Provincia Santiago. Presupuestado RD$11,321,592.55, Monto Desembolsado RD$2,417,845.80</w:t>
      </w:r>
    </w:p>
    <w:p w14:paraId="01D8EA04" w14:textId="77777777" w:rsidR="00E2668E" w:rsidRPr="00FA1EEC" w:rsidRDefault="00E2668E" w:rsidP="006F543E">
      <w:pPr>
        <w:numPr>
          <w:ilvl w:val="0"/>
          <w:numId w:val="3"/>
        </w:numPr>
        <w:ind w:left="426" w:hanging="357"/>
        <w:rPr>
          <w:color w:val="1F4E79"/>
          <w:szCs w:val="18"/>
          <w:lang w:eastAsia="es-DO"/>
        </w:rPr>
      </w:pPr>
      <w:r w:rsidRPr="00FA1EEC">
        <w:rPr>
          <w:color w:val="1F4E79"/>
          <w:szCs w:val="18"/>
          <w:lang w:eastAsia="es-DO"/>
        </w:rPr>
        <w:t>Construcción Centro de Confección Textil, Pedro García, Santiago.</w:t>
      </w:r>
    </w:p>
    <w:p w14:paraId="79964C87" w14:textId="77777777" w:rsidR="00E2668E" w:rsidRPr="00FA1EEC" w:rsidRDefault="00E2668E" w:rsidP="00C712E3">
      <w:pPr>
        <w:ind w:left="426"/>
        <w:rPr>
          <w:color w:val="1F4E79"/>
          <w:szCs w:val="18"/>
          <w:lang w:eastAsia="es-DO"/>
        </w:rPr>
      </w:pPr>
      <w:r w:rsidRPr="00FA1EEC">
        <w:rPr>
          <w:color w:val="1F4E79"/>
          <w:szCs w:val="18"/>
          <w:lang w:eastAsia="es-DO"/>
        </w:rPr>
        <w:t>Presupuestado RD$8,064,749.07.  Desembolsado RD$ 1,643,760.77.</w:t>
      </w:r>
    </w:p>
    <w:p w14:paraId="1602D647" w14:textId="77777777" w:rsidR="00E2668E" w:rsidRPr="00FA1EEC" w:rsidRDefault="00E2668E" w:rsidP="006F543E">
      <w:pPr>
        <w:numPr>
          <w:ilvl w:val="0"/>
          <w:numId w:val="3"/>
        </w:numPr>
        <w:ind w:left="426" w:hanging="357"/>
        <w:rPr>
          <w:color w:val="1F4E79"/>
          <w:szCs w:val="18"/>
          <w:lang w:eastAsia="es-DO"/>
        </w:rPr>
      </w:pPr>
      <w:r w:rsidRPr="00FA1EEC">
        <w:rPr>
          <w:color w:val="1F4E79"/>
          <w:szCs w:val="18"/>
          <w:lang w:eastAsia="es-DO"/>
        </w:rPr>
        <w:t>Construcción Panadería y Repostería, en el Municipio Tábara Arriba, Provincia de Azua, Presupuestado RD$8,136,399.75. Desembolsado RD$1,357,207.52.</w:t>
      </w:r>
    </w:p>
    <w:p w14:paraId="05E31652" w14:textId="77777777" w:rsidR="00E2668E" w:rsidRPr="00FA1EEC" w:rsidRDefault="00E2668E" w:rsidP="006F543E">
      <w:pPr>
        <w:numPr>
          <w:ilvl w:val="0"/>
          <w:numId w:val="3"/>
        </w:numPr>
        <w:ind w:left="426" w:hanging="357"/>
        <w:rPr>
          <w:color w:val="1F4E79"/>
          <w:szCs w:val="18"/>
          <w:lang w:eastAsia="es-DO"/>
        </w:rPr>
      </w:pPr>
      <w:r w:rsidRPr="00FA1EEC">
        <w:rPr>
          <w:color w:val="1F4E79"/>
          <w:szCs w:val="18"/>
          <w:lang w:eastAsia="es-DO"/>
        </w:rPr>
        <w:t>Construcción y Equipamiento de Panadería Repostería, La Leonor, Provincia Santiago Rodríguez. Presupuestado RD$9,219,799.01 Desembolsado RD$1,762,344.18.</w:t>
      </w:r>
    </w:p>
    <w:p w14:paraId="73DC07ED" w14:textId="77777777" w:rsidR="00E2668E" w:rsidRPr="00FA1EEC" w:rsidRDefault="00E2668E" w:rsidP="006F543E">
      <w:pPr>
        <w:numPr>
          <w:ilvl w:val="0"/>
          <w:numId w:val="3"/>
        </w:numPr>
        <w:ind w:left="426" w:hanging="357"/>
        <w:rPr>
          <w:color w:val="1F4E79"/>
          <w:szCs w:val="18"/>
          <w:lang w:eastAsia="es-DO"/>
        </w:rPr>
      </w:pPr>
      <w:r w:rsidRPr="00FA1EEC">
        <w:rPr>
          <w:color w:val="1F4E79"/>
          <w:szCs w:val="18"/>
          <w:lang w:eastAsia="es-DO"/>
        </w:rPr>
        <w:t>Construcción de Panadería Repostería y Salón Multiuso La Buena Esperanza, Municipio El Pino, Provincia Dajabón, Presupuestado RD$11,812,544.31, Desembolsado RD$2,257,548.00.</w:t>
      </w:r>
    </w:p>
    <w:p w14:paraId="5B28FB84" w14:textId="77777777" w:rsidR="00E2668E" w:rsidRPr="00FA1EEC" w:rsidRDefault="00E2668E" w:rsidP="006F543E">
      <w:pPr>
        <w:numPr>
          <w:ilvl w:val="0"/>
          <w:numId w:val="3"/>
        </w:numPr>
        <w:ind w:left="426" w:hanging="357"/>
        <w:rPr>
          <w:color w:val="1F4E79"/>
          <w:szCs w:val="18"/>
          <w:lang w:eastAsia="es-DO"/>
        </w:rPr>
      </w:pPr>
      <w:r w:rsidRPr="00FA1EEC">
        <w:rPr>
          <w:color w:val="1F4E79"/>
          <w:szCs w:val="18"/>
          <w:lang w:eastAsia="es-DO"/>
        </w:rPr>
        <w:t>Construcción y equipamiento de Panadería Repostería Carrera de Yeguas, Municipio las Matas de Farfán, Provincia San Juan. Presupuestado RD$9,582,954.33, Desembolsado RD$3,607,521.09.</w:t>
      </w:r>
    </w:p>
    <w:p w14:paraId="4E45F0DC" w14:textId="77777777" w:rsidR="00E2668E" w:rsidRPr="00FA1EEC" w:rsidRDefault="00E2668E" w:rsidP="006F543E">
      <w:pPr>
        <w:numPr>
          <w:ilvl w:val="0"/>
          <w:numId w:val="3"/>
        </w:numPr>
        <w:ind w:left="426" w:hanging="357"/>
        <w:rPr>
          <w:color w:val="1F4E79"/>
          <w:szCs w:val="18"/>
          <w:lang w:eastAsia="es-DO"/>
        </w:rPr>
      </w:pPr>
      <w:r w:rsidRPr="00FA1EEC">
        <w:rPr>
          <w:color w:val="1F4E79"/>
          <w:szCs w:val="18"/>
          <w:lang w:eastAsia="es-DO"/>
        </w:rPr>
        <w:t>Construcción de Panadería Repostería. Villa Carmen, Municipio las Matas, Provincia San Juan. Presupuestado RD$8,581,643.03, Desembolsado RD$1,640,362.07.</w:t>
      </w:r>
    </w:p>
    <w:p w14:paraId="6C361610" w14:textId="77777777" w:rsidR="00E2668E" w:rsidRPr="00FA1EEC" w:rsidRDefault="00E2668E" w:rsidP="006F543E">
      <w:pPr>
        <w:numPr>
          <w:ilvl w:val="0"/>
          <w:numId w:val="3"/>
        </w:numPr>
        <w:ind w:left="426" w:hanging="357"/>
        <w:rPr>
          <w:color w:val="1F4E79"/>
          <w:szCs w:val="18"/>
          <w:lang w:eastAsia="es-DO"/>
        </w:rPr>
      </w:pPr>
      <w:r w:rsidRPr="00FA1EEC">
        <w:rPr>
          <w:color w:val="1F4E79"/>
          <w:szCs w:val="18"/>
          <w:lang w:eastAsia="es-DO"/>
        </w:rPr>
        <w:t>Construcción Panadería Repostería MI ESFUERZO, Santiago de los Caballeros.  Presupuestado RD$8,994,120.93 Desembolsado RD$714,365.87.</w:t>
      </w:r>
    </w:p>
    <w:p w14:paraId="078E7AA9" w14:textId="77777777" w:rsidR="00E2668E" w:rsidRPr="00910010" w:rsidRDefault="00E2668E" w:rsidP="00910010">
      <w:pPr>
        <w:ind w:left="1003"/>
        <w:rPr>
          <w:color w:val="1F4E79"/>
          <w:szCs w:val="18"/>
          <w:lang w:eastAsia="es-DO"/>
        </w:rPr>
      </w:pPr>
    </w:p>
    <w:p w14:paraId="00045846" w14:textId="77777777" w:rsidR="00E2668E" w:rsidRPr="00910010" w:rsidRDefault="00E2668E" w:rsidP="00EA1C16">
      <w:pPr>
        <w:ind w:left="0" w:firstLine="646"/>
        <w:rPr>
          <w:b/>
          <w:color w:val="1F4E79"/>
          <w:szCs w:val="18"/>
          <w:u w:val="single"/>
          <w:lang w:eastAsia="es-DO"/>
        </w:rPr>
      </w:pPr>
      <w:r w:rsidRPr="00910010">
        <w:rPr>
          <w:b/>
          <w:color w:val="1F4E79"/>
          <w:szCs w:val="18"/>
          <w:u w:val="single"/>
          <w:lang w:eastAsia="es-DO"/>
        </w:rPr>
        <w:t>Proyectos Seguridad Ciudadana</w:t>
      </w:r>
    </w:p>
    <w:p w14:paraId="4608A7D7" w14:textId="5BB7ECA4" w:rsidR="00E2668E" w:rsidRPr="00FA1EEC" w:rsidRDefault="00E2668E" w:rsidP="00EA1C16">
      <w:pPr>
        <w:ind w:left="0" w:firstLine="646"/>
        <w:rPr>
          <w:color w:val="1F4E79"/>
          <w:szCs w:val="18"/>
          <w:lang w:eastAsia="es-DO"/>
        </w:rPr>
      </w:pPr>
      <w:r w:rsidRPr="00FA1EEC">
        <w:rPr>
          <w:color w:val="1F4E79"/>
          <w:szCs w:val="18"/>
          <w:lang w:eastAsia="es-DO"/>
        </w:rPr>
        <w:t>Con una inversión presupuestada de RD$10,619,234.00, de lo que fue ejecutado un monto de RD$ 2,765,013.00 en los siguientes proyectos:</w:t>
      </w:r>
    </w:p>
    <w:p w14:paraId="11C57B0A" w14:textId="77777777" w:rsidR="00E2668E" w:rsidRPr="00FA1EEC" w:rsidRDefault="00E2668E" w:rsidP="00910010">
      <w:pPr>
        <w:ind w:left="1003"/>
        <w:rPr>
          <w:color w:val="1F4E79"/>
          <w:szCs w:val="18"/>
          <w:lang w:eastAsia="es-DO"/>
        </w:rPr>
      </w:pPr>
    </w:p>
    <w:p w14:paraId="551BBC32" w14:textId="77777777" w:rsidR="00E2668E" w:rsidRPr="00FA1EEC" w:rsidRDefault="00E2668E" w:rsidP="00910010">
      <w:pPr>
        <w:numPr>
          <w:ilvl w:val="0"/>
          <w:numId w:val="3"/>
        </w:numPr>
        <w:ind w:left="426" w:hanging="357"/>
        <w:rPr>
          <w:color w:val="1F4E79"/>
          <w:szCs w:val="18"/>
          <w:lang w:eastAsia="es-DO"/>
        </w:rPr>
      </w:pPr>
      <w:r w:rsidRPr="00FA1EEC">
        <w:rPr>
          <w:color w:val="1F4E79"/>
          <w:szCs w:val="18"/>
          <w:lang w:eastAsia="es-DO"/>
        </w:rPr>
        <w:t>Construcción de un (1) Destacamento Policial en el Distrito Municipal Quita Coraza, Provincia Barahona. Presupuestado RD$4,776,919.80, Desembolsado RD$147,202.01.</w:t>
      </w:r>
    </w:p>
    <w:p w14:paraId="240FA2E2" w14:textId="77777777" w:rsidR="00E2668E" w:rsidRPr="00FA1EEC" w:rsidRDefault="00E2668E" w:rsidP="00910010">
      <w:pPr>
        <w:numPr>
          <w:ilvl w:val="0"/>
          <w:numId w:val="3"/>
        </w:numPr>
        <w:ind w:left="426" w:hanging="357"/>
        <w:rPr>
          <w:color w:val="1F4E79"/>
          <w:szCs w:val="18"/>
          <w:lang w:eastAsia="es-DO"/>
        </w:rPr>
      </w:pPr>
      <w:r w:rsidRPr="00FA1EEC">
        <w:rPr>
          <w:color w:val="1F4E79"/>
          <w:szCs w:val="18"/>
          <w:lang w:eastAsia="es-DO"/>
        </w:rPr>
        <w:t>Construcción de un (1) Destacamento Policial en el Distrito Municipal La Cumbre, Provincia Santiago: Presupuestado RD$5,842,314.20, Desembolsado RD$2,617,810.99.</w:t>
      </w:r>
    </w:p>
    <w:p w14:paraId="5DCE355C" w14:textId="77777777" w:rsidR="00663B7E" w:rsidRDefault="00663B7E" w:rsidP="00EA1C16">
      <w:pPr>
        <w:ind w:left="0" w:firstLine="646"/>
        <w:rPr>
          <w:b/>
          <w:color w:val="1F4E79"/>
          <w:szCs w:val="18"/>
          <w:u w:val="single"/>
          <w:lang w:eastAsia="es-DO"/>
        </w:rPr>
      </w:pPr>
    </w:p>
    <w:p w14:paraId="49F68494" w14:textId="6B81635F" w:rsidR="00E2668E" w:rsidRPr="00702DDD" w:rsidRDefault="00E2668E" w:rsidP="00EA1C16">
      <w:pPr>
        <w:ind w:left="0" w:firstLine="646"/>
        <w:rPr>
          <w:b/>
          <w:color w:val="1F4E79"/>
          <w:szCs w:val="18"/>
          <w:u w:val="single"/>
          <w:lang w:eastAsia="es-DO"/>
        </w:rPr>
      </w:pPr>
      <w:r w:rsidRPr="00702DDD">
        <w:rPr>
          <w:b/>
          <w:color w:val="1F4E79"/>
          <w:szCs w:val="18"/>
          <w:u w:val="single"/>
          <w:lang w:eastAsia="es-DO"/>
        </w:rPr>
        <w:t>Proyectos Deportivos</w:t>
      </w:r>
    </w:p>
    <w:p w14:paraId="37F79A56" w14:textId="23E543E8" w:rsidR="00E2668E" w:rsidRPr="00910010" w:rsidRDefault="00E2668E" w:rsidP="00EA1C16">
      <w:pPr>
        <w:ind w:left="0" w:firstLine="646"/>
        <w:rPr>
          <w:color w:val="1F4E79"/>
          <w:szCs w:val="18"/>
          <w:lang w:eastAsia="es-DO"/>
        </w:rPr>
      </w:pPr>
      <w:r w:rsidRPr="00910010">
        <w:rPr>
          <w:color w:val="1F4E79"/>
          <w:szCs w:val="18"/>
          <w:lang w:eastAsia="es-DO"/>
        </w:rPr>
        <w:t>Con una inversión presupuestada de RD$46,414,182.32, de lo que fue ejecutado un monto de RD$ 14,384,480.27 en los siguientes proyectos:</w:t>
      </w:r>
    </w:p>
    <w:p w14:paraId="30E89A07" w14:textId="77777777" w:rsidR="00E2668E" w:rsidRPr="00910010" w:rsidRDefault="00E2668E" w:rsidP="00702DDD">
      <w:pPr>
        <w:ind w:left="1004"/>
        <w:rPr>
          <w:color w:val="1F4E79"/>
          <w:szCs w:val="18"/>
          <w:lang w:eastAsia="es-DO"/>
        </w:rPr>
      </w:pPr>
    </w:p>
    <w:p w14:paraId="6669CEA4" w14:textId="77777777" w:rsidR="00E2668E" w:rsidRPr="00FA1EEC" w:rsidRDefault="00E2668E" w:rsidP="00910010">
      <w:pPr>
        <w:numPr>
          <w:ilvl w:val="0"/>
          <w:numId w:val="3"/>
        </w:numPr>
        <w:ind w:left="426" w:hanging="357"/>
        <w:rPr>
          <w:color w:val="1F4E79"/>
          <w:szCs w:val="18"/>
          <w:lang w:eastAsia="es-DO"/>
        </w:rPr>
      </w:pPr>
      <w:r w:rsidRPr="00FA1EEC">
        <w:rPr>
          <w:color w:val="1F4E79"/>
          <w:szCs w:val="18"/>
          <w:lang w:eastAsia="es-DO"/>
        </w:rPr>
        <w:t>Construcción Play de Baseball, Sector la Emboscada, Provincia Santiago. Presupuestado RD$19,392,647.66, Desembolsado RD$3,395,982.52.</w:t>
      </w:r>
    </w:p>
    <w:p w14:paraId="04294A17" w14:textId="77777777" w:rsidR="00E2668E" w:rsidRPr="00FA1EEC" w:rsidRDefault="00E2668E" w:rsidP="00702DDD">
      <w:pPr>
        <w:numPr>
          <w:ilvl w:val="0"/>
          <w:numId w:val="3"/>
        </w:numPr>
        <w:ind w:left="425" w:hanging="357"/>
        <w:rPr>
          <w:color w:val="1F4E79"/>
          <w:szCs w:val="18"/>
          <w:lang w:eastAsia="es-DO"/>
        </w:rPr>
      </w:pPr>
      <w:r w:rsidRPr="00FA1EEC">
        <w:rPr>
          <w:color w:val="1F4E79"/>
          <w:szCs w:val="18"/>
          <w:lang w:eastAsia="es-DO"/>
        </w:rPr>
        <w:t>Construcción Cancha Deportiva El Caimito, Provincia Moca. Presupuestado RD$6,301,831.19, Desembolsado RD$ 1,783,864.16.</w:t>
      </w:r>
    </w:p>
    <w:p w14:paraId="3F0C0609" w14:textId="77777777" w:rsidR="00E2668E" w:rsidRPr="00FA1EEC" w:rsidRDefault="00E2668E" w:rsidP="00910010">
      <w:pPr>
        <w:numPr>
          <w:ilvl w:val="0"/>
          <w:numId w:val="3"/>
        </w:numPr>
        <w:ind w:left="426" w:hanging="357"/>
        <w:rPr>
          <w:color w:val="1F4E79"/>
          <w:szCs w:val="18"/>
          <w:lang w:eastAsia="es-DO"/>
        </w:rPr>
      </w:pPr>
      <w:r w:rsidRPr="00FA1EEC">
        <w:rPr>
          <w:color w:val="1F4E79"/>
          <w:szCs w:val="18"/>
          <w:lang w:eastAsia="es-DO"/>
        </w:rPr>
        <w:t>Construcción Play de Baseball Mambuiche, Sector Gurabo, Provincia Santiago. Presupuestado RD$ 19,144,863.21, Desembolsado RD$7,826,492.64.</w:t>
      </w:r>
    </w:p>
    <w:p w14:paraId="4B504B27" w14:textId="77777777" w:rsidR="00E2668E" w:rsidRPr="00FA1EEC" w:rsidRDefault="00E2668E" w:rsidP="00910010">
      <w:pPr>
        <w:numPr>
          <w:ilvl w:val="0"/>
          <w:numId w:val="3"/>
        </w:numPr>
        <w:ind w:left="426" w:hanging="357"/>
        <w:rPr>
          <w:color w:val="1F4E79"/>
          <w:szCs w:val="18"/>
          <w:lang w:eastAsia="es-DO"/>
        </w:rPr>
      </w:pPr>
      <w:r w:rsidRPr="00FA1EEC">
        <w:rPr>
          <w:color w:val="1F4E79"/>
          <w:szCs w:val="18"/>
          <w:lang w:eastAsia="es-DO"/>
        </w:rPr>
        <w:t>Construcción de Verja perimetral y Reparación Cancha Club Deportivo Nuevos Horizontes, El Ejido, Provincia Santiago. Presupuestado RD$1,574,840.26, Desembolsado RD$1,378,140.95.</w:t>
      </w:r>
    </w:p>
    <w:p w14:paraId="3A5F56BA" w14:textId="77777777" w:rsidR="00E2668E" w:rsidRPr="00910010" w:rsidRDefault="00E2668E" w:rsidP="00702DDD">
      <w:pPr>
        <w:ind w:left="1004"/>
        <w:rPr>
          <w:color w:val="1F4E79"/>
          <w:szCs w:val="18"/>
          <w:lang w:eastAsia="es-DO"/>
        </w:rPr>
      </w:pPr>
    </w:p>
    <w:p w14:paraId="768EDE3B" w14:textId="77777777" w:rsidR="00E2668E" w:rsidRPr="00702DDD" w:rsidRDefault="00E2668E" w:rsidP="00EA1C16">
      <w:pPr>
        <w:ind w:left="0" w:firstLine="646"/>
        <w:rPr>
          <w:b/>
          <w:color w:val="1F4E79"/>
          <w:szCs w:val="18"/>
          <w:u w:val="single"/>
          <w:lang w:eastAsia="es-DO"/>
        </w:rPr>
      </w:pPr>
      <w:r w:rsidRPr="00702DDD">
        <w:rPr>
          <w:b/>
          <w:color w:val="1F4E79"/>
          <w:szCs w:val="18"/>
          <w:u w:val="single"/>
          <w:lang w:eastAsia="es-DO"/>
        </w:rPr>
        <w:t>Proyectos de Construcción de Viviendas Económicas.</w:t>
      </w:r>
    </w:p>
    <w:p w14:paraId="60A95833" w14:textId="4A7F9C92" w:rsidR="00E2668E" w:rsidRPr="00EA1C16" w:rsidRDefault="00E2668E" w:rsidP="00702DDD">
      <w:pPr>
        <w:ind w:left="0" w:firstLine="646"/>
        <w:rPr>
          <w:color w:val="1F4E79"/>
          <w:szCs w:val="18"/>
          <w:lang w:eastAsia="es-DO"/>
        </w:rPr>
      </w:pPr>
      <w:r w:rsidRPr="00EA1C16">
        <w:rPr>
          <w:color w:val="1F4E79"/>
          <w:szCs w:val="18"/>
          <w:lang w:eastAsia="es-DO"/>
        </w:rPr>
        <w:t xml:space="preserve">El </w:t>
      </w:r>
      <w:r w:rsidR="00207340">
        <w:rPr>
          <w:color w:val="1F4E79"/>
          <w:szCs w:val="18"/>
          <w:lang w:eastAsia="es-DO"/>
        </w:rPr>
        <w:t>FONPER</w:t>
      </w:r>
      <w:r w:rsidRPr="00EA1C16">
        <w:rPr>
          <w:color w:val="1F4E79"/>
          <w:szCs w:val="18"/>
          <w:lang w:eastAsia="es-DO"/>
        </w:rPr>
        <w:t>, en apoyo a las metas presidenciales de reducir el déficit habitacional existente en el país y de lograr que las familias dominicanas de más bajos ingresos puedan tener un techo digno, emprendió un programa que incluye varios proyectos de construcción de viviendas económicas en</w:t>
      </w:r>
      <w:r w:rsidR="00B7788D">
        <w:rPr>
          <w:color w:val="1F4E79"/>
          <w:szCs w:val="18"/>
          <w:lang w:eastAsia="es-DO"/>
        </w:rPr>
        <w:t xml:space="preserve"> diferentes regiones del país, </w:t>
      </w:r>
      <w:r w:rsidRPr="00EA1C16">
        <w:rPr>
          <w:color w:val="1F4E79"/>
          <w:szCs w:val="18"/>
          <w:lang w:eastAsia="es-DO"/>
        </w:rPr>
        <w:t>con un monto presupuestado de RD$304,023,644.20, del cual fue ejecutado en este año un monto de RD$233,565,397.58</w:t>
      </w:r>
      <w:r w:rsidR="00910010" w:rsidRPr="00EA1C16">
        <w:rPr>
          <w:color w:val="1F4E79"/>
          <w:szCs w:val="18"/>
          <w:lang w:eastAsia="es-DO"/>
        </w:rPr>
        <w:t xml:space="preserve"> y los cuales detallamos a continuación:</w:t>
      </w:r>
    </w:p>
    <w:p w14:paraId="2DE0902C" w14:textId="5A2C24A1" w:rsidR="00415884" w:rsidRDefault="00415884" w:rsidP="00EA1C16">
      <w:pPr>
        <w:ind w:left="1004"/>
        <w:rPr>
          <w:color w:val="1F4E79"/>
          <w:szCs w:val="18"/>
          <w:lang w:eastAsia="es-DO"/>
        </w:rPr>
      </w:pPr>
    </w:p>
    <w:p w14:paraId="13A9B239" w14:textId="4359D85A" w:rsidR="00E2668E" w:rsidRPr="00910010" w:rsidRDefault="00E2668E" w:rsidP="00EA1C16">
      <w:pPr>
        <w:pStyle w:val="Prrafodelista"/>
        <w:numPr>
          <w:ilvl w:val="0"/>
          <w:numId w:val="27"/>
        </w:numPr>
        <w:ind w:left="425" w:hanging="357"/>
        <w:rPr>
          <w:b/>
          <w:color w:val="1F4E79"/>
          <w:szCs w:val="18"/>
          <w:lang w:eastAsia="es-DO"/>
        </w:rPr>
      </w:pPr>
      <w:r w:rsidRPr="00910010">
        <w:rPr>
          <w:b/>
          <w:color w:val="1F4E79"/>
          <w:szCs w:val="18"/>
          <w:lang w:eastAsia="es-DO"/>
        </w:rPr>
        <w:t>Sorteos de 390 Viviendas para ser construidas en Diferentes Sectores de la Provincia San Juan, distribuidas en 26 lotes de 15 viviendas c/u.</w:t>
      </w:r>
    </w:p>
    <w:p w14:paraId="43BD6FBF" w14:textId="620BF378" w:rsidR="00E2668E" w:rsidRPr="0015147E" w:rsidRDefault="00E2668E" w:rsidP="00F164B9">
      <w:pPr>
        <w:ind w:left="0" w:firstLine="646"/>
        <w:rPr>
          <w:color w:val="1F4E79"/>
          <w:szCs w:val="18"/>
          <w:lang w:eastAsia="es-DO"/>
        </w:rPr>
      </w:pPr>
      <w:r w:rsidRPr="00FA1EEC">
        <w:rPr>
          <w:color w:val="1F4E79"/>
          <w:szCs w:val="18"/>
          <w:lang w:eastAsia="es-DO"/>
        </w:rPr>
        <w:t>En ese sentido, fueron construidas un total de 390 viviendas económicas en diferentes sectores de la comunidad de San Juan de la Maguana, distribuidas en 26 lotes de 15 viviendas cada uno, con un Total Presupuestado de RD$258,617,960.23,</w:t>
      </w:r>
      <w:r w:rsidR="00F6103B" w:rsidRPr="00FA1EEC">
        <w:rPr>
          <w:color w:val="1F4E79"/>
          <w:szCs w:val="18"/>
          <w:lang w:eastAsia="es-DO"/>
        </w:rPr>
        <w:t xml:space="preserve"> </w:t>
      </w:r>
      <w:r w:rsidRPr="00FA1EEC">
        <w:rPr>
          <w:color w:val="1F4E79"/>
          <w:szCs w:val="18"/>
          <w:lang w:eastAsia="es-DO"/>
        </w:rPr>
        <w:t xml:space="preserve">y un monto desembolsado en este año de RD$207,588,480.64, según detallamos a continuación: </w:t>
      </w:r>
    </w:p>
    <w:p w14:paraId="5574B991" w14:textId="77777777" w:rsidR="00E2668E" w:rsidRPr="00FA1EEC" w:rsidRDefault="00E2668E" w:rsidP="00EA1C16">
      <w:pPr>
        <w:numPr>
          <w:ilvl w:val="0"/>
          <w:numId w:val="3"/>
        </w:numPr>
        <w:ind w:left="426" w:hanging="357"/>
        <w:rPr>
          <w:color w:val="1F4E79"/>
          <w:szCs w:val="18"/>
          <w:lang w:eastAsia="es-DO"/>
        </w:rPr>
      </w:pPr>
      <w:r w:rsidRPr="00FA1EEC">
        <w:rPr>
          <w:color w:val="1F4E79"/>
          <w:szCs w:val="18"/>
          <w:lang w:eastAsia="es-DO"/>
        </w:rPr>
        <w:t>Construcción de 50 viviendas económicas en Mogollón, Municipio San Juan de la Maguana, provincia San Juan.</w:t>
      </w:r>
    </w:p>
    <w:p w14:paraId="79FFDEF1" w14:textId="77777777" w:rsidR="00E2668E" w:rsidRPr="00FA1EEC" w:rsidRDefault="00E2668E" w:rsidP="00EA1C16">
      <w:pPr>
        <w:numPr>
          <w:ilvl w:val="0"/>
          <w:numId w:val="3"/>
        </w:numPr>
        <w:ind w:left="426" w:hanging="357"/>
        <w:rPr>
          <w:color w:val="1F4E79"/>
          <w:szCs w:val="18"/>
          <w:lang w:eastAsia="es-DO"/>
        </w:rPr>
      </w:pPr>
      <w:r w:rsidRPr="00FA1EEC">
        <w:rPr>
          <w:color w:val="1F4E79"/>
          <w:szCs w:val="18"/>
          <w:lang w:eastAsia="es-DO"/>
        </w:rPr>
        <w:t>Construcción de 41 viviendas económicas en María Dionicio, Municipio San Juan de la Maguana, provincia San Juan.</w:t>
      </w:r>
    </w:p>
    <w:p w14:paraId="6818B9A3" w14:textId="77777777" w:rsidR="00E2668E" w:rsidRPr="00FA1EEC" w:rsidRDefault="00E2668E" w:rsidP="00EA1C16">
      <w:pPr>
        <w:numPr>
          <w:ilvl w:val="0"/>
          <w:numId w:val="3"/>
        </w:numPr>
        <w:ind w:left="426" w:hanging="357"/>
        <w:rPr>
          <w:color w:val="1F4E79"/>
          <w:szCs w:val="18"/>
          <w:lang w:eastAsia="es-DO"/>
        </w:rPr>
      </w:pPr>
      <w:r w:rsidRPr="00FA1EEC">
        <w:rPr>
          <w:color w:val="1F4E79"/>
          <w:szCs w:val="18"/>
          <w:lang w:eastAsia="es-DO"/>
        </w:rPr>
        <w:t>Construcción de 30 viviendas económicas en La Ciénega, Municipio San Juan de la Maguana, provincia San Juan.</w:t>
      </w:r>
    </w:p>
    <w:p w14:paraId="1796863F" w14:textId="77777777" w:rsidR="00E2668E" w:rsidRPr="00FA1EEC" w:rsidRDefault="00E2668E" w:rsidP="0015147E">
      <w:pPr>
        <w:numPr>
          <w:ilvl w:val="0"/>
          <w:numId w:val="3"/>
        </w:numPr>
        <w:ind w:left="426" w:hanging="357"/>
        <w:rPr>
          <w:color w:val="1F4E79"/>
          <w:szCs w:val="18"/>
          <w:lang w:eastAsia="es-DO"/>
        </w:rPr>
      </w:pPr>
      <w:r w:rsidRPr="00FA1EEC">
        <w:rPr>
          <w:color w:val="1F4E79"/>
          <w:szCs w:val="18"/>
          <w:lang w:eastAsia="es-DO"/>
        </w:rPr>
        <w:t>Construcción de 30 viviendas económicas en Los Cerros, Municipio San Juan de la Maguana, provincia San Juan.</w:t>
      </w:r>
    </w:p>
    <w:p w14:paraId="04A8E52C" w14:textId="77777777" w:rsidR="00E2668E" w:rsidRPr="00FA1EEC" w:rsidRDefault="00E2668E" w:rsidP="0015147E">
      <w:pPr>
        <w:numPr>
          <w:ilvl w:val="0"/>
          <w:numId w:val="3"/>
        </w:numPr>
        <w:ind w:left="426" w:hanging="357"/>
        <w:rPr>
          <w:color w:val="1F4E79"/>
          <w:szCs w:val="18"/>
          <w:lang w:eastAsia="es-DO"/>
        </w:rPr>
      </w:pPr>
      <w:r w:rsidRPr="00FA1EEC">
        <w:rPr>
          <w:color w:val="1F4E79"/>
          <w:szCs w:val="18"/>
          <w:lang w:eastAsia="es-DO"/>
        </w:rPr>
        <w:t>Construcción de 33 viviendas económicas en Lavapiés, Municipio San Juan de la Maguana, provincia San Juan.</w:t>
      </w:r>
    </w:p>
    <w:p w14:paraId="5E6C8AFF" w14:textId="77777777" w:rsidR="00E2668E" w:rsidRPr="00FA1EEC" w:rsidRDefault="00E2668E" w:rsidP="0015147E">
      <w:pPr>
        <w:numPr>
          <w:ilvl w:val="0"/>
          <w:numId w:val="3"/>
        </w:numPr>
        <w:ind w:left="426" w:hanging="357"/>
        <w:rPr>
          <w:color w:val="1F4E79"/>
          <w:szCs w:val="18"/>
          <w:lang w:eastAsia="es-DO"/>
        </w:rPr>
      </w:pPr>
      <w:r w:rsidRPr="00FA1EEC">
        <w:rPr>
          <w:color w:val="1F4E79"/>
          <w:szCs w:val="18"/>
          <w:lang w:eastAsia="es-DO"/>
        </w:rPr>
        <w:t>Construcción de 46 viviendas económicas en San Ramón, Municipio San Juan de la Maguana, provincia San Juan.</w:t>
      </w:r>
    </w:p>
    <w:p w14:paraId="051D3374" w14:textId="77777777" w:rsidR="00E2668E" w:rsidRPr="00FA1EEC" w:rsidRDefault="00E2668E" w:rsidP="0015147E">
      <w:pPr>
        <w:numPr>
          <w:ilvl w:val="0"/>
          <w:numId w:val="3"/>
        </w:numPr>
        <w:ind w:left="426" w:hanging="357"/>
        <w:rPr>
          <w:color w:val="1F4E79"/>
          <w:szCs w:val="18"/>
          <w:lang w:eastAsia="es-DO"/>
        </w:rPr>
      </w:pPr>
      <w:r w:rsidRPr="00FA1EEC">
        <w:rPr>
          <w:color w:val="1F4E79"/>
          <w:szCs w:val="18"/>
          <w:lang w:eastAsia="es-DO"/>
        </w:rPr>
        <w:t>Construcción de 51 viviendas económicas en Las Charcas, Municipio San Juan de la Maguana, provincia San Juan.</w:t>
      </w:r>
    </w:p>
    <w:p w14:paraId="4C4BA24F" w14:textId="77777777" w:rsidR="00E2668E" w:rsidRPr="00FA1EEC" w:rsidRDefault="00E2668E" w:rsidP="0015147E">
      <w:pPr>
        <w:numPr>
          <w:ilvl w:val="0"/>
          <w:numId w:val="3"/>
        </w:numPr>
        <w:ind w:left="426" w:hanging="357"/>
        <w:rPr>
          <w:color w:val="1F4E79"/>
          <w:szCs w:val="18"/>
          <w:lang w:eastAsia="es-DO"/>
        </w:rPr>
      </w:pPr>
      <w:r w:rsidRPr="00FA1EEC">
        <w:rPr>
          <w:color w:val="1F4E79"/>
          <w:szCs w:val="18"/>
          <w:lang w:eastAsia="es-DO"/>
        </w:rPr>
        <w:t>Construcción de 55 viviendas económicas en Vallejuelo, Municipio San Juan de la Maguana, provincia San Juan.</w:t>
      </w:r>
    </w:p>
    <w:p w14:paraId="0C9EA13F" w14:textId="77777777" w:rsidR="00E2668E" w:rsidRPr="00FA1EEC" w:rsidRDefault="00E2668E" w:rsidP="0015147E">
      <w:pPr>
        <w:numPr>
          <w:ilvl w:val="0"/>
          <w:numId w:val="3"/>
        </w:numPr>
        <w:ind w:left="426" w:hanging="357"/>
        <w:rPr>
          <w:color w:val="1F4E79"/>
          <w:szCs w:val="18"/>
          <w:lang w:eastAsia="es-DO"/>
        </w:rPr>
      </w:pPr>
      <w:r w:rsidRPr="00FA1EEC">
        <w:rPr>
          <w:color w:val="1F4E79"/>
          <w:szCs w:val="18"/>
          <w:lang w:eastAsia="es-DO"/>
        </w:rPr>
        <w:t>Construcción de 54 viviendas económicas en Las Zanjas, Municipio San Juan de la Maguana, provincia San Juan.</w:t>
      </w:r>
    </w:p>
    <w:p w14:paraId="688D8395" w14:textId="77777777" w:rsidR="00E2668E" w:rsidRPr="0015147E" w:rsidRDefault="00E2668E" w:rsidP="0015147E">
      <w:pPr>
        <w:ind w:left="1004"/>
        <w:rPr>
          <w:color w:val="1F4E79"/>
          <w:szCs w:val="18"/>
          <w:lang w:eastAsia="es-DO"/>
        </w:rPr>
      </w:pPr>
    </w:p>
    <w:p w14:paraId="5EE48A18" w14:textId="77777777" w:rsidR="00E2668E" w:rsidRPr="00FA1EEC" w:rsidRDefault="00E2668E" w:rsidP="00EA1C16">
      <w:pPr>
        <w:pStyle w:val="Prrafodelista"/>
        <w:numPr>
          <w:ilvl w:val="0"/>
          <w:numId w:val="27"/>
        </w:numPr>
        <w:ind w:left="425" w:hanging="357"/>
        <w:rPr>
          <w:b/>
          <w:color w:val="1F4E79"/>
          <w:szCs w:val="18"/>
          <w:lang w:eastAsia="es-DO"/>
        </w:rPr>
      </w:pPr>
      <w:r w:rsidRPr="00FA1EEC">
        <w:rPr>
          <w:b/>
          <w:color w:val="1F4E79"/>
          <w:szCs w:val="18"/>
          <w:lang w:eastAsia="es-DO"/>
        </w:rPr>
        <w:t>Proyectos de Viviendas en Otras Provincias.</w:t>
      </w:r>
    </w:p>
    <w:p w14:paraId="161FD82C" w14:textId="77777777" w:rsidR="00E2668E" w:rsidRPr="00FA1EEC" w:rsidRDefault="00E2668E" w:rsidP="00EA1C16">
      <w:pPr>
        <w:numPr>
          <w:ilvl w:val="0"/>
          <w:numId w:val="3"/>
        </w:numPr>
        <w:ind w:left="426" w:hanging="357"/>
        <w:rPr>
          <w:color w:val="1F4E79"/>
          <w:szCs w:val="18"/>
          <w:lang w:eastAsia="es-DO"/>
        </w:rPr>
      </w:pPr>
      <w:r w:rsidRPr="00FA1EEC">
        <w:rPr>
          <w:color w:val="1F4E79"/>
          <w:szCs w:val="18"/>
          <w:lang w:eastAsia="es-DO"/>
        </w:rPr>
        <w:t>Construcción de 5 viviendas económicas de dos y tres dormitorios, en diferentes sectores de la provincia Santo Domingo Este. Presupuestado RD$5,395,910.26, Desembolsado RD$2, 850,075.52.</w:t>
      </w:r>
    </w:p>
    <w:p w14:paraId="5EB4BF6A" w14:textId="77777777" w:rsidR="00E2668E" w:rsidRPr="00FA1EEC" w:rsidRDefault="00E2668E" w:rsidP="00EA1C16">
      <w:pPr>
        <w:numPr>
          <w:ilvl w:val="0"/>
          <w:numId w:val="3"/>
        </w:numPr>
        <w:ind w:left="426" w:hanging="357"/>
        <w:rPr>
          <w:color w:val="1F4E79"/>
          <w:szCs w:val="18"/>
          <w:lang w:eastAsia="es-DO"/>
        </w:rPr>
      </w:pPr>
      <w:r w:rsidRPr="00FA1EEC">
        <w:rPr>
          <w:color w:val="1F4E79"/>
          <w:szCs w:val="18"/>
          <w:lang w:eastAsia="es-DO"/>
        </w:rPr>
        <w:t xml:space="preserve">Construcción de 5 viviendas Económicas en diferentes sectores de la Provincia de Santiago. Presupuestado RD$4,154,783.76, Desembolsado RD$3,717,803.38. </w:t>
      </w:r>
    </w:p>
    <w:p w14:paraId="57202A06" w14:textId="77777777" w:rsidR="00E2668E" w:rsidRPr="00FA1EEC" w:rsidRDefault="00E2668E" w:rsidP="0015147E">
      <w:pPr>
        <w:numPr>
          <w:ilvl w:val="0"/>
          <w:numId w:val="3"/>
        </w:numPr>
        <w:ind w:left="426" w:hanging="357"/>
        <w:rPr>
          <w:color w:val="1F4E79"/>
          <w:szCs w:val="18"/>
          <w:lang w:eastAsia="es-DO"/>
        </w:rPr>
      </w:pPr>
      <w:r w:rsidRPr="00FA1EEC">
        <w:rPr>
          <w:color w:val="1F4E79"/>
          <w:szCs w:val="18"/>
          <w:lang w:eastAsia="es-DO"/>
        </w:rPr>
        <w:t>Construcción de 5 viviendas Económicas de dos y tres dormitorios (3era. etapa) en diferentes sectores de la Provincia de Santo Domingo. Presupuestado RD$5,326,573.37, Desembolsado RD$ 4,549,430.47.</w:t>
      </w:r>
    </w:p>
    <w:p w14:paraId="07F9088B" w14:textId="77777777" w:rsidR="00E2668E" w:rsidRPr="00FA1EEC" w:rsidRDefault="00E2668E" w:rsidP="00EA1C16">
      <w:pPr>
        <w:numPr>
          <w:ilvl w:val="0"/>
          <w:numId w:val="3"/>
        </w:numPr>
        <w:ind w:left="425" w:hanging="357"/>
        <w:rPr>
          <w:color w:val="1F4E79"/>
          <w:szCs w:val="18"/>
          <w:lang w:eastAsia="es-DO"/>
        </w:rPr>
      </w:pPr>
      <w:r w:rsidRPr="00FA1EEC">
        <w:rPr>
          <w:color w:val="1F4E79"/>
          <w:szCs w:val="18"/>
          <w:lang w:eastAsia="es-DO"/>
        </w:rPr>
        <w:t>Terminación reparación de 6 viviendas Económicas en diferentes sectores de la Provincia de Santiago. Presupuestado RD$5,713,380.89, Desembolsado RD$2,125,383.50.</w:t>
      </w:r>
    </w:p>
    <w:p w14:paraId="77C9603C" w14:textId="77777777" w:rsidR="00E2668E" w:rsidRPr="00FA1EEC" w:rsidRDefault="00E2668E" w:rsidP="00EA1C16">
      <w:pPr>
        <w:numPr>
          <w:ilvl w:val="0"/>
          <w:numId w:val="3"/>
        </w:numPr>
        <w:ind w:left="425" w:hanging="357"/>
        <w:rPr>
          <w:color w:val="1F4E79"/>
          <w:szCs w:val="18"/>
          <w:lang w:eastAsia="es-DO"/>
        </w:rPr>
      </w:pPr>
      <w:r w:rsidRPr="00FA1EEC">
        <w:rPr>
          <w:color w:val="1F4E79"/>
          <w:szCs w:val="18"/>
          <w:lang w:eastAsia="es-DO"/>
        </w:rPr>
        <w:t>Construcción de 7 viviendas, Terminación de 1 vivienda y reparación de 2 viviendas Económicas en diferentes sectores de la Provincia de Santiago. Presupuestado RD$8,371,377.91, Desembolsado 2020 RD$ 6,600,422.08.</w:t>
      </w:r>
    </w:p>
    <w:p w14:paraId="037DD04B" w14:textId="77777777" w:rsidR="00E2668E" w:rsidRPr="00FA1EEC" w:rsidRDefault="00E2668E" w:rsidP="0015147E">
      <w:pPr>
        <w:numPr>
          <w:ilvl w:val="0"/>
          <w:numId w:val="3"/>
        </w:numPr>
        <w:ind w:left="426" w:hanging="357"/>
        <w:rPr>
          <w:color w:val="1F4E79"/>
          <w:szCs w:val="18"/>
          <w:lang w:eastAsia="es-DO"/>
        </w:rPr>
      </w:pPr>
      <w:r w:rsidRPr="00FA1EEC">
        <w:rPr>
          <w:color w:val="1F4E79"/>
          <w:szCs w:val="18"/>
          <w:lang w:eastAsia="es-DO"/>
        </w:rPr>
        <w:t>Construcción de 6 viviendas, Terminación de 3 viviendas y reparación de 1 vivienda Económicas en diferentes sectores de la Provincia de Santiago: Presupuestado RD$8,555,552.36. Desembolsado RD$3,524,197.44.</w:t>
      </w:r>
    </w:p>
    <w:p w14:paraId="0CAC6F58" w14:textId="3A3080E5" w:rsidR="00E2668E" w:rsidRPr="00FA1EEC" w:rsidRDefault="00E2668E" w:rsidP="0015147E">
      <w:pPr>
        <w:numPr>
          <w:ilvl w:val="0"/>
          <w:numId w:val="3"/>
        </w:numPr>
        <w:ind w:left="426" w:hanging="357"/>
        <w:rPr>
          <w:color w:val="1F4E79"/>
          <w:szCs w:val="18"/>
          <w:lang w:eastAsia="es-DO"/>
        </w:rPr>
      </w:pPr>
      <w:r w:rsidRPr="00FA1EEC">
        <w:rPr>
          <w:color w:val="1F4E79"/>
          <w:szCs w:val="18"/>
          <w:lang w:eastAsia="es-DO"/>
        </w:rPr>
        <w:t>Construcción de 4 viviendas en diferentes sectores de la provincia de Santo Domingo</w:t>
      </w:r>
      <w:r w:rsidR="002B682D">
        <w:rPr>
          <w:color w:val="1F4E79"/>
          <w:szCs w:val="18"/>
          <w:lang w:eastAsia="es-DO"/>
        </w:rPr>
        <w:t>,</w:t>
      </w:r>
      <w:r w:rsidRPr="00FA1EEC">
        <w:rPr>
          <w:color w:val="1F4E79"/>
          <w:szCs w:val="18"/>
          <w:lang w:eastAsia="es-DO"/>
        </w:rPr>
        <w:t xml:space="preserve"> una vivienda Económica, en la provincia de San Cristóbal, Presupuestado RD$5,947,145.77. Desembolsado RD$2,609,604.55</w:t>
      </w:r>
      <w:r w:rsidR="002B682D">
        <w:rPr>
          <w:color w:val="1F4E79"/>
          <w:szCs w:val="18"/>
          <w:lang w:eastAsia="es-DO"/>
        </w:rPr>
        <w:t xml:space="preserve"> y dos en la provincia de Salcedo, Presupuestado RD$1,940,959.65</w:t>
      </w:r>
      <w:r w:rsidRPr="00FA1EEC">
        <w:rPr>
          <w:color w:val="1F4E79"/>
          <w:szCs w:val="18"/>
          <w:lang w:eastAsia="es-DO"/>
        </w:rPr>
        <w:t>.</w:t>
      </w:r>
    </w:p>
    <w:p w14:paraId="52E632D6" w14:textId="77777777" w:rsidR="00F164B9" w:rsidRDefault="00F164B9" w:rsidP="00EA1C16">
      <w:pPr>
        <w:ind w:left="0" w:firstLine="646"/>
        <w:rPr>
          <w:b/>
          <w:color w:val="1F4E79"/>
          <w:szCs w:val="18"/>
          <w:u w:val="single"/>
          <w:lang w:eastAsia="es-DO"/>
        </w:rPr>
      </w:pPr>
    </w:p>
    <w:p w14:paraId="06448FAE" w14:textId="00D3A825" w:rsidR="00E2668E" w:rsidRPr="00EA1C16" w:rsidRDefault="00E2668E" w:rsidP="00EA1C16">
      <w:pPr>
        <w:ind w:left="0" w:firstLine="646"/>
        <w:rPr>
          <w:b/>
          <w:color w:val="1F4E79"/>
          <w:szCs w:val="18"/>
          <w:u w:val="single"/>
          <w:lang w:eastAsia="es-DO"/>
        </w:rPr>
      </w:pPr>
      <w:r w:rsidRPr="00EA1C16">
        <w:rPr>
          <w:b/>
          <w:color w:val="1F4E79"/>
          <w:szCs w:val="18"/>
          <w:u w:val="single"/>
          <w:lang w:eastAsia="es-DO"/>
        </w:rPr>
        <w:t>Proyectos Comunitarios.</w:t>
      </w:r>
    </w:p>
    <w:p w14:paraId="73E3084A" w14:textId="77777777" w:rsidR="00E2668E" w:rsidRPr="00EA1C16" w:rsidRDefault="00E2668E" w:rsidP="00EA1C16">
      <w:pPr>
        <w:ind w:left="0" w:firstLine="646"/>
        <w:rPr>
          <w:color w:val="1F4E79"/>
          <w:szCs w:val="18"/>
          <w:lang w:eastAsia="es-DO"/>
        </w:rPr>
      </w:pPr>
      <w:r w:rsidRPr="00EA1C16">
        <w:rPr>
          <w:color w:val="1F4E79"/>
          <w:szCs w:val="18"/>
          <w:lang w:eastAsia="es-DO"/>
        </w:rPr>
        <w:t>Con una inversión presupuestada de RD$51,607,221.22, de lo que fue ejecutado un monto de RD$19,449,048.82 en los siguientes proyectos:</w:t>
      </w:r>
    </w:p>
    <w:p w14:paraId="67C1E77B" w14:textId="77777777" w:rsidR="00E2668E" w:rsidRPr="00EA1C16" w:rsidRDefault="00E2668E" w:rsidP="00EA1C16">
      <w:pPr>
        <w:ind w:left="0" w:firstLine="646"/>
        <w:rPr>
          <w:b/>
          <w:color w:val="1F4E79"/>
          <w:szCs w:val="18"/>
          <w:u w:val="single"/>
          <w:lang w:eastAsia="es-DO"/>
        </w:rPr>
      </w:pPr>
    </w:p>
    <w:p w14:paraId="14DA4968" w14:textId="77777777" w:rsidR="00E2668E" w:rsidRPr="00FA1EEC" w:rsidRDefault="00E2668E" w:rsidP="00EA1C16">
      <w:pPr>
        <w:numPr>
          <w:ilvl w:val="0"/>
          <w:numId w:val="3"/>
        </w:numPr>
        <w:ind w:left="425" w:hanging="357"/>
        <w:rPr>
          <w:color w:val="1F4E79"/>
          <w:szCs w:val="18"/>
          <w:lang w:eastAsia="es-DO"/>
        </w:rPr>
      </w:pPr>
      <w:r w:rsidRPr="00EA1C16">
        <w:rPr>
          <w:color w:val="1F4E79"/>
          <w:szCs w:val="18"/>
          <w:lang w:eastAsia="es-DO"/>
        </w:rPr>
        <w:t>Construcción</w:t>
      </w:r>
      <w:r w:rsidRPr="00FA1EEC">
        <w:rPr>
          <w:color w:val="1F4E79"/>
          <w:szCs w:val="18"/>
          <w:lang w:eastAsia="es-DO"/>
        </w:rPr>
        <w:t xml:space="preserve"> Funeraria Hato del Yaque, Provincia Santiago. Presupuestado RD$20,849,524.25, Desembolsado RD$8,198,611.80.</w:t>
      </w:r>
    </w:p>
    <w:p w14:paraId="153EC797" w14:textId="77777777" w:rsidR="00E2668E" w:rsidRPr="00FA1EEC" w:rsidRDefault="00E2668E" w:rsidP="00EA1C16">
      <w:pPr>
        <w:numPr>
          <w:ilvl w:val="0"/>
          <w:numId w:val="3"/>
        </w:numPr>
        <w:ind w:left="425" w:hanging="357"/>
        <w:rPr>
          <w:color w:val="1F4E79"/>
          <w:szCs w:val="18"/>
          <w:lang w:eastAsia="es-DO"/>
        </w:rPr>
      </w:pPr>
      <w:r w:rsidRPr="00FA1EEC">
        <w:rPr>
          <w:color w:val="1F4E79"/>
          <w:szCs w:val="18"/>
          <w:lang w:eastAsia="es-DO"/>
        </w:rPr>
        <w:t>Construcción Funeraria Municipal, Jamao al Norte, Provincia Espaillat. Presupuestado RD$ 15,065,876.53, Desembolsado RD$4,551,127.74.</w:t>
      </w:r>
    </w:p>
    <w:p w14:paraId="247BB729" w14:textId="77777777" w:rsidR="00E2668E" w:rsidRPr="00FA1EEC" w:rsidRDefault="00E2668E" w:rsidP="00EA1C16">
      <w:pPr>
        <w:numPr>
          <w:ilvl w:val="0"/>
          <w:numId w:val="3"/>
        </w:numPr>
        <w:ind w:left="425" w:hanging="357"/>
        <w:rPr>
          <w:color w:val="1F4E79"/>
          <w:szCs w:val="18"/>
          <w:lang w:eastAsia="es-DO"/>
        </w:rPr>
      </w:pPr>
      <w:r w:rsidRPr="00FA1EEC">
        <w:rPr>
          <w:color w:val="1F4E79"/>
          <w:szCs w:val="18"/>
          <w:lang w:eastAsia="es-DO"/>
        </w:rPr>
        <w:t>Construcción de Funeraria Municipal, Provincia Monte Cristi:  Presupuestado RD$ 15,691,820.44, Desembolsado RD$6,699,309.28</w:t>
      </w:r>
    </w:p>
    <w:p w14:paraId="25933E87" w14:textId="77777777" w:rsidR="00415884" w:rsidRPr="00EA1C16" w:rsidRDefault="00415884" w:rsidP="00EA1C16">
      <w:pPr>
        <w:ind w:left="0" w:firstLine="646"/>
        <w:rPr>
          <w:b/>
          <w:color w:val="1F4E79"/>
          <w:szCs w:val="18"/>
          <w:u w:val="single"/>
          <w:lang w:eastAsia="es-DO"/>
        </w:rPr>
      </w:pPr>
    </w:p>
    <w:p w14:paraId="4468F0D8" w14:textId="01B55BE6" w:rsidR="00E2668E" w:rsidRPr="00EA1C16" w:rsidRDefault="00E2668E" w:rsidP="00EA1C16">
      <w:pPr>
        <w:ind w:left="0" w:firstLine="646"/>
        <w:rPr>
          <w:b/>
          <w:color w:val="1F4E79"/>
          <w:szCs w:val="18"/>
          <w:u w:val="single"/>
          <w:lang w:eastAsia="es-DO"/>
        </w:rPr>
      </w:pPr>
      <w:r w:rsidRPr="00EA1C16">
        <w:rPr>
          <w:b/>
          <w:color w:val="1F4E79"/>
          <w:szCs w:val="18"/>
          <w:u w:val="single"/>
          <w:lang w:eastAsia="es-DO"/>
        </w:rPr>
        <w:t>Construcciones ejecutadas mediante Convenios.</w:t>
      </w:r>
    </w:p>
    <w:p w14:paraId="08EC60BE" w14:textId="77777777" w:rsidR="00E2668E" w:rsidRPr="00EA1C16" w:rsidRDefault="00E2668E" w:rsidP="00FC1D94">
      <w:pPr>
        <w:ind w:left="0" w:firstLine="646"/>
        <w:rPr>
          <w:color w:val="1F4E79"/>
          <w:szCs w:val="18"/>
          <w:lang w:eastAsia="es-DO"/>
        </w:rPr>
      </w:pPr>
    </w:p>
    <w:p w14:paraId="6F481D6E" w14:textId="379D2DB6" w:rsidR="00E2668E" w:rsidRPr="00EA1C16" w:rsidRDefault="00E2668E" w:rsidP="00FC1D94">
      <w:pPr>
        <w:ind w:left="0" w:firstLine="646"/>
        <w:rPr>
          <w:color w:val="1F4E79"/>
          <w:szCs w:val="18"/>
          <w:lang w:eastAsia="es-DO"/>
        </w:rPr>
      </w:pPr>
      <w:r w:rsidRPr="00EA1C16">
        <w:rPr>
          <w:color w:val="1F4E79"/>
          <w:szCs w:val="18"/>
          <w:lang w:eastAsia="es-DO"/>
        </w:rPr>
        <w:t xml:space="preserve">Estas corresponden a donaciones que realiza el </w:t>
      </w:r>
      <w:r w:rsidR="00207340">
        <w:rPr>
          <w:color w:val="1F4E79"/>
          <w:szCs w:val="18"/>
          <w:lang w:eastAsia="es-DO"/>
        </w:rPr>
        <w:t>FONPER</w:t>
      </w:r>
      <w:r w:rsidRPr="00EA1C16">
        <w:rPr>
          <w:color w:val="1F4E79"/>
          <w:szCs w:val="18"/>
          <w:lang w:eastAsia="es-DO"/>
        </w:rPr>
        <w:t xml:space="preserve"> a instituciones sin fines de lucro, mediante convenios, para la construcción o terminación de infraestructuras, las cuales son supervisadas periódicamente hasta su conclusión. En el año 2020 fueron supervisadas las siguientes:</w:t>
      </w:r>
    </w:p>
    <w:p w14:paraId="3C9DFEF2" w14:textId="77777777" w:rsidR="00E2668E" w:rsidRPr="00FA1EEC" w:rsidRDefault="00E2668E" w:rsidP="00EA1C16">
      <w:pPr>
        <w:ind w:left="1004"/>
        <w:rPr>
          <w:color w:val="1F4E79"/>
          <w:szCs w:val="18"/>
          <w:lang w:eastAsia="es-DO"/>
        </w:rPr>
      </w:pPr>
    </w:p>
    <w:p w14:paraId="144A58AB" w14:textId="77777777" w:rsidR="00E2668E" w:rsidRPr="00FA1EEC" w:rsidRDefault="00E2668E" w:rsidP="00EA1C16">
      <w:pPr>
        <w:numPr>
          <w:ilvl w:val="0"/>
          <w:numId w:val="3"/>
        </w:numPr>
        <w:ind w:left="425" w:hanging="357"/>
        <w:rPr>
          <w:color w:val="1F4E79"/>
          <w:szCs w:val="18"/>
          <w:lang w:eastAsia="es-DO"/>
        </w:rPr>
      </w:pPr>
      <w:r w:rsidRPr="00FA1EEC">
        <w:rPr>
          <w:color w:val="1F4E79"/>
          <w:szCs w:val="18"/>
          <w:lang w:eastAsia="es-DO"/>
        </w:rPr>
        <w:t xml:space="preserve">Terminación de la Construcción de la Iglesia Santos Médicos Cosme y Damián, Municipio de Santiago de los Caballeros, Provincia Santiago.                              </w:t>
      </w:r>
    </w:p>
    <w:p w14:paraId="033847EE" w14:textId="77777777" w:rsidR="00E2668E" w:rsidRPr="00FA1EEC" w:rsidRDefault="00E2668E" w:rsidP="00EA1C16">
      <w:pPr>
        <w:numPr>
          <w:ilvl w:val="0"/>
          <w:numId w:val="3"/>
        </w:numPr>
        <w:ind w:left="425" w:hanging="357"/>
        <w:rPr>
          <w:color w:val="1F4E79"/>
          <w:szCs w:val="18"/>
          <w:lang w:eastAsia="es-DO"/>
        </w:rPr>
      </w:pPr>
      <w:r w:rsidRPr="00FA1EEC">
        <w:rPr>
          <w:color w:val="1F4E79"/>
          <w:szCs w:val="18"/>
          <w:lang w:eastAsia="es-DO"/>
        </w:rPr>
        <w:t>Reconstrucción de 16 habitaciones, sus entornos y parqueaderos del Centro Belarmino, Municipio Santiago de los Caballeros, provincia Santiago.</w:t>
      </w:r>
    </w:p>
    <w:p w14:paraId="6E854C5D" w14:textId="77777777" w:rsidR="00415884" w:rsidRPr="00415884" w:rsidRDefault="00415884" w:rsidP="00EA1C16">
      <w:pPr>
        <w:ind w:left="1004"/>
        <w:rPr>
          <w:color w:val="1F4E79"/>
          <w:szCs w:val="18"/>
          <w:lang w:eastAsia="es-DO"/>
        </w:rPr>
      </w:pPr>
    </w:p>
    <w:p w14:paraId="60CA4C85" w14:textId="4F57461D" w:rsidR="00134B5F" w:rsidRPr="00FA1EEC" w:rsidRDefault="00493C64" w:rsidP="0027737A">
      <w:pPr>
        <w:pStyle w:val="Prrafodelista"/>
        <w:numPr>
          <w:ilvl w:val="1"/>
          <w:numId w:val="1"/>
        </w:numPr>
        <w:spacing w:after="0" w:line="360" w:lineRule="auto"/>
        <w:ind w:left="426" w:hanging="425"/>
        <w:jc w:val="center"/>
        <w:outlineLvl w:val="1"/>
        <w:rPr>
          <w:rFonts w:ascii="Gotham Medium" w:eastAsia="Times New Roman" w:hAnsi="Gotham Medium" w:cs="Times New Roman"/>
          <w:b/>
          <w:color w:val="1F4E79"/>
          <w:sz w:val="16"/>
          <w:szCs w:val="16"/>
        </w:rPr>
      </w:pPr>
      <w:bookmarkStart w:id="11" w:name="_Toc59540160"/>
      <w:r w:rsidRPr="00FA1EEC">
        <w:rPr>
          <w:rFonts w:ascii="Gotham Medium" w:eastAsia="Times New Roman" w:hAnsi="Gotham Medium" w:cs="Times New Roman"/>
          <w:b/>
          <w:color w:val="1F4E79"/>
          <w:sz w:val="16"/>
          <w:szCs w:val="16"/>
        </w:rPr>
        <w:t>SISTEMA DE MONITOREO Y MEDICIÓN DE LA GESTIÓN PÚBLICA.</w:t>
      </w:r>
      <w:bookmarkEnd w:id="11"/>
    </w:p>
    <w:p w14:paraId="4BE678E9" w14:textId="77777777" w:rsidR="00134B5F" w:rsidRPr="00FA1EEC" w:rsidRDefault="00134B5F" w:rsidP="00FC1D94">
      <w:pPr>
        <w:ind w:left="0" w:firstLine="646"/>
        <w:rPr>
          <w:color w:val="1F4E79"/>
          <w:szCs w:val="18"/>
          <w:lang w:eastAsia="es-DO"/>
        </w:rPr>
      </w:pPr>
    </w:p>
    <w:p w14:paraId="60C1F792" w14:textId="349B8534" w:rsidR="00493C64" w:rsidRDefault="00134B5F" w:rsidP="00FC1D94">
      <w:pPr>
        <w:ind w:left="0" w:firstLine="646"/>
        <w:rPr>
          <w:color w:val="1F4E79"/>
          <w:szCs w:val="18"/>
          <w:lang w:eastAsia="es-DO"/>
        </w:rPr>
      </w:pPr>
      <w:r w:rsidRPr="00FA1EEC">
        <w:rPr>
          <w:color w:val="1F4E79"/>
          <w:szCs w:val="18"/>
          <w:lang w:eastAsia="es-DO"/>
        </w:rPr>
        <w:t xml:space="preserve">Actualmente el </w:t>
      </w:r>
      <w:r w:rsidR="00207340">
        <w:rPr>
          <w:color w:val="1F4E79"/>
          <w:szCs w:val="18"/>
          <w:lang w:eastAsia="es-DO"/>
        </w:rPr>
        <w:t>FONPER</w:t>
      </w:r>
      <w:r w:rsidRPr="00FA1EEC">
        <w:rPr>
          <w:color w:val="1F4E79"/>
          <w:szCs w:val="18"/>
          <w:lang w:eastAsia="es-DO"/>
        </w:rPr>
        <w:t xml:space="preserve"> tiene 5 indicadores activos, cuyos porcentajes de cumplimiento arrojan, al 30 de noviembre 2020, un promedio institucional de 87.66%, tal como se detalla en el cuadro siguiente:</w:t>
      </w:r>
    </w:p>
    <w:p w14:paraId="1394CFF5" w14:textId="77777777" w:rsidR="00415884" w:rsidRPr="00415884" w:rsidRDefault="00415884" w:rsidP="00FC1D94">
      <w:pPr>
        <w:ind w:left="1004"/>
        <w:rPr>
          <w:color w:val="1F4E79"/>
          <w:szCs w:val="18"/>
          <w:lang w:eastAsia="es-DO"/>
        </w:rPr>
      </w:pPr>
    </w:p>
    <w:tbl>
      <w:tblPr>
        <w:tblW w:w="7468" w:type="dxa"/>
        <w:jc w:val="center"/>
        <w:tblCellMar>
          <w:left w:w="70" w:type="dxa"/>
          <w:right w:w="70" w:type="dxa"/>
        </w:tblCellMar>
        <w:tblLook w:val="04A0" w:firstRow="1" w:lastRow="0" w:firstColumn="1" w:lastColumn="0" w:noHBand="0" w:noVBand="1"/>
      </w:tblPr>
      <w:tblGrid>
        <w:gridCol w:w="6190"/>
        <w:gridCol w:w="1278"/>
      </w:tblGrid>
      <w:tr w:rsidR="00493C64" w:rsidRPr="00493C64" w14:paraId="1870EB62" w14:textId="77777777" w:rsidTr="002C5E75">
        <w:trPr>
          <w:trHeight w:val="330"/>
          <w:jc w:val="center"/>
        </w:trPr>
        <w:tc>
          <w:tcPr>
            <w:tcW w:w="6190" w:type="dxa"/>
            <w:tcBorders>
              <w:top w:val="single" w:sz="8" w:space="0" w:color="FFFFFF"/>
              <w:left w:val="single" w:sz="8" w:space="0" w:color="FFFFFF"/>
              <w:bottom w:val="single" w:sz="8" w:space="0" w:color="FFFFFF"/>
              <w:right w:val="single" w:sz="8" w:space="0" w:color="FFFFFF"/>
            </w:tcBorders>
            <w:shd w:val="clear" w:color="000000" w:fill="002060"/>
            <w:noWrap/>
            <w:vAlign w:val="center"/>
            <w:hideMark/>
          </w:tcPr>
          <w:p w14:paraId="3667C262" w14:textId="77777777" w:rsidR="00493C64" w:rsidRPr="00493C64" w:rsidRDefault="00493C64" w:rsidP="00493C64">
            <w:pPr>
              <w:spacing w:after="0" w:line="240" w:lineRule="auto"/>
              <w:ind w:left="0"/>
              <w:jc w:val="left"/>
              <w:rPr>
                <w:rFonts w:ascii="Calibri Light" w:eastAsia="Times New Roman" w:hAnsi="Calibri Light" w:cs="Calibri Light"/>
                <w:b/>
                <w:bCs/>
                <w:color w:val="FFFFFF"/>
                <w:sz w:val="20"/>
                <w:szCs w:val="20"/>
                <w:lang w:eastAsia="es-DO"/>
              </w:rPr>
            </w:pPr>
            <w:r w:rsidRPr="00493C64">
              <w:rPr>
                <w:rFonts w:ascii="Calibri Light" w:eastAsia="Times New Roman" w:hAnsi="Calibri Light" w:cs="Calibri Light"/>
                <w:b/>
                <w:bCs/>
                <w:color w:val="FFFFFF"/>
                <w:sz w:val="20"/>
                <w:szCs w:val="20"/>
                <w:lang w:eastAsia="es-DO"/>
              </w:rPr>
              <w:t>INDICADORES</w:t>
            </w:r>
          </w:p>
        </w:tc>
        <w:tc>
          <w:tcPr>
            <w:tcW w:w="1278" w:type="dxa"/>
            <w:tcBorders>
              <w:top w:val="single" w:sz="8" w:space="0" w:color="FFFFFF"/>
              <w:left w:val="nil"/>
              <w:bottom w:val="single" w:sz="8" w:space="0" w:color="FFFFFF"/>
              <w:right w:val="single" w:sz="8" w:space="0" w:color="FFFFFF"/>
            </w:tcBorders>
            <w:shd w:val="clear" w:color="000000" w:fill="0070C0"/>
            <w:noWrap/>
            <w:vAlign w:val="center"/>
            <w:hideMark/>
          </w:tcPr>
          <w:p w14:paraId="4598F80D" w14:textId="77777777" w:rsidR="00493C64" w:rsidRPr="00493C64" w:rsidRDefault="00493C64" w:rsidP="00493C64">
            <w:pPr>
              <w:spacing w:after="0" w:line="240" w:lineRule="auto"/>
              <w:ind w:left="0"/>
              <w:jc w:val="center"/>
              <w:rPr>
                <w:rFonts w:ascii="Calibri Light" w:eastAsia="Times New Roman" w:hAnsi="Calibri Light" w:cs="Calibri Light"/>
                <w:b/>
                <w:bCs/>
                <w:color w:val="FFFFFF"/>
                <w:sz w:val="20"/>
                <w:szCs w:val="20"/>
                <w:lang w:eastAsia="es-DO"/>
              </w:rPr>
            </w:pPr>
            <w:r w:rsidRPr="00493C64">
              <w:rPr>
                <w:rFonts w:ascii="Calibri Light" w:eastAsia="Times New Roman" w:hAnsi="Calibri Light" w:cs="Calibri Light"/>
                <w:b/>
                <w:bCs/>
                <w:color w:val="FFFFFF"/>
                <w:sz w:val="20"/>
                <w:szCs w:val="20"/>
                <w:lang w:eastAsia="es-DO"/>
              </w:rPr>
              <w:t>PUNTUACION</w:t>
            </w:r>
          </w:p>
        </w:tc>
      </w:tr>
      <w:tr w:rsidR="00493C64" w:rsidRPr="00493C64" w14:paraId="51C2B4DD" w14:textId="77777777" w:rsidTr="002C5E75">
        <w:trPr>
          <w:trHeight w:val="330"/>
          <w:jc w:val="center"/>
        </w:trPr>
        <w:tc>
          <w:tcPr>
            <w:tcW w:w="6190" w:type="dxa"/>
            <w:tcBorders>
              <w:top w:val="nil"/>
              <w:left w:val="single" w:sz="8" w:space="0" w:color="FFFFFF"/>
              <w:bottom w:val="single" w:sz="8" w:space="0" w:color="FFFFFF"/>
              <w:right w:val="single" w:sz="8" w:space="0" w:color="FFFFFF"/>
            </w:tcBorders>
            <w:shd w:val="clear" w:color="000000" w:fill="F2F2F2"/>
            <w:noWrap/>
            <w:vAlign w:val="center"/>
            <w:hideMark/>
          </w:tcPr>
          <w:p w14:paraId="3F02CE37" w14:textId="77777777" w:rsidR="00493C64" w:rsidRPr="00493C64" w:rsidRDefault="00493C64" w:rsidP="00493C64">
            <w:pPr>
              <w:spacing w:after="0" w:line="240" w:lineRule="auto"/>
              <w:ind w:left="0"/>
              <w:jc w:val="left"/>
              <w:rPr>
                <w:rFonts w:ascii="Calibri Light" w:eastAsia="Times New Roman" w:hAnsi="Calibri Light" w:cs="Calibri Light"/>
                <w:color w:val="000000"/>
                <w:sz w:val="20"/>
                <w:szCs w:val="20"/>
                <w:lang w:eastAsia="es-DO"/>
              </w:rPr>
            </w:pPr>
            <w:r w:rsidRPr="00493C64">
              <w:rPr>
                <w:rFonts w:ascii="Calibri Light" w:eastAsia="Calibri" w:hAnsi="Calibri Light" w:cs="Calibri Light"/>
                <w:color w:val="auto"/>
                <w:sz w:val="20"/>
                <w:szCs w:val="20"/>
                <w:lang w:val="es-ES"/>
              </w:rPr>
              <w:t>Sistema de Monitoreo de la Administración Pública (SISMAP)</w:t>
            </w:r>
          </w:p>
        </w:tc>
        <w:tc>
          <w:tcPr>
            <w:tcW w:w="1278" w:type="dxa"/>
            <w:tcBorders>
              <w:top w:val="nil"/>
              <w:left w:val="nil"/>
              <w:bottom w:val="single" w:sz="8" w:space="0" w:color="FFFFFF"/>
              <w:right w:val="single" w:sz="8" w:space="0" w:color="FFFFFF"/>
            </w:tcBorders>
            <w:shd w:val="clear" w:color="000000" w:fill="F2F2F2"/>
            <w:noWrap/>
            <w:vAlign w:val="center"/>
          </w:tcPr>
          <w:p w14:paraId="69ADF5FC" w14:textId="77777777" w:rsidR="00493C64" w:rsidRPr="00493C64" w:rsidRDefault="00493C64" w:rsidP="00493C64">
            <w:pPr>
              <w:spacing w:after="0" w:line="240" w:lineRule="auto"/>
              <w:ind w:left="0"/>
              <w:jc w:val="center"/>
              <w:rPr>
                <w:rFonts w:ascii="Calibri Light" w:eastAsia="Times New Roman" w:hAnsi="Calibri Light" w:cs="Calibri Light"/>
                <w:color w:val="000000"/>
                <w:sz w:val="20"/>
                <w:szCs w:val="20"/>
                <w:lang w:eastAsia="es-DO"/>
              </w:rPr>
            </w:pPr>
            <w:r w:rsidRPr="00493C64">
              <w:rPr>
                <w:rFonts w:ascii="Calibri Light" w:eastAsia="Times New Roman" w:hAnsi="Calibri Light" w:cs="Calibri Light"/>
                <w:color w:val="000000"/>
                <w:sz w:val="20"/>
                <w:szCs w:val="20"/>
                <w:lang w:eastAsia="es-DO"/>
              </w:rPr>
              <w:t>78.35</w:t>
            </w:r>
          </w:p>
        </w:tc>
      </w:tr>
      <w:tr w:rsidR="00493C64" w:rsidRPr="00493C64" w14:paraId="07BEA85E" w14:textId="77777777" w:rsidTr="002C5E75">
        <w:trPr>
          <w:trHeight w:val="330"/>
          <w:jc w:val="center"/>
        </w:trPr>
        <w:tc>
          <w:tcPr>
            <w:tcW w:w="6190" w:type="dxa"/>
            <w:tcBorders>
              <w:top w:val="nil"/>
              <w:left w:val="single" w:sz="8" w:space="0" w:color="FFFFFF"/>
              <w:bottom w:val="single" w:sz="8" w:space="0" w:color="FFFFFF"/>
              <w:right w:val="single" w:sz="8" w:space="0" w:color="FFFFFF"/>
            </w:tcBorders>
            <w:shd w:val="clear" w:color="000000" w:fill="F2F2F2"/>
            <w:noWrap/>
            <w:vAlign w:val="center"/>
            <w:hideMark/>
          </w:tcPr>
          <w:p w14:paraId="35A166D7" w14:textId="77777777" w:rsidR="00493C64" w:rsidRPr="00493C64" w:rsidRDefault="00493C64" w:rsidP="00493C64">
            <w:pPr>
              <w:spacing w:after="0" w:line="240" w:lineRule="auto"/>
              <w:ind w:left="0"/>
              <w:jc w:val="left"/>
              <w:rPr>
                <w:rFonts w:ascii="Calibri Light" w:eastAsia="Times New Roman" w:hAnsi="Calibri Light" w:cs="Calibri Light"/>
                <w:color w:val="000000"/>
                <w:sz w:val="20"/>
                <w:szCs w:val="20"/>
                <w:lang w:eastAsia="es-DO"/>
              </w:rPr>
            </w:pPr>
            <w:r w:rsidRPr="00493C64">
              <w:rPr>
                <w:rFonts w:ascii="Calibri Light" w:eastAsia="Times New Roman" w:hAnsi="Calibri Light" w:cs="Calibri Light"/>
                <w:color w:val="000000"/>
                <w:sz w:val="20"/>
                <w:szCs w:val="20"/>
                <w:lang w:val="es-ES" w:eastAsia="es-DO"/>
              </w:rPr>
              <w:t>Índice Uso TIC y Gobierno Electrónico (ITICGE)</w:t>
            </w:r>
            <w:r w:rsidRPr="00493C64">
              <w:rPr>
                <w:rFonts w:ascii="Calibri Light" w:eastAsia="Times New Roman" w:hAnsi="Calibri Light" w:cs="Calibri Light"/>
                <w:color w:val="000000"/>
                <w:sz w:val="20"/>
                <w:szCs w:val="20"/>
                <w:lang w:eastAsia="es-DO"/>
              </w:rPr>
              <w:t xml:space="preserve"> </w:t>
            </w:r>
          </w:p>
        </w:tc>
        <w:tc>
          <w:tcPr>
            <w:tcW w:w="1278" w:type="dxa"/>
            <w:tcBorders>
              <w:top w:val="nil"/>
              <w:left w:val="nil"/>
              <w:bottom w:val="single" w:sz="8" w:space="0" w:color="FFFFFF"/>
              <w:right w:val="single" w:sz="8" w:space="0" w:color="FFFFFF"/>
            </w:tcBorders>
            <w:shd w:val="clear" w:color="000000" w:fill="F2F2F2"/>
            <w:noWrap/>
            <w:vAlign w:val="center"/>
          </w:tcPr>
          <w:p w14:paraId="0BF316CF" w14:textId="3A1000CD" w:rsidR="00493C64" w:rsidRPr="00493C64" w:rsidRDefault="00493C64" w:rsidP="000A2840">
            <w:pPr>
              <w:spacing w:after="0" w:line="240" w:lineRule="auto"/>
              <w:ind w:left="0"/>
              <w:jc w:val="center"/>
              <w:rPr>
                <w:rFonts w:ascii="Calibri Light" w:eastAsia="Times New Roman" w:hAnsi="Calibri Light" w:cs="Calibri Light"/>
                <w:color w:val="000000"/>
                <w:sz w:val="20"/>
                <w:szCs w:val="20"/>
                <w:lang w:eastAsia="es-DO"/>
              </w:rPr>
            </w:pPr>
            <w:r w:rsidRPr="00493C64">
              <w:rPr>
                <w:rFonts w:ascii="Calibri Light" w:eastAsia="Times New Roman" w:hAnsi="Calibri Light" w:cs="Calibri Light"/>
                <w:color w:val="000000"/>
                <w:sz w:val="20"/>
                <w:szCs w:val="20"/>
                <w:lang w:eastAsia="es-DO"/>
              </w:rPr>
              <w:t>7</w:t>
            </w:r>
            <w:r w:rsidR="000A2840">
              <w:rPr>
                <w:rFonts w:ascii="Calibri Light" w:eastAsia="Times New Roman" w:hAnsi="Calibri Light" w:cs="Calibri Light"/>
                <w:color w:val="000000"/>
                <w:sz w:val="20"/>
                <w:szCs w:val="20"/>
                <w:lang w:eastAsia="es-DO"/>
              </w:rPr>
              <w:t>4</w:t>
            </w:r>
            <w:r w:rsidRPr="00493C64">
              <w:rPr>
                <w:rFonts w:ascii="Calibri Light" w:eastAsia="Times New Roman" w:hAnsi="Calibri Light" w:cs="Calibri Light"/>
                <w:color w:val="000000"/>
                <w:sz w:val="20"/>
                <w:szCs w:val="20"/>
                <w:lang w:eastAsia="es-DO"/>
              </w:rPr>
              <w:t>.5</w:t>
            </w:r>
            <w:r w:rsidR="000A2840">
              <w:rPr>
                <w:rFonts w:ascii="Calibri Light" w:eastAsia="Times New Roman" w:hAnsi="Calibri Light" w:cs="Calibri Light"/>
                <w:color w:val="000000"/>
                <w:sz w:val="20"/>
                <w:szCs w:val="20"/>
                <w:lang w:eastAsia="es-DO"/>
              </w:rPr>
              <w:t>4</w:t>
            </w:r>
          </w:p>
        </w:tc>
      </w:tr>
      <w:tr w:rsidR="00493C64" w:rsidRPr="00493C64" w14:paraId="32451E40" w14:textId="77777777" w:rsidTr="002C5E75">
        <w:trPr>
          <w:trHeight w:val="330"/>
          <w:jc w:val="center"/>
        </w:trPr>
        <w:tc>
          <w:tcPr>
            <w:tcW w:w="6190" w:type="dxa"/>
            <w:tcBorders>
              <w:top w:val="nil"/>
              <w:left w:val="single" w:sz="8" w:space="0" w:color="FFFFFF"/>
              <w:bottom w:val="single" w:sz="8" w:space="0" w:color="FFFFFF"/>
              <w:right w:val="single" w:sz="8" w:space="0" w:color="FFFFFF"/>
            </w:tcBorders>
            <w:shd w:val="clear" w:color="000000" w:fill="F2F2F2"/>
            <w:noWrap/>
            <w:vAlign w:val="center"/>
            <w:hideMark/>
          </w:tcPr>
          <w:p w14:paraId="384DD539" w14:textId="77777777" w:rsidR="00493C64" w:rsidRPr="00493C64" w:rsidRDefault="00493C64" w:rsidP="00493C64">
            <w:pPr>
              <w:spacing w:after="0" w:line="240" w:lineRule="auto"/>
              <w:ind w:left="0"/>
              <w:jc w:val="left"/>
              <w:rPr>
                <w:rFonts w:ascii="Calibri Light" w:eastAsia="Times New Roman" w:hAnsi="Calibri Light" w:cs="Calibri Light"/>
                <w:color w:val="000000"/>
                <w:sz w:val="20"/>
                <w:szCs w:val="20"/>
                <w:lang w:eastAsia="es-DO"/>
              </w:rPr>
            </w:pPr>
            <w:r w:rsidRPr="00493C64">
              <w:rPr>
                <w:rFonts w:ascii="Calibri Light" w:eastAsia="Times New Roman" w:hAnsi="Calibri Light" w:cs="Calibri Light"/>
                <w:color w:val="000000"/>
                <w:sz w:val="20"/>
                <w:szCs w:val="20"/>
                <w:lang w:eastAsia="es-DO"/>
              </w:rPr>
              <w:t>Normas Básicas de Control Interno (NOBACI)</w:t>
            </w:r>
          </w:p>
        </w:tc>
        <w:tc>
          <w:tcPr>
            <w:tcW w:w="1278" w:type="dxa"/>
            <w:tcBorders>
              <w:top w:val="nil"/>
              <w:left w:val="nil"/>
              <w:bottom w:val="single" w:sz="8" w:space="0" w:color="FFFFFF"/>
              <w:right w:val="single" w:sz="8" w:space="0" w:color="FFFFFF"/>
            </w:tcBorders>
            <w:shd w:val="clear" w:color="000000" w:fill="F2F2F2"/>
            <w:noWrap/>
            <w:vAlign w:val="center"/>
          </w:tcPr>
          <w:p w14:paraId="1CF9B297" w14:textId="77777777" w:rsidR="00493C64" w:rsidRPr="00493C64" w:rsidRDefault="00493C64" w:rsidP="00493C64">
            <w:pPr>
              <w:spacing w:after="0" w:line="240" w:lineRule="auto"/>
              <w:ind w:left="0"/>
              <w:jc w:val="center"/>
              <w:rPr>
                <w:rFonts w:ascii="Calibri Light" w:eastAsia="Times New Roman" w:hAnsi="Calibri Light" w:cs="Calibri Light"/>
                <w:color w:val="000000"/>
                <w:sz w:val="20"/>
                <w:szCs w:val="20"/>
                <w:lang w:eastAsia="es-DO"/>
              </w:rPr>
            </w:pPr>
            <w:r w:rsidRPr="00493C64">
              <w:rPr>
                <w:rFonts w:ascii="Calibri Light" w:eastAsia="Times New Roman" w:hAnsi="Calibri Light" w:cs="Calibri Light"/>
                <w:color w:val="000000"/>
                <w:sz w:val="20"/>
                <w:szCs w:val="20"/>
                <w:lang w:eastAsia="es-DO"/>
              </w:rPr>
              <w:t>90.86</w:t>
            </w:r>
          </w:p>
        </w:tc>
      </w:tr>
      <w:tr w:rsidR="00493C64" w:rsidRPr="00493C64" w14:paraId="514511A3" w14:textId="77777777" w:rsidTr="002C5E75">
        <w:trPr>
          <w:trHeight w:val="330"/>
          <w:jc w:val="center"/>
        </w:trPr>
        <w:tc>
          <w:tcPr>
            <w:tcW w:w="6190" w:type="dxa"/>
            <w:tcBorders>
              <w:top w:val="nil"/>
              <w:left w:val="single" w:sz="8" w:space="0" w:color="FFFFFF"/>
              <w:bottom w:val="single" w:sz="8" w:space="0" w:color="FFFFFF"/>
              <w:right w:val="single" w:sz="8" w:space="0" w:color="FFFFFF"/>
            </w:tcBorders>
            <w:shd w:val="clear" w:color="000000" w:fill="F2F2F2"/>
            <w:noWrap/>
            <w:vAlign w:val="center"/>
          </w:tcPr>
          <w:p w14:paraId="20A65D76" w14:textId="77777777" w:rsidR="00493C64" w:rsidRPr="00493C64" w:rsidRDefault="00493C64" w:rsidP="00493C64">
            <w:pPr>
              <w:spacing w:after="0" w:line="240" w:lineRule="auto"/>
              <w:ind w:left="0"/>
              <w:jc w:val="left"/>
              <w:rPr>
                <w:rFonts w:ascii="Calibri Light" w:eastAsia="Times New Roman" w:hAnsi="Calibri Light" w:cs="Calibri Light"/>
                <w:color w:val="000000"/>
                <w:sz w:val="20"/>
                <w:szCs w:val="20"/>
                <w:lang w:eastAsia="es-DO"/>
              </w:rPr>
            </w:pPr>
            <w:r w:rsidRPr="00493C64">
              <w:rPr>
                <w:rFonts w:ascii="Calibri Light" w:eastAsia="Times New Roman" w:hAnsi="Calibri Light" w:cs="Calibri Light"/>
                <w:color w:val="000000"/>
                <w:sz w:val="20"/>
                <w:szCs w:val="20"/>
                <w:lang w:eastAsia="es-DO"/>
              </w:rPr>
              <w:t>Cumplimiento Ley 200-04</w:t>
            </w:r>
          </w:p>
        </w:tc>
        <w:tc>
          <w:tcPr>
            <w:tcW w:w="1278" w:type="dxa"/>
            <w:tcBorders>
              <w:top w:val="nil"/>
              <w:left w:val="nil"/>
              <w:bottom w:val="single" w:sz="8" w:space="0" w:color="FFFFFF"/>
              <w:right w:val="single" w:sz="8" w:space="0" w:color="FFFFFF"/>
            </w:tcBorders>
            <w:shd w:val="clear" w:color="000000" w:fill="F2F2F2"/>
            <w:noWrap/>
            <w:vAlign w:val="center"/>
          </w:tcPr>
          <w:p w14:paraId="295C3409" w14:textId="77777777" w:rsidR="00493C64" w:rsidRPr="00493C64" w:rsidRDefault="00493C64" w:rsidP="00493C64">
            <w:pPr>
              <w:spacing w:after="0" w:line="240" w:lineRule="auto"/>
              <w:ind w:left="0"/>
              <w:jc w:val="center"/>
              <w:rPr>
                <w:rFonts w:ascii="Calibri Light" w:eastAsia="Times New Roman" w:hAnsi="Calibri Light" w:cs="Calibri Light"/>
                <w:color w:val="000000"/>
                <w:sz w:val="20"/>
                <w:szCs w:val="20"/>
                <w:lang w:eastAsia="es-DO"/>
              </w:rPr>
            </w:pPr>
            <w:r w:rsidRPr="00493C64">
              <w:rPr>
                <w:rFonts w:ascii="Calibri Light" w:eastAsia="Times New Roman" w:hAnsi="Calibri Light" w:cs="Calibri Light"/>
                <w:color w:val="000000"/>
                <w:sz w:val="20"/>
                <w:szCs w:val="20"/>
                <w:lang w:eastAsia="es-DO"/>
              </w:rPr>
              <w:t>90.00</w:t>
            </w:r>
          </w:p>
        </w:tc>
      </w:tr>
      <w:tr w:rsidR="00493C64" w:rsidRPr="00493C64" w14:paraId="51E5B058" w14:textId="77777777" w:rsidTr="002C5E75">
        <w:trPr>
          <w:trHeight w:val="330"/>
          <w:jc w:val="center"/>
        </w:trPr>
        <w:tc>
          <w:tcPr>
            <w:tcW w:w="6190" w:type="dxa"/>
            <w:tcBorders>
              <w:top w:val="nil"/>
              <w:left w:val="single" w:sz="8" w:space="0" w:color="FFFFFF"/>
              <w:bottom w:val="single" w:sz="8" w:space="0" w:color="FFFFFF"/>
              <w:right w:val="single" w:sz="8" w:space="0" w:color="FFFFFF"/>
            </w:tcBorders>
            <w:shd w:val="clear" w:color="000000" w:fill="F2F2F2"/>
            <w:noWrap/>
            <w:vAlign w:val="center"/>
          </w:tcPr>
          <w:p w14:paraId="61C28848" w14:textId="77777777" w:rsidR="00493C64" w:rsidRPr="00493C64" w:rsidRDefault="00493C64" w:rsidP="00493C64">
            <w:pPr>
              <w:spacing w:after="0" w:line="240" w:lineRule="auto"/>
              <w:ind w:left="0"/>
              <w:jc w:val="left"/>
              <w:rPr>
                <w:rFonts w:ascii="Calibri Light" w:eastAsia="Times New Roman" w:hAnsi="Calibri Light" w:cs="Calibri Light"/>
                <w:color w:val="000000"/>
                <w:sz w:val="20"/>
                <w:szCs w:val="20"/>
                <w:lang w:eastAsia="es-DO"/>
              </w:rPr>
            </w:pPr>
            <w:r w:rsidRPr="00493C64">
              <w:rPr>
                <w:rFonts w:ascii="Calibri Light" w:eastAsia="Times New Roman" w:hAnsi="Calibri Light" w:cs="Calibri Light"/>
                <w:color w:val="000000"/>
                <w:sz w:val="20"/>
                <w:szCs w:val="20"/>
                <w:lang w:eastAsia="es-DO"/>
              </w:rPr>
              <w:t>SISCOMPRAS</w:t>
            </w:r>
          </w:p>
        </w:tc>
        <w:tc>
          <w:tcPr>
            <w:tcW w:w="1278" w:type="dxa"/>
            <w:tcBorders>
              <w:top w:val="nil"/>
              <w:left w:val="nil"/>
              <w:bottom w:val="single" w:sz="8" w:space="0" w:color="FFFFFF"/>
              <w:right w:val="single" w:sz="8" w:space="0" w:color="FFFFFF"/>
            </w:tcBorders>
            <w:shd w:val="clear" w:color="000000" w:fill="F2F2F2"/>
            <w:noWrap/>
            <w:vAlign w:val="center"/>
          </w:tcPr>
          <w:p w14:paraId="7EF32BD6" w14:textId="77777777" w:rsidR="00493C64" w:rsidRPr="00493C64" w:rsidRDefault="00493C64" w:rsidP="00493C64">
            <w:pPr>
              <w:spacing w:after="0" w:line="240" w:lineRule="auto"/>
              <w:ind w:left="0"/>
              <w:jc w:val="center"/>
              <w:rPr>
                <w:rFonts w:ascii="Calibri Light" w:eastAsia="Times New Roman" w:hAnsi="Calibri Light" w:cs="Calibri Light"/>
                <w:color w:val="000000"/>
                <w:sz w:val="20"/>
                <w:szCs w:val="20"/>
                <w:lang w:eastAsia="es-DO"/>
              </w:rPr>
            </w:pPr>
            <w:r w:rsidRPr="00493C64">
              <w:rPr>
                <w:rFonts w:ascii="Calibri Light" w:eastAsia="Times New Roman" w:hAnsi="Calibri Light" w:cs="Calibri Light"/>
                <w:color w:val="000000"/>
                <w:sz w:val="20"/>
                <w:szCs w:val="20"/>
                <w:lang w:eastAsia="es-DO"/>
              </w:rPr>
              <w:t>98.57</w:t>
            </w:r>
          </w:p>
        </w:tc>
      </w:tr>
      <w:tr w:rsidR="00493C64" w:rsidRPr="00493C64" w14:paraId="6540A8BE" w14:textId="77777777" w:rsidTr="002C5E75">
        <w:trPr>
          <w:trHeight w:val="330"/>
          <w:jc w:val="center"/>
        </w:trPr>
        <w:tc>
          <w:tcPr>
            <w:tcW w:w="6190" w:type="dxa"/>
            <w:tcBorders>
              <w:top w:val="nil"/>
              <w:left w:val="single" w:sz="8" w:space="0" w:color="FFFFFF"/>
              <w:bottom w:val="single" w:sz="8" w:space="0" w:color="FFFFFF"/>
              <w:right w:val="single" w:sz="8" w:space="0" w:color="FFFFFF"/>
            </w:tcBorders>
            <w:shd w:val="clear" w:color="000000" w:fill="F2F2F2"/>
            <w:noWrap/>
            <w:vAlign w:val="center"/>
            <w:hideMark/>
          </w:tcPr>
          <w:p w14:paraId="73AB06B1" w14:textId="77777777" w:rsidR="00493C64" w:rsidRPr="00493C64" w:rsidRDefault="00493C64" w:rsidP="00493C64">
            <w:pPr>
              <w:spacing w:after="0" w:line="240" w:lineRule="auto"/>
              <w:ind w:left="0"/>
              <w:jc w:val="left"/>
              <w:rPr>
                <w:rFonts w:ascii="Calibri Light" w:eastAsia="Times New Roman" w:hAnsi="Calibri Light" w:cs="Calibri Light"/>
                <w:b/>
                <w:color w:val="2F5496"/>
                <w:sz w:val="20"/>
                <w:szCs w:val="20"/>
                <w:lang w:eastAsia="es-DO"/>
              </w:rPr>
            </w:pPr>
            <w:r w:rsidRPr="00493C64">
              <w:rPr>
                <w:rFonts w:ascii="Calibri Light" w:eastAsia="Times New Roman" w:hAnsi="Calibri Light" w:cs="Calibri Light"/>
                <w:b/>
                <w:color w:val="2F5496"/>
                <w:sz w:val="20"/>
                <w:szCs w:val="20"/>
                <w:lang w:eastAsia="es-DO"/>
              </w:rPr>
              <w:t>Promedio Índice de Transparencia</w:t>
            </w:r>
          </w:p>
        </w:tc>
        <w:tc>
          <w:tcPr>
            <w:tcW w:w="1278" w:type="dxa"/>
            <w:tcBorders>
              <w:top w:val="nil"/>
              <w:left w:val="nil"/>
              <w:bottom w:val="single" w:sz="8" w:space="0" w:color="FFFFFF"/>
              <w:right w:val="single" w:sz="8" w:space="0" w:color="FFFFFF"/>
            </w:tcBorders>
            <w:shd w:val="clear" w:color="000000" w:fill="F2F2F2"/>
            <w:noWrap/>
            <w:vAlign w:val="center"/>
          </w:tcPr>
          <w:p w14:paraId="032CB5A2" w14:textId="77777777" w:rsidR="00493C64" w:rsidRPr="00493C64" w:rsidRDefault="00493C64" w:rsidP="00493C64">
            <w:pPr>
              <w:spacing w:after="0" w:line="240" w:lineRule="auto"/>
              <w:ind w:left="0"/>
              <w:jc w:val="center"/>
              <w:rPr>
                <w:rFonts w:ascii="Calibri Light" w:eastAsia="Times New Roman" w:hAnsi="Calibri Light" w:cs="Calibri Light"/>
                <w:b/>
                <w:color w:val="2F5496"/>
                <w:sz w:val="20"/>
                <w:szCs w:val="20"/>
                <w:lang w:eastAsia="es-DO"/>
              </w:rPr>
            </w:pPr>
            <w:r w:rsidRPr="00493C64">
              <w:rPr>
                <w:rFonts w:ascii="Calibri Light" w:eastAsia="Times New Roman" w:hAnsi="Calibri Light" w:cs="Calibri Light"/>
                <w:b/>
                <w:color w:val="2F5496"/>
                <w:sz w:val="20"/>
                <w:szCs w:val="20"/>
                <w:lang w:eastAsia="es-DO"/>
              </w:rPr>
              <w:t>87.66</w:t>
            </w:r>
          </w:p>
        </w:tc>
      </w:tr>
    </w:tbl>
    <w:p w14:paraId="7C967742" w14:textId="770A4BA1" w:rsidR="00493C64" w:rsidRDefault="00493C64" w:rsidP="00FC1D94">
      <w:pPr>
        <w:ind w:left="0" w:firstLine="646"/>
        <w:rPr>
          <w:color w:val="1F4E79"/>
          <w:szCs w:val="18"/>
          <w:lang w:eastAsia="es-DO"/>
        </w:rPr>
      </w:pPr>
    </w:p>
    <w:p w14:paraId="231328EF" w14:textId="4C8AF9C2" w:rsidR="00134B5F" w:rsidRDefault="00134B5F" w:rsidP="00FC1D94">
      <w:pPr>
        <w:ind w:left="0" w:firstLine="646"/>
        <w:rPr>
          <w:color w:val="1F4E79"/>
          <w:szCs w:val="18"/>
          <w:lang w:eastAsia="es-DO"/>
        </w:rPr>
      </w:pPr>
      <w:r w:rsidRPr="00FA1EEC">
        <w:rPr>
          <w:color w:val="1F4E79"/>
          <w:szCs w:val="18"/>
          <w:lang w:eastAsia="es-DO"/>
        </w:rPr>
        <w:t>A continuación, destacamos algunos aspectos de</w:t>
      </w:r>
      <w:r w:rsidR="004A50C0">
        <w:rPr>
          <w:color w:val="1F4E79"/>
          <w:szCs w:val="18"/>
          <w:lang w:eastAsia="es-DO"/>
        </w:rPr>
        <w:t xml:space="preserve"> cada uno de estos indicadores.</w:t>
      </w:r>
    </w:p>
    <w:p w14:paraId="0A9C5C73" w14:textId="77777777" w:rsidR="004A50C0" w:rsidRPr="00FA1EEC" w:rsidRDefault="004A50C0" w:rsidP="00FC1D94">
      <w:pPr>
        <w:ind w:left="0" w:firstLine="646"/>
        <w:rPr>
          <w:color w:val="1F4E79"/>
          <w:szCs w:val="18"/>
          <w:lang w:eastAsia="es-DO"/>
        </w:rPr>
      </w:pPr>
    </w:p>
    <w:p w14:paraId="31161FEF" w14:textId="46CB68ED" w:rsidR="00134B5F" w:rsidRPr="00FA1EEC" w:rsidRDefault="00134B5F" w:rsidP="004A50C0">
      <w:pPr>
        <w:pStyle w:val="Prrafodelista"/>
        <w:numPr>
          <w:ilvl w:val="2"/>
          <w:numId w:val="1"/>
        </w:numPr>
        <w:spacing w:after="0" w:line="360" w:lineRule="auto"/>
        <w:ind w:left="709"/>
        <w:jc w:val="center"/>
        <w:rPr>
          <w:b/>
          <w:color w:val="1F4E79"/>
          <w:szCs w:val="18"/>
          <w:u w:val="single"/>
          <w:lang w:eastAsia="es-DO"/>
        </w:rPr>
      </w:pPr>
      <w:r w:rsidRPr="00FA1EEC">
        <w:rPr>
          <w:b/>
          <w:color w:val="1F4E79"/>
          <w:szCs w:val="18"/>
          <w:u w:val="single"/>
          <w:lang w:eastAsia="es-DO"/>
        </w:rPr>
        <w:t>Sistema de Monitoreo de la Administración Pública (SISMAP).</w:t>
      </w:r>
    </w:p>
    <w:p w14:paraId="38D3D5C3" w14:textId="77777777" w:rsidR="00134B5F" w:rsidRPr="004A50C0" w:rsidRDefault="00134B5F" w:rsidP="00FC1D94">
      <w:pPr>
        <w:ind w:left="0" w:firstLine="646"/>
        <w:rPr>
          <w:color w:val="1F4E79"/>
          <w:szCs w:val="18"/>
          <w:lang w:eastAsia="es-DO"/>
        </w:rPr>
      </w:pPr>
    </w:p>
    <w:p w14:paraId="31BC6DB0" w14:textId="7ED7F88E" w:rsidR="00134B5F" w:rsidRDefault="00134B5F" w:rsidP="000254CE">
      <w:pPr>
        <w:ind w:left="0" w:firstLine="646"/>
        <w:rPr>
          <w:color w:val="1F4E79"/>
          <w:szCs w:val="18"/>
          <w:lang w:eastAsia="es-DO"/>
        </w:rPr>
      </w:pPr>
      <w:r w:rsidRPr="00FA1EEC">
        <w:rPr>
          <w:color w:val="1F4E79"/>
          <w:szCs w:val="18"/>
          <w:lang w:eastAsia="es-DO"/>
        </w:rPr>
        <w:t>El SISMAP es un sistema de monitoreo para medir los niveles de desarrollo de la gestión pública, que, desde el año 2010, ha venido implementando el Ministerio de Administración Pública; tomando como referencia varios indicadores, de los cuales destacaremos los aspectos de mayor avance.</w:t>
      </w:r>
    </w:p>
    <w:p w14:paraId="1D7B5DCE" w14:textId="77777777" w:rsidR="00663B7E" w:rsidRPr="00FA1EEC" w:rsidRDefault="00663B7E" w:rsidP="00E0232E">
      <w:pPr>
        <w:ind w:left="0"/>
        <w:rPr>
          <w:color w:val="1F4E79"/>
          <w:szCs w:val="18"/>
          <w:lang w:eastAsia="es-DO"/>
        </w:rPr>
      </w:pPr>
    </w:p>
    <w:p w14:paraId="4303BF3D" w14:textId="6112AFE8" w:rsidR="00134B5F" w:rsidRPr="00BD4B11" w:rsidRDefault="00134B5F" w:rsidP="00BD4B11">
      <w:pPr>
        <w:pStyle w:val="Prrafodelista"/>
        <w:numPr>
          <w:ilvl w:val="0"/>
          <w:numId w:val="31"/>
        </w:numPr>
        <w:ind w:left="426" w:hanging="426"/>
        <w:rPr>
          <w:b/>
          <w:color w:val="1F4E79"/>
          <w:szCs w:val="18"/>
          <w:lang w:eastAsia="es-DO"/>
        </w:rPr>
      </w:pPr>
      <w:r w:rsidRPr="00BD4B11">
        <w:rPr>
          <w:b/>
          <w:color w:val="1F4E79"/>
          <w:szCs w:val="18"/>
          <w:lang w:eastAsia="es-DO"/>
        </w:rPr>
        <w:t>En cuanto a la Gestión de Recursos Humanos:</w:t>
      </w:r>
    </w:p>
    <w:p w14:paraId="2655BB8F" w14:textId="77777777" w:rsidR="00FC1D94" w:rsidRDefault="00134B5F" w:rsidP="00BD4B11">
      <w:pPr>
        <w:pStyle w:val="Prrafodelista"/>
        <w:numPr>
          <w:ilvl w:val="0"/>
          <w:numId w:val="30"/>
        </w:numPr>
        <w:ind w:left="709" w:hanging="283"/>
        <w:rPr>
          <w:color w:val="1F4E79"/>
          <w:szCs w:val="18"/>
          <w:lang w:eastAsia="es-DO"/>
        </w:rPr>
      </w:pPr>
      <w:r w:rsidRPr="00FA1EEC">
        <w:rPr>
          <w:color w:val="1F4E79"/>
          <w:szCs w:val="18"/>
          <w:lang w:eastAsia="es-DO"/>
        </w:rPr>
        <w:t>Diagnóstico de la Función de RR.HH. – 100%.</w:t>
      </w:r>
    </w:p>
    <w:p w14:paraId="3AA1F71E" w14:textId="77777777" w:rsidR="00FC1D94" w:rsidRDefault="00FC1D94" w:rsidP="00BD4B11">
      <w:pPr>
        <w:pStyle w:val="Prrafodelista"/>
        <w:numPr>
          <w:ilvl w:val="0"/>
          <w:numId w:val="30"/>
        </w:numPr>
        <w:ind w:left="709" w:hanging="283"/>
        <w:rPr>
          <w:color w:val="1F4E79"/>
          <w:szCs w:val="18"/>
          <w:lang w:eastAsia="es-DO"/>
        </w:rPr>
      </w:pPr>
      <w:r>
        <w:rPr>
          <w:color w:val="1F4E79"/>
          <w:szCs w:val="18"/>
          <w:lang w:eastAsia="es-DO"/>
        </w:rPr>
        <w:t>Planificación de RR.HH. – 100%</w:t>
      </w:r>
    </w:p>
    <w:p w14:paraId="3A064D9C" w14:textId="77777777" w:rsidR="00FC1D94" w:rsidRDefault="00134B5F" w:rsidP="00BD4B11">
      <w:pPr>
        <w:pStyle w:val="Prrafodelista"/>
        <w:numPr>
          <w:ilvl w:val="0"/>
          <w:numId w:val="30"/>
        </w:numPr>
        <w:ind w:left="709" w:hanging="283"/>
        <w:rPr>
          <w:color w:val="1F4E79"/>
          <w:szCs w:val="18"/>
          <w:lang w:eastAsia="es-DO"/>
        </w:rPr>
      </w:pPr>
      <w:r w:rsidRPr="00FC1D94">
        <w:rPr>
          <w:color w:val="1F4E79"/>
          <w:szCs w:val="18"/>
          <w:lang w:eastAsia="es-DO"/>
        </w:rPr>
        <w:t>Índice de Rotación y Absentismo – 100%</w:t>
      </w:r>
    </w:p>
    <w:p w14:paraId="43B85FDC" w14:textId="77777777" w:rsidR="00FC1D94" w:rsidRDefault="00134B5F" w:rsidP="00BD4B11">
      <w:pPr>
        <w:pStyle w:val="Prrafodelista"/>
        <w:numPr>
          <w:ilvl w:val="0"/>
          <w:numId w:val="30"/>
        </w:numPr>
        <w:ind w:left="709" w:hanging="283"/>
        <w:rPr>
          <w:color w:val="1F4E79"/>
          <w:szCs w:val="18"/>
          <w:lang w:eastAsia="es-DO"/>
        </w:rPr>
      </w:pPr>
      <w:r w:rsidRPr="00FC1D94">
        <w:rPr>
          <w:color w:val="1F4E79"/>
          <w:szCs w:val="18"/>
          <w:lang w:eastAsia="es-DO"/>
        </w:rPr>
        <w:t>Gestión de Acuerdos de Desempeño y Evaluación del Desempeño por Resultados – 100%.</w:t>
      </w:r>
    </w:p>
    <w:p w14:paraId="344C3AA5" w14:textId="77777777" w:rsidR="00FC1D94" w:rsidRDefault="00134B5F" w:rsidP="00BD4B11">
      <w:pPr>
        <w:pStyle w:val="Prrafodelista"/>
        <w:numPr>
          <w:ilvl w:val="0"/>
          <w:numId w:val="30"/>
        </w:numPr>
        <w:ind w:left="709" w:hanging="283"/>
        <w:rPr>
          <w:color w:val="1F4E79"/>
          <w:szCs w:val="18"/>
          <w:lang w:eastAsia="es-DO"/>
        </w:rPr>
      </w:pPr>
      <w:r w:rsidRPr="00FC1D94">
        <w:rPr>
          <w:color w:val="1F4E79"/>
          <w:szCs w:val="18"/>
          <w:lang w:eastAsia="es-DO"/>
        </w:rPr>
        <w:t>Implicación de RR.HH. en la Gestión de las Relaciones Laborales – 100%.</w:t>
      </w:r>
    </w:p>
    <w:p w14:paraId="14A348BA" w14:textId="4B003F21" w:rsidR="00134B5F" w:rsidRDefault="00134B5F" w:rsidP="00BD4B11">
      <w:pPr>
        <w:pStyle w:val="Prrafodelista"/>
        <w:numPr>
          <w:ilvl w:val="0"/>
          <w:numId w:val="30"/>
        </w:numPr>
        <w:ind w:left="709" w:hanging="283"/>
        <w:rPr>
          <w:color w:val="1F4E79"/>
          <w:szCs w:val="18"/>
          <w:lang w:eastAsia="es-DO"/>
        </w:rPr>
      </w:pPr>
      <w:r w:rsidRPr="00FC1D94">
        <w:rPr>
          <w:color w:val="1F4E79"/>
          <w:szCs w:val="18"/>
          <w:lang w:eastAsia="es-DO"/>
        </w:rPr>
        <w:t>Implementación del Sistema de Seguridad y Salud en el Trabajo – 100%.</w:t>
      </w:r>
    </w:p>
    <w:p w14:paraId="72BFF2A4" w14:textId="029724FE" w:rsidR="00E0232E" w:rsidRDefault="00E0232E" w:rsidP="00FC1D94">
      <w:pPr>
        <w:ind w:left="567"/>
        <w:rPr>
          <w:b/>
          <w:color w:val="1F4E79"/>
          <w:szCs w:val="18"/>
          <w:lang w:eastAsia="es-DO"/>
        </w:rPr>
      </w:pPr>
    </w:p>
    <w:p w14:paraId="7B72DA71" w14:textId="77777777" w:rsidR="00F164B9" w:rsidRDefault="00F164B9" w:rsidP="00FC1D94">
      <w:pPr>
        <w:ind w:left="567"/>
        <w:rPr>
          <w:b/>
          <w:color w:val="1F4E79"/>
          <w:szCs w:val="18"/>
          <w:lang w:eastAsia="es-DO"/>
        </w:rPr>
      </w:pPr>
    </w:p>
    <w:p w14:paraId="2AAF0743" w14:textId="5ADA094A" w:rsidR="00702DDD" w:rsidRDefault="00134B5F" w:rsidP="009921B5">
      <w:pPr>
        <w:rPr>
          <w:b/>
          <w:color w:val="1F4E79"/>
          <w:szCs w:val="18"/>
          <w:lang w:eastAsia="es-DO"/>
        </w:rPr>
      </w:pPr>
      <w:r w:rsidRPr="00702DDD">
        <w:rPr>
          <w:b/>
          <w:color w:val="1F4E79"/>
          <w:szCs w:val="18"/>
          <w:lang w:eastAsia="es-DO"/>
        </w:rPr>
        <w:t xml:space="preserve">Otros aspectos a destacar de la Gestión de Recursos Humanos en el </w:t>
      </w:r>
      <w:r w:rsidR="00207340">
        <w:rPr>
          <w:b/>
          <w:color w:val="1F4E79"/>
          <w:szCs w:val="18"/>
          <w:lang w:eastAsia="es-DO"/>
        </w:rPr>
        <w:t>FONPER</w:t>
      </w:r>
      <w:r w:rsidRPr="00702DDD">
        <w:rPr>
          <w:b/>
          <w:color w:val="1F4E79"/>
          <w:szCs w:val="18"/>
          <w:lang w:eastAsia="es-DO"/>
        </w:rPr>
        <w:t>:</w:t>
      </w:r>
    </w:p>
    <w:p w14:paraId="4D71A387" w14:textId="77777777" w:rsidR="007B6B3C" w:rsidRDefault="007B6B3C" w:rsidP="009921B5">
      <w:pPr>
        <w:spacing w:after="0"/>
        <w:rPr>
          <w:b/>
          <w:color w:val="1F4E79"/>
          <w:szCs w:val="18"/>
          <w:lang w:eastAsia="es-DO"/>
        </w:rPr>
      </w:pPr>
    </w:p>
    <w:p w14:paraId="0D6F6CEB" w14:textId="046DB619" w:rsidR="0054607D" w:rsidRPr="007B6B3C" w:rsidRDefault="00134B5F" w:rsidP="009921B5">
      <w:pPr>
        <w:pStyle w:val="Prrafodelista"/>
        <w:numPr>
          <w:ilvl w:val="0"/>
          <w:numId w:val="28"/>
        </w:numPr>
        <w:rPr>
          <w:b/>
          <w:color w:val="1F4E79"/>
          <w:szCs w:val="18"/>
          <w:lang w:eastAsia="es-DO"/>
        </w:rPr>
      </w:pPr>
      <w:r w:rsidRPr="0054607D">
        <w:rPr>
          <w:b/>
          <w:color w:val="1F4E79"/>
          <w:szCs w:val="18"/>
          <w:lang w:eastAsia="es-DO"/>
        </w:rPr>
        <w:t xml:space="preserve">Nómina de Empleados. </w:t>
      </w:r>
      <w:r w:rsidRPr="0054607D">
        <w:rPr>
          <w:color w:val="1F4E79"/>
          <w:szCs w:val="18"/>
          <w:lang w:eastAsia="es-DO"/>
        </w:rPr>
        <w:t>Al 31 de octubre 2020, el gasto por concepto de pago de nómina fija, presentó una reducción de un 61%, en comparación al gasto por el mismo concepto reportado al inicio del año 2020.</w:t>
      </w:r>
      <w:r w:rsidR="0050559E" w:rsidRPr="0054607D">
        <w:rPr>
          <w:color w:val="1F4E79"/>
          <w:szCs w:val="18"/>
          <w:lang w:eastAsia="es-DO"/>
        </w:rPr>
        <w:t xml:space="preserve"> </w:t>
      </w:r>
      <w:r w:rsidRPr="0054607D">
        <w:rPr>
          <w:color w:val="1F4E79"/>
          <w:szCs w:val="18"/>
          <w:lang w:eastAsia="es-DO"/>
        </w:rPr>
        <w:t xml:space="preserve">Cabe destacar, que el </w:t>
      </w:r>
      <w:r w:rsidR="00207340">
        <w:rPr>
          <w:color w:val="1F4E79"/>
          <w:szCs w:val="18"/>
          <w:lang w:eastAsia="es-DO"/>
        </w:rPr>
        <w:t>FONPER</w:t>
      </w:r>
      <w:r w:rsidRPr="0054607D">
        <w:rPr>
          <w:color w:val="1F4E79"/>
          <w:szCs w:val="18"/>
          <w:lang w:eastAsia="es-DO"/>
        </w:rPr>
        <w:t xml:space="preserve"> honró con el pago de sus prestaciones laborales, a todos los colaboradores desvinculados.</w:t>
      </w:r>
    </w:p>
    <w:p w14:paraId="14ADF60B" w14:textId="77777777" w:rsidR="007B6B3C" w:rsidRPr="0054607D" w:rsidRDefault="007B6B3C" w:rsidP="009921B5">
      <w:pPr>
        <w:pStyle w:val="Prrafodelista"/>
        <w:rPr>
          <w:b/>
          <w:color w:val="1F4E79"/>
          <w:szCs w:val="18"/>
          <w:lang w:eastAsia="es-DO"/>
        </w:rPr>
      </w:pPr>
    </w:p>
    <w:p w14:paraId="71D2EF5C" w14:textId="5F16EC2D" w:rsidR="00134B5F" w:rsidRPr="0054607D" w:rsidRDefault="00134B5F" w:rsidP="009921B5">
      <w:pPr>
        <w:pStyle w:val="Prrafodelista"/>
        <w:numPr>
          <w:ilvl w:val="0"/>
          <w:numId w:val="28"/>
        </w:numPr>
        <w:rPr>
          <w:b/>
          <w:color w:val="1F4E79"/>
          <w:szCs w:val="18"/>
          <w:lang w:eastAsia="es-DO"/>
        </w:rPr>
      </w:pPr>
      <w:r w:rsidRPr="0054607D">
        <w:rPr>
          <w:b/>
          <w:color w:val="1F4E79"/>
          <w:szCs w:val="18"/>
          <w:lang w:eastAsia="es-DO"/>
        </w:rPr>
        <w:t xml:space="preserve">Profesionalización de la Administración Pública. </w:t>
      </w:r>
      <w:r w:rsidRPr="0054607D">
        <w:rPr>
          <w:color w:val="1F4E79"/>
          <w:szCs w:val="18"/>
          <w:lang w:eastAsia="es-DO"/>
        </w:rPr>
        <w:t>Las capacitaciones desarrolladas por el personal en este año fueron:</w:t>
      </w:r>
    </w:p>
    <w:p w14:paraId="44359222" w14:textId="77777777" w:rsidR="00134B5F" w:rsidRPr="00FA1EEC" w:rsidRDefault="00134B5F" w:rsidP="009921B5">
      <w:pPr>
        <w:pStyle w:val="Prrafodelista"/>
        <w:numPr>
          <w:ilvl w:val="0"/>
          <w:numId w:val="32"/>
        </w:numPr>
        <w:rPr>
          <w:color w:val="1F4E79"/>
          <w:szCs w:val="18"/>
          <w:lang w:eastAsia="es-DO"/>
        </w:rPr>
      </w:pPr>
      <w:r w:rsidRPr="00FA1EEC">
        <w:rPr>
          <w:color w:val="1F4E79"/>
          <w:szCs w:val="18"/>
          <w:lang w:eastAsia="es-DO"/>
        </w:rPr>
        <w:t>Diplomado de Finanzas Corporativas</w:t>
      </w:r>
    </w:p>
    <w:p w14:paraId="563409FA" w14:textId="77777777" w:rsidR="00134B5F" w:rsidRPr="00FA1EEC" w:rsidRDefault="00134B5F" w:rsidP="009921B5">
      <w:pPr>
        <w:pStyle w:val="Prrafodelista"/>
        <w:numPr>
          <w:ilvl w:val="0"/>
          <w:numId w:val="32"/>
        </w:numPr>
        <w:rPr>
          <w:color w:val="1F4E79"/>
          <w:szCs w:val="18"/>
          <w:lang w:eastAsia="es-DO"/>
        </w:rPr>
      </w:pPr>
      <w:r w:rsidRPr="00FA1EEC">
        <w:rPr>
          <w:color w:val="1F4E79"/>
          <w:szCs w:val="18"/>
          <w:lang w:eastAsia="es-DO"/>
        </w:rPr>
        <w:t>Diplomado Derecho Eléctrico</w:t>
      </w:r>
    </w:p>
    <w:p w14:paraId="256F9DAE" w14:textId="77777777" w:rsidR="00134B5F" w:rsidRPr="00FA1EEC" w:rsidRDefault="00134B5F" w:rsidP="009921B5">
      <w:pPr>
        <w:pStyle w:val="Prrafodelista"/>
        <w:numPr>
          <w:ilvl w:val="0"/>
          <w:numId w:val="32"/>
        </w:numPr>
        <w:rPr>
          <w:color w:val="1F4E79"/>
          <w:szCs w:val="18"/>
          <w:lang w:eastAsia="es-DO"/>
        </w:rPr>
      </w:pPr>
      <w:r w:rsidRPr="00FA1EEC">
        <w:rPr>
          <w:color w:val="1F4E79"/>
          <w:szCs w:val="18"/>
          <w:lang w:eastAsia="es-DO"/>
        </w:rPr>
        <w:t>Formación de Auditores Internos ISO 9001:2015 (bajo lineamientos de la ISO 3001:2018)</w:t>
      </w:r>
    </w:p>
    <w:p w14:paraId="4600D83A" w14:textId="77777777" w:rsidR="00134B5F" w:rsidRPr="00FA1EEC" w:rsidRDefault="00134B5F" w:rsidP="009921B5">
      <w:pPr>
        <w:pStyle w:val="Prrafodelista"/>
        <w:numPr>
          <w:ilvl w:val="0"/>
          <w:numId w:val="32"/>
        </w:numPr>
        <w:rPr>
          <w:color w:val="1F4E79"/>
          <w:szCs w:val="18"/>
          <w:lang w:eastAsia="es-DO"/>
        </w:rPr>
      </w:pPr>
      <w:r w:rsidRPr="00FA1EEC">
        <w:rPr>
          <w:color w:val="1F4E79"/>
          <w:szCs w:val="18"/>
          <w:lang w:eastAsia="es-DO"/>
        </w:rPr>
        <w:t>Curso Fundamentos de Compras y Contrataciones</w:t>
      </w:r>
    </w:p>
    <w:p w14:paraId="297415DE" w14:textId="77777777" w:rsidR="00134B5F" w:rsidRPr="00FA1EEC" w:rsidRDefault="00134B5F" w:rsidP="009921B5">
      <w:pPr>
        <w:pStyle w:val="Prrafodelista"/>
        <w:numPr>
          <w:ilvl w:val="0"/>
          <w:numId w:val="32"/>
        </w:numPr>
        <w:rPr>
          <w:color w:val="1F4E79"/>
          <w:szCs w:val="18"/>
          <w:lang w:eastAsia="es-DO"/>
        </w:rPr>
      </w:pPr>
      <w:r w:rsidRPr="00FA1EEC">
        <w:rPr>
          <w:color w:val="1F4E79"/>
          <w:szCs w:val="18"/>
          <w:lang w:eastAsia="es-DO"/>
        </w:rPr>
        <w:t>Charla Funciones y Responsabilidades del Comité de Compras</w:t>
      </w:r>
    </w:p>
    <w:p w14:paraId="6577B598" w14:textId="77777777" w:rsidR="00134B5F" w:rsidRPr="00FA1EEC" w:rsidRDefault="00134B5F" w:rsidP="009921B5">
      <w:pPr>
        <w:pStyle w:val="Prrafodelista"/>
        <w:numPr>
          <w:ilvl w:val="0"/>
          <w:numId w:val="32"/>
        </w:numPr>
        <w:rPr>
          <w:color w:val="1F4E79"/>
          <w:szCs w:val="18"/>
          <w:lang w:eastAsia="es-DO"/>
        </w:rPr>
      </w:pPr>
      <w:r w:rsidRPr="00FA1EEC">
        <w:rPr>
          <w:color w:val="1F4E79"/>
          <w:szCs w:val="18"/>
          <w:lang w:eastAsia="es-DO"/>
        </w:rPr>
        <w:t>Conferencia Virtual Evaluación del Desempeño por Resultados</w:t>
      </w:r>
    </w:p>
    <w:p w14:paraId="3C7E8127" w14:textId="77777777" w:rsidR="00134B5F" w:rsidRPr="00953651" w:rsidRDefault="00134B5F" w:rsidP="009921B5">
      <w:pPr>
        <w:ind w:left="567"/>
        <w:rPr>
          <w:b/>
          <w:color w:val="1F4E79"/>
          <w:szCs w:val="18"/>
          <w:lang w:eastAsia="es-DO"/>
        </w:rPr>
      </w:pPr>
    </w:p>
    <w:p w14:paraId="5C2D9573" w14:textId="3F857DC7" w:rsidR="00134B5F" w:rsidRPr="0054607D" w:rsidRDefault="00134B5F" w:rsidP="009921B5">
      <w:pPr>
        <w:pStyle w:val="Prrafodelista"/>
        <w:numPr>
          <w:ilvl w:val="0"/>
          <w:numId w:val="28"/>
        </w:numPr>
        <w:rPr>
          <w:color w:val="1F4E79"/>
          <w:szCs w:val="18"/>
          <w:lang w:eastAsia="es-DO"/>
        </w:rPr>
      </w:pPr>
      <w:r w:rsidRPr="0054607D">
        <w:rPr>
          <w:b/>
          <w:color w:val="1F4E79"/>
          <w:szCs w:val="18"/>
          <w:lang w:eastAsia="es-DO"/>
        </w:rPr>
        <w:t xml:space="preserve">COVID-19.  </w:t>
      </w:r>
      <w:r w:rsidRPr="0054607D">
        <w:rPr>
          <w:color w:val="1F4E79"/>
          <w:szCs w:val="18"/>
          <w:lang w:eastAsia="es-DO"/>
        </w:rPr>
        <w:t>El Departamento de Recursos Humanos, en conjunto con el Ministerio de Salud Pública, el lunes 25 de mayo, antes de reincorporar el 50% del personal, realizaron una jordana de pruebas rápidas a 160 colaboradores, donde todos los servidores arrojaron resultados negativos. Luego de esta jornada, se han presentado cinco (5) casos positivos, los cuales se mantuvieron de licencia médica, realizando la cuarentena requerida en sus hogares, con el fin de evitar la propagación del virus en la institución.</w:t>
      </w:r>
    </w:p>
    <w:p w14:paraId="2053E20B" w14:textId="7311ADB0" w:rsidR="00134B5F" w:rsidRDefault="00134B5F" w:rsidP="009921B5">
      <w:pPr>
        <w:ind w:left="567"/>
        <w:rPr>
          <w:b/>
          <w:color w:val="1F4E79"/>
          <w:szCs w:val="18"/>
          <w:lang w:eastAsia="es-DO"/>
        </w:rPr>
      </w:pPr>
    </w:p>
    <w:p w14:paraId="084121EA" w14:textId="682208B4" w:rsidR="00F164B9" w:rsidRDefault="00F164B9" w:rsidP="009921B5">
      <w:pPr>
        <w:ind w:left="567"/>
        <w:rPr>
          <w:b/>
          <w:color w:val="1F4E79"/>
          <w:szCs w:val="18"/>
          <w:lang w:eastAsia="es-DO"/>
        </w:rPr>
      </w:pPr>
    </w:p>
    <w:p w14:paraId="7CB4D800" w14:textId="77777777" w:rsidR="00F164B9" w:rsidRPr="00953651" w:rsidRDefault="00F164B9" w:rsidP="009921B5">
      <w:pPr>
        <w:ind w:left="567"/>
        <w:rPr>
          <w:b/>
          <w:color w:val="1F4E79"/>
          <w:szCs w:val="18"/>
          <w:lang w:eastAsia="es-DO"/>
        </w:rPr>
      </w:pPr>
    </w:p>
    <w:p w14:paraId="4D138814" w14:textId="77777777" w:rsidR="00134B5F" w:rsidRPr="00FA1EEC" w:rsidRDefault="00134B5F" w:rsidP="009921B5">
      <w:pPr>
        <w:pStyle w:val="Prrafodelista"/>
        <w:numPr>
          <w:ilvl w:val="0"/>
          <w:numId w:val="31"/>
        </w:numPr>
        <w:ind w:left="426" w:hanging="426"/>
        <w:rPr>
          <w:b/>
          <w:color w:val="1F4E79"/>
          <w:szCs w:val="18"/>
          <w:lang w:eastAsia="es-DO"/>
        </w:rPr>
      </w:pPr>
      <w:r w:rsidRPr="00FA1EEC">
        <w:rPr>
          <w:b/>
          <w:color w:val="1F4E79"/>
          <w:szCs w:val="18"/>
          <w:lang w:eastAsia="es-DO"/>
        </w:rPr>
        <w:t>En cuanto al Fortalecimiento Institucional (Organización del Trabajo):</w:t>
      </w:r>
    </w:p>
    <w:p w14:paraId="30454BD0" w14:textId="77777777" w:rsidR="00134B5F" w:rsidRPr="0054607D" w:rsidRDefault="00134B5F" w:rsidP="009921B5">
      <w:pPr>
        <w:pStyle w:val="Prrafodelista"/>
        <w:numPr>
          <w:ilvl w:val="0"/>
          <w:numId w:val="30"/>
        </w:numPr>
        <w:ind w:left="992" w:hanging="357"/>
        <w:rPr>
          <w:color w:val="1F4E79"/>
          <w:szCs w:val="18"/>
          <w:lang w:eastAsia="es-DO"/>
        </w:rPr>
      </w:pPr>
      <w:r w:rsidRPr="0054607D">
        <w:rPr>
          <w:color w:val="1F4E79"/>
          <w:szCs w:val="18"/>
          <w:lang w:eastAsia="es-DO"/>
        </w:rPr>
        <w:t>Estructura Organizativa Aprobada – 80%.</w:t>
      </w:r>
    </w:p>
    <w:p w14:paraId="6D7A2CB9" w14:textId="77777777" w:rsidR="00134B5F" w:rsidRPr="0054607D" w:rsidRDefault="00134B5F" w:rsidP="009921B5">
      <w:pPr>
        <w:pStyle w:val="Prrafodelista"/>
        <w:numPr>
          <w:ilvl w:val="0"/>
          <w:numId w:val="30"/>
        </w:numPr>
        <w:ind w:left="992" w:hanging="357"/>
        <w:rPr>
          <w:color w:val="1F4E79"/>
          <w:szCs w:val="18"/>
          <w:lang w:eastAsia="es-DO"/>
        </w:rPr>
      </w:pPr>
      <w:r w:rsidRPr="0054607D">
        <w:rPr>
          <w:color w:val="1F4E79"/>
          <w:szCs w:val="18"/>
          <w:lang w:eastAsia="es-DO"/>
        </w:rPr>
        <w:t>Manual de Organización y Funciones Aprobado – 100%.</w:t>
      </w:r>
    </w:p>
    <w:p w14:paraId="0312A976" w14:textId="71C37430" w:rsidR="00134B5F" w:rsidRDefault="00134B5F" w:rsidP="00953651">
      <w:pPr>
        <w:pStyle w:val="Prrafodelista"/>
        <w:numPr>
          <w:ilvl w:val="0"/>
          <w:numId w:val="30"/>
        </w:numPr>
        <w:ind w:left="992" w:hanging="357"/>
        <w:rPr>
          <w:color w:val="1F4E79"/>
          <w:szCs w:val="18"/>
          <w:lang w:eastAsia="es-DO"/>
        </w:rPr>
      </w:pPr>
      <w:r w:rsidRPr="0054607D">
        <w:rPr>
          <w:color w:val="1F4E79"/>
          <w:szCs w:val="18"/>
          <w:lang w:eastAsia="es-DO"/>
        </w:rPr>
        <w:t>Manual de Cargos Aprobado– 100%.</w:t>
      </w:r>
    </w:p>
    <w:p w14:paraId="724D5915" w14:textId="77777777" w:rsidR="000A2840" w:rsidRPr="0054607D" w:rsidRDefault="000A2840" w:rsidP="000A2840">
      <w:pPr>
        <w:pStyle w:val="Prrafodelista"/>
        <w:ind w:left="992"/>
        <w:rPr>
          <w:color w:val="1F4E79"/>
          <w:szCs w:val="18"/>
          <w:lang w:eastAsia="es-DO"/>
        </w:rPr>
      </w:pPr>
    </w:p>
    <w:p w14:paraId="5B265BFA" w14:textId="0A628B80" w:rsidR="00134B5F" w:rsidRPr="00FA1EEC" w:rsidRDefault="00134B5F" w:rsidP="006F7560">
      <w:pPr>
        <w:pStyle w:val="Prrafodelista"/>
        <w:numPr>
          <w:ilvl w:val="2"/>
          <w:numId w:val="1"/>
        </w:numPr>
        <w:spacing w:after="0" w:line="360" w:lineRule="auto"/>
        <w:ind w:left="709"/>
        <w:jc w:val="center"/>
        <w:rPr>
          <w:b/>
          <w:color w:val="1F4E79"/>
          <w:szCs w:val="18"/>
          <w:u w:val="single"/>
          <w:lang w:eastAsia="es-DO"/>
        </w:rPr>
      </w:pPr>
      <w:r w:rsidRPr="00FA1EEC">
        <w:rPr>
          <w:b/>
          <w:color w:val="1F4E79"/>
          <w:szCs w:val="18"/>
          <w:u w:val="single"/>
          <w:lang w:eastAsia="es-DO"/>
        </w:rPr>
        <w:t>Índice Uso TIC e Implementación de Gobierno Electrónico.</w:t>
      </w:r>
    </w:p>
    <w:p w14:paraId="3B14FFEA" w14:textId="77777777" w:rsidR="00493C64" w:rsidRPr="000254CE" w:rsidRDefault="00493C64" w:rsidP="000254CE">
      <w:pPr>
        <w:ind w:left="567"/>
        <w:rPr>
          <w:b/>
          <w:color w:val="1F4E79"/>
          <w:szCs w:val="18"/>
          <w:lang w:eastAsia="es-DO"/>
        </w:rPr>
      </w:pPr>
    </w:p>
    <w:p w14:paraId="4BD1F931" w14:textId="2746F011" w:rsidR="00134B5F" w:rsidRPr="00FA1EEC" w:rsidRDefault="00134B5F" w:rsidP="000254CE">
      <w:pPr>
        <w:ind w:left="0" w:firstLine="646"/>
        <w:rPr>
          <w:color w:val="1F4E79"/>
          <w:szCs w:val="18"/>
          <w:lang w:eastAsia="es-DO"/>
        </w:rPr>
      </w:pPr>
      <w:r w:rsidRPr="00FA1EEC">
        <w:rPr>
          <w:color w:val="1F4E79"/>
          <w:szCs w:val="18"/>
          <w:lang w:eastAsia="es-DO"/>
        </w:rPr>
        <w:t xml:space="preserve">Actualmente el Índice de Uso de TIC e Implementación de Gobierno Electrónico del </w:t>
      </w:r>
      <w:r w:rsidR="00207340">
        <w:rPr>
          <w:color w:val="1F4E79"/>
          <w:szCs w:val="18"/>
          <w:lang w:eastAsia="es-DO"/>
        </w:rPr>
        <w:t>FONPER</w:t>
      </w:r>
      <w:r w:rsidRPr="00FA1EEC">
        <w:rPr>
          <w:color w:val="1F4E79"/>
          <w:szCs w:val="18"/>
          <w:lang w:eastAsia="es-DO"/>
        </w:rPr>
        <w:t>,</w:t>
      </w:r>
      <w:r w:rsidR="000A2840">
        <w:rPr>
          <w:color w:val="1F4E79"/>
          <w:szCs w:val="18"/>
          <w:lang w:eastAsia="es-DO"/>
        </w:rPr>
        <w:t xml:space="preserve"> presenta una puntuación de 74.</w:t>
      </w:r>
      <w:r w:rsidRPr="00FA1EEC">
        <w:rPr>
          <w:color w:val="1F4E79"/>
          <w:szCs w:val="18"/>
          <w:lang w:eastAsia="es-DO"/>
        </w:rPr>
        <w:t>5</w:t>
      </w:r>
      <w:r w:rsidR="000A2840">
        <w:rPr>
          <w:color w:val="1F4E79"/>
          <w:szCs w:val="18"/>
          <w:lang w:eastAsia="es-DO"/>
        </w:rPr>
        <w:t>4</w:t>
      </w:r>
      <w:r w:rsidRPr="00FA1EEC">
        <w:rPr>
          <w:color w:val="1F4E79"/>
          <w:szCs w:val="18"/>
          <w:lang w:eastAsia="es-DO"/>
        </w:rPr>
        <w:t>, esto debido al avance obtenido en la implementación de normativas exigidas por los órganos rectores, como el MAP y la OPTIC.</w:t>
      </w:r>
      <w:r w:rsidR="007260EA" w:rsidRPr="00FA1EEC">
        <w:rPr>
          <w:color w:val="1F4E79"/>
          <w:szCs w:val="18"/>
          <w:lang w:eastAsia="es-DO"/>
        </w:rPr>
        <w:t xml:space="preserve"> </w:t>
      </w:r>
      <w:r w:rsidRPr="00FA1EEC">
        <w:rPr>
          <w:color w:val="1F4E79"/>
          <w:szCs w:val="18"/>
          <w:lang w:eastAsia="es-DO"/>
        </w:rPr>
        <w:t>Dentro de dichos avances podemos destacar:</w:t>
      </w:r>
    </w:p>
    <w:p w14:paraId="325BD313" w14:textId="77777777" w:rsidR="007260EA" w:rsidRPr="00FA1EEC" w:rsidRDefault="007260EA" w:rsidP="000254CE">
      <w:pPr>
        <w:ind w:hanging="284"/>
        <w:rPr>
          <w:color w:val="1F4E79"/>
          <w:szCs w:val="18"/>
          <w:lang w:eastAsia="es-DO"/>
        </w:rPr>
      </w:pPr>
    </w:p>
    <w:p w14:paraId="5151AA03" w14:textId="4211FAD1" w:rsidR="00134B5F" w:rsidRDefault="00134B5F" w:rsidP="000254CE">
      <w:pPr>
        <w:pStyle w:val="Prrafodelista"/>
        <w:numPr>
          <w:ilvl w:val="0"/>
          <w:numId w:val="32"/>
        </w:numPr>
        <w:ind w:left="284" w:hanging="284"/>
        <w:rPr>
          <w:color w:val="1F4E79"/>
          <w:szCs w:val="18"/>
          <w:lang w:eastAsia="es-DO"/>
        </w:rPr>
      </w:pPr>
      <w:r w:rsidRPr="00FA1EEC">
        <w:rPr>
          <w:color w:val="1F4E79"/>
          <w:szCs w:val="18"/>
          <w:lang w:eastAsia="es-DO"/>
        </w:rPr>
        <w:t xml:space="preserve">En el </w:t>
      </w:r>
      <w:r w:rsidRPr="000254CE">
        <w:rPr>
          <w:color w:val="1F4E79"/>
          <w:szCs w:val="18"/>
          <w:lang w:eastAsia="es-DO"/>
        </w:rPr>
        <w:t>1er. trimestre</w:t>
      </w:r>
      <w:r w:rsidRPr="00FA1EEC">
        <w:rPr>
          <w:color w:val="1F4E79"/>
          <w:szCs w:val="18"/>
          <w:lang w:eastAsia="es-DO"/>
        </w:rPr>
        <w:t xml:space="preserve"> del año, la institución adquirió la garantía PROSUPPORT PLUS para sus servidores, y también la licencia SQL SERVER 2019, en aras del ahorro, la estandarización y cumpliendo con los requerimientos de la OPTIC y el Gobierno Electrónico.</w:t>
      </w:r>
    </w:p>
    <w:p w14:paraId="46D00495" w14:textId="77777777" w:rsidR="000254CE" w:rsidRPr="00FA1EEC" w:rsidRDefault="000254CE" w:rsidP="000254CE">
      <w:pPr>
        <w:ind w:hanging="284"/>
        <w:rPr>
          <w:color w:val="1F4E79"/>
          <w:szCs w:val="18"/>
          <w:lang w:eastAsia="es-DO"/>
        </w:rPr>
      </w:pPr>
    </w:p>
    <w:p w14:paraId="44F40D6E" w14:textId="77777777" w:rsidR="00134B5F" w:rsidRPr="00FA1EEC" w:rsidRDefault="00134B5F" w:rsidP="000254CE">
      <w:pPr>
        <w:pStyle w:val="Prrafodelista"/>
        <w:numPr>
          <w:ilvl w:val="0"/>
          <w:numId w:val="32"/>
        </w:numPr>
        <w:ind w:left="284" w:hanging="284"/>
        <w:rPr>
          <w:color w:val="1F4E79"/>
          <w:szCs w:val="18"/>
          <w:lang w:eastAsia="es-DO"/>
        </w:rPr>
      </w:pPr>
      <w:r w:rsidRPr="00FA1EEC">
        <w:rPr>
          <w:color w:val="1F4E79"/>
          <w:szCs w:val="18"/>
          <w:lang w:eastAsia="es-DO"/>
        </w:rPr>
        <w:t xml:space="preserve">En el </w:t>
      </w:r>
      <w:r w:rsidRPr="000254CE">
        <w:rPr>
          <w:color w:val="1F4E79"/>
          <w:szCs w:val="18"/>
          <w:lang w:eastAsia="es-DO"/>
        </w:rPr>
        <w:t>2do. Trimestre</w:t>
      </w:r>
      <w:r w:rsidRPr="00FA1EEC">
        <w:rPr>
          <w:color w:val="1F4E79"/>
          <w:szCs w:val="18"/>
          <w:lang w:eastAsia="es-DO"/>
        </w:rPr>
        <w:t xml:space="preserve"> del año, se instaló un Next Generation Firewall, dos Switches Administrables y 8 AP’s (Acces Point), a fin de obtener mayor Seguridad Periférica y Red Wireless, la cual permite la conexión de dispositivos inalámbricos.</w:t>
      </w:r>
    </w:p>
    <w:p w14:paraId="61B414B8" w14:textId="0B8DA46A" w:rsidR="00134B5F" w:rsidRDefault="00134B5F" w:rsidP="00134B5F">
      <w:pPr>
        <w:spacing w:after="200" w:line="480" w:lineRule="auto"/>
        <w:rPr>
          <w:color w:val="1F4E79"/>
          <w:szCs w:val="18"/>
          <w:lang w:eastAsia="es-DO"/>
        </w:rPr>
      </w:pPr>
      <w:r w:rsidRPr="00FA1EEC">
        <w:rPr>
          <w:color w:val="1F4E79"/>
          <w:szCs w:val="18"/>
          <w:lang w:eastAsia="es-DO"/>
        </w:rPr>
        <w:t>Asimismo, cumpliendo con las normativas de la OPTIC, en cuanto a la necesidad de interoperabilidad de los sistemas y aplicaciones para el logro del Gobierno Electrónico, se ha implementado una interfaz que permite el intercambio de información con otras instituciones.</w:t>
      </w:r>
    </w:p>
    <w:p w14:paraId="53E92BDB" w14:textId="77777777" w:rsidR="000254CE" w:rsidRPr="00FA1EEC" w:rsidRDefault="000254CE" w:rsidP="000254CE">
      <w:pPr>
        <w:ind w:hanging="284"/>
        <w:rPr>
          <w:color w:val="1F4E79"/>
          <w:szCs w:val="18"/>
          <w:lang w:eastAsia="es-DO"/>
        </w:rPr>
      </w:pPr>
    </w:p>
    <w:p w14:paraId="548BB5ED" w14:textId="77777777" w:rsidR="00134B5F" w:rsidRPr="00FA1EEC" w:rsidRDefault="00134B5F" w:rsidP="000254CE">
      <w:pPr>
        <w:pStyle w:val="Prrafodelista"/>
        <w:numPr>
          <w:ilvl w:val="0"/>
          <w:numId w:val="32"/>
        </w:numPr>
        <w:ind w:left="284" w:hanging="284"/>
        <w:rPr>
          <w:color w:val="1F4E79"/>
          <w:szCs w:val="18"/>
          <w:lang w:eastAsia="es-DO"/>
        </w:rPr>
      </w:pPr>
      <w:r w:rsidRPr="00FA1EEC">
        <w:rPr>
          <w:color w:val="1F4E79"/>
          <w:szCs w:val="18"/>
          <w:lang w:eastAsia="es-DO"/>
        </w:rPr>
        <w:t>En cumplimiento de la Norma para el Desarrollo y Gestión de los Medios WEB del Estado Dominicano “NORTIC A2-2013”, emitida por la Oficina Presidencial de Tecnologías de la Información y Comunicación (OPTIC), fue conformado el Comité Administrador de los Medios Web (CAMWEB), mediante Resolución 02-2020, de fecha 26 de noviembre del 2020.</w:t>
      </w:r>
    </w:p>
    <w:p w14:paraId="3DC56DA0" w14:textId="77777777" w:rsidR="00134B5F" w:rsidRPr="000254CE" w:rsidRDefault="00134B5F" w:rsidP="000254CE">
      <w:pPr>
        <w:ind w:hanging="284"/>
        <w:rPr>
          <w:color w:val="1F4E79"/>
          <w:szCs w:val="18"/>
          <w:lang w:eastAsia="es-DO"/>
        </w:rPr>
      </w:pPr>
    </w:p>
    <w:p w14:paraId="5A0B5536" w14:textId="176A671D" w:rsidR="00134B5F" w:rsidRPr="00FA1EEC" w:rsidRDefault="00134B5F" w:rsidP="006F7560">
      <w:pPr>
        <w:pStyle w:val="Prrafodelista"/>
        <w:numPr>
          <w:ilvl w:val="2"/>
          <w:numId w:val="1"/>
        </w:numPr>
        <w:spacing w:after="0" w:line="360" w:lineRule="auto"/>
        <w:ind w:left="709"/>
        <w:jc w:val="center"/>
        <w:rPr>
          <w:b/>
          <w:color w:val="1F4E79"/>
          <w:szCs w:val="18"/>
          <w:u w:val="single"/>
          <w:lang w:eastAsia="es-DO"/>
        </w:rPr>
      </w:pPr>
      <w:r w:rsidRPr="00FA1EEC">
        <w:rPr>
          <w:b/>
          <w:color w:val="1F4E79"/>
          <w:szCs w:val="18"/>
          <w:u w:val="single"/>
          <w:lang w:eastAsia="es-DO"/>
        </w:rPr>
        <w:t>Implementación de Normas Básicas de Control Interno (NOBACI).</w:t>
      </w:r>
    </w:p>
    <w:p w14:paraId="7FD0DA65" w14:textId="77777777" w:rsidR="00134B5F" w:rsidRPr="00FA1EEC" w:rsidRDefault="00134B5F" w:rsidP="00134B5F">
      <w:pPr>
        <w:spacing w:line="480" w:lineRule="auto"/>
        <w:ind w:left="1513"/>
        <w:rPr>
          <w:rFonts w:ascii="Times New Roman" w:hAnsi="Times New Roman"/>
          <w:b/>
          <w:color w:val="1F4E79"/>
          <w:sz w:val="28"/>
          <w:szCs w:val="28"/>
          <w:lang w:val="es-MX"/>
        </w:rPr>
      </w:pPr>
    </w:p>
    <w:p w14:paraId="0A575679" w14:textId="7D69F79B" w:rsidR="00134B5F" w:rsidRPr="00FA1EEC" w:rsidRDefault="00134B5F" w:rsidP="000254CE">
      <w:pPr>
        <w:ind w:left="0" w:firstLine="646"/>
        <w:rPr>
          <w:color w:val="1F4E79"/>
          <w:szCs w:val="18"/>
          <w:lang w:eastAsia="es-DO"/>
        </w:rPr>
      </w:pPr>
      <w:r w:rsidRPr="00FA1EEC">
        <w:rPr>
          <w:color w:val="1F4E79"/>
          <w:szCs w:val="18"/>
          <w:lang w:eastAsia="es-DO"/>
        </w:rPr>
        <w:t xml:space="preserve">En cumplimiento a las disposiciones emanadas de la Contraloría General de la República (CGR), el </w:t>
      </w:r>
      <w:r w:rsidR="00207340">
        <w:rPr>
          <w:color w:val="1F4E79"/>
          <w:szCs w:val="18"/>
          <w:lang w:eastAsia="es-DO"/>
        </w:rPr>
        <w:t>FONPER</w:t>
      </w:r>
      <w:r w:rsidRPr="00FA1EEC">
        <w:rPr>
          <w:color w:val="1F4E79"/>
          <w:szCs w:val="18"/>
          <w:lang w:eastAsia="es-DO"/>
        </w:rPr>
        <w:t xml:space="preserve"> viene ejecutando un plan de acción para la implementación de las NOBACI, con el acompañamiento técnico de la CGR. Actualmente la institución presenta en el sistema, una calificación de </w:t>
      </w:r>
      <w:r w:rsidRPr="000254CE">
        <w:rPr>
          <w:color w:val="1F4E79"/>
          <w:szCs w:val="18"/>
          <w:lang w:eastAsia="es-DO"/>
        </w:rPr>
        <w:t>90.86</w:t>
      </w:r>
      <w:r w:rsidRPr="00FA1EEC">
        <w:rPr>
          <w:color w:val="1F4E79"/>
          <w:szCs w:val="18"/>
          <w:lang w:eastAsia="es-DO"/>
        </w:rPr>
        <w:t>.</w:t>
      </w:r>
    </w:p>
    <w:p w14:paraId="539D0426" w14:textId="77777777" w:rsidR="00134B5F" w:rsidRPr="00FA1EEC" w:rsidRDefault="00134B5F" w:rsidP="00663B7E">
      <w:pPr>
        <w:ind w:left="0" w:firstLine="646"/>
        <w:rPr>
          <w:color w:val="1F4E79"/>
          <w:szCs w:val="18"/>
          <w:lang w:eastAsia="es-DO"/>
        </w:rPr>
      </w:pPr>
    </w:p>
    <w:p w14:paraId="49B4F561" w14:textId="5490330B" w:rsidR="00134B5F" w:rsidRPr="00FA1EEC" w:rsidRDefault="00134B5F" w:rsidP="000254CE">
      <w:pPr>
        <w:ind w:left="0" w:firstLine="646"/>
        <w:rPr>
          <w:color w:val="1F4E79"/>
          <w:szCs w:val="18"/>
          <w:lang w:eastAsia="es-DO"/>
        </w:rPr>
      </w:pPr>
      <w:r w:rsidRPr="00FA1EEC">
        <w:rPr>
          <w:color w:val="1F4E79"/>
          <w:szCs w:val="18"/>
          <w:lang w:eastAsia="es-DO"/>
        </w:rPr>
        <w:t xml:space="preserve">No obstante, como resultado de los cambios y actualizaciones al Sistema Nacional de Control Interno (SINACI), y con ello el nuevo plan de trabajo de la CGR, el servicio de acompañamiento por parte de los analistas, se estará realizando por etapas con un número limitado de instituciones. En ese sentido, el </w:t>
      </w:r>
      <w:r w:rsidR="00207340">
        <w:rPr>
          <w:color w:val="1F4E79"/>
          <w:szCs w:val="18"/>
          <w:lang w:eastAsia="es-DO"/>
        </w:rPr>
        <w:t>FONPER</w:t>
      </w:r>
      <w:r w:rsidRPr="00FA1EEC">
        <w:rPr>
          <w:color w:val="1F4E79"/>
          <w:szCs w:val="18"/>
          <w:lang w:eastAsia="es-DO"/>
        </w:rPr>
        <w:t xml:space="preserve"> no se encuentra dentro de la primera etapa.</w:t>
      </w:r>
    </w:p>
    <w:p w14:paraId="0009A4E7" w14:textId="77777777" w:rsidR="00663B7E" w:rsidRPr="00AC35C3" w:rsidRDefault="00663B7E" w:rsidP="00AC35C3">
      <w:pPr>
        <w:ind w:left="0" w:firstLine="646"/>
        <w:rPr>
          <w:color w:val="1F4E79"/>
          <w:szCs w:val="18"/>
          <w:lang w:eastAsia="es-DO"/>
        </w:rPr>
      </w:pPr>
    </w:p>
    <w:p w14:paraId="5B97360B" w14:textId="17912E7F" w:rsidR="00134B5F" w:rsidRPr="00FA1EEC" w:rsidRDefault="00134B5F" w:rsidP="006F7560">
      <w:pPr>
        <w:pStyle w:val="Prrafodelista"/>
        <w:numPr>
          <w:ilvl w:val="2"/>
          <w:numId w:val="1"/>
        </w:numPr>
        <w:spacing w:after="0" w:line="360" w:lineRule="auto"/>
        <w:ind w:left="709"/>
        <w:jc w:val="center"/>
        <w:rPr>
          <w:b/>
          <w:color w:val="1F4E79"/>
          <w:szCs w:val="18"/>
          <w:u w:val="single"/>
          <w:lang w:eastAsia="es-DO"/>
        </w:rPr>
      </w:pPr>
      <w:r w:rsidRPr="00FA1EEC">
        <w:rPr>
          <w:b/>
          <w:color w:val="1F4E79"/>
          <w:szCs w:val="18"/>
          <w:u w:val="single"/>
          <w:lang w:eastAsia="es-DO"/>
        </w:rPr>
        <w:t>Cumplimiento Ley 200-04. Oficina de Acceso a la Información Pública (OAI).</w:t>
      </w:r>
    </w:p>
    <w:p w14:paraId="530125DA" w14:textId="77777777" w:rsidR="00134B5F" w:rsidRPr="000254CE" w:rsidRDefault="00134B5F" w:rsidP="000254CE">
      <w:pPr>
        <w:ind w:left="0" w:firstLine="646"/>
        <w:rPr>
          <w:color w:val="1F4E79"/>
          <w:szCs w:val="18"/>
          <w:lang w:eastAsia="es-DO"/>
        </w:rPr>
      </w:pPr>
    </w:p>
    <w:p w14:paraId="5CD43A32" w14:textId="7EB6EB13" w:rsidR="00134B5F" w:rsidRPr="00FA1EEC" w:rsidRDefault="00134B5F" w:rsidP="00AC35C3">
      <w:pPr>
        <w:ind w:left="0" w:firstLine="646"/>
        <w:rPr>
          <w:color w:val="1F4E79"/>
          <w:szCs w:val="18"/>
          <w:lang w:eastAsia="es-DO"/>
        </w:rPr>
      </w:pPr>
      <w:r w:rsidRPr="00FA1EEC">
        <w:rPr>
          <w:color w:val="1F4E79"/>
          <w:szCs w:val="18"/>
          <w:lang w:eastAsia="es-DO"/>
        </w:rPr>
        <w:t xml:space="preserve">La Oficina de Libre Acceso a la Información Pública del </w:t>
      </w:r>
      <w:r w:rsidR="00207340">
        <w:rPr>
          <w:color w:val="1F4E79"/>
          <w:szCs w:val="18"/>
          <w:lang w:eastAsia="es-DO"/>
        </w:rPr>
        <w:t>FONPER</w:t>
      </w:r>
      <w:r w:rsidRPr="00FA1EEC">
        <w:rPr>
          <w:color w:val="1F4E79"/>
          <w:szCs w:val="18"/>
          <w:lang w:eastAsia="es-DO"/>
        </w:rPr>
        <w:t xml:space="preserve"> se inauguró el 22 de julio del 2010, con el fin de asumir el compromiso del cumplimiento de la Ley General de Libre Acceso a la Información Pública. No.200-04 y su reglamento de aplicación Decreto No.130-05. Desde su inicio, esta oficina se ha mantenido en un proceso continuo de capacitación y actualización en los temas relacionados a la transparencia y la rendición de cuentas, lo que ha permitido lograr altos estándares de cumplimiento y de satisfacción en los ciudadanos.</w:t>
      </w:r>
    </w:p>
    <w:p w14:paraId="045BB4C7" w14:textId="77777777" w:rsidR="00AC35C3" w:rsidRPr="000254CE" w:rsidRDefault="00AC35C3" w:rsidP="00663B7E">
      <w:pPr>
        <w:ind w:left="0" w:firstLine="646"/>
        <w:rPr>
          <w:color w:val="1F4E79"/>
          <w:szCs w:val="18"/>
          <w:lang w:eastAsia="es-DO"/>
        </w:rPr>
      </w:pPr>
    </w:p>
    <w:p w14:paraId="5238C8E4" w14:textId="77777777" w:rsidR="00134B5F" w:rsidRPr="00FA1EEC" w:rsidRDefault="00134B5F" w:rsidP="00134B5F">
      <w:pPr>
        <w:numPr>
          <w:ilvl w:val="0"/>
          <w:numId w:val="16"/>
        </w:numPr>
        <w:spacing w:after="0" w:line="480" w:lineRule="auto"/>
        <w:ind w:left="993" w:hanging="284"/>
        <w:rPr>
          <w:b/>
          <w:color w:val="1F4E79"/>
          <w:szCs w:val="18"/>
          <w:lang w:eastAsia="es-DO"/>
        </w:rPr>
      </w:pPr>
      <w:r w:rsidRPr="00FA1EEC">
        <w:rPr>
          <w:b/>
          <w:color w:val="1F4E79"/>
          <w:szCs w:val="18"/>
          <w:lang w:eastAsia="es-DO"/>
        </w:rPr>
        <w:t>Estadísticas sobre solicitudes de Información Pública recibidas.</w:t>
      </w:r>
    </w:p>
    <w:p w14:paraId="677FB31C" w14:textId="77777777" w:rsidR="00134B5F" w:rsidRPr="000254CE" w:rsidRDefault="00134B5F" w:rsidP="000254CE">
      <w:pPr>
        <w:ind w:left="0" w:firstLine="646"/>
        <w:rPr>
          <w:color w:val="1F4E79"/>
          <w:szCs w:val="18"/>
          <w:lang w:eastAsia="es-DO"/>
        </w:rPr>
      </w:pPr>
    </w:p>
    <w:tbl>
      <w:tblPr>
        <w:tblW w:w="7731" w:type="dxa"/>
        <w:tblInd w:w="276" w:type="dxa"/>
        <w:tblBorders>
          <w:top w:val="double" w:sz="4" w:space="0" w:color="A5A5A5"/>
          <w:left w:val="double" w:sz="4" w:space="0" w:color="A5A5A5"/>
          <w:bottom w:val="double" w:sz="4" w:space="0" w:color="A5A5A5"/>
          <w:right w:val="double" w:sz="4" w:space="0" w:color="A5A5A5"/>
          <w:insideH w:val="double" w:sz="4" w:space="0" w:color="A5A5A5"/>
          <w:insideV w:val="single" w:sz="4" w:space="0" w:color="auto"/>
        </w:tblBorders>
        <w:tblLook w:val="04A0" w:firstRow="1" w:lastRow="0" w:firstColumn="1" w:lastColumn="0" w:noHBand="0" w:noVBand="1"/>
      </w:tblPr>
      <w:tblGrid>
        <w:gridCol w:w="1331"/>
        <w:gridCol w:w="1107"/>
        <w:gridCol w:w="1278"/>
        <w:gridCol w:w="2082"/>
        <w:gridCol w:w="1933"/>
      </w:tblGrid>
      <w:tr w:rsidR="002A3EEF" w:rsidRPr="002A3EEF" w14:paraId="0DD7BE1A" w14:textId="77777777" w:rsidTr="00663B7E">
        <w:trPr>
          <w:trHeight w:val="589"/>
        </w:trPr>
        <w:tc>
          <w:tcPr>
            <w:tcW w:w="7731" w:type="dxa"/>
            <w:gridSpan w:val="5"/>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5D046D08" w14:textId="77777777" w:rsidR="002A3EEF" w:rsidRPr="002A3EEF" w:rsidRDefault="002A3EEF" w:rsidP="002A3EEF">
            <w:pPr>
              <w:spacing w:after="0" w:line="240" w:lineRule="auto"/>
              <w:ind w:left="0"/>
              <w:jc w:val="center"/>
              <w:rPr>
                <w:rFonts w:ascii="Artifex CF Light" w:eastAsia="Calibri" w:hAnsi="Artifex CF Light" w:cs="Times New Roman"/>
                <w:bCs/>
                <w:color w:val="FFFFFF"/>
                <w:sz w:val="20"/>
                <w:szCs w:val="20"/>
              </w:rPr>
            </w:pPr>
            <w:r w:rsidRPr="002A3EEF">
              <w:rPr>
                <w:rFonts w:ascii="Artifex CF Light" w:eastAsia="Calibri" w:hAnsi="Artifex CF Light" w:cs="Times New Roman"/>
                <w:b/>
                <w:bCs/>
                <w:color w:val="FFFFFF"/>
                <w:sz w:val="20"/>
                <w:szCs w:val="20"/>
              </w:rPr>
              <w:t>ESTADÍSTICAS DE SOLICITUDES RECIBIDAS</w:t>
            </w:r>
          </w:p>
        </w:tc>
      </w:tr>
      <w:tr w:rsidR="002A3EEF" w:rsidRPr="002A3EEF" w14:paraId="4E205A19" w14:textId="77777777" w:rsidTr="00663B7E">
        <w:trPr>
          <w:trHeight w:val="557"/>
        </w:trPr>
        <w:tc>
          <w:tcPr>
            <w:tcW w:w="1331" w:type="dxa"/>
            <w:tcBorders>
              <w:top w:val="single" w:sz="4" w:space="0" w:color="auto"/>
              <w:left w:val="single" w:sz="4" w:space="0" w:color="auto"/>
              <w:bottom w:val="single" w:sz="4" w:space="0" w:color="auto"/>
            </w:tcBorders>
            <w:shd w:val="clear" w:color="auto" w:fill="B4C6E7"/>
            <w:noWrap/>
          </w:tcPr>
          <w:p w14:paraId="28A49808" w14:textId="77777777" w:rsidR="002A3EEF" w:rsidRPr="002A3EEF" w:rsidRDefault="002A3EEF" w:rsidP="002A3EEF">
            <w:pPr>
              <w:spacing w:after="0" w:line="240" w:lineRule="auto"/>
              <w:ind w:left="0"/>
              <w:jc w:val="center"/>
              <w:rPr>
                <w:rFonts w:ascii="Artifex CF Light" w:eastAsia="Calibri" w:hAnsi="Artifex CF Light" w:cs="Times New Roman"/>
                <w:b/>
                <w:bCs/>
                <w:color w:val="auto"/>
                <w:szCs w:val="18"/>
              </w:rPr>
            </w:pPr>
            <w:r w:rsidRPr="002A3EEF">
              <w:rPr>
                <w:rFonts w:ascii="Artifex CF Light" w:eastAsia="Calibri" w:hAnsi="Artifex CF Light" w:cs="Times New Roman"/>
                <w:b/>
                <w:bCs/>
                <w:color w:val="auto"/>
                <w:szCs w:val="18"/>
              </w:rPr>
              <w:t>Medio de solicitud</w:t>
            </w:r>
          </w:p>
        </w:tc>
        <w:tc>
          <w:tcPr>
            <w:tcW w:w="1107" w:type="dxa"/>
            <w:tcBorders>
              <w:top w:val="single" w:sz="4" w:space="0" w:color="auto"/>
              <w:bottom w:val="single" w:sz="4" w:space="0" w:color="auto"/>
            </w:tcBorders>
            <w:shd w:val="clear" w:color="auto" w:fill="B4C6E7"/>
            <w:noWrap/>
            <w:vAlign w:val="center"/>
          </w:tcPr>
          <w:p w14:paraId="4D69214E" w14:textId="77777777" w:rsidR="002A3EEF" w:rsidRPr="002A3EEF" w:rsidRDefault="002A3EEF" w:rsidP="002A3EEF">
            <w:pPr>
              <w:spacing w:after="0" w:line="240" w:lineRule="auto"/>
              <w:ind w:left="0"/>
              <w:jc w:val="center"/>
              <w:rPr>
                <w:rFonts w:ascii="Artifex CF Light" w:eastAsia="Calibri" w:hAnsi="Artifex CF Light" w:cs="Times New Roman"/>
                <w:b/>
                <w:color w:val="auto"/>
                <w:szCs w:val="18"/>
              </w:rPr>
            </w:pPr>
            <w:r w:rsidRPr="002A3EEF">
              <w:rPr>
                <w:rFonts w:ascii="Artifex CF Light" w:eastAsia="Calibri" w:hAnsi="Artifex CF Light" w:cs="Times New Roman"/>
                <w:b/>
                <w:color w:val="auto"/>
                <w:szCs w:val="18"/>
              </w:rPr>
              <w:t>Recibidas</w:t>
            </w:r>
          </w:p>
        </w:tc>
        <w:tc>
          <w:tcPr>
            <w:tcW w:w="1278" w:type="dxa"/>
            <w:tcBorders>
              <w:top w:val="single" w:sz="4" w:space="0" w:color="auto"/>
              <w:bottom w:val="single" w:sz="4" w:space="0" w:color="auto"/>
            </w:tcBorders>
            <w:shd w:val="clear" w:color="auto" w:fill="B4C6E7"/>
            <w:noWrap/>
            <w:vAlign w:val="center"/>
          </w:tcPr>
          <w:p w14:paraId="552F823B" w14:textId="77777777" w:rsidR="002A3EEF" w:rsidRPr="002A3EEF" w:rsidRDefault="002A3EEF" w:rsidP="002A3EEF">
            <w:pPr>
              <w:spacing w:after="0" w:line="240" w:lineRule="auto"/>
              <w:ind w:left="0"/>
              <w:jc w:val="center"/>
              <w:rPr>
                <w:rFonts w:ascii="Artifex CF Light" w:eastAsia="Calibri" w:hAnsi="Artifex CF Light" w:cs="Times New Roman"/>
                <w:b/>
                <w:color w:val="auto"/>
                <w:szCs w:val="18"/>
              </w:rPr>
            </w:pPr>
            <w:r w:rsidRPr="002A3EEF">
              <w:rPr>
                <w:rFonts w:ascii="Artifex CF Light" w:eastAsia="Calibri" w:hAnsi="Artifex CF Light" w:cs="Times New Roman"/>
                <w:b/>
                <w:color w:val="auto"/>
                <w:szCs w:val="18"/>
              </w:rPr>
              <w:t>Resueltas</w:t>
            </w:r>
          </w:p>
        </w:tc>
        <w:tc>
          <w:tcPr>
            <w:tcW w:w="2082" w:type="dxa"/>
            <w:tcBorders>
              <w:top w:val="single" w:sz="4" w:space="0" w:color="auto"/>
              <w:bottom w:val="single" w:sz="4" w:space="0" w:color="auto"/>
            </w:tcBorders>
            <w:shd w:val="clear" w:color="auto" w:fill="B4C6E7"/>
            <w:noWrap/>
            <w:vAlign w:val="center"/>
          </w:tcPr>
          <w:p w14:paraId="1AA3E38F" w14:textId="77777777" w:rsidR="002A3EEF" w:rsidRPr="002A3EEF" w:rsidRDefault="002A3EEF" w:rsidP="002A3EEF">
            <w:pPr>
              <w:spacing w:after="0" w:line="240" w:lineRule="auto"/>
              <w:ind w:left="0"/>
              <w:jc w:val="center"/>
              <w:rPr>
                <w:rFonts w:ascii="Artifex CF Light" w:eastAsia="Calibri" w:hAnsi="Artifex CF Light" w:cs="Times New Roman"/>
                <w:b/>
                <w:color w:val="auto"/>
                <w:szCs w:val="18"/>
              </w:rPr>
            </w:pPr>
            <w:r w:rsidRPr="002A3EEF">
              <w:rPr>
                <w:rFonts w:ascii="Artifex CF Light" w:eastAsia="Calibri" w:hAnsi="Artifex CF Light" w:cs="Times New Roman"/>
                <w:b/>
                <w:color w:val="auto"/>
                <w:szCs w:val="18"/>
              </w:rPr>
              <w:t>Tiempo promedio de  respuesta</w:t>
            </w:r>
          </w:p>
        </w:tc>
        <w:tc>
          <w:tcPr>
            <w:tcW w:w="1932" w:type="dxa"/>
            <w:tcBorders>
              <w:top w:val="single" w:sz="4" w:space="0" w:color="auto"/>
              <w:bottom w:val="single" w:sz="4" w:space="0" w:color="auto"/>
              <w:right w:val="single" w:sz="4" w:space="0" w:color="auto"/>
            </w:tcBorders>
            <w:shd w:val="clear" w:color="auto" w:fill="B4C6E7"/>
            <w:vAlign w:val="center"/>
          </w:tcPr>
          <w:p w14:paraId="1C5D9B6D" w14:textId="77777777" w:rsidR="002A3EEF" w:rsidRPr="002A3EEF" w:rsidRDefault="002A3EEF" w:rsidP="002A3EEF">
            <w:pPr>
              <w:spacing w:after="0" w:line="240" w:lineRule="auto"/>
              <w:ind w:left="0"/>
              <w:jc w:val="center"/>
              <w:rPr>
                <w:rFonts w:ascii="Artifex CF Light" w:eastAsia="Calibri" w:hAnsi="Artifex CF Light" w:cs="Times New Roman"/>
                <w:b/>
                <w:color w:val="auto"/>
                <w:szCs w:val="18"/>
              </w:rPr>
            </w:pPr>
            <w:r w:rsidRPr="002A3EEF">
              <w:rPr>
                <w:rFonts w:ascii="Artifex CF Light" w:eastAsia="Calibri" w:hAnsi="Artifex CF Light" w:cs="Times New Roman"/>
                <w:b/>
                <w:color w:val="auto"/>
                <w:szCs w:val="18"/>
              </w:rPr>
              <w:t>Tipo de solicitud</w:t>
            </w:r>
          </w:p>
        </w:tc>
      </w:tr>
      <w:tr w:rsidR="002A3EEF" w:rsidRPr="002A3EEF" w14:paraId="7307ED78" w14:textId="77777777" w:rsidTr="00663B7E">
        <w:trPr>
          <w:trHeight w:val="557"/>
        </w:trPr>
        <w:tc>
          <w:tcPr>
            <w:tcW w:w="1331" w:type="dxa"/>
            <w:tcBorders>
              <w:top w:val="single" w:sz="4" w:space="0" w:color="auto"/>
              <w:left w:val="single" w:sz="4" w:space="0" w:color="auto"/>
              <w:bottom w:val="single" w:sz="4" w:space="0" w:color="auto"/>
            </w:tcBorders>
            <w:shd w:val="clear" w:color="auto" w:fill="auto"/>
            <w:noWrap/>
            <w:vAlign w:val="center"/>
            <w:hideMark/>
          </w:tcPr>
          <w:p w14:paraId="4A2D3F15" w14:textId="77777777" w:rsidR="002A3EEF" w:rsidRPr="002A3EEF" w:rsidRDefault="002A3EEF" w:rsidP="002A3EEF">
            <w:pPr>
              <w:spacing w:after="0" w:line="240" w:lineRule="auto"/>
              <w:ind w:left="0"/>
              <w:jc w:val="center"/>
              <w:rPr>
                <w:rFonts w:ascii="Artifex CF Light" w:eastAsia="Calibri" w:hAnsi="Artifex CF Light" w:cs="Times New Roman"/>
                <w:bCs/>
                <w:color w:val="auto"/>
                <w:szCs w:val="18"/>
              </w:rPr>
            </w:pPr>
            <w:r w:rsidRPr="002A3EEF">
              <w:rPr>
                <w:rFonts w:ascii="Artifex CF Light" w:eastAsia="Calibri" w:hAnsi="Artifex CF Light" w:cs="Times New Roman"/>
                <w:bCs/>
                <w:color w:val="auto"/>
                <w:szCs w:val="18"/>
              </w:rPr>
              <w:t>SAIP</w:t>
            </w:r>
          </w:p>
        </w:tc>
        <w:tc>
          <w:tcPr>
            <w:tcW w:w="1107" w:type="dxa"/>
            <w:tcBorders>
              <w:top w:val="single" w:sz="4" w:space="0" w:color="auto"/>
              <w:bottom w:val="single" w:sz="4" w:space="0" w:color="auto"/>
            </w:tcBorders>
            <w:shd w:val="clear" w:color="auto" w:fill="auto"/>
            <w:noWrap/>
            <w:vAlign w:val="center"/>
            <w:hideMark/>
          </w:tcPr>
          <w:p w14:paraId="44D9E5D7" w14:textId="77777777" w:rsidR="002A3EEF" w:rsidRPr="002A3EEF" w:rsidRDefault="002A3EEF" w:rsidP="002A3EEF">
            <w:pPr>
              <w:spacing w:after="0" w:line="240" w:lineRule="auto"/>
              <w:ind w:left="0"/>
              <w:jc w:val="center"/>
              <w:rPr>
                <w:rFonts w:ascii="Artifex CF Light" w:eastAsia="Calibri" w:hAnsi="Artifex CF Light" w:cs="Times New Roman"/>
                <w:color w:val="auto"/>
                <w:szCs w:val="18"/>
              </w:rPr>
            </w:pPr>
            <w:r w:rsidRPr="002A3EEF">
              <w:rPr>
                <w:rFonts w:ascii="Artifex CF Light" w:eastAsia="Calibri" w:hAnsi="Artifex CF Light" w:cs="Times New Roman"/>
                <w:color w:val="auto"/>
                <w:szCs w:val="18"/>
              </w:rPr>
              <w:t>8</w:t>
            </w:r>
          </w:p>
        </w:tc>
        <w:tc>
          <w:tcPr>
            <w:tcW w:w="1278" w:type="dxa"/>
            <w:tcBorders>
              <w:top w:val="single" w:sz="4" w:space="0" w:color="auto"/>
              <w:bottom w:val="single" w:sz="4" w:space="0" w:color="auto"/>
            </w:tcBorders>
            <w:shd w:val="clear" w:color="auto" w:fill="auto"/>
            <w:noWrap/>
            <w:vAlign w:val="center"/>
            <w:hideMark/>
          </w:tcPr>
          <w:p w14:paraId="76534171" w14:textId="77777777" w:rsidR="002A3EEF" w:rsidRPr="002A3EEF" w:rsidRDefault="002A3EEF" w:rsidP="002A3EEF">
            <w:pPr>
              <w:spacing w:after="0" w:line="240" w:lineRule="auto"/>
              <w:ind w:left="0"/>
              <w:jc w:val="center"/>
              <w:rPr>
                <w:rFonts w:ascii="Artifex CF Light" w:eastAsia="Calibri" w:hAnsi="Artifex CF Light" w:cs="Times New Roman"/>
                <w:color w:val="auto"/>
                <w:szCs w:val="18"/>
              </w:rPr>
            </w:pPr>
            <w:r w:rsidRPr="002A3EEF">
              <w:rPr>
                <w:rFonts w:ascii="Artifex CF Light" w:eastAsia="Calibri" w:hAnsi="Artifex CF Light" w:cs="Times New Roman"/>
                <w:color w:val="auto"/>
                <w:szCs w:val="18"/>
              </w:rPr>
              <w:t>8</w:t>
            </w:r>
          </w:p>
        </w:tc>
        <w:tc>
          <w:tcPr>
            <w:tcW w:w="2082" w:type="dxa"/>
            <w:vMerge w:val="restart"/>
            <w:tcBorders>
              <w:top w:val="single" w:sz="4" w:space="0" w:color="auto"/>
              <w:bottom w:val="single" w:sz="4" w:space="0" w:color="auto"/>
            </w:tcBorders>
            <w:shd w:val="clear" w:color="auto" w:fill="auto"/>
            <w:noWrap/>
            <w:hideMark/>
          </w:tcPr>
          <w:p w14:paraId="7302922B" w14:textId="77777777" w:rsidR="002A3EEF" w:rsidRPr="002A3EEF" w:rsidRDefault="002A3EEF" w:rsidP="002A3EEF">
            <w:pPr>
              <w:spacing w:after="0" w:line="240" w:lineRule="auto"/>
              <w:ind w:left="0"/>
              <w:jc w:val="center"/>
              <w:rPr>
                <w:rFonts w:ascii="Artifex CF Light" w:eastAsia="Calibri" w:hAnsi="Artifex CF Light" w:cs="Times New Roman"/>
                <w:color w:val="auto"/>
                <w:szCs w:val="18"/>
              </w:rPr>
            </w:pPr>
          </w:p>
          <w:p w14:paraId="44AE8138" w14:textId="77777777" w:rsidR="002A3EEF" w:rsidRPr="002A3EEF" w:rsidRDefault="002A3EEF" w:rsidP="002A3EEF">
            <w:pPr>
              <w:spacing w:after="0" w:line="240" w:lineRule="auto"/>
              <w:ind w:left="0"/>
              <w:jc w:val="center"/>
              <w:rPr>
                <w:rFonts w:ascii="Artifex CF Light" w:eastAsia="Calibri" w:hAnsi="Artifex CF Light" w:cs="Times New Roman"/>
                <w:color w:val="auto"/>
                <w:szCs w:val="18"/>
              </w:rPr>
            </w:pPr>
          </w:p>
          <w:p w14:paraId="3EF5154D" w14:textId="77777777" w:rsidR="00663B7E" w:rsidRDefault="00663B7E" w:rsidP="00663B7E">
            <w:pPr>
              <w:spacing w:after="0" w:line="240" w:lineRule="auto"/>
              <w:ind w:left="0"/>
              <w:jc w:val="center"/>
              <w:rPr>
                <w:rFonts w:ascii="Artifex CF Light" w:eastAsia="Calibri" w:hAnsi="Artifex CF Light" w:cs="Times New Roman"/>
                <w:color w:val="auto"/>
                <w:szCs w:val="18"/>
              </w:rPr>
            </w:pPr>
          </w:p>
          <w:p w14:paraId="75A01616" w14:textId="5799B657" w:rsidR="002A3EEF" w:rsidRPr="002A3EEF" w:rsidRDefault="002A3EEF" w:rsidP="00663B7E">
            <w:pPr>
              <w:spacing w:after="0" w:line="240" w:lineRule="auto"/>
              <w:ind w:left="0"/>
              <w:jc w:val="center"/>
              <w:rPr>
                <w:rFonts w:ascii="Artifex CF Light" w:eastAsia="Calibri" w:hAnsi="Artifex CF Light" w:cs="Times New Roman"/>
                <w:color w:val="auto"/>
                <w:szCs w:val="18"/>
              </w:rPr>
            </w:pPr>
            <w:r w:rsidRPr="002A3EEF">
              <w:rPr>
                <w:rFonts w:ascii="Artifex CF Light" w:eastAsia="Calibri" w:hAnsi="Artifex CF Light" w:cs="Times New Roman"/>
                <w:color w:val="auto"/>
                <w:szCs w:val="18"/>
              </w:rPr>
              <w:t>7 días</w:t>
            </w:r>
          </w:p>
        </w:tc>
        <w:tc>
          <w:tcPr>
            <w:tcW w:w="1932" w:type="dxa"/>
            <w:tcBorders>
              <w:top w:val="single" w:sz="4" w:space="0" w:color="auto"/>
              <w:bottom w:val="single" w:sz="4" w:space="0" w:color="auto"/>
              <w:right w:val="single" w:sz="4" w:space="0" w:color="auto"/>
            </w:tcBorders>
            <w:shd w:val="clear" w:color="auto" w:fill="auto"/>
            <w:vAlign w:val="center"/>
          </w:tcPr>
          <w:p w14:paraId="197C348B" w14:textId="77777777" w:rsidR="002A3EEF" w:rsidRPr="002A3EEF" w:rsidRDefault="002A3EEF" w:rsidP="002A3EEF">
            <w:pPr>
              <w:spacing w:after="0" w:line="240" w:lineRule="auto"/>
              <w:ind w:left="0"/>
              <w:jc w:val="center"/>
              <w:rPr>
                <w:rFonts w:ascii="Artifex CF Light" w:eastAsia="Calibri" w:hAnsi="Artifex CF Light" w:cs="Times New Roman"/>
                <w:color w:val="auto"/>
                <w:sz w:val="16"/>
                <w:szCs w:val="16"/>
              </w:rPr>
            </w:pPr>
            <w:r w:rsidRPr="002A3EEF">
              <w:rPr>
                <w:rFonts w:ascii="Artifex CF Light" w:eastAsia="Calibri" w:hAnsi="Artifex CF Light" w:cs="Times New Roman"/>
                <w:color w:val="auto"/>
                <w:sz w:val="16"/>
                <w:szCs w:val="16"/>
              </w:rPr>
              <w:t>Asuntos Legales</w:t>
            </w:r>
          </w:p>
          <w:p w14:paraId="4CF8775C" w14:textId="77777777" w:rsidR="002A3EEF" w:rsidRPr="002A3EEF" w:rsidRDefault="002A3EEF" w:rsidP="002A3EEF">
            <w:pPr>
              <w:spacing w:after="0" w:line="240" w:lineRule="auto"/>
              <w:ind w:left="0"/>
              <w:jc w:val="center"/>
              <w:rPr>
                <w:rFonts w:ascii="Artifex CF Light" w:eastAsia="Calibri" w:hAnsi="Artifex CF Light" w:cs="Times New Roman"/>
                <w:color w:val="auto"/>
                <w:sz w:val="16"/>
                <w:szCs w:val="16"/>
              </w:rPr>
            </w:pPr>
            <w:r w:rsidRPr="002A3EEF">
              <w:rPr>
                <w:rFonts w:ascii="Artifex CF Light" w:eastAsia="Calibri" w:hAnsi="Artifex CF Light" w:cs="Times New Roman"/>
                <w:color w:val="auto"/>
                <w:sz w:val="16"/>
                <w:szCs w:val="16"/>
              </w:rPr>
              <w:t>70%</w:t>
            </w:r>
          </w:p>
        </w:tc>
      </w:tr>
      <w:tr w:rsidR="002A3EEF" w:rsidRPr="002A3EEF" w14:paraId="61807832" w14:textId="77777777" w:rsidTr="00663B7E">
        <w:trPr>
          <w:trHeight w:val="804"/>
        </w:trPr>
        <w:tc>
          <w:tcPr>
            <w:tcW w:w="1331" w:type="dxa"/>
            <w:tcBorders>
              <w:top w:val="single" w:sz="4" w:space="0" w:color="auto"/>
              <w:left w:val="single" w:sz="4" w:space="0" w:color="auto"/>
              <w:bottom w:val="single" w:sz="4" w:space="0" w:color="auto"/>
            </w:tcBorders>
            <w:shd w:val="clear" w:color="auto" w:fill="auto"/>
            <w:noWrap/>
            <w:vAlign w:val="center"/>
            <w:hideMark/>
          </w:tcPr>
          <w:p w14:paraId="122E07C3" w14:textId="77777777" w:rsidR="002A3EEF" w:rsidRPr="002A3EEF" w:rsidRDefault="002A3EEF" w:rsidP="002A3EEF">
            <w:pPr>
              <w:spacing w:after="0" w:line="240" w:lineRule="auto"/>
              <w:ind w:left="0"/>
              <w:jc w:val="center"/>
              <w:rPr>
                <w:rFonts w:ascii="Artifex CF Light" w:eastAsia="Calibri" w:hAnsi="Artifex CF Light" w:cs="Times New Roman"/>
                <w:bCs/>
                <w:color w:val="auto"/>
                <w:szCs w:val="18"/>
              </w:rPr>
            </w:pPr>
            <w:r w:rsidRPr="002A3EEF">
              <w:rPr>
                <w:rFonts w:ascii="Artifex CF Light" w:eastAsia="Calibri" w:hAnsi="Artifex CF Light" w:cs="Times New Roman"/>
                <w:bCs/>
                <w:color w:val="auto"/>
                <w:szCs w:val="18"/>
              </w:rPr>
              <w:t>311</w:t>
            </w:r>
          </w:p>
        </w:tc>
        <w:tc>
          <w:tcPr>
            <w:tcW w:w="1107" w:type="dxa"/>
            <w:tcBorders>
              <w:top w:val="single" w:sz="4" w:space="0" w:color="auto"/>
              <w:bottom w:val="single" w:sz="4" w:space="0" w:color="auto"/>
            </w:tcBorders>
            <w:shd w:val="clear" w:color="auto" w:fill="auto"/>
            <w:noWrap/>
            <w:vAlign w:val="center"/>
            <w:hideMark/>
          </w:tcPr>
          <w:p w14:paraId="0AEC7E5D" w14:textId="77777777" w:rsidR="002A3EEF" w:rsidRPr="002A3EEF" w:rsidRDefault="002A3EEF" w:rsidP="002A3EEF">
            <w:pPr>
              <w:spacing w:after="0" w:line="240" w:lineRule="auto"/>
              <w:ind w:left="0"/>
              <w:jc w:val="center"/>
              <w:rPr>
                <w:rFonts w:ascii="Artifex CF Light" w:eastAsia="Calibri" w:hAnsi="Artifex CF Light" w:cs="Times New Roman"/>
                <w:color w:val="auto"/>
                <w:szCs w:val="18"/>
              </w:rPr>
            </w:pPr>
            <w:r w:rsidRPr="002A3EEF">
              <w:rPr>
                <w:rFonts w:ascii="Artifex CF Light" w:eastAsia="Calibri" w:hAnsi="Artifex CF Light" w:cs="Times New Roman"/>
                <w:color w:val="auto"/>
                <w:szCs w:val="18"/>
              </w:rPr>
              <w:t>0</w:t>
            </w:r>
          </w:p>
        </w:tc>
        <w:tc>
          <w:tcPr>
            <w:tcW w:w="1278" w:type="dxa"/>
            <w:tcBorders>
              <w:top w:val="single" w:sz="4" w:space="0" w:color="auto"/>
              <w:bottom w:val="single" w:sz="4" w:space="0" w:color="auto"/>
            </w:tcBorders>
            <w:shd w:val="clear" w:color="auto" w:fill="auto"/>
            <w:noWrap/>
            <w:vAlign w:val="center"/>
            <w:hideMark/>
          </w:tcPr>
          <w:p w14:paraId="2DB863F1" w14:textId="77777777" w:rsidR="002A3EEF" w:rsidRPr="002A3EEF" w:rsidRDefault="002A3EEF" w:rsidP="002A3EEF">
            <w:pPr>
              <w:spacing w:after="0" w:line="240" w:lineRule="auto"/>
              <w:ind w:left="0"/>
              <w:jc w:val="center"/>
              <w:rPr>
                <w:rFonts w:ascii="Artifex CF Light" w:eastAsia="Calibri" w:hAnsi="Artifex CF Light" w:cs="Times New Roman"/>
                <w:color w:val="auto"/>
                <w:szCs w:val="18"/>
              </w:rPr>
            </w:pPr>
            <w:r w:rsidRPr="002A3EEF">
              <w:rPr>
                <w:rFonts w:ascii="Artifex CF Light" w:eastAsia="Calibri" w:hAnsi="Artifex CF Light" w:cs="Times New Roman"/>
                <w:color w:val="auto"/>
                <w:szCs w:val="18"/>
              </w:rPr>
              <w:t>0</w:t>
            </w:r>
          </w:p>
        </w:tc>
        <w:tc>
          <w:tcPr>
            <w:tcW w:w="2082" w:type="dxa"/>
            <w:vMerge/>
            <w:tcBorders>
              <w:top w:val="single" w:sz="4" w:space="0" w:color="auto"/>
              <w:bottom w:val="single" w:sz="4" w:space="0" w:color="auto"/>
            </w:tcBorders>
            <w:shd w:val="clear" w:color="auto" w:fill="auto"/>
            <w:noWrap/>
            <w:hideMark/>
          </w:tcPr>
          <w:p w14:paraId="15DEEA32" w14:textId="77777777" w:rsidR="002A3EEF" w:rsidRPr="002A3EEF" w:rsidRDefault="002A3EEF" w:rsidP="002A3EEF">
            <w:pPr>
              <w:spacing w:after="0" w:line="240" w:lineRule="auto"/>
              <w:ind w:left="0"/>
              <w:jc w:val="center"/>
              <w:rPr>
                <w:rFonts w:ascii="Artifex CF Light" w:eastAsia="Calibri" w:hAnsi="Artifex CF Light" w:cs="Times New Roman"/>
                <w:color w:val="auto"/>
                <w:szCs w:val="18"/>
              </w:rPr>
            </w:pPr>
          </w:p>
        </w:tc>
        <w:tc>
          <w:tcPr>
            <w:tcW w:w="1932" w:type="dxa"/>
            <w:tcBorders>
              <w:top w:val="single" w:sz="4" w:space="0" w:color="auto"/>
              <w:bottom w:val="single" w:sz="4" w:space="0" w:color="auto"/>
              <w:right w:val="single" w:sz="4" w:space="0" w:color="auto"/>
            </w:tcBorders>
            <w:shd w:val="clear" w:color="auto" w:fill="auto"/>
            <w:vAlign w:val="center"/>
          </w:tcPr>
          <w:p w14:paraId="23CB4B3F" w14:textId="77777777" w:rsidR="002A3EEF" w:rsidRPr="002A3EEF" w:rsidRDefault="002A3EEF" w:rsidP="002A3EEF">
            <w:pPr>
              <w:spacing w:after="0" w:line="240" w:lineRule="auto"/>
              <w:ind w:left="0"/>
              <w:jc w:val="center"/>
              <w:rPr>
                <w:rFonts w:ascii="Artifex CF Light" w:eastAsia="Calibri" w:hAnsi="Artifex CF Light" w:cs="Times New Roman"/>
                <w:color w:val="auto"/>
                <w:sz w:val="16"/>
                <w:szCs w:val="16"/>
              </w:rPr>
            </w:pPr>
            <w:r w:rsidRPr="002A3EEF">
              <w:rPr>
                <w:rFonts w:ascii="Artifex CF Light" w:eastAsia="Calibri" w:hAnsi="Artifex CF Light" w:cs="Times New Roman"/>
                <w:color w:val="auto"/>
                <w:sz w:val="16"/>
                <w:szCs w:val="16"/>
              </w:rPr>
              <w:t>Asuntos Financieros</w:t>
            </w:r>
          </w:p>
          <w:p w14:paraId="49126383" w14:textId="77777777" w:rsidR="002A3EEF" w:rsidRPr="002A3EEF" w:rsidRDefault="002A3EEF" w:rsidP="002A3EEF">
            <w:pPr>
              <w:spacing w:after="0" w:line="240" w:lineRule="auto"/>
              <w:ind w:left="0"/>
              <w:jc w:val="center"/>
              <w:rPr>
                <w:rFonts w:ascii="Artifex CF Light" w:eastAsia="Calibri" w:hAnsi="Artifex CF Light" w:cs="Times New Roman"/>
                <w:color w:val="auto"/>
                <w:sz w:val="16"/>
                <w:szCs w:val="16"/>
              </w:rPr>
            </w:pPr>
            <w:r w:rsidRPr="002A3EEF">
              <w:rPr>
                <w:rFonts w:ascii="Artifex CF Light" w:eastAsia="Calibri" w:hAnsi="Artifex CF Light" w:cs="Times New Roman"/>
                <w:color w:val="auto"/>
                <w:sz w:val="16"/>
                <w:szCs w:val="16"/>
              </w:rPr>
              <w:t>30%</w:t>
            </w:r>
          </w:p>
        </w:tc>
      </w:tr>
      <w:tr w:rsidR="002A3EEF" w:rsidRPr="002A3EEF" w14:paraId="658085A8" w14:textId="77777777" w:rsidTr="00663B7E">
        <w:trPr>
          <w:trHeight w:val="716"/>
        </w:trPr>
        <w:tc>
          <w:tcPr>
            <w:tcW w:w="1331" w:type="dxa"/>
            <w:tcBorders>
              <w:top w:val="single" w:sz="4" w:space="0" w:color="auto"/>
              <w:left w:val="single" w:sz="4" w:space="0" w:color="auto"/>
              <w:bottom w:val="single" w:sz="4" w:space="0" w:color="auto"/>
            </w:tcBorders>
            <w:shd w:val="clear" w:color="auto" w:fill="auto"/>
            <w:noWrap/>
            <w:vAlign w:val="center"/>
          </w:tcPr>
          <w:p w14:paraId="18900DAD" w14:textId="77777777" w:rsidR="002A3EEF" w:rsidRPr="002A3EEF" w:rsidRDefault="002A3EEF" w:rsidP="002A3EEF">
            <w:pPr>
              <w:spacing w:after="0" w:line="240" w:lineRule="auto"/>
              <w:ind w:left="0"/>
              <w:jc w:val="center"/>
              <w:rPr>
                <w:rFonts w:ascii="Artifex CF Light" w:eastAsia="Calibri" w:hAnsi="Artifex CF Light" w:cs="Times New Roman"/>
                <w:bCs/>
                <w:color w:val="auto"/>
                <w:szCs w:val="18"/>
              </w:rPr>
            </w:pPr>
            <w:r w:rsidRPr="002A3EEF">
              <w:rPr>
                <w:rFonts w:ascii="Artifex CF Light" w:eastAsia="Calibri" w:hAnsi="Artifex CF Light" w:cs="Times New Roman"/>
                <w:bCs/>
                <w:color w:val="auto"/>
                <w:szCs w:val="18"/>
              </w:rPr>
              <w:t>Físicas</w:t>
            </w:r>
          </w:p>
        </w:tc>
        <w:tc>
          <w:tcPr>
            <w:tcW w:w="1107" w:type="dxa"/>
            <w:tcBorders>
              <w:top w:val="single" w:sz="4" w:space="0" w:color="auto"/>
              <w:bottom w:val="single" w:sz="4" w:space="0" w:color="auto"/>
            </w:tcBorders>
            <w:shd w:val="clear" w:color="auto" w:fill="auto"/>
            <w:noWrap/>
            <w:vAlign w:val="center"/>
          </w:tcPr>
          <w:p w14:paraId="696974D2" w14:textId="77777777" w:rsidR="002A3EEF" w:rsidRPr="002A3EEF" w:rsidRDefault="002A3EEF" w:rsidP="002A3EEF">
            <w:pPr>
              <w:spacing w:after="0" w:line="240" w:lineRule="auto"/>
              <w:ind w:left="0"/>
              <w:jc w:val="center"/>
              <w:rPr>
                <w:rFonts w:ascii="Artifex CF Light" w:eastAsia="Calibri" w:hAnsi="Artifex CF Light" w:cs="Times New Roman"/>
                <w:color w:val="auto"/>
                <w:szCs w:val="18"/>
              </w:rPr>
            </w:pPr>
            <w:r w:rsidRPr="002A3EEF">
              <w:rPr>
                <w:rFonts w:ascii="Artifex CF Light" w:eastAsia="Calibri" w:hAnsi="Artifex CF Light" w:cs="Times New Roman"/>
                <w:color w:val="auto"/>
                <w:szCs w:val="18"/>
              </w:rPr>
              <w:t>3</w:t>
            </w:r>
          </w:p>
        </w:tc>
        <w:tc>
          <w:tcPr>
            <w:tcW w:w="1278" w:type="dxa"/>
            <w:tcBorders>
              <w:top w:val="single" w:sz="4" w:space="0" w:color="auto"/>
              <w:bottom w:val="single" w:sz="4" w:space="0" w:color="auto"/>
            </w:tcBorders>
            <w:shd w:val="clear" w:color="auto" w:fill="auto"/>
            <w:noWrap/>
            <w:vAlign w:val="center"/>
          </w:tcPr>
          <w:p w14:paraId="0DB3875D" w14:textId="77777777" w:rsidR="002A3EEF" w:rsidRPr="002A3EEF" w:rsidRDefault="002A3EEF" w:rsidP="002A3EEF">
            <w:pPr>
              <w:spacing w:after="0" w:line="240" w:lineRule="auto"/>
              <w:ind w:left="0"/>
              <w:jc w:val="center"/>
              <w:rPr>
                <w:rFonts w:ascii="Artifex CF Light" w:eastAsia="Calibri" w:hAnsi="Artifex CF Light" w:cs="Times New Roman"/>
                <w:color w:val="auto"/>
                <w:szCs w:val="18"/>
              </w:rPr>
            </w:pPr>
            <w:r w:rsidRPr="002A3EEF">
              <w:rPr>
                <w:rFonts w:ascii="Artifex CF Light" w:eastAsia="Calibri" w:hAnsi="Artifex CF Light" w:cs="Times New Roman"/>
                <w:color w:val="auto"/>
                <w:szCs w:val="18"/>
              </w:rPr>
              <w:t>3</w:t>
            </w:r>
          </w:p>
        </w:tc>
        <w:tc>
          <w:tcPr>
            <w:tcW w:w="2082" w:type="dxa"/>
            <w:vMerge/>
            <w:tcBorders>
              <w:top w:val="single" w:sz="4" w:space="0" w:color="auto"/>
              <w:bottom w:val="single" w:sz="4" w:space="0" w:color="auto"/>
            </w:tcBorders>
            <w:shd w:val="clear" w:color="auto" w:fill="auto"/>
            <w:noWrap/>
          </w:tcPr>
          <w:p w14:paraId="3B5CC3EA" w14:textId="77777777" w:rsidR="002A3EEF" w:rsidRPr="002A3EEF" w:rsidRDefault="002A3EEF" w:rsidP="002A3EEF">
            <w:pPr>
              <w:spacing w:after="0" w:line="240" w:lineRule="auto"/>
              <w:ind w:left="0"/>
              <w:jc w:val="center"/>
              <w:rPr>
                <w:rFonts w:ascii="Artifex CF Light" w:eastAsia="Calibri" w:hAnsi="Artifex CF Light" w:cs="Times New Roman"/>
                <w:color w:val="auto"/>
                <w:szCs w:val="18"/>
              </w:rPr>
            </w:pPr>
          </w:p>
        </w:tc>
        <w:tc>
          <w:tcPr>
            <w:tcW w:w="1932" w:type="dxa"/>
            <w:tcBorders>
              <w:top w:val="single" w:sz="4" w:space="0" w:color="auto"/>
              <w:bottom w:val="single" w:sz="4" w:space="0" w:color="auto"/>
              <w:right w:val="single" w:sz="4" w:space="0" w:color="auto"/>
            </w:tcBorders>
            <w:shd w:val="clear" w:color="auto" w:fill="auto"/>
            <w:vAlign w:val="center"/>
          </w:tcPr>
          <w:p w14:paraId="70D4CCA2" w14:textId="77777777" w:rsidR="002A3EEF" w:rsidRPr="002A3EEF" w:rsidRDefault="002A3EEF" w:rsidP="002A3EEF">
            <w:pPr>
              <w:spacing w:after="0" w:line="240" w:lineRule="auto"/>
              <w:ind w:left="0"/>
              <w:jc w:val="center"/>
              <w:rPr>
                <w:rFonts w:ascii="Artifex CF Light" w:eastAsia="Calibri" w:hAnsi="Artifex CF Light" w:cs="Times New Roman"/>
                <w:color w:val="auto"/>
                <w:sz w:val="16"/>
                <w:szCs w:val="16"/>
              </w:rPr>
            </w:pPr>
            <w:r w:rsidRPr="002A3EEF">
              <w:rPr>
                <w:rFonts w:ascii="Artifex CF Light" w:eastAsia="Calibri" w:hAnsi="Artifex CF Light" w:cs="Times New Roman"/>
                <w:color w:val="auto"/>
                <w:sz w:val="16"/>
                <w:szCs w:val="16"/>
              </w:rPr>
              <w:t>Nóminas</w:t>
            </w:r>
          </w:p>
          <w:p w14:paraId="2EBB60E2" w14:textId="77777777" w:rsidR="002A3EEF" w:rsidRPr="002A3EEF" w:rsidRDefault="002A3EEF" w:rsidP="002A3EEF">
            <w:pPr>
              <w:spacing w:after="0" w:line="240" w:lineRule="auto"/>
              <w:ind w:left="0"/>
              <w:jc w:val="center"/>
              <w:rPr>
                <w:rFonts w:ascii="Artifex CF Light" w:eastAsia="Calibri" w:hAnsi="Artifex CF Light" w:cs="Times New Roman"/>
                <w:color w:val="auto"/>
                <w:sz w:val="16"/>
                <w:szCs w:val="16"/>
              </w:rPr>
            </w:pPr>
            <w:r w:rsidRPr="002A3EEF">
              <w:rPr>
                <w:rFonts w:ascii="Artifex CF Light" w:eastAsia="Calibri" w:hAnsi="Artifex CF Light" w:cs="Times New Roman"/>
                <w:color w:val="auto"/>
                <w:sz w:val="16"/>
                <w:szCs w:val="16"/>
              </w:rPr>
              <w:t>10%</w:t>
            </w:r>
          </w:p>
        </w:tc>
      </w:tr>
    </w:tbl>
    <w:p w14:paraId="6F36237D" w14:textId="77777777" w:rsidR="00663B7E" w:rsidRPr="000254CE" w:rsidRDefault="00663B7E" w:rsidP="000254CE">
      <w:pPr>
        <w:ind w:left="0" w:firstLine="646"/>
        <w:rPr>
          <w:color w:val="1F4E79"/>
          <w:szCs w:val="18"/>
          <w:lang w:eastAsia="es-DO"/>
        </w:rPr>
      </w:pPr>
    </w:p>
    <w:p w14:paraId="0293D970" w14:textId="18E0CEAE" w:rsidR="00134B5F" w:rsidRPr="00FA1EEC" w:rsidRDefault="00134B5F" w:rsidP="00134B5F">
      <w:pPr>
        <w:numPr>
          <w:ilvl w:val="0"/>
          <w:numId w:val="16"/>
        </w:numPr>
        <w:spacing w:after="0" w:line="480" w:lineRule="auto"/>
        <w:ind w:left="993" w:hanging="284"/>
        <w:rPr>
          <w:b/>
          <w:color w:val="1F4E79"/>
          <w:szCs w:val="18"/>
          <w:lang w:eastAsia="es-DO"/>
        </w:rPr>
      </w:pPr>
      <w:r w:rsidRPr="00FA1EEC">
        <w:rPr>
          <w:b/>
          <w:color w:val="1F4E79"/>
          <w:szCs w:val="18"/>
          <w:lang w:eastAsia="es-DO"/>
        </w:rPr>
        <w:t xml:space="preserve">Evaluaciones del Sub Portal de Transparencia </w:t>
      </w:r>
      <w:r w:rsidR="006C69EE" w:rsidRPr="00FA1EEC">
        <w:rPr>
          <w:b/>
          <w:color w:val="1F4E79"/>
          <w:szCs w:val="18"/>
          <w:lang w:eastAsia="es-DO"/>
        </w:rPr>
        <w:t xml:space="preserve">al 31 de agosto </w:t>
      </w:r>
      <w:r w:rsidRPr="00FA1EEC">
        <w:rPr>
          <w:b/>
          <w:color w:val="1F4E79"/>
          <w:szCs w:val="18"/>
          <w:lang w:eastAsia="es-DO"/>
        </w:rPr>
        <w:t>de</w:t>
      </w:r>
      <w:r w:rsidR="006C69EE" w:rsidRPr="00FA1EEC">
        <w:rPr>
          <w:b/>
          <w:color w:val="1F4E79"/>
          <w:szCs w:val="18"/>
          <w:lang w:eastAsia="es-DO"/>
        </w:rPr>
        <w:t>l</w:t>
      </w:r>
      <w:r w:rsidRPr="00FA1EEC">
        <w:rPr>
          <w:b/>
          <w:color w:val="1F4E79"/>
          <w:szCs w:val="18"/>
          <w:lang w:eastAsia="es-DO"/>
        </w:rPr>
        <w:t xml:space="preserve"> 2020.</w:t>
      </w:r>
    </w:p>
    <w:p w14:paraId="7D0947B8" w14:textId="77777777" w:rsidR="00134B5F" w:rsidRPr="000254CE" w:rsidRDefault="00134B5F" w:rsidP="000254CE">
      <w:pPr>
        <w:ind w:left="0" w:firstLine="646"/>
        <w:rPr>
          <w:color w:val="1F4E79"/>
          <w:szCs w:val="18"/>
          <w:lang w:eastAsia="es-DO"/>
        </w:rPr>
      </w:pPr>
    </w:p>
    <w:tbl>
      <w:tblPr>
        <w:tblW w:w="0" w:type="auto"/>
        <w:jc w:val="cente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firstRow="1" w:lastRow="0" w:firstColumn="1" w:lastColumn="0" w:noHBand="0" w:noVBand="1"/>
      </w:tblPr>
      <w:tblGrid>
        <w:gridCol w:w="2235"/>
        <w:gridCol w:w="2126"/>
      </w:tblGrid>
      <w:tr w:rsidR="00134B5F" w14:paraId="5048800A" w14:textId="77777777" w:rsidTr="002A3EEF">
        <w:trPr>
          <w:trHeight w:val="667"/>
          <w:jc w:val="center"/>
        </w:trPr>
        <w:tc>
          <w:tcPr>
            <w:tcW w:w="4361" w:type="dxa"/>
            <w:gridSpan w:val="2"/>
            <w:tcBorders>
              <w:top w:val="single" w:sz="4" w:space="0" w:color="auto"/>
              <w:left w:val="single" w:sz="4" w:space="0" w:color="auto"/>
              <w:bottom w:val="single" w:sz="4" w:space="0" w:color="auto"/>
              <w:right w:val="single" w:sz="4" w:space="0" w:color="auto"/>
            </w:tcBorders>
            <w:shd w:val="clear" w:color="auto" w:fill="002060"/>
            <w:vAlign w:val="center"/>
          </w:tcPr>
          <w:p w14:paraId="58C7032B" w14:textId="77777777" w:rsidR="002A3EEF" w:rsidRDefault="00134B5F" w:rsidP="002A3EEF">
            <w:pPr>
              <w:autoSpaceDE w:val="0"/>
              <w:autoSpaceDN w:val="0"/>
              <w:adjustRightInd w:val="0"/>
              <w:spacing w:after="0" w:line="360" w:lineRule="auto"/>
              <w:ind w:left="0"/>
              <w:jc w:val="center"/>
              <w:rPr>
                <w:rFonts w:ascii="Artifex CF Light" w:hAnsi="Artifex CF Light" w:cs="Arial"/>
                <w:b/>
                <w:bCs/>
                <w:color w:val="FFFFFF"/>
                <w:sz w:val="20"/>
                <w:szCs w:val="20"/>
                <w:lang w:val="es-MX"/>
              </w:rPr>
            </w:pPr>
            <w:r w:rsidRPr="00F13E91">
              <w:rPr>
                <w:rFonts w:ascii="Artifex CF Light" w:hAnsi="Artifex CF Light" w:cs="Arial"/>
                <w:b/>
                <w:bCs/>
                <w:color w:val="FFFFFF"/>
                <w:sz w:val="20"/>
                <w:szCs w:val="20"/>
                <w:lang w:val="es-MX"/>
              </w:rPr>
              <w:t>CALIFICACIONES</w:t>
            </w:r>
            <w:r w:rsidR="002A3EEF">
              <w:rPr>
                <w:rFonts w:ascii="Artifex CF Light" w:hAnsi="Artifex CF Light" w:cs="Arial"/>
                <w:b/>
                <w:bCs/>
                <w:color w:val="FFFFFF"/>
                <w:sz w:val="20"/>
                <w:szCs w:val="20"/>
                <w:lang w:val="es-MX"/>
              </w:rPr>
              <w:t xml:space="preserve">  </w:t>
            </w:r>
          </w:p>
          <w:p w14:paraId="7CBF41B4" w14:textId="6FB82759" w:rsidR="00134B5F" w:rsidRPr="00F13E91" w:rsidRDefault="002A3EEF" w:rsidP="002A3EEF">
            <w:pPr>
              <w:autoSpaceDE w:val="0"/>
              <w:autoSpaceDN w:val="0"/>
              <w:adjustRightInd w:val="0"/>
              <w:spacing w:after="0" w:line="360" w:lineRule="auto"/>
              <w:ind w:left="0"/>
              <w:jc w:val="center"/>
              <w:rPr>
                <w:rFonts w:ascii="Artifex CF Light" w:hAnsi="Artifex CF Light" w:cs="Arial"/>
                <w:b/>
                <w:bCs/>
                <w:color w:val="FFFFFF"/>
                <w:sz w:val="20"/>
                <w:szCs w:val="20"/>
                <w:lang w:val="es-MX"/>
              </w:rPr>
            </w:pPr>
            <w:r>
              <w:rPr>
                <w:rFonts w:ascii="Artifex CF Light" w:hAnsi="Artifex CF Light" w:cs="Arial"/>
                <w:b/>
                <w:bCs/>
                <w:color w:val="FFFFFF"/>
                <w:sz w:val="20"/>
                <w:szCs w:val="20"/>
                <w:lang w:val="es-MX"/>
              </w:rPr>
              <w:t xml:space="preserve">EVALUACION  </w:t>
            </w:r>
            <w:r w:rsidR="00134B5F" w:rsidRPr="00F13E91">
              <w:rPr>
                <w:rFonts w:ascii="Artifex CF Light" w:hAnsi="Artifex CF Light" w:cs="Arial"/>
                <w:b/>
                <w:bCs/>
                <w:color w:val="FFFFFF"/>
                <w:sz w:val="20"/>
                <w:szCs w:val="20"/>
                <w:lang w:val="es-MX"/>
              </w:rPr>
              <w:t>DIGEIG</w:t>
            </w:r>
          </w:p>
        </w:tc>
      </w:tr>
      <w:tr w:rsidR="00134B5F" w14:paraId="58597351" w14:textId="77777777" w:rsidTr="002C5E75">
        <w:trPr>
          <w:trHeight w:val="397"/>
          <w:jc w:val="center"/>
        </w:trPr>
        <w:tc>
          <w:tcPr>
            <w:tcW w:w="2235" w:type="dxa"/>
            <w:tcBorders>
              <w:top w:val="single" w:sz="4" w:space="0" w:color="auto"/>
              <w:left w:val="single" w:sz="4" w:space="0" w:color="auto"/>
              <w:bottom w:val="single" w:sz="4" w:space="0" w:color="auto"/>
              <w:right w:val="single" w:sz="4" w:space="0" w:color="auto"/>
            </w:tcBorders>
            <w:shd w:val="clear" w:color="auto" w:fill="B4C6E7"/>
            <w:vAlign w:val="center"/>
          </w:tcPr>
          <w:p w14:paraId="0864DDF9" w14:textId="77777777" w:rsidR="00134B5F" w:rsidRPr="002A3EEF" w:rsidRDefault="00134B5F" w:rsidP="002C5E75">
            <w:pPr>
              <w:autoSpaceDE w:val="0"/>
              <w:autoSpaceDN w:val="0"/>
              <w:adjustRightInd w:val="0"/>
              <w:spacing w:after="120" w:line="360" w:lineRule="auto"/>
              <w:jc w:val="center"/>
              <w:rPr>
                <w:rFonts w:ascii="Artifex CF Light" w:hAnsi="Artifex CF Light" w:cs="Arial"/>
                <w:b/>
                <w:bCs/>
                <w:color w:val="000000" w:themeColor="text1"/>
                <w:szCs w:val="18"/>
                <w:lang w:val="es-MX"/>
              </w:rPr>
            </w:pPr>
            <w:r w:rsidRPr="002A3EEF">
              <w:rPr>
                <w:rFonts w:ascii="Artifex CF Light" w:hAnsi="Artifex CF Light" w:cs="Arial"/>
                <w:b/>
                <w:bCs/>
                <w:color w:val="000000" w:themeColor="text1"/>
                <w:szCs w:val="18"/>
                <w:lang w:val="es-MX"/>
              </w:rPr>
              <w:t>Mes</w:t>
            </w:r>
          </w:p>
        </w:tc>
        <w:tc>
          <w:tcPr>
            <w:tcW w:w="2126" w:type="dxa"/>
            <w:tcBorders>
              <w:top w:val="single" w:sz="4" w:space="0" w:color="auto"/>
              <w:left w:val="single" w:sz="4" w:space="0" w:color="auto"/>
              <w:bottom w:val="single" w:sz="4" w:space="0" w:color="auto"/>
              <w:right w:val="single" w:sz="4" w:space="0" w:color="auto"/>
            </w:tcBorders>
            <w:shd w:val="clear" w:color="auto" w:fill="B4C6E7"/>
            <w:vAlign w:val="center"/>
          </w:tcPr>
          <w:p w14:paraId="20A440DF" w14:textId="77777777" w:rsidR="00134B5F" w:rsidRPr="002A3EEF" w:rsidRDefault="00134B5F" w:rsidP="002C5E75">
            <w:pPr>
              <w:autoSpaceDE w:val="0"/>
              <w:autoSpaceDN w:val="0"/>
              <w:adjustRightInd w:val="0"/>
              <w:spacing w:after="120" w:line="360" w:lineRule="auto"/>
              <w:jc w:val="center"/>
              <w:rPr>
                <w:rFonts w:ascii="Artifex CF Light" w:hAnsi="Artifex CF Light" w:cs="Arial"/>
                <w:b/>
                <w:color w:val="000000" w:themeColor="text1"/>
                <w:szCs w:val="18"/>
                <w:lang w:val="es-MX"/>
              </w:rPr>
            </w:pPr>
            <w:r w:rsidRPr="002A3EEF">
              <w:rPr>
                <w:rFonts w:ascii="Artifex CF Light" w:hAnsi="Artifex CF Light" w:cs="Arial"/>
                <w:b/>
                <w:color w:val="000000" w:themeColor="text1"/>
                <w:szCs w:val="18"/>
                <w:lang w:val="es-MX"/>
              </w:rPr>
              <w:t>Calificación</w:t>
            </w:r>
          </w:p>
        </w:tc>
      </w:tr>
      <w:tr w:rsidR="00134B5F" w14:paraId="33A3D47D" w14:textId="77777777" w:rsidTr="002C5E75">
        <w:trPr>
          <w:trHeight w:val="284"/>
          <w:jc w:val="center"/>
        </w:trPr>
        <w:tc>
          <w:tcPr>
            <w:tcW w:w="2235" w:type="dxa"/>
            <w:tcBorders>
              <w:top w:val="single" w:sz="4" w:space="0" w:color="auto"/>
              <w:left w:val="single" w:sz="4" w:space="0" w:color="auto"/>
              <w:bottom w:val="single" w:sz="4" w:space="0" w:color="auto"/>
              <w:right w:val="single" w:sz="4" w:space="0" w:color="auto"/>
            </w:tcBorders>
            <w:shd w:val="clear" w:color="auto" w:fill="auto"/>
          </w:tcPr>
          <w:p w14:paraId="7AA9CF20" w14:textId="77777777" w:rsidR="00134B5F" w:rsidRPr="002A3EEF" w:rsidRDefault="00134B5F" w:rsidP="002C5E75">
            <w:pPr>
              <w:autoSpaceDE w:val="0"/>
              <w:autoSpaceDN w:val="0"/>
              <w:adjustRightInd w:val="0"/>
              <w:spacing w:after="120" w:line="360" w:lineRule="auto"/>
              <w:jc w:val="center"/>
              <w:rPr>
                <w:rFonts w:ascii="Artifex CF Light" w:hAnsi="Artifex CF Light" w:cs="Arial"/>
                <w:bCs/>
                <w:color w:val="000000" w:themeColor="text1"/>
                <w:szCs w:val="18"/>
                <w:lang w:val="es-MX"/>
              </w:rPr>
            </w:pPr>
            <w:r w:rsidRPr="002A3EEF">
              <w:rPr>
                <w:rFonts w:ascii="Artifex CF Light" w:hAnsi="Artifex CF Light" w:cs="Arial"/>
                <w:bCs/>
                <w:color w:val="000000" w:themeColor="text1"/>
                <w:szCs w:val="18"/>
                <w:lang w:val="es-MX"/>
              </w:rPr>
              <w:t>Enero</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F7C039F" w14:textId="77777777" w:rsidR="00134B5F" w:rsidRPr="002A3EEF" w:rsidRDefault="00134B5F" w:rsidP="002C5E75">
            <w:pPr>
              <w:autoSpaceDE w:val="0"/>
              <w:autoSpaceDN w:val="0"/>
              <w:adjustRightInd w:val="0"/>
              <w:spacing w:after="120" w:line="360" w:lineRule="auto"/>
              <w:jc w:val="center"/>
              <w:rPr>
                <w:rFonts w:ascii="Artifex CF Light" w:hAnsi="Artifex CF Light" w:cs="Arial"/>
                <w:color w:val="000000" w:themeColor="text1"/>
                <w:szCs w:val="18"/>
                <w:lang w:val="es-MX"/>
              </w:rPr>
            </w:pPr>
            <w:r w:rsidRPr="002A3EEF">
              <w:rPr>
                <w:rFonts w:ascii="Artifex CF Light" w:hAnsi="Artifex CF Light" w:cs="Arial"/>
                <w:color w:val="000000" w:themeColor="text1"/>
                <w:szCs w:val="18"/>
                <w:lang w:val="es-MX"/>
              </w:rPr>
              <w:t>93%</w:t>
            </w:r>
          </w:p>
        </w:tc>
      </w:tr>
      <w:tr w:rsidR="00134B5F" w14:paraId="4818CD98" w14:textId="77777777" w:rsidTr="002C5E75">
        <w:trPr>
          <w:trHeight w:val="397"/>
          <w:jc w:val="center"/>
        </w:trPr>
        <w:tc>
          <w:tcPr>
            <w:tcW w:w="2235" w:type="dxa"/>
            <w:tcBorders>
              <w:top w:val="single" w:sz="4" w:space="0" w:color="auto"/>
              <w:left w:val="single" w:sz="4" w:space="0" w:color="auto"/>
              <w:bottom w:val="single" w:sz="4" w:space="0" w:color="auto"/>
              <w:right w:val="single" w:sz="4" w:space="0" w:color="auto"/>
            </w:tcBorders>
            <w:shd w:val="clear" w:color="auto" w:fill="auto"/>
          </w:tcPr>
          <w:p w14:paraId="2F1B7E34" w14:textId="77777777" w:rsidR="00134B5F" w:rsidRPr="002A3EEF" w:rsidRDefault="00134B5F" w:rsidP="002C5E75">
            <w:pPr>
              <w:autoSpaceDE w:val="0"/>
              <w:autoSpaceDN w:val="0"/>
              <w:adjustRightInd w:val="0"/>
              <w:spacing w:after="120" w:line="360" w:lineRule="auto"/>
              <w:jc w:val="center"/>
              <w:rPr>
                <w:rFonts w:ascii="Artifex CF Light" w:hAnsi="Artifex CF Light" w:cs="Arial"/>
                <w:bCs/>
                <w:color w:val="000000" w:themeColor="text1"/>
                <w:szCs w:val="18"/>
                <w:lang w:val="es-MX"/>
              </w:rPr>
            </w:pPr>
            <w:r w:rsidRPr="002A3EEF">
              <w:rPr>
                <w:rFonts w:ascii="Artifex CF Light" w:hAnsi="Artifex CF Light" w:cs="Arial"/>
                <w:bCs/>
                <w:color w:val="000000" w:themeColor="text1"/>
                <w:szCs w:val="18"/>
                <w:lang w:val="es-MX"/>
              </w:rPr>
              <w:t>Febrero</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CC54C9C" w14:textId="77777777" w:rsidR="00134B5F" w:rsidRPr="002A3EEF" w:rsidRDefault="00134B5F" w:rsidP="002C5E75">
            <w:pPr>
              <w:autoSpaceDE w:val="0"/>
              <w:autoSpaceDN w:val="0"/>
              <w:adjustRightInd w:val="0"/>
              <w:spacing w:after="120" w:line="360" w:lineRule="auto"/>
              <w:jc w:val="center"/>
              <w:rPr>
                <w:rFonts w:ascii="Artifex CF Light" w:hAnsi="Artifex CF Light" w:cs="Arial"/>
                <w:color w:val="000000" w:themeColor="text1"/>
                <w:szCs w:val="18"/>
                <w:lang w:val="es-MX"/>
              </w:rPr>
            </w:pPr>
            <w:r w:rsidRPr="002A3EEF">
              <w:rPr>
                <w:rFonts w:ascii="Artifex CF Light" w:hAnsi="Artifex CF Light" w:cs="Arial"/>
                <w:color w:val="000000" w:themeColor="text1"/>
                <w:szCs w:val="18"/>
                <w:lang w:val="es-MX"/>
              </w:rPr>
              <w:t>90%</w:t>
            </w:r>
          </w:p>
        </w:tc>
      </w:tr>
      <w:tr w:rsidR="00134B5F" w14:paraId="0FBF7C2F" w14:textId="77777777" w:rsidTr="002C5E75">
        <w:trPr>
          <w:trHeight w:val="397"/>
          <w:jc w:val="center"/>
        </w:trPr>
        <w:tc>
          <w:tcPr>
            <w:tcW w:w="2235" w:type="dxa"/>
            <w:tcBorders>
              <w:top w:val="single" w:sz="4" w:space="0" w:color="auto"/>
              <w:left w:val="single" w:sz="4" w:space="0" w:color="auto"/>
              <w:bottom w:val="single" w:sz="4" w:space="0" w:color="auto"/>
              <w:right w:val="single" w:sz="4" w:space="0" w:color="auto"/>
            </w:tcBorders>
            <w:shd w:val="clear" w:color="auto" w:fill="auto"/>
          </w:tcPr>
          <w:p w14:paraId="7A9420A6" w14:textId="77777777" w:rsidR="00134B5F" w:rsidRPr="002A3EEF" w:rsidRDefault="00134B5F" w:rsidP="002C5E75">
            <w:pPr>
              <w:autoSpaceDE w:val="0"/>
              <w:autoSpaceDN w:val="0"/>
              <w:adjustRightInd w:val="0"/>
              <w:spacing w:after="120" w:line="360" w:lineRule="auto"/>
              <w:jc w:val="center"/>
              <w:rPr>
                <w:rFonts w:ascii="Artifex CF Light" w:hAnsi="Artifex CF Light" w:cs="Arial"/>
                <w:bCs/>
                <w:color w:val="000000" w:themeColor="text1"/>
                <w:szCs w:val="18"/>
                <w:lang w:val="es-MX"/>
              </w:rPr>
            </w:pPr>
            <w:r w:rsidRPr="002A3EEF">
              <w:rPr>
                <w:rFonts w:ascii="Artifex CF Light" w:hAnsi="Artifex CF Light" w:cs="Arial"/>
                <w:bCs/>
                <w:color w:val="000000" w:themeColor="text1"/>
                <w:szCs w:val="18"/>
                <w:lang w:val="es-MX"/>
              </w:rPr>
              <w:t>Marzo</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FB577BE" w14:textId="77777777" w:rsidR="00134B5F" w:rsidRPr="002A3EEF" w:rsidRDefault="00134B5F" w:rsidP="002C5E75">
            <w:pPr>
              <w:autoSpaceDE w:val="0"/>
              <w:autoSpaceDN w:val="0"/>
              <w:adjustRightInd w:val="0"/>
              <w:spacing w:after="120" w:line="360" w:lineRule="auto"/>
              <w:jc w:val="center"/>
              <w:rPr>
                <w:rFonts w:ascii="Artifex CF Light" w:hAnsi="Artifex CF Light" w:cs="Arial"/>
                <w:color w:val="000000" w:themeColor="text1"/>
                <w:szCs w:val="18"/>
                <w:lang w:val="es-MX"/>
              </w:rPr>
            </w:pPr>
            <w:r w:rsidRPr="002A3EEF">
              <w:rPr>
                <w:rFonts w:ascii="Artifex CF Light" w:hAnsi="Artifex CF Light" w:cs="Arial"/>
                <w:color w:val="000000" w:themeColor="text1"/>
                <w:szCs w:val="18"/>
                <w:lang w:val="es-MX"/>
              </w:rPr>
              <w:t>86%</w:t>
            </w:r>
          </w:p>
        </w:tc>
      </w:tr>
      <w:tr w:rsidR="00134B5F" w14:paraId="0A8CB911" w14:textId="77777777" w:rsidTr="002C5E75">
        <w:trPr>
          <w:trHeight w:val="397"/>
          <w:jc w:val="center"/>
        </w:trPr>
        <w:tc>
          <w:tcPr>
            <w:tcW w:w="2235" w:type="dxa"/>
            <w:tcBorders>
              <w:top w:val="single" w:sz="4" w:space="0" w:color="auto"/>
              <w:left w:val="single" w:sz="4" w:space="0" w:color="auto"/>
              <w:bottom w:val="single" w:sz="4" w:space="0" w:color="auto"/>
              <w:right w:val="single" w:sz="4" w:space="0" w:color="auto"/>
            </w:tcBorders>
            <w:shd w:val="clear" w:color="auto" w:fill="auto"/>
          </w:tcPr>
          <w:p w14:paraId="400BC77A" w14:textId="77777777" w:rsidR="00134B5F" w:rsidRPr="002A3EEF" w:rsidRDefault="00134B5F" w:rsidP="002C5E75">
            <w:pPr>
              <w:autoSpaceDE w:val="0"/>
              <w:autoSpaceDN w:val="0"/>
              <w:adjustRightInd w:val="0"/>
              <w:spacing w:after="120" w:line="360" w:lineRule="auto"/>
              <w:jc w:val="center"/>
              <w:rPr>
                <w:rFonts w:ascii="Artifex CF Light" w:hAnsi="Artifex CF Light" w:cs="Arial"/>
                <w:bCs/>
                <w:color w:val="000000" w:themeColor="text1"/>
                <w:szCs w:val="18"/>
                <w:lang w:val="es-MX"/>
              </w:rPr>
            </w:pPr>
            <w:r w:rsidRPr="002A3EEF">
              <w:rPr>
                <w:rFonts w:ascii="Artifex CF Light" w:hAnsi="Artifex CF Light" w:cs="Arial"/>
                <w:bCs/>
                <w:color w:val="000000" w:themeColor="text1"/>
                <w:szCs w:val="18"/>
                <w:lang w:val="es-MX"/>
              </w:rPr>
              <w:t>Abril</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EF07A33" w14:textId="77777777" w:rsidR="00134B5F" w:rsidRPr="002A3EEF" w:rsidRDefault="00134B5F" w:rsidP="002C5E75">
            <w:pPr>
              <w:autoSpaceDE w:val="0"/>
              <w:autoSpaceDN w:val="0"/>
              <w:adjustRightInd w:val="0"/>
              <w:spacing w:after="120" w:line="360" w:lineRule="auto"/>
              <w:jc w:val="center"/>
              <w:rPr>
                <w:rFonts w:ascii="Artifex CF Light" w:hAnsi="Artifex CF Light" w:cs="Arial"/>
                <w:color w:val="000000" w:themeColor="text1"/>
                <w:szCs w:val="18"/>
                <w:lang w:val="es-MX"/>
              </w:rPr>
            </w:pPr>
            <w:r w:rsidRPr="002A3EEF">
              <w:rPr>
                <w:rFonts w:ascii="Artifex CF Light" w:hAnsi="Artifex CF Light" w:cs="Arial"/>
                <w:color w:val="000000" w:themeColor="text1"/>
                <w:szCs w:val="18"/>
                <w:lang w:val="es-MX"/>
              </w:rPr>
              <w:t>89%</w:t>
            </w:r>
          </w:p>
        </w:tc>
      </w:tr>
      <w:tr w:rsidR="00134B5F" w14:paraId="317B4E60" w14:textId="77777777" w:rsidTr="002C5E75">
        <w:trPr>
          <w:trHeight w:val="227"/>
          <w:jc w:val="center"/>
        </w:trPr>
        <w:tc>
          <w:tcPr>
            <w:tcW w:w="2235" w:type="dxa"/>
            <w:tcBorders>
              <w:top w:val="single" w:sz="4" w:space="0" w:color="auto"/>
              <w:left w:val="single" w:sz="4" w:space="0" w:color="auto"/>
              <w:bottom w:val="single" w:sz="4" w:space="0" w:color="auto"/>
              <w:right w:val="single" w:sz="4" w:space="0" w:color="auto"/>
            </w:tcBorders>
            <w:shd w:val="clear" w:color="auto" w:fill="auto"/>
          </w:tcPr>
          <w:p w14:paraId="53A4800A" w14:textId="77777777" w:rsidR="00134B5F" w:rsidRPr="002A3EEF" w:rsidRDefault="00134B5F" w:rsidP="002C5E75">
            <w:pPr>
              <w:autoSpaceDE w:val="0"/>
              <w:autoSpaceDN w:val="0"/>
              <w:adjustRightInd w:val="0"/>
              <w:spacing w:after="120" w:line="360" w:lineRule="auto"/>
              <w:jc w:val="center"/>
              <w:rPr>
                <w:rFonts w:ascii="Artifex CF Light" w:hAnsi="Artifex CF Light" w:cs="Arial"/>
                <w:bCs/>
                <w:color w:val="000000" w:themeColor="text1"/>
                <w:szCs w:val="18"/>
                <w:lang w:val="es-MX"/>
              </w:rPr>
            </w:pPr>
            <w:r w:rsidRPr="002A3EEF">
              <w:rPr>
                <w:rFonts w:ascii="Artifex CF Light" w:hAnsi="Artifex CF Light" w:cs="Arial"/>
                <w:bCs/>
                <w:color w:val="000000" w:themeColor="text1"/>
                <w:szCs w:val="18"/>
                <w:lang w:val="es-MX"/>
              </w:rPr>
              <w:t>Mayo</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8D0E8AE" w14:textId="77777777" w:rsidR="00134B5F" w:rsidRPr="002A3EEF" w:rsidRDefault="00134B5F" w:rsidP="002C5E75">
            <w:pPr>
              <w:autoSpaceDE w:val="0"/>
              <w:autoSpaceDN w:val="0"/>
              <w:adjustRightInd w:val="0"/>
              <w:spacing w:after="120" w:line="360" w:lineRule="auto"/>
              <w:jc w:val="center"/>
              <w:rPr>
                <w:rFonts w:ascii="Artifex CF Light" w:hAnsi="Artifex CF Light" w:cs="Arial"/>
                <w:color w:val="000000" w:themeColor="text1"/>
                <w:szCs w:val="18"/>
                <w:lang w:val="es-MX"/>
              </w:rPr>
            </w:pPr>
            <w:r w:rsidRPr="002A3EEF">
              <w:rPr>
                <w:rFonts w:ascii="Artifex CF Light" w:hAnsi="Artifex CF Light" w:cs="Arial"/>
                <w:color w:val="000000" w:themeColor="text1"/>
                <w:szCs w:val="18"/>
                <w:lang w:val="es-MX"/>
              </w:rPr>
              <w:t>88%</w:t>
            </w:r>
          </w:p>
        </w:tc>
      </w:tr>
      <w:tr w:rsidR="00134B5F" w14:paraId="3F805164" w14:textId="77777777" w:rsidTr="002C5E75">
        <w:trPr>
          <w:trHeight w:val="397"/>
          <w:jc w:val="center"/>
        </w:trPr>
        <w:tc>
          <w:tcPr>
            <w:tcW w:w="2235" w:type="dxa"/>
            <w:tcBorders>
              <w:top w:val="single" w:sz="4" w:space="0" w:color="auto"/>
              <w:left w:val="single" w:sz="4" w:space="0" w:color="auto"/>
              <w:bottom w:val="single" w:sz="4" w:space="0" w:color="auto"/>
              <w:right w:val="single" w:sz="4" w:space="0" w:color="auto"/>
            </w:tcBorders>
            <w:shd w:val="clear" w:color="auto" w:fill="auto"/>
          </w:tcPr>
          <w:p w14:paraId="627A99AE" w14:textId="77777777" w:rsidR="00134B5F" w:rsidRPr="002A3EEF" w:rsidRDefault="00134B5F" w:rsidP="002C5E75">
            <w:pPr>
              <w:autoSpaceDE w:val="0"/>
              <w:autoSpaceDN w:val="0"/>
              <w:adjustRightInd w:val="0"/>
              <w:spacing w:after="120" w:line="360" w:lineRule="auto"/>
              <w:jc w:val="center"/>
              <w:rPr>
                <w:rFonts w:ascii="Artifex CF Light" w:hAnsi="Artifex CF Light" w:cs="Arial"/>
                <w:bCs/>
                <w:color w:val="000000" w:themeColor="text1"/>
                <w:szCs w:val="18"/>
                <w:lang w:val="es-MX"/>
              </w:rPr>
            </w:pPr>
            <w:r w:rsidRPr="002A3EEF">
              <w:rPr>
                <w:rFonts w:ascii="Artifex CF Light" w:hAnsi="Artifex CF Light" w:cs="Arial"/>
                <w:bCs/>
                <w:color w:val="000000" w:themeColor="text1"/>
                <w:szCs w:val="18"/>
                <w:lang w:val="es-MX"/>
              </w:rPr>
              <w:t>Junio</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4669C21" w14:textId="77777777" w:rsidR="00134B5F" w:rsidRPr="002A3EEF" w:rsidRDefault="00134B5F" w:rsidP="002C5E75">
            <w:pPr>
              <w:autoSpaceDE w:val="0"/>
              <w:autoSpaceDN w:val="0"/>
              <w:adjustRightInd w:val="0"/>
              <w:spacing w:after="120" w:line="360" w:lineRule="auto"/>
              <w:jc w:val="center"/>
              <w:rPr>
                <w:rFonts w:ascii="Artifex CF Light" w:hAnsi="Artifex CF Light" w:cs="Arial"/>
                <w:color w:val="000000" w:themeColor="text1"/>
                <w:szCs w:val="18"/>
                <w:lang w:val="es-MX"/>
              </w:rPr>
            </w:pPr>
            <w:r w:rsidRPr="002A3EEF">
              <w:rPr>
                <w:rFonts w:ascii="Artifex CF Light" w:hAnsi="Artifex CF Light" w:cs="Arial"/>
                <w:color w:val="000000" w:themeColor="text1"/>
                <w:szCs w:val="18"/>
                <w:lang w:val="es-MX"/>
              </w:rPr>
              <w:t>92%</w:t>
            </w:r>
          </w:p>
        </w:tc>
      </w:tr>
      <w:tr w:rsidR="00134B5F" w14:paraId="091C7ABA" w14:textId="77777777" w:rsidTr="002C5E75">
        <w:trPr>
          <w:trHeight w:val="397"/>
          <w:jc w:val="center"/>
        </w:trPr>
        <w:tc>
          <w:tcPr>
            <w:tcW w:w="2235" w:type="dxa"/>
            <w:tcBorders>
              <w:top w:val="single" w:sz="4" w:space="0" w:color="auto"/>
              <w:left w:val="single" w:sz="4" w:space="0" w:color="auto"/>
              <w:bottom w:val="single" w:sz="4" w:space="0" w:color="auto"/>
              <w:right w:val="single" w:sz="4" w:space="0" w:color="auto"/>
            </w:tcBorders>
            <w:shd w:val="clear" w:color="auto" w:fill="auto"/>
          </w:tcPr>
          <w:p w14:paraId="38BF3408" w14:textId="77777777" w:rsidR="00134B5F" w:rsidRPr="002A3EEF" w:rsidRDefault="00134B5F" w:rsidP="002C5E75">
            <w:pPr>
              <w:autoSpaceDE w:val="0"/>
              <w:autoSpaceDN w:val="0"/>
              <w:adjustRightInd w:val="0"/>
              <w:spacing w:after="120" w:line="360" w:lineRule="auto"/>
              <w:jc w:val="center"/>
              <w:rPr>
                <w:rFonts w:ascii="Artifex CF Light" w:hAnsi="Artifex CF Light" w:cs="Arial"/>
                <w:bCs/>
                <w:color w:val="000000" w:themeColor="text1"/>
                <w:szCs w:val="18"/>
                <w:lang w:val="es-MX"/>
              </w:rPr>
            </w:pPr>
            <w:r w:rsidRPr="002A3EEF">
              <w:rPr>
                <w:rFonts w:ascii="Artifex CF Light" w:hAnsi="Artifex CF Light" w:cs="Arial"/>
                <w:bCs/>
                <w:color w:val="000000" w:themeColor="text1"/>
                <w:szCs w:val="18"/>
                <w:lang w:val="es-MX"/>
              </w:rPr>
              <w:t>Julio</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A3BF46B" w14:textId="77777777" w:rsidR="00134B5F" w:rsidRPr="002A3EEF" w:rsidRDefault="00134B5F" w:rsidP="002C5E75">
            <w:pPr>
              <w:autoSpaceDE w:val="0"/>
              <w:autoSpaceDN w:val="0"/>
              <w:adjustRightInd w:val="0"/>
              <w:spacing w:after="120" w:line="360" w:lineRule="auto"/>
              <w:jc w:val="center"/>
              <w:rPr>
                <w:rFonts w:ascii="Artifex CF Light" w:hAnsi="Artifex CF Light" w:cs="Arial"/>
                <w:color w:val="000000" w:themeColor="text1"/>
                <w:szCs w:val="18"/>
                <w:lang w:val="es-MX"/>
              </w:rPr>
            </w:pPr>
            <w:r w:rsidRPr="002A3EEF">
              <w:rPr>
                <w:rFonts w:ascii="Artifex CF Light" w:hAnsi="Artifex CF Light" w:cs="Arial"/>
                <w:color w:val="000000" w:themeColor="text1"/>
                <w:szCs w:val="18"/>
                <w:lang w:val="es-MX"/>
              </w:rPr>
              <w:t>93%</w:t>
            </w:r>
          </w:p>
        </w:tc>
      </w:tr>
      <w:tr w:rsidR="00134B5F" w14:paraId="4D49ECB6" w14:textId="77777777" w:rsidTr="002C5E75">
        <w:trPr>
          <w:trHeight w:val="397"/>
          <w:jc w:val="center"/>
        </w:trPr>
        <w:tc>
          <w:tcPr>
            <w:tcW w:w="2235" w:type="dxa"/>
            <w:tcBorders>
              <w:top w:val="single" w:sz="4" w:space="0" w:color="auto"/>
              <w:left w:val="single" w:sz="4" w:space="0" w:color="auto"/>
              <w:bottom w:val="single" w:sz="4" w:space="0" w:color="auto"/>
              <w:right w:val="single" w:sz="4" w:space="0" w:color="auto"/>
            </w:tcBorders>
            <w:shd w:val="clear" w:color="auto" w:fill="auto"/>
          </w:tcPr>
          <w:p w14:paraId="249CDA7C" w14:textId="77777777" w:rsidR="00134B5F" w:rsidRPr="002A3EEF" w:rsidRDefault="00134B5F" w:rsidP="002C5E75">
            <w:pPr>
              <w:autoSpaceDE w:val="0"/>
              <w:autoSpaceDN w:val="0"/>
              <w:adjustRightInd w:val="0"/>
              <w:spacing w:after="120" w:line="360" w:lineRule="auto"/>
              <w:jc w:val="center"/>
              <w:rPr>
                <w:rFonts w:ascii="Artifex CF Light" w:hAnsi="Artifex CF Light" w:cs="Arial"/>
                <w:bCs/>
                <w:color w:val="000000" w:themeColor="text1"/>
                <w:szCs w:val="18"/>
                <w:lang w:val="es-MX"/>
              </w:rPr>
            </w:pPr>
            <w:r w:rsidRPr="002A3EEF">
              <w:rPr>
                <w:rFonts w:ascii="Artifex CF Light" w:hAnsi="Artifex CF Light" w:cs="Arial"/>
                <w:bCs/>
                <w:color w:val="000000" w:themeColor="text1"/>
                <w:szCs w:val="18"/>
                <w:lang w:val="es-MX"/>
              </w:rPr>
              <w:t>Agosto</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0768144" w14:textId="77777777" w:rsidR="00134B5F" w:rsidRPr="002A3EEF" w:rsidRDefault="00134B5F" w:rsidP="002C5E75">
            <w:pPr>
              <w:autoSpaceDE w:val="0"/>
              <w:autoSpaceDN w:val="0"/>
              <w:adjustRightInd w:val="0"/>
              <w:spacing w:after="120" w:line="360" w:lineRule="auto"/>
              <w:jc w:val="center"/>
              <w:rPr>
                <w:rFonts w:ascii="Artifex CF Light" w:hAnsi="Artifex CF Light" w:cs="Arial"/>
                <w:color w:val="000000" w:themeColor="text1"/>
                <w:szCs w:val="18"/>
                <w:lang w:val="es-MX"/>
              </w:rPr>
            </w:pPr>
            <w:r w:rsidRPr="002A3EEF">
              <w:rPr>
                <w:rFonts w:ascii="Artifex CF Light" w:hAnsi="Artifex CF Light" w:cs="Arial"/>
                <w:color w:val="000000" w:themeColor="text1"/>
                <w:szCs w:val="18"/>
                <w:lang w:val="es-MX"/>
              </w:rPr>
              <w:t>86%</w:t>
            </w:r>
          </w:p>
        </w:tc>
      </w:tr>
      <w:tr w:rsidR="00134B5F" w14:paraId="54A5F74E" w14:textId="77777777" w:rsidTr="002C5E75">
        <w:trPr>
          <w:trHeight w:val="397"/>
          <w:jc w:val="center"/>
        </w:trPr>
        <w:tc>
          <w:tcPr>
            <w:tcW w:w="2235" w:type="dxa"/>
            <w:tcBorders>
              <w:top w:val="single" w:sz="4" w:space="0" w:color="auto"/>
              <w:left w:val="single" w:sz="4" w:space="0" w:color="auto"/>
              <w:bottom w:val="single" w:sz="4" w:space="0" w:color="auto"/>
              <w:right w:val="single" w:sz="4" w:space="0" w:color="auto"/>
            </w:tcBorders>
            <w:shd w:val="clear" w:color="auto" w:fill="B4C6E7"/>
          </w:tcPr>
          <w:p w14:paraId="280AE83F" w14:textId="77777777" w:rsidR="00134B5F" w:rsidRPr="002A3EEF" w:rsidRDefault="00134B5F" w:rsidP="002C5E75">
            <w:pPr>
              <w:autoSpaceDE w:val="0"/>
              <w:autoSpaceDN w:val="0"/>
              <w:adjustRightInd w:val="0"/>
              <w:spacing w:after="120" w:line="360" w:lineRule="auto"/>
              <w:jc w:val="center"/>
              <w:rPr>
                <w:rFonts w:ascii="Artifex CF Light" w:hAnsi="Artifex CF Light" w:cs="Arial"/>
                <w:b/>
                <w:bCs/>
                <w:color w:val="000000" w:themeColor="text1"/>
                <w:szCs w:val="18"/>
                <w:lang w:val="es-MX"/>
              </w:rPr>
            </w:pPr>
            <w:r w:rsidRPr="002A3EEF">
              <w:rPr>
                <w:rFonts w:ascii="Artifex CF Light" w:hAnsi="Artifex CF Light" w:cs="Arial"/>
                <w:b/>
                <w:bCs/>
                <w:color w:val="000000" w:themeColor="text1"/>
                <w:szCs w:val="18"/>
                <w:lang w:val="es-MX"/>
              </w:rPr>
              <w:t>Promedio</w:t>
            </w:r>
          </w:p>
        </w:tc>
        <w:tc>
          <w:tcPr>
            <w:tcW w:w="2126" w:type="dxa"/>
            <w:tcBorders>
              <w:top w:val="single" w:sz="4" w:space="0" w:color="auto"/>
              <w:left w:val="single" w:sz="4" w:space="0" w:color="auto"/>
              <w:bottom w:val="single" w:sz="4" w:space="0" w:color="auto"/>
              <w:right w:val="single" w:sz="4" w:space="0" w:color="auto"/>
            </w:tcBorders>
            <w:shd w:val="clear" w:color="auto" w:fill="B4C6E7"/>
          </w:tcPr>
          <w:p w14:paraId="457C8277" w14:textId="77777777" w:rsidR="00134B5F" w:rsidRPr="002A3EEF" w:rsidRDefault="00134B5F" w:rsidP="002C5E75">
            <w:pPr>
              <w:autoSpaceDE w:val="0"/>
              <w:autoSpaceDN w:val="0"/>
              <w:adjustRightInd w:val="0"/>
              <w:spacing w:after="120" w:line="360" w:lineRule="auto"/>
              <w:jc w:val="center"/>
              <w:rPr>
                <w:rFonts w:ascii="Artifex CF Light" w:hAnsi="Artifex CF Light" w:cs="Arial"/>
                <w:b/>
                <w:color w:val="000000" w:themeColor="text1"/>
                <w:szCs w:val="18"/>
                <w:lang w:val="es-MX"/>
              </w:rPr>
            </w:pPr>
            <w:r w:rsidRPr="002A3EEF">
              <w:rPr>
                <w:rFonts w:ascii="Artifex CF Light" w:hAnsi="Artifex CF Light" w:cs="Arial"/>
                <w:b/>
                <w:color w:val="000000" w:themeColor="text1"/>
                <w:szCs w:val="18"/>
                <w:lang w:val="es-MX"/>
              </w:rPr>
              <w:t>90%</w:t>
            </w:r>
          </w:p>
        </w:tc>
      </w:tr>
    </w:tbl>
    <w:p w14:paraId="7E0D50A3" w14:textId="77777777" w:rsidR="00134B5F" w:rsidRPr="000254CE" w:rsidRDefault="00134B5F" w:rsidP="000254CE">
      <w:pPr>
        <w:ind w:left="0" w:firstLine="646"/>
        <w:rPr>
          <w:color w:val="1F4E79"/>
          <w:szCs w:val="18"/>
          <w:lang w:eastAsia="es-DO"/>
        </w:rPr>
      </w:pPr>
    </w:p>
    <w:p w14:paraId="7FFA5F8C" w14:textId="2690E7DE" w:rsidR="00134B5F" w:rsidRPr="00FA1EEC" w:rsidRDefault="00134B5F" w:rsidP="00AC35C3">
      <w:pPr>
        <w:ind w:left="0" w:firstLine="646"/>
        <w:rPr>
          <w:color w:val="1F4E79"/>
          <w:szCs w:val="18"/>
          <w:lang w:eastAsia="es-DO"/>
        </w:rPr>
      </w:pPr>
      <w:r w:rsidRPr="00FA1EEC">
        <w:rPr>
          <w:color w:val="1F4E79"/>
          <w:szCs w:val="18"/>
          <w:lang w:eastAsia="es-DO"/>
        </w:rPr>
        <w:t xml:space="preserve">El </w:t>
      </w:r>
      <w:r w:rsidR="00207340">
        <w:rPr>
          <w:color w:val="1F4E79"/>
          <w:szCs w:val="18"/>
          <w:lang w:eastAsia="es-DO"/>
        </w:rPr>
        <w:t>FONPER</w:t>
      </w:r>
      <w:r w:rsidRPr="00FA1EEC">
        <w:rPr>
          <w:color w:val="1F4E79"/>
          <w:szCs w:val="18"/>
          <w:lang w:eastAsia="es-DO"/>
        </w:rPr>
        <w:t xml:space="preserve"> está suscrito al </w:t>
      </w:r>
      <w:r w:rsidRPr="00AC35C3">
        <w:rPr>
          <w:b/>
          <w:color w:val="1F4E79"/>
          <w:szCs w:val="18"/>
          <w:lang w:eastAsia="es-DO"/>
        </w:rPr>
        <w:t>Portal Único de Solicitud de Acceso a la información Pública (SAIP)</w:t>
      </w:r>
      <w:r w:rsidRPr="00C71565">
        <w:rPr>
          <w:color w:val="1F4E79"/>
          <w:szCs w:val="18"/>
          <w:lang w:eastAsia="es-DO"/>
        </w:rPr>
        <w:t>,</w:t>
      </w:r>
      <w:r w:rsidRPr="00FA1EEC">
        <w:rPr>
          <w:color w:val="1F4E79"/>
          <w:szCs w:val="18"/>
          <w:lang w:eastAsia="es-DO"/>
        </w:rPr>
        <w:t xml:space="preserve"> el cual es una herramienta innovadora para mejorar la transparencia de las instituciones, en la cual todas las solicitudes de información y respuestas son supervisadas por la DIGEIG. Igualmente, forma parte del </w:t>
      </w:r>
      <w:r w:rsidRPr="00AC35C3">
        <w:rPr>
          <w:b/>
          <w:color w:val="1F4E79"/>
          <w:szCs w:val="18"/>
          <w:lang w:eastAsia="es-DO"/>
        </w:rPr>
        <w:t>Portal 3-1-1,</w:t>
      </w:r>
      <w:r w:rsidRPr="00FA1EEC">
        <w:rPr>
          <w:color w:val="1F4E79"/>
          <w:szCs w:val="18"/>
          <w:lang w:eastAsia="es-DO"/>
        </w:rPr>
        <w:t xml:space="preserve"> mediante el cual se reciben Sugerencias, Quejas o Reclamaciones y Denuncias, las cuales son supervisadas por la </w:t>
      </w:r>
      <w:r w:rsidRPr="00C71565">
        <w:rPr>
          <w:color w:val="1F4E79"/>
          <w:szCs w:val="18"/>
          <w:lang w:eastAsia="es-DO"/>
        </w:rPr>
        <w:t>OPTIC,</w:t>
      </w:r>
      <w:r w:rsidRPr="00FA1EEC">
        <w:rPr>
          <w:color w:val="1F4E79"/>
          <w:szCs w:val="18"/>
          <w:lang w:eastAsia="es-DO"/>
        </w:rPr>
        <w:t xml:space="preserve"> quienes evalúan, tanto el tiempo de respuesta, como la satisfacción del usuario.</w:t>
      </w:r>
    </w:p>
    <w:p w14:paraId="43308C60" w14:textId="77777777" w:rsidR="00134B5F" w:rsidRPr="00FA1EEC" w:rsidRDefault="00134B5F" w:rsidP="00AC35C3">
      <w:pPr>
        <w:ind w:left="0" w:firstLine="646"/>
        <w:rPr>
          <w:color w:val="1F4E79"/>
          <w:szCs w:val="18"/>
          <w:lang w:eastAsia="es-DO"/>
        </w:rPr>
      </w:pPr>
    </w:p>
    <w:p w14:paraId="388604EF" w14:textId="77777777" w:rsidR="00134B5F" w:rsidRPr="00FA1EEC" w:rsidRDefault="00134B5F" w:rsidP="00AC35C3">
      <w:pPr>
        <w:ind w:left="0" w:firstLine="646"/>
        <w:rPr>
          <w:color w:val="1F4E79"/>
          <w:szCs w:val="18"/>
          <w:lang w:eastAsia="es-DO"/>
        </w:rPr>
      </w:pPr>
      <w:r w:rsidRPr="00FA1EEC">
        <w:rPr>
          <w:color w:val="1F4E79"/>
          <w:szCs w:val="18"/>
          <w:lang w:eastAsia="es-DO"/>
        </w:rPr>
        <w:t xml:space="preserve">Asimismo, ha mantenido las </w:t>
      </w:r>
      <w:r w:rsidRPr="00AC35C3">
        <w:rPr>
          <w:b/>
          <w:color w:val="1F4E79"/>
          <w:szCs w:val="18"/>
          <w:lang w:eastAsia="es-DO"/>
        </w:rPr>
        <w:t>certificaciones "Nortic A2 y A3",</w:t>
      </w:r>
      <w:r w:rsidRPr="00FA1EEC">
        <w:rPr>
          <w:color w:val="1F4E79"/>
          <w:szCs w:val="18"/>
          <w:lang w:eastAsia="es-DO"/>
        </w:rPr>
        <w:t xml:space="preserve"> otorgadas por la Oficina Presidencial de Tecnologías de la Información y Comunicación de la República Dominicana (OPTIC), como resultado de una labor de actualización continua del portal institucional y manteniendo actualizados los conjuntos de datos requeridos en el portal de Datos Abiertos, cumpliendo con la iniciativa de Gobierno Abierto.</w:t>
      </w:r>
    </w:p>
    <w:p w14:paraId="7E4203AF" w14:textId="77777777" w:rsidR="00134B5F" w:rsidRPr="00FA1EEC" w:rsidRDefault="00134B5F" w:rsidP="00AC35C3">
      <w:pPr>
        <w:ind w:left="0" w:firstLine="646"/>
        <w:rPr>
          <w:color w:val="1F4E79"/>
          <w:szCs w:val="18"/>
          <w:lang w:eastAsia="es-DO"/>
        </w:rPr>
      </w:pPr>
    </w:p>
    <w:p w14:paraId="45945220" w14:textId="77777777" w:rsidR="00134B5F" w:rsidRPr="00FA1EEC" w:rsidRDefault="00134B5F" w:rsidP="00AC35C3">
      <w:pPr>
        <w:ind w:left="0" w:firstLine="646"/>
        <w:rPr>
          <w:color w:val="1F4E79"/>
          <w:szCs w:val="18"/>
          <w:lang w:eastAsia="es-DO"/>
        </w:rPr>
      </w:pPr>
      <w:r w:rsidRPr="00AC35C3">
        <w:rPr>
          <w:color w:val="1F4E79"/>
          <w:szCs w:val="18"/>
          <w:lang w:eastAsia="es-DO"/>
        </w:rPr>
        <w:t xml:space="preserve">Las </w:t>
      </w:r>
      <w:r w:rsidRPr="00AC35C3">
        <w:rPr>
          <w:b/>
          <w:color w:val="1F4E79"/>
          <w:szCs w:val="18"/>
          <w:lang w:eastAsia="es-DO"/>
        </w:rPr>
        <w:t>Declaraciones Juradas</w:t>
      </w:r>
      <w:r w:rsidRPr="00FA1EEC">
        <w:rPr>
          <w:color w:val="1F4E79"/>
          <w:szCs w:val="18"/>
          <w:lang w:eastAsia="es-DO"/>
        </w:rPr>
        <w:t xml:space="preserve"> que exige la ley están publicadas en nuestro Sub-Portal de Transparencia, las cuales corresponden al Presidente, Vice-Presidenta, Directora Administrativa-Financiera y Encargada de la División de Compras.</w:t>
      </w:r>
    </w:p>
    <w:p w14:paraId="661F71B6" w14:textId="77777777" w:rsidR="00134B5F" w:rsidRPr="00FA1EEC" w:rsidRDefault="00134B5F" w:rsidP="00AC35C3">
      <w:pPr>
        <w:ind w:left="0" w:firstLine="646"/>
        <w:rPr>
          <w:color w:val="1F4E79"/>
          <w:szCs w:val="18"/>
          <w:lang w:eastAsia="es-DO"/>
        </w:rPr>
      </w:pPr>
    </w:p>
    <w:p w14:paraId="5F5A3605" w14:textId="3C8D8EEE" w:rsidR="00134B5F" w:rsidRPr="00FA1EEC" w:rsidRDefault="00134B5F" w:rsidP="00AC35C3">
      <w:pPr>
        <w:ind w:left="0" w:firstLine="646"/>
        <w:rPr>
          <w:color w:val="1F4E79"/>
          <w:szCs w:val="18"/>
          <w:lang w:eastAsia="es-DO"/>
        </w:rPr>
      </w:pPr>
      <w:r w:rsidRPr="00FA1EEC">
        <w:rPr>
          <w:color w:val="1F4E79"/>
          <w:szCs w:val="18"/>
          <w:lang w:eastAsia="es-DO"/>
        </w:rPr>
        <w:t xml:space="preserve">El </w:t>
      </w:r>
      <w:r w:rsidR="00207340">
        <w:rPr>
          <w:color w:val="1F4E79"/>
          <w:szCs w:val="18"/>
          <w:lang w:eastAsia="es-DO"/>
        </w:rPr>
        <w:t>FONPER</w:t>
      </w:r>
      <w:r w:rsidRPr="00FA1EEC">
        <w:rPr>
          <w:color w:val="1F4E79"/>
          <w:szCs w:val="18"/>
          <w:lang w:eastAsia="es-DO"/>
        </w:rPr>
        <w:t xml:space="preserve"> tiene en funcionamiento su </w:t>
      </w:r>
      <w:r w:rsidRPr="00AC35C3">
        <w:rPr>
          <w:b/>
          <w:color w:val="1F4E79"/>
          <w:szCs w:val="18"/>
          <w:lang w:eastAsia="es-DO"/>
        </w:rPr>
        <w:t>Comisión de Ética Pública (CEP-</w:t>
      </w:r>
      <w:r w:rsidR="00207340">
        <w:rPr>
          <w:b/>
          <w:color w:val="1F4E79"/>
          <w:szCs w:val="18"/>
          <w:lang w:eastAsia="es-DO"/>
        </w:rPr>
        <w:t>FONPER</w:t>
      </w:r>
      <w:r w:rsidRPr="00AC35C3">
        <w:rPr>
          <w:b/>
          <w:color w:val="1F4E79"/>
          <w:szCs w:val="18"/>
          <w:lang w:eastAsia="es-DO"/>
        </w:rPr>
        <w:t>),</w:t>
      </w:r>
      <w:r w:rsidRPr="00FA1EEC">
        <w:rPr>
          <w:color w:val="1F4E79"/>
          <w:szCs w:val="18"/>
          <w:lang w:eastAsia="es-DO"/>
        </w:rPr>
        <w:t xml:space="preserve"> la cual ha cumplido con sus funciones de forma eficiente y proactiva, expresado en los niveles de cumplimiento del Plan de Trabajo Anual requerido por la DIGEIG, de un </w:t>
      </w:r>
      <w:r w:rsidRPr="00AC35C3">
        <w:rPr>
          <w:b/>
          <w:color w:val="1F4E79"/>
          <w:szCs w:val="18"/>
          <w:lang w:eastAsia="es-DO"/>
        </w:rPr>
        <w:t>100%.</w:t>
      </w:r>
      <w:r w:rsidRPr="00FA1EEC">
        <w:rPr>
          <w:color w:val="1F4E79"/>
          <w:szCs w:val="18"/>
          <w:lang w:eastAsia="es-DO"/>
        </w:rPr>
        <w:t xml:space="preserve">  </w:t>
      </w:r>
    </w:p>
    <w:p w14:paraId="012253D7" w14:textId="77777777" w:rsidR="004B0E8C" w:rsidRPr="00FA1EEC" w:rsidRDefault="004B0E8C" w:rsidP="00AC35C3">
      <w:pPr>
        <w:ind w:left="0" w:firstLine="646"/>
        <w:rPr>
          <w:color w:val="1F4E79"/>
          <w:szCs w:val="18"/>
          <w:lang w:eastAsia="es-DO"/>
        </w:rPr>
      </w:pPr>
    </w:p>
    <w:p w14:paraId="58B71F80" w14:textId="1D6E6E38" w:rsidR="00134B5F" w:rsidRPr="00FA1EEC" w:rsidRDefault="00134B5F" w:rsidP="006F7560">
      <w:pPr>
        <w:pStyle w:val="Prrafodelista"/>
        <w:numPr>
          <w:ilvl w:val="2"/>
          <w:numId w:val="1"/>
        </w:numPr>
        <w:spacing w:after="0" w:line="360" w:lineRule="auto"/>
        <w:ind w:left="709"/>
        <w:jc w:val="center"/>
        <w:rPr>
          <w:b/>
          <w:color w:val="1F4E79"/>
          <w:szCs w:val="18"/>
          <w:u w:val="single"/>
          <w:lang w:eastAsia="es-DO"/>
        </w:rPr>
      </w:pPr>
      <w:r w:rsidRPr="00FA1EEC">
        <w:rPr>
          <w:b/>
          <w:color w:val="1F4E79"/>
          <w:szCs w:val="18"/>
          <w:u w:val="single"/>
          <w:lang w:eastAsia="es-DO"/>
        </w:rPr>
        <w:t>Sistema Nacional de Compras y Contrataciones (SISCOMPRAS)</w:t>
      </w:r>
    </w:p>
    <w:p w14:paraId="04404EF1" w14:textId="77777777" w:rsidR="00134B5F" w:rsidRPr="00FA1EEC" w:rsidRDefault="00134B5F" w:rsidP="00AC35C3">
      <w:pPr>
        <w:ind w:left="0" w:firstLine="646"/>
        <w:rPr>
          <w:color w:val="1F4E79"/>
          <w:szCs w:val="18"/>
          <w:lang w:eastAsia="es-DO"/>
        </w:rPr>
      </w:pPr>
    </w:p>
    <w:p w14:paraId="3A0BC9EF" w14:textId="6D9E784D" w:rsidR="00134B5F" w:rsidRDefault="00134B5F" w:rsidP="00AC35C3">
      <w:pPr>
        <w:ind w:left="0" w:firstLine="646"/>
        <w:rPr>
          <w:color w:val="1F4E79"/>
          <w:szCs w:val="18"/>
          <w:lang w:eastAsia="es-DO"/>
        </w:rPr>
      </w:pPr>
      <w:r w:rsidRPr="00FA1EEC">
        <w:rPr>
          <w:color w:val="1F4E79"/>
          <w:szCs w:val="18"/>
          <w:lang w:eastAsia="es-DO"/>
        </w:rPr>
        <w:t xml:space="preserve">Como resultado de una gestión de las compras y contrataciones dentro del marco de la Ley No.340-06, así como de las normas establecidas por la Dirección General de Compras y Contrataciones y a través del Portal Transaccional de compras, el </w:t>
      </w:r>
      <w:r w:rsidR="00207340">
        <w:rPr>
          <w:color w:val="1F4E79"/>
          <w:szCs w:val="18"/>
          <w:lang w:eastAsia="es-DO"/>
        </w:rPr>
        <w:t>FONPER</w:t>
      </w:r>
      <w:r w:rsidRPr="00FA1EEC">
        <w:rPr>
          <w:color w:val="1F4E79"/>
          <w:szCs w:val="18"/>
          <w:lang w:eastAsia="es-DO"/>
        </w:rPr>
        <w:t xml:space="preserve"> logro obtener este año, una puntuación de 98.57</w:t>
      </w:r>
      <w:r w:rsidR="00491B45" w:rsidRPr="00FA1EEC">
        <w:rPr>
          <w:color w:val="1F4E79"/>
          <w:szCs w:val="18"/>
          <w:lang w:eastAsia="es-DO"/>
        </w:rPr>
        <w:t>.</w:t>
      </w:r>
    </w:p>
    <w:p w14:paraId="737A2193" w14:textId="77777777" w:rsidR="00F164B9" w:rsidRPr="00FA1EEC" w:rsidRDefault="00F164B9" w:rsidP="00AC35C3">
      <w:pPr>
        <w:ind w:left="0" w:firstLine="646"/>
        <w:rPr>
          <w:color w:val="1F4E79"/>
          <w:szCs w:val="18"/>
          <w:lang w:eastAsia="es-DO"/>
        </w:rPr>
      </w:pPr>
    </w:p>
    <w:p w14:paraId="115741C2" w14:textId="23479BC4" w:rsidR="00134B5F" w:rsidRPr="00FA1EEC" w:rsidRDefault="00D67453" w:rsidP="00AC35C3">
      <w:pPr>
        <w:pStyle w:val="Prrafodelista"/>
        <w:numPr>
          <w:ilvl w:val="1"/>
          <w:numId w:val="1"/>
        </w:numPr>
        <w:spacing w:after="0" w:line="360" w:lineRule="auto"/>
        <w:ind w:left="425" w:hanging="425"/>
        <w:jc w:val="center"/>
        <w:outlineLvl w:val="1"/>
        <w:rPr>
          <w:rFonts w:ascii="Gotham Medium" w:eastAsia="Times New Roman" w:hAnsi="Gotham Medium" w:cs="Times New Roman"/>
          <w:b/>
          <w:color w:val="1F4E79"/>
          <w:sz w:val="16"/>
          <w:szCs w:val="16"/>
        </w:rPr>
      </w:pPr>
      <w:bookmarkStart w:id="12" w:name="_Toc59540161"/>
      <w:r w:rsidRPr="00FA1EEC">
        <w:rPr>
          <w:rFonts w:ascii="Gotham Medium" w:eastAsia="Times New Roman" w:hAnsi="Gotham Medium" w:cs="Times New Roman"/>
          <w:b/>
          <w:color w:val="1F4E79"/>
          <w:sz w:val="16"/>
          <w:szCs w:val="16"/>
        </w:rPr>
        <w:t>COMUNICACIÓN E IMAGEN CORPORATIVA.</w:t>
      </w:r>
      <w:bookmarkEnd w:id="12"/>
    </w:p>
    <w:p w14:paraId="5B8275D5" w14:textId="77777777" w:rsidR="00134B5F" w:rsidRPr="00AC35C3" w:rsidRDefault="00134B5F" w:rsidP="00AC35C3">
      <w:pPr>
        <w:ind w:left="0" w:firstLine="646"/>
        <w:rPr>
          <w:color w:val="1F4E79"/>
          <w:szCs w:val="18"/>
          <w:lang w:eastAsia="es-DO"/>
        </w:rPr>
      </w:pPr>
    </w:p>
    <w:p w14:paraId="36EF5BB9" w14:textId="217E1E57" w:rsidR="00134B5F" w:rsidRDefault="00134B5F" w:rsidP="00AC35C3">
      <w:pPr>
        <w:ind w:left="0" w:firstLine="646"/>
        <w:rPr>
          <w:color w:val="1F4E79"/>
          <w:szCs w:val="18"/>
          <w:lang w:eastAsia="es-DO"/>
        </w:rPr>
      </w:pPr>
      <w:r w:rsidRPr="00FA1EEC">
        <w:rPr>
          <w:color w:val="1F4E79"/>
          <w:szCs w:val="18"/>
          <w:lang w:eastAsia="es-DO"/>
        </w:rPr>
        <w:t xml:space="preserve">El </w:t>
      </w:r>
      <w:r w:rsidR="00207340">
        <w:rPr>
          <w:color w:val="1F4E79"/>
          <w:szCs w:val="18"/>
          <w:lang w:eastAsia="es-DO"/>
        </w:rPr>
        <w:t>FONPER</w:t>
      </w:r>
      <w:r w:rsidRPr="00FA1EEC">
        <w:rPr>
          <w:color w:val="1F4E79"/>
          <w:szCs w:val="18"/>
          <w:lang w:eastAsia="es-DO"/>
        </w:rPr>
        <w:t xml:space="preserve">, a través de su Departamento de Comunicaciones, ejecutó una serie de iniciativas encaminadas a afianzar el posicionamiento de la institución en la sociedad y en los medios de comunicación, prestando especial atención en la implementación del cambio de su identidad corporativa. </w:t>
      </w:r>
    </w:p>
    <w:p w14:paraId="7E5EA567" w14:textId="77777777" w:rsidR="00F164B9" w:rsidRPr="00FA1EEC" w:rsidRDefault="00F164B9" w:rsidP="00AC35C3">
      <w:pPr>
        <w:ind w:left="0" w:firstLine="646"/>
        <w:rPr>
          <w:color w:val="1F4E79"/>
          <w:szCs w:val="18"/>
          <w:lang w:eastAsia="es-DO"/>
        </w:rPr>
      </w:pPr>
    </w:p>
    <w:p w14:paraId="0D261900" w14:textId="58F5E8E0" w:rsidR="00134B5F" w:rsidRPr="00AC35C3" w:rsidRDefault="00134B5F" w:rsidP="00C46108">
      <w:pPr>
        <w:ind w:left="0" w:firstLine="646"/>
        <w:rPr>
          <w:color w:val="1F4E79"/>
          <w:szCs w:val="18"/>
          <w:lang w:eastAsia="es-DO"/>
        </w:rPr>
      </w:pPr>
      <w:r w:rsidRPr="00FA1EEC">
        <w:rPr>
          <w:color w:val="1F4E79"/>
          <w:szCs w:val="18"/>
          <w:lang w:eastAsia="es-DO"/>
        </w:rPr>
        <w:t>En ese sentido, durante el mes de enero del año 2020, se di</w:t>
      </w:r>
      <w:r w:rsidR="005A2098">
        <w:rPr>
          <w:color w:val="1F4E79"/>
          <w:szCs w:val="18"/>
          <w:lang w:eastAsia="es-DO"/>
        </w:rPr>
        <w:t>ó</w:t>
      </w:r>
      <w:r w:rsidRPr="00FA1EEC">
        <w:rPr>
          <w:color w:val="1F4E79"/>
          <w:szCs w:val="18"/>
          <w:lang w:eastAsia="es-DO"/>
        </w:rPr>
        <w:t xml:space="preserve"> continuidad al proceso para el cambio de identidad corporativa, con el propósito de proyectar una imagen moderna, novedosa y que represente su misión y visión frente a la sociedad dominicana. </w:t>
      </w:r>
      <w:r w:rsidR="00F30E7E" w:rsidRPr="00FA1EEC">
        <w:rPr>
          <w:color w:val="1F4E79"/>
          <w:szCs w:val="18"/>
          <w:lang w:eastAsia="es-DO"/>
        </w:rPr>
        <w:t xml:space="preserve">  </w:t>
      </w:r>
      <w:r w:rsidRPr="00FA1EEC">
        <w:rPr>
          <w:color w:val="1F4E79"/>
          <w:szCs w:val="18"/>
          <w:lang w:eastAsia="es-DO"/>
        </w:rPr>
        <w:t>Para estos fines, se implementaron los siguientes cambios:</w:t>
      </w:r>
    </w:p>
    <w:p w14:paraId="0999D00C" w14:textId="0A563D87" w:rsidR="00134B5F" w:rsidRPr="00AC35C3" w:rsidRDefault="00134B5F" w:rsidP="00AC35C3">
      <w:pPr>
        <w:pStyle w:val="Prrafodelista"/>
        <w:numPr>
          <w:ilvl w:val="0"/>
          <w:numId w:val="33"/>
        </w:numPr>
        <w:ind w:left="426"/>
        <w:rPr>
          <w:color w:val="1F4E79"/>
          <w:szCs w:val="18"/>
          <w:lang w:eastAsia="es-DO"/>
        </w:rPr>
      </w:pPr>
      <w:r w:rsidRPr="00AC35C3">
        <w:rPr>
          <w:color w:val="1F4E79"/>
          <w:szCs w:val="18"/>
          <w:lang w:eastAsia="es-DO"/>
        </w:rPr>
        <w:t>Se formalizó el uso del nuevo logo en banderas, todo tipo de papelería, carnets de empleado</w:t>
      </w:r>
      <w:r w:rsidR="005A2098">
        <w:rPr>
          <w:color w:val="1F4E79"/>
          <w:szCs w:val="18"/>
          <w:lang w:eastAsia="es-DO"/>
        </w:rPr>
        <w:t>s están en proceso</w:t>
      </w:r>
      <w:r w:rsidRPr="00AC35C3">
        <w:rPr>
          <w:color w:val="1F4E79"/>
          <w:szCs w:val="18"/>
          <w:lang w:eastAsia="es-DO"/>
        </w:rPr>
        <w:t xml:space="preserve">, murales y letreros y sellos pre-tintados. </w:t>
      </w:r>
    </w:p>
    <w:p w14:paraId="6CCF14EE" w14:textId="5CE7E887" w:rsidR="00134B5F" w:rsidRPr="00AC35C3" w:rsidRDefault="00134B5F" w:rsidP="00AC35C3">
      <w:pPr>
        <w:pStyle w:val="Prrafodelista"/>
        <w:numPr>
          <w:ilvl w:val="0"/>
          <w:numId w:val="33"/>
        </w:numPr>
        <w:ind w:left="426"/>
        <w:rPr>
          <w:color w:val="1F4E79"/>
          <w:szCs w:val="18"/>
          <w:lang w:eastAsia="es-DO"/>
        </w:rPr>
      </w:pPr>
      <w:r w:rsidRPr="00AC35C3">
        <w:rPr>
          <w:color w:val="1F4E79"/>
          <w:szCs w:val="18"/>
          <w:lang w:eastAsia="es-DO"/>
        </w:rPr>
        <w:t xml:space="preserve">Actualización de cuadros sobre filosofía institucional: Misión, Visión y Valores del </w:t>
      </w:r>
      <w:r w:rsidR="00207340">
        <w:rPr>
          <w:color w:val="1F4E79"/>
          <w:szCs w:val="18"/>
          <w:lang w:eastAsia="es-DO"/>
        </w:rPr>
        <w:t>FONPER</w:t>
      </w:r>
      <w:r w:rsidRPr="00AC35C3">
        <w:rPr>
          <w:color w:val="1F4E79"/>
          <w:szCs w:val="18"/>
          <w:lang w:eastAsia="es-DO"/>
        </w:rPr>
        <w:t>.</w:t>
      </w:r>
    </w:p>
    <w:p w14:paraId="5F62CD9E" w14:textId="29D8044D" w:rsidR="00134B5F" w:rsidRDefault="00134B5F" w:rsidP="00AC35C3">
      <w:pPr>
        <w:pStyle w:val="Prrafodelista"/>
        <w:numPr>
          <w:ilvl w:val="0"/>
          <w:numId w:val="33"/>
        </w:numPr>
        <w:ind w:left="426"/>
        <w:rPr>
          <w:color w:val="1F4E79"/>
          <w:szCs w:val="18"/>
          <w:lang w:eastAsia="es-DO"/>
        </w:rPr>
      </w:pPr>
      <w:r w:rsidRPr="00AC35C3">
        <w:rPr>
          <w:color w:val="1F4E79"/>
          <w:szCs w:val="18"/>
          <w:lang w:eastAsia="es-DO"/>
        </w:rPr>
        <w:t>Implementación de nueva identidad en página web y redes sociales.</w:t>
      </w:r>
    </w:p>
    <w:p w14:paraId="5F29D99C" w14:textId="77777777" w:rsidR="00AC35C3" w:rsidRPr="00AC35C3" w:rsidRDefault="00AC35C3" w:rsidP="00AC35C3">
      <w:pPr>
        <w:ind w:left="0" w:firstLine="646"/>
        <w:rPr>
          <w:color w:val="1F4E79"/>
          <w:szCs w:val="18"/>
          <w:lang w:eastAsia="es-DO"/>
        </w:rPr>
      </w:pPr>
    </w:p>
    <w:p w14:paraId="3044C850" w14:textId="241FC6E2" w:rsidR="00134B5F" w:rsidRPr="00FA1EEC" w:rsidRDefault="00134B5F" w:rsidP="00AC35C3">
      <w:pPr>
        <w:ind w:left="0" w:firstLine="646"/>
        <w:rPr>
          <w:color w:val="1F4E79"/>
          <w:szCs w:val="18"/>
          <w:lang w:eastAsia="es-DO"/>
        </w:rPr>
      </w:pPr>
      <w:r w:rsidRPr="00FA1EEC">
        <w:rPr>
          <w:color w:val="1F4E79"/>
          <w:szCs w:val="18"/>
          <w:lang w:eastAsia="es-DO"/>
        </w:rPr>
        <w:t>Por otro lado, en el 1er. trimestre del año, se publicó la edición No. 46 de la Revista “</w:t>
      </w:r>
      <w:r w:rsidR="00207340">
        <w:rPr>
          <w:color w:val="1F4E79"/>
          <w:szCs w:val="18"/>
          <w:lang w:eastAsia="es-DO"/>
        </w:rPr>
        <w:t>FONPER</w:t>
      </w:r>
      <w:r w:rsidRPr="00FA1EEC">
        <w:rPr>
          <w:color w:val="1F4E79"/>
          <w:szCs w:val="18"/>
          <w:lang w:eastAsia="es-DO"/>
        </w:rPr>
        <w:t xml:space="preserve"> INFORMA”. </w:t>
      </w:r>
    </w:p>
    <w:p w14:paraId="6C4059FF" w14:textId="77777777" w:rsidR="002C5E75" w:rsidRPr="00FA1EEC" w:rsidRDefault="002C5E75" w:rsidP="00AC35C3">
      <w:pPr>
        <w:ind w:left="0" w:firstLine="646"/>
        <w:rPr>
          <w:color w:val="1F4E79"/>
          <w:szCs w:val="18"/>
          <w:lang w:eastAsia="es-DO"/>
        </w:rPr>
      </w:pPr>
    </w:p>
    <w:p w14:paraId="615776E3" w14:textId="03374171" w:rsidR="00663B7E" w:rsidRDefault="00134B5F" w:rsidP="00AC35C3">
      <w:pPr>
        <w:ind w:left="0" w:firstLine="646"/>
        <w:rPr>
          <w:color w:val="1F4E79"/>
          <w:szCs w:val="18"/>
          <w:lang w:eastAsia="es-DO"/>
        </w:rPr>
      </w:pPr>
      <w:r w:rsidRPr="00FA1EEC">
        <w:rPr>
          <w:color w:val="1F4E79"/>
          <w:szCs w:val="18"/>
          <w:lang w:eastAsia="es-DO"/>
        </w:rPr>
        <w:t>En el mes de julio, se concluyó y distribuyó la Memoria Institucional “</w:t>
      </w:r>
      <w:r w:rsidR="00207340">
        <w:rPr>
          <w:color w:val="1F4E79"/>
          <w:szCs w:val="18"/>
          <w:lang w:eastAsia="es-DO"/>
        </w:rPr>
        <w:t>FONPER</w:t>
      </w:r>
      <w:r w:rsidRPr="00FA1EEC">
        <w:rPr>
          <w:color w:val="1F4E79"/>
          <w:szCs w:val="18"/>
          <w:lang w:eastAsia="es-DO"/>
        </w:rPr>
        <w:t xml:space="preserve"> 18 Años”, la cual es una expresión de las ejecuciones más importantes realizadas durante sus 18 años de vida.</w:t>
      </w:r>
    </w:p>
    <w:bookmarkStart w:id="13" w:name="_Toc59540162"/>
    <w:p w14:paraId="6FB5B6F6" w14:textId="0B4C95EE" w:rsidR="002C5E75" w:rsidRPr="00FA1EEC" w:rsidRDefault="002C5E75" w:rsidP="003F382A">
      <w:pPr>
        <w:pStyle w:val="Ttulo1"/>
        <w:numPr>
          <w:ilvl w:val="0"/>
          <w:numId w:val="1"/>
        </w:numPr>
        <w:spacing w:line="480" w:lineRule="auto"/>
        <w:ind w:left="283"/>
        <w:rPr>
          <w:color w:val="1F4E79"/>
          <w:sz w:val="28"/>
          <w:szCs w:val="36"/>
        </w:rPr>
      </w:pPr>
      <w:r w:rsidRPr="003F382A">
        <w:rPr>
          <w:noProof/>
          <w:color w:val="1F4E79"/>
          <w:sz w:val="28"/>
          <w:szCs w:val="36"/>
          <w:lang w:val="es-ES" w:eastAsia="es-ES"/>
        </w:rPr>
        <mc:AlternateContent>
          <mc:Choice Requires="wps">
            <w:drawing>
              <wp:anchor distT="0" distB="0" distL="114300" distR="114300" simplePos="0" relativeHeight="251694080" behindDoc="0" locked="0" layoutInCell="1" allowOverlap="1" wp14:anchorId="097E18AC" wp14:editId="45852B4B">
                <wp:simplePos x="0" y="0"/>
                <wp:positionH relativeFrom="column">
                  <wp:posOffset>2094931</wp:posOffset>
                </wp:positionH>
                <wp:positionV relativeFrom="paragraph">
                  <wp:posOffset>339772</wp:posOffset>
                </wp:positionV>
                <wp:extent cx="723332" cy="0"/>
                <wp:effectExtent l="0" t="19050" r="19685" b="19050"/>
                <wp:wrapNone/>
                <wp:docPr id="6" name="Conector recto 6"/>
                <wp:cNvGraphicFramePr/>
                <a:graphic xmlns:a="http://schemas.openxmlformats.org/drawingml/2006/main">
                  <a:graphicData uri="http://schemas.microsoft.com/office/word/2010/wordprocessingShape">
                    <wps:wsp>
                      <wps:cNvCnPr/>
                      <wps:spPr>
                        <a:xfrm>
                          <a:off x="0" y="0"/>
                          <a:ext cx="723332" cy="0"/>
                        </a:xfrm>
                        <a:prstGeom prst="line">
                          <a:avLst/>
                        </a:prstGeom>
                        <a:ln w="31750">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0162124" id="Conector recto 6"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95pt,26.75pt" to="221.9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" strokecolor="red" strokeweight="2.5pt">
                <v:stroke joinstyle="miter"/>
              </v:line>
            </w:pict>
          </mc:Fallback>
        </mc:AlternateContent>
      </w:r>
      <w:r w:rsidRPr="00FA1EEC">
        <w:rPr>
          <w:color w:val="1F4E79"/>
          <w:sz w:val="28"/>
          <w:szCs w:val="36"/>
        </w:rPr>
        <w:t>GESTI</w:t>
      </w:r>
      <w:r w:rsidR="00CB2600" w:rsidRPr="00CB2600">
        <w:rPr>
          <w:color w:val="1F4E79"/>
          <w:sz w:val="24"/>
          <w:szCs w:val="36"/>
        </w:rPr>
        <w:t>Ó</w:t>
      </w:r>
      <w:r w:rsidRPr="00FA1EEC">
        <w:rPr>
          <w:color w:val="1F4E79"/>
          <w:sz w:val="28"/>
          <w:szCs w:val="36"/>
        </w:rPr>
        <w:t>N INTERNA</w:t>
      </w:r>
      <w:bookmarkEnd w:id="13"/>
    </w:p>
    <w:p w14:paraId="175BBAA3" w14:textId="77777777" w:rsidR="00BA39B0" w:rsidRDefault="00BA39B0" w:rsidP="00BA39B0">
      <w:pPr>
        <w:ind w:hanging="284"/>
        <w:jc w:val="center"/>
        <w:rPr>
          <w:rFonts w:ascii="Gotham Medium" w:hAnsi="Gotham Medium"/>
          <w:b/>
          <w:spacing w:val="40"/>
          <w:sz w:val="16"/>
          <w:szCs w:val="16"/>
        </w:rPr>
      </w:pPr>
      <w:r w:rsidRPr="00A1441F">
        <w:rPr>
          <w:rFonts w:ascii="Gotham Medium" w:hAnsi="Gotham Medium"/>
          <w:b/>
          <w:spacing w:val="40"/>
          <w:sz w:val="16"/>
          <w:szCs w:val="16"/>
        </w:rPr>
        <w:t>MEMORIAS 2020</w:t>
      </w:r>
    </w:p>
    <w:p w14:paraId="2938F790" w14:textId="77777777" w:rsidR="002C5E75" w:rsidRPr="00FA1EEC" w:rsidRDefault="002C5E75" w:rsidP="00BB1889">
      <w:pPr>
        <w:ind w:left="0" w:firstLine="646"/>
        <w:rPr>
          <w:color w:val="1F4E79"/>
          <w:szCs w:val="18"/>
          <w:lang w:eastAsia="es-DO"/>
        </w:rPr>
      </w:pPr>
    </w:p>
    <w:p w14:paraId="7C97326A" w14:textId="0C77AEEA" w:rsidR="00193211" w:rsidRPr="00FA1EEC" w:rsidRDefault="00193211" w:rsidP="00C46108">
      <w:pPr>
        <w:ind w:left="0" w:firstLine="646"/>
        <w:rPr>
          <w:color w:val="1F4E79"/>
          <w:szCs w:val="18"/>
          <w:lang w:eastAsia="es-DO"/>
        </w:rPr>
      </w:pPr>
      <w:r w:rsidRPr="00FA1EEC">
        <w:rPr>
          <w:color w:val="1F4E79"/>
          <w:szCs w:val="18"/>
          <w:lang w:eastAsia="es-DO"/>
        </w:rPr>
        <w:t xml:space="preserve">El </w:t>
      </w:r>
      <w:r w:rsidR="00207340">
        <w:rPr>
          <w:color w:val="1F4E79"/>
          <w:szCs w:val="18"/>
          <w:lang w:eastAsia="es-DO"/>
        </w:rPr>
        <w:t>FONPER</w:t>
      </w:r>
      <w:r w:rsidRPr="00FA1EEC">
        <w:rPr>
          <w:color w:val="1F4E79"/>
          <w:szCs w:val="18"/>
          <w:lang w:eastAsia="es-DO"/>
        </w:rPr>
        <w:t xml:space="preserve">, como aporte al logro de un estado social y democrático, más organizado, que garantice justicia, seguridad y buen gobierno (Eje No. 1 </w:t>
      </w:r>
      <w:r w:rsidR="00CB2600">
        <w:rPr>
          <w:color w:val="1F4E79"/>
          <w:szCs w:val="18"/>
          <w:lang w:eastAsia="es-DO"/>
        </w:rPr>
        <w:t>de la Estrategia Nacional de Desarrollo (</w:t>
      </w:r>
      <w:r w:rsidRPr="00FA1EEC">
        <w:rPr>
          <w:color w:val="1F4E79"/>
          <w:szCs w:val="18"/>
          <w:lang w:eastAsia="es-DO"/>
        </w:rPr>
        <w:t>END), se mantiene en un proceso de mejoramiento institucional continuo en cada una de sus áreas de trabajo.</w:t>
      </w:r>
    </w:p>
    <w:p w14:paraId="4F760DAF" w14:textId="77777777" w:rsidR="00193211" w:rsidRPr="00FA1EEC" w:rsidRDefault="00193211" w:rsidP="00BB1889">
      <w:pPr>
        <w:ind w:left="0" w:firstLine="646"/>
        <w:rPr>
          <w:color w:val="1F4E79"/>
          <w:szCs w:val="18"/>
          <w:lang w:eastAsia="es-DO"/>
        </w:rPr>
      </w:pPr>
    </w:p>
    <w:p w14:paraId="7EF7D21B" w14:textId="61B27478" w:rsidR="00193211" w:rsidRPr="00FA1EEC" w:rsidRDefault="00C92164" w:rsidP="0027737A">
      <w:pPr>
        <w:pStyle w:val="Prrafodelista"/>
        <w:numPr>
          <w:ilvl w:val="1"/>
          <w:numId w:val="1"/>
        </w:numPr>
        <w:spacing w:after="0" w:line="360" w:lineRule="auto"/>
        <w:ind w:left="426" w:hanging="425"/>
        <w:jc w:val="center"/>
        <w:outlineLvl w:val="1"/>
        <w:rPr>
          <w:rFonts w:ascii="Gotham Medium" w:eastAsia="Times New Roman" w:hAnsi="Gotham Medium" w:cs="Times New Roman"/>
          <w:b/>
          <w:color w:val="1F4E79"/>
          <w:sz w:val="16"/>
          <w:szCs w:val="16"/>
        </w:rPr>
      </w:pPr>
      <w:bookmarkStart w:id="14" w:name="_Toc59540163"/>
      <w:r w:rsidRPr="00FA1EEC">
        <w:rPr>
          <w:rFonts w:ascii="Gotham Medium" w:eastAsia="Times New Roman" w:hAnsi="Gotham Medium" w:cs="Times New Roman"/>
          <w:b/>
          <w:color w:val="1F4E79"/>
          <w:sz w:val="16"/>
          <w:szCs w:val="16"/>
        </w:rPr>
        <w:t>DESEMPEÑO FINANCIERO</w:t>
      </w:r>
      <w:bookmarkEnd w:id="14"/>
    </w:p>
    <w:p w14:paraId="0444465B" w14:textId="77777777" w:rsidR="00193211" w:rsidRPr="00C46108" w:rsidRDefault="00193211" w:rsidP="001825A6">
      <w:pPr>
        <w:ind w:left="0" w:firstLine="646"/>
        <w:rPr>
          <w:color w:val="1F4E79"/>
          <w:szCs w:val="18"/>
          <w:lang w:eastAsia="es-DO"/>
        </w:rPr>
      </w:pPr>
    </w:p>
    <w:p w14:paraId="4A4BBDF1" w14:textId="0BB4F7F4" w:rsidR="00193211" w:rsidRPr="00FA1EEC" w:rsidRDefault="00193211" w:rsidP="001825A6">
      <w:pPr>
        <w:ind w:left="0" w:firstLine="646"/>
        <w:rPr>
          <w:color w:val="1F4E79"/>
          <w:szCs w:val="18"/>
          <w:lang w:eastAsia="es-DO"/>
        </w:rPr>
      </w:pPr>
      <w:r w:rsidRPr="00FA1EEC">
        <w:rPr>
          <w:color w:val="1F4E79"/>
          <w:szCs w:val="18"/>
          <w:lang w:eastAsia="es-DO"/>
        </w:rPr>
        <w:t xml:space="preserve">Los recursos del </w:t>
      </w:r>
      <w:r w:rsidR="00207340">
        <w:rPr>
          <w:color w:val="1F4E79"/>
          <w:szCs w:val="18"/>
          <w:lang w:eastAsia="es-DO"/>
        </w:rPr>
        <w:t>FONPER</w:t>
      </w:r>
      <w:r w:rsidRPr="00FA1EEC">
        <w:rPr>
          <w:color w:val="1F4E79"/>
          <w:szCs w:val="18"/>
          <w:lang w:eastAsia="es-DO"/>
        </w:rPr>
        <w:t xml:space="preserve"> provienen de los dividendos que aportan las empresas capitalizadas. Como parte de la gestión financiera, el </w:t>
      </w:r>
      <w:r w:rsidR="00207340">
        <w:rPr>
          <w:color w:val="1F4E79"/>
          <w:szCs w:val="18"/>
          <w:lang w:eastAsia="es-DO"/>
        </w:rPr>
        <w:t>FONPER</w:t>
      </w:r>
      <w:r w:rsidRPr="00FA1EEC">
        <w:rPr>
          <w:color w:val="1F4E79"/>
          <w:szCs w:val="18"/>
          <w:lang w:eastAsia="es-DO"/>
        </w:rPr>
        <w:t xml:space="preserve"> utiliza como instrumento para el incremento de los recursos, las inversiones en certificados financieros.</w:t>
      </w:r>
    </w:p>
    <w:p w14:paraId="56C298D2" w14:textId="77777777" w:rsidR="00193211" w:rsidRPr="00FA1EEC" w:rsidRDefault="00193211" w:rsidP="001825A6">
      <w:pPr>
        <w:ind w:left="0" w:firstLine="646"/>
        <w:rPr>
          <w:color w:val="1F4E79"/>
          <w:szCs w:val="18"/>
          <w:lang w:eastAsia="es-DO"/>
        </w:rPr>
      </w:pPr>
    </w:p>
    <w:p w14:paraId="026D9B11" w14:textId="77777777" w:rsidR="00193211" w:rsidRPr="00FA1EEC" w:rsidRDefault="00193211" w:rsidP="001825A6">
      <w:pPr>
        <w:ind w:left="0" w:firstLine="646"/>
        <w:rPr>
          <w:color w:val="1F4E79"/>
          <w:szCs w:val="18"/>
          <w:lang w:eastAsia="es-DO"/>
        </w:rPr>
      </w:pPr>
      <w:r w:rsidRPr="00FA1EEC">
        <w:rPr>
          <w:color w:val="1F4E79"/>
          <w:szCs w:val="18"/>
          <w:lang w:eastAsia="es-DO"/>
        </w:rPr>
        <w:t>A continuación, destacamos las informaciones y gestiones más relevantes del período:</w:t>
      </w:r>
    </w:p>
    <w:p w14:paraId="41E2886F" w14:textId="77777777" w:rsidR="00193211" w:rsidRPr="00C46108" w:rsidRDefault="00193211" w:rsidP="001825A6">
      <w:pPr>
        <w:ind w:left="0" w:firstLine="646"/>
        <w:rPr>
          <w:color w:val="1F4E79"/>
          <w:szCs w:val="18"/>
          <w:lang w:eastAsia="es-DO"/>
        </w:rPr>
      </w:pPr>
    </w:p>
    <w:p w14:paraId="2A98D914" w14:textId="77777777" w:rsidR="00193211" w:rsidRPr="001825A6" w:rsidRDefault="00193211" w:rsidP="001825A6">
      <w:pPr>
        <w:ind w:left="0" w:firstLine="646"/>
        <w:rPr>
          <w:b/>
          <w:color w:val="1F4E79"/>
          <w:szCs w:val="18"/>
          <w:u w:val="single"/>
          <w:lang w:eastAsia="es-DO"/>
        </w:rPr>
      </w:pPr>
      <w:r w:rsidRPr="001825A6">
        <w:rPr>
          <w:b/>
          <w:color w:val="1F4E79"/>
          <w:szCs w:val="18"/>
          <w:u w:val="single"/>
          <w:lang w:eastAsia="es-DO"/>
        </w:rPr>
        <w:t>Inversión y Patrimonio</w:t>
      </w:r>
    </w:p>
    <w:p w14:paraId="44CC9B13" w14:textId="77777777" w:rsidR="00193211" w:rsidRPr="00FA1EEC" w:rsidRDefault="00193211" w:rsidP="001825A6">
      <w:pPr>
        <w:ind w:left="0" w:firstLine="646"/>
        <w:rPr>
          <w:color w:val="1F4E79"/>
          <w:szCs w:val="18"/>
          <w:lang w:eastAsia="es-DO"/>
        </w:rPr>
      </w:pPr>
      <w:r w:rsidRPr="00FA1EEC">
        <w:rPr>
          <w:color w:val="1F4E79"/>
          <w:szCs w:val="18"/>
          <w:lang w:eastAsia="es-DO"/>
        </w:rPr>
        <w:t xml:space="preserve"> </w:t>
      </w:r>
    </w:p>
    <w:p w14:paraId="7865F453" w14:textId="5F608080" w:rsidR="00193211" w:rsidRPr="00FA1EEC" w:rsidRDefault="00193211" w:rsidP="001825A6">
      <w:pPr>
        <w:ind w:left="0" w:firstLine="646"/>
        <w:rPr>
          <w:color w:val="1F4E79"/>
          <w:szCs w:val="18"/>
          <w:lang w:eastAsia="es-DO"/>
        </w:rPr>
      </w:pPr>
      <w:r w:rsidRPr="00FA1EEC">
        <w:rPr>
          <w:color w:val="1F4E79"/>
          <w:szCs w:val="18"/>
          <w:lang w:eastAsia="es-DO"/>
        </w:rPr>
        <w:t xml:space="preserve">La participación del </w:t>
      </w:r>
      <w:r w:rsidR="00207340">
        <w:rPr>
          <w:color w:val="1F4E79"/>
          <w:szCs w:val="18"/>
          <w:lang w:eastAsia="es-DO"/>
        </w:rPr>
        <w:t>FONPER</w:t>
      </w:r>
      <w:r w:rsidRPr="00FA1EEC">
        <w:rPr>
          <w:color w:val="1F4E79"/>
          <w:szCs w:val="18"/>
          <w:lang w:eastAsia="es-DO"/>
        </w:rPr>
        <w:t xml:space="preserve"> en las Empresas Reformadas al </w:t>
      </w:r>
      <w:r w:rsidRPr="00E552A4">
        <w:rPr>
          <w:b/>
          <w:color w:val="1F4E79"/>
          <w:szCs w:val="18"/>
          <w:lang w:eastAsia="es-DO"/>
        </w:rPr>
        <w:t>31 de octubre del 2020</w:t>
      </w:r>
      <w:r w:rsidRPr="00FA1EEC">
        <w:rPr>
          <w:color w:val="1F4E79"/>
          <w:szCs w:val="18"/>
          <w:lang w:eastAsia="es-DO"/>
        </w:rPr>
        <w:t xml:space="preserve">, asciende a </w:t>
      </w:r>
      <w:r w:rsidRPr="00E552A4">
        <w:rPr>
          <w:b/>
          <w:color w:val="1F4E79"/>
          <w:szCs w:val="18"/>
          <w:lang w:eastAsia="es-DO"/>
        </w:rPr>
        <w:t>RD$12,985,275,385.90</w:t>
      </w:r>
      <w:r w:rsidRPr="00FA1EEC">
        <w:rPr>
          <w:color w:val="1F4E79"/>
          <w:szCs w:val="18"/>
          <w:lang w:eastAsia="es-DO"/>
        </w:rPr>
        <w:t xml:space="preserve">, reflejando una variación de un </w:t>
      </w:r>
      <w:r w:rsidRPr="00E552A4">
        <w:rPr>
          <w:b/>
          <w:color w:val="1F4E79"/>
          <w:szCs w:val="18"/>
          <w:lang w:eastAsia="es-DO"/>
        </w:rPr>
        <w:t>84%</w:t>
      </w:r>
      <w:r w:rsidRPr="00FA1EEC">
        <w:rPr>
          <w:color w:val="1F4E79"/>
          <w:szCs w:val="18"/>
          <w:lang w:eastAsia="es-DO"/>
        </w:rPr>
        <w:t xml:space="preserve">, con respecto a la inversión inicial. </w:t>
      </w:r>
      <w:r w:rsidRPr="00C46108">
        <w:rPr>
          <w:color w:val="1F4E79"/>
          <w:szCs w:val="18"/>
          <w:lang w:eastAsia="es-DO"/>
        </w:rPr>
        <w:t>(Anexo No. 1).</w:t>
      </w:r>
    </w:p>
    <w:p w14:paraId="7A5B1ED7" w14:textId="77777777" w:rsidR="00193211" w:rsidRPr="00C46108" w:rsidRDefault="00193211" w:rsidP="001825A6">
      <w:pPr>
        <w:ind w:left="0" w:firstLine="646"/>
        <w:rPr>
          <w:color w:val="1F4E79"/>
          <w:szCs w:val="18"/>
          <w:lang w:eastAsia="es-DO"/>
        </w:rPr>
      </w:pPr>
    </w:p>
    <w:p w14:paraId="14BB26B4" w14:textId="5ACC0922" w:rsidR="00193211" w:rsidRPr="00FA1EEC" w:rsidRDefault="00193211" w:rsidP="001825A6">
      <w:pPr>
        <w:ind w:left="0" w:firstLine="646"/>
        <w:rPr>
          <w:color w:val="1F4E79"/>
          <w:szCs w:val="18"/>
          <w:lang w:eastAsia="es-DO"/>
        </w:rPr>
      </w:pPr>
      <w:r w:rsidRPr="00FA1EEC">
        <w:rPr>
          <w:color w:val="1F4E79"/>
          <w:szCs w:val="18"/>
          <w:lang w:eastAsia="es-DO"/>
        </w:rPr>
        <w:t xml:space="preserve"> El Patrimonio de </w:t>
      </w:r>
      <w:r w:rsidRPr="00E552A4">
        <w:rPr>
          <w:b/>
          <w:color w:val="1F4E79"/>
          <w:szCs w:val="18"/>
          <w:lang w:eastAsia="es-DO"/>
        </w:rPr>
        <w:t>RD$24,584,420,132.71</w:t>
      </w:r>
      <w:r w:rsidRPr="00FA1EEC">
        <w:rPr>
          <w:color w:val="1F4E79"/>
          <w:szCs w:val="18"/>
          <w:lang w:eastAsia="es-DO"/>
        </w:rPr>
        <w:t xml:space="preserve"> representa la inversión en acciones que posee el </w:t>
      </w:r>
      <w:r w:rsidR="00207340">
        <w:rPr>
          <w:color w:val="1F4E79"/>
          <w:szCs w:val="18"/>
          <w:lang w:eastAsia="es-DO"/>
        </w:rPr>
        <w:t>FONPER</w:t>
      </w:r>
      <w:r w:rsidRPr="00FA1EEC">
        <w:rPr>
          <w:color w:val="1F4E79"/>
          <w:szCs w:val="18"/>
          <w:lang w:eastAsia="es-DO"/>
        </w:rPr>
        <w:t xml:space="preserve"> en las empresas reformadas, refleja una variación de un </w:t>
      </w:r>
      <w:r w:rsidRPr="00E552A4">
        <w:rPr>
          <w:b/>
          <w:color w:val="1F4E79"/>
          <w:szCs w:val="18"/>
          <w:lang w:eastAsia="es-DO"/>
        </w:rPr>
        <w:t>127.7%,</w:t>
      </w:r>
      <w:r w:rsidRPr="00FA1EEC">
        <w:rPr>
          <w:color w:val="1F4E79"/>
          <w:szCs w:val="18"/>
          <w:lang w:eastAsia="es-DO"/>
        </w:rPr>
        <w:t xml:space="preserve"> debido básicamente a la conversión del valor de las acciones de EgeHaina, de dólares a pesos dominicanos.  Cabe destacar, que las pérdidas acumuladas de las EDES son superiores a su capital, por lo cual al </w:t>
      </w:r>
      <w:r w:rsidR="00207340">
        <w:rPr>
          <w:color w:val="1F4E79"/>
          <w:szCs w:val="18"/>
          <w:lang w:eastAsia="es-DO"/>
        </w:rPr>
        <w:t>FONPER</w:t>
      </w:r>
      <w:r w:rsidRPr="00FA1EEC">
        <w:rPr>
          <w:color w:val="1F4E79"/>
          <w:szCs w:val="18"/>
          <w:lang w:eastAsia="es-DO"/>
        </w:rPr>
        <w:t xml:space="preserve"> le correspondió registrar, al 31/12/2019, la proporción de las pérdidas hasta su nivel de inversión. </w:t>
      </w:r>
    </w:p>
    <w:p w14:paraId="6AC87FF6" w14:textId="77777777" w:rsidR="00193211" w:rsidRPr="00FA1EEC" w:rsidRDefault="00193211" w:rsidP="001825A6">
      <w:pPr>
        <w:ind w:left="0" w:firstLine="646"/>
        <w:rPr>
          <w:color w:val="1F4E79"/>
          <w:szCs w:val="18"/>
          <w:lang w:eastAsia="es-DO"/>
        </w:rPr>
      </w:pPr>
    </w:p>
    <w:p w14:paraId="28E1DF87" w14:textId="77777777" w:rsidR="00193211" w:rsidRPr="00C605D3" w:rsidRDefault="00193211" w:rsidP="005D2771">
      <w:pPr>
        <w:ind w:left="0" w:firstLine="646"/>
        <w:rPr>
          <w:b/>
          <w:color w:val="1F4E79"/>
          <w:szCs w:val="18"/>
          <w:u w:val="single"/>
          <w:lang w:eastAsia="es-DO"/>
        </w:rPr>
      </w:pPr>
      <w:r w:rsidRPr="00C605D3">
        <w:rPr>
          <w:b/>
          <w:color w:val="1F4E79"/>
          <w:szCs w:val="18"/>
          <w:u w:val="single"/>
          <w:lang w:eastAsia="es-DO"/>
        </w:rPr>
        <w:t xml:space="preserve">Ingresos </w:t>
      </w:r>
    </w:p>
    <w:p w14:paraId="7C490BE4" w14:textId="77777777" w:rsidR="00193211" w:rsidRPr="00C605D3" w:rsidRDefault="00193211" w:rsidP="005D2771">
      <w:pPr>
        <w:ind w:left="0" w:firstLine="646"/>
        <w:rPr>
          <w:color w:val="1F4E79"/>
          <w:szCs w:val="18"/>
          <w:lang w:eastAsia="es-DO"/>
        </w:rPr>
      </w:pPr>
    </w:p>
    <w:p w14:paraId="195A1F78" w14:textId="4017D08F" w:rsidR="00193211" w:rsidRPr="00C605D3" w:rsidRDefault="00193211" w:rsidP="005D2771">
      <w:pPr>
        <w:ind w:left="0" w:firstLine="646"/>
        <w:rPr>
          <w:color w:val="1F4E79"/>
          <w:szCs w:val="18"/>
          <w:lang w:eastAsia="es-DO"/>
        </w:rPr>
      </w:pPr>
      <w:r w:rsidRPr="00C605D3">
        <w:rPr>
          <w:color w:val="1F4E79"/>
          <w:szCs w:val="18"/>
          <w:lang w:eastAsia="es-DO"/>
        </w:rPr>
        <w:t xml:space="preserve">Al </w:t>
      </w:r>
      <w:r w:rsidRPr="00E10213">
        <w:rPr>
          <w:b/>
          <w:color w:val="1F4E79"/>
          <w:szCs w:val="18"/>
          <w:lang w:eastAsia="es-DO"/>
        </w:rPr>
        <w:t>31 de octubre del año 2020</w:t>
      </w:r>
      <w:r w:rsidRPr="00C605D3">
        <w:rPr>
          <w:color w:val="1F4E79"/>
          <w:szCs w:val="18"/>
          <w:lang w:eastAsia="es-DO"/>
        </w:rPr>
        <w:t xml:space="preserve">, el </w:t>
      </w:r>
      <w:r w:rsidR="00207340">
        <w:rPr>
          <w:color w:val="1F4E79"/>
          <w:szCs w:val="18"/>
          <w:lang w:eastAsia="es-DO"/>
        </w:rPr>
        <w:t>FONPER</w:t>
      </w:r>
      <w:r w:rsidRPr="00C605D3">
        <w:rPr>
          <w:color w:val="1F4E79"/>
          <w:szCs w:val="18"/>
          <w:lang w:eastAsia="es-DO"/>
        </w:rPr>
        <w:t xml:space="preserve"> recibió un total de ingresos brutos por la suma de </w:t>
      </w:r>
      <w:r w:rsidRPr="00E10213">
        <w:rPr>
          <w:b/>
          <w:color w:val="1F4E79"/>
          <w:szCs w:val="18"/>
          <w:lang w:eastAsia="es-DO"/>
        </w:rPr>
        <w:t>RD$2,921,485,403.89 (Dos mil novecientos veintiún millones cuatrocientos ochenta y cinco mil cuatrocientos tres pesos con 89/100).</w:t>
      </w:r>
    </w:p>
    <w:p w14:paraId="3175F8F7" w14:textId="77777777" w:rsidR="00193211" w:rsidRPr="00C605D3" w:rsidRDefault="00193211" w:rsidP="005D2771">
      <w:pPr>
        <w:ind w:left="0" w:firstLine="646"/>
        <w:rPr>
          <w:color w:val="1F4E79"/>
          <w:szCs w:val="18"/>
          <w:lang w:eastAsia="es-DO"/>
        </w:rPr>
      </w:pPr>
    </w:p>
    <w:p w14:paraId="15DCE251" w14:textId="4999A209" w:rsidR="00193211" w:rsidRPr="00C605D3" w:rsidRDefault="00193211" w:rsidP="005D2771">
      <w:pPr>
        <w:ind w:left="0" w:firstLine="646"/>
        <w:rPr>
          <w:color w:val="1F4E79"/>
          <w:szCs w:val="18"/>
          <w:lang w:eastAsia="es-DO"/>
        </w:rPr>
      </w:pPr>
      <w:r w:rsidRPr="00C605D3">
        <w:rPr>
          <w:color w:val="1F4E79"/>
          <w:szCs w:val="18"/>
          <w:lang w:eastAsia="es-DO"/>
        </w:rPr>
        <w:t xml:space="preserve">En ese sentido, por concepto de dividendos brutos provenientes de las empresas reformadas, recibió la suma de </w:t>
      </w:r>
      <w:r w:rsidR="00980D0B">
        <w:rPr>
          <w:b/>
          <w:color w:val="1F4E79"/>
          <w:szCs w:val="18"/>
          <w:lang w:eastAsia="es-DO"/>
        </w:rPr>
        <w:t>RD$2,445,857,435.57</w:t>
      </w:r>
      <w:r w:rsidRPr="00E10213">
        <w:rPr>
          <w:b/>
          <w:color w:val="1F4E79"/>
          <w:szCs w:val="18"/>
          <w:lang w:eastAsia="es-DO"/>
        </w:rPr>
        <w:t xml:space="preserve"> (Dos mil cuatrocientos cuarenta y cinco millones ochocientos cincuenta y siete mil cuatrocie</w:t>
      </w:r>
      <w:r w:rsidR="00CB2600">
        <w:rPr>
          <w:b/>
          <w:color w:val="1F4E79"/>
          <w:szCs w:val="18"/>
          <w:lang w:eastAsia="es-DO"/>
        </w:rPr>
        <w:t>ntos</w:t>
      </w:r>
      <w:r w:rsidR="00980D0B">
        <w:rPr>
          <w:b/>
          <w:color w:val="1F4E79"/>
          <w:szCs w:val="18"/>
          <w:lang w:eastAsia="es-DO"/>
        </w:rPr>
        <w:t xml:space="preserve"> treinta y cinco pesos con 57</w:t>
      </w:r>
      <w:r w:rsidRPr="00E10213">
        <w:rPr>
          <w:b/>
          <w:color w:val="1F4E79"/>
          <w:szCs w:val="18"/>
          <w:lang w:eastAsia="es-DO"/>
        </w:rPr>
        <w:t>/100) (Anexo No. 2)</w:t>
      </w:r>
      <w:r w:rsidRPr="00C605D3">
        <w:rPr>
          <w:color w:val="1F4E79"/>
          <w:szCs w:val="18"/>
          <w:lang w:eastAsia="es-DO"/>
        </w:rPr>
        <w:t xml:space="preserve">, de los cuales fue retenida la suma de </w:t>
      </w:r>
      <w:r w:rsidRPr="00E10213">
        <w:rPr>
          <w:b/>
          <w:color w:val="1F4E79"/>
          <w:szCs w:val="18"/>
          <w:lang w:eastAsia="es-DO"/>
        </w:rPr>
        <w:t>RD$244,585,743.56</w:t>
      </w:r>
      <w:r w:rsidRPr="00C605D3">
        <w:rPr>
          <w:color w:val="1F4E79"/>
          <w:szCs w:val="18"/>
          <w:lang w:eastAsia="es-DO"/>
        </w:rPr>
        <w:t xml:space="preserve">, correspondiente a un 10% por concepto de impuestos sobre la renta, quedando un ingreso neto por dicho concepto de </w:t>
      </w:r>
      <w:r w:rsidRPr="00D131FA">
        <w:rPr>
          <w:b/>
          <w:color w:val="1F4E79"/>
          <w:szCs w:val="18"/>
          <w:lang w:eastAsia="es-DO"/>
        </w:rPr>
        <w:t>RD$2,201,271,692.01 (Dos mil doscientos uno Millones doscientos setenta y un mil seiscientos noventa y dos pesos con 01/100)</w:t>
      </w:r>
      <w:r w:rsidRPr="00C605D3">
        <w:rPr>
          <w:color w:val="1F4E79"/>
          <w:szCs w:val="18"/>
          <w:lang w:eastAsia="es-DO"/>
        </w:rPr>
        <w:t>.</w:t>
      </w:r>
    </w:p>
    <w:p w14:paraId="55E2F4F2" w14:textId="77777777" w:rsidR="00193211" w:rsidRPr="00C605D3" w:rsidRDefault="00193211" w:rsidP="005D2771">
      <w:pPr>
        <w:ind w:left="0" w:firstLine="646"/>
        <w:rPr>
          <w:color w:val="1F4E79"/>
          <w:szCs w:val="18"/>
          <w:lang w:eastAsia="es-DO"/>
        </w:rPr>
      </w:pPr>
    </w:p>
    <w:p w14:paraId="7EDBD89A" w14:textId="41D6D7E8" w:rsidR="00193211" w:rsidRPr="00C605D3" w:rsidRDefault="00193211" w:rsidP="005D2771">
      <w:pPr>
        <w:ind w:left="0" w:firstLine="646"/>
        <w:rPr>
          <w:color w:val="1F4E79"/>
          <w:szCs w:val="18"/>
          <w:lang w:eastAsia="es-DO"/>
        </w:rPr>
      </w:pPr>
      <w:r w:rsidRPr="00C605D3">
        <w:rPr>
          <w:color w:val="1F4E79"/>
          <w:szCs w:val="18"/>
          <w:lang w:eastAsia="es-DO"/>
        </w:rPr>
        <w:t xml:space="preserve">En cuanto a </w:t>
      </w:r>
      <w:r w:rsidRPr="00A41D3B">
        <w:rPr>
          <w:b/>
          <w:color w:val="1F4E79"/>
          <w:szCs w:val="18"/>
          <w:lang w:eastAsia="es-DO"/>
        </w:rPr>
        <w:t>otros ingresos</w:t>
      </w:r>
      <w:r w:rsidRPr="00C605D3">
        <w:rPr>
          <w:color w:val="1F4E79"/>
          <w:szCs w:val="18"/>
          <w:lang w:eastAsia="es-DO"/>
        </w:rPr>
        <w:t xml:space="preserve">, recibió la suma de </w:t>
      </w:r>
      <w:r w:rsidR="00687FF2">
        <w:rPr>
          <w:b/>
          <w:color w:val="1F4E79"/>
          <w:szCs w:val="18"/>
          <w:lang w:eastAsia="es-DO"/>
        </w:rPr>
        <w:t>RD$475,627,</w:t>
      </w:r>
      <w:r w:rsidRPr="00A41D3B">
        <w:rPr>
          <w:b/>
          <w:color w:val="1F4E79"/>
          <w:szCs w:val="18"/>
          <w:lang w:eastAsia="es-DO"/>
        </w:rPr>
        <w:t>968.38 (Cuatrocientos setenta y cinco millones, seiscientos veintisiete mil novecientos sesenta y ocho pesos con 38/100),</w:t>
      </w:r>
      <w:r w:rsidRPr="00C605D3">
        <w:rPr>
          <w:color w:val="1F4E79"/>
          <w:szCs w:val="18"/>
          <w:lang w:eastAsia="es-DO"/>
        </w:rPr>
        <w:t xml:space="preserve"> de los cuales, los intereses recibidos de las inversiones en certificados financieros ascendieron a </w:t>
      </w:r>
      <w:r w:rsidRPr="00A41D3B">
        <w:rPr>
          <w:b/>
          <w:color w:val="1F4E79"/>
          <w:szCs w:val="18"/>
          <w:lang w:eastAsia="es-DO"/>
        </w:rPr>
        <w:t>RD$153,438,140.13</w:t>
      </w:r>
      <w:r w:rsidRPr="00C605D3">
        <w:rPr>
          <w:color w:val="1F4E79"/>
          <w:szCs w:val="18"/>
          <w:lang w:eastAsia="es-DO"/>
        </w:rPr>
        <w:t xml:space="preserve">; los intereses generados de la cuenta en dólares, a un monto de </w:t>
      </w:r>
      <w:r w:rsidRPr="00A41D3B">
        <w:rPr>
          <w:b/>
          <w:color w:val="1F4E79"/>
          <w:szCs w:val="18"/>
          <w:lang w:eastAsia="es-DO"/>
        </w:rPr>
        <w:t>RD$120,444.94</w:t>
      </w:r>
      <w:r w:rsidRPr="00C605D3">
        <w:rPr>
          <w:color w:val="1F4E79"/>
          <w:szCs w:val="18"/>
          <w:lang w:eastAsia="es-DO"/>
        </w:rPr>
        <w:t xml:space="preserve">; así como el beneficio obtenido por la variación en la tasa cambiaria, por un monto de </w:t>
      </w:r>
      <w:r w:rsidRPr="00A41D3B">
        <w:rPr>
          <w:b/>
          <w:color w:val="1F4E79"/>
          <w:szCs w:val="18"/>
          <w:lang w:eastAsia="es-DO"/>
        </w:rPr>
        <w:t>RD$322,069,383.31</w:t>
      </w:r>
      <w:r w:rsidRPr="00C605D3">
        <w:rPr>
          <w:color w:val="1F4E79"/>
          <w:szCs w:val="18"/>
          <w:lang w:eastAsia="es-DO"/>
        </w:rPr>
        <w:t>.</w:t>
      </w:r>
    </w:p>
    <w:p w14:paraId="429F242C" w14:textId="77777777" w:rsidR="00657480" w:rsidRPr="00C605D3" w:rsidRDefault="00657480" w:rsidP="005D2771">
      <w:pPr>
        <w:ind w:left="0" w:firstLine="646"/>
        <w:rPr>
          <w:color w:val="1F4E79"/>
          <w:szCs w:val="18"/>
          <w:lang w:eastAsia="es-DO"/>
        </w:rPr>
      </w:pPr>
    </w:p>
    <w:p w14:paraId="644E5322" w14:textId="77777777" w:rsidR="00193211" w:rsidRPr="00E569A8" w:rsidRDefault="00193211" w:rsidP="005D2771">
      <w:pPr>
        <w:ind w:left="0" w:firstLine="646"/>
        <w:rPr>
          <w:b/>
          <w:color w:val="1F4E79"/>
          <w:szCs w:val="18"/>
          <w:u w:val="single"/>
          <w:lang w:eastAsia="es-DO"/>
        </w:rPr>
      </w:pPr>
      <w:r w:rsidRPr="00E569A8">
        <w:rPr>
          <w:b/>
          <w:color w:val="1F4E79"/>
          <w:szCs w:val="18"/>
          <w:u w:val="single"/>
          <w:lang w:eastAsia="es-DO"/>
        </w:rPr>
        <w:t>Egresos</w:t>
      </w:r>
    </w:p>
    <w:p w14:paraId="2BD83A16" w14:textId="77777777" w:rsidR="00193211" w:rsidRPr="00E569A8" w:rsidRDefault="00193211" w:rsidP="005D2771">
      <w:pPr>
        <w:ind w:left="646" w:firstLine="357"/>
        <w:rPr>
          <w:color w:val="1F4E79"/>
          <w:szCs w:val="18"/>
          <w:lang w:eastAsia="es-DO"/>
        </w:rPr>
      </w:pPr>
    </w:p>
    <w:p w14:paraId="6B45A7FA" w14:textId="77777777" w:rsidR="00C92164" w:rsidRPr="00E569A8" w:rsidRDefault="00193211" w:rsidP="005D2771">
      <w:pPr>
        <w:ind w:left="0" w:firstLine="646"/>
        <w:rPr>
          <w:color w:val="1F4E79"/>
          <w:szCs w:val="18"/>
          <w:lang w:eastAsia="es-DO"/>
        </w:rPr>
      </w:pPr>
      <w:r w:rsidRPr="00E569A8">
        <w:rPr>
          <w:color w:val="1F4E79"/>
          <w:szCs w:val="18"/>
          <w:lang w:eastAsia="es-DO"/>
        </w:rPr>
        <w:t xml:space="preserve">Los gastos operacionales y de capital acumulados a </w:t>
      </w:r>
      <w:r w:rsidRPr="005D2771">
        <w:rPr>
          <w:b/>
          <w:color w:val="1F4E79"/>
          <w:szCs w:val="18"/>
          <w:lang w:eastAsia="es-DO"/>
        </w:rPr>
        <w:t>octubre 2020</w:t>
      </w:r>
      <w:r w:rsidRPr="00E569A8">
        <w:rPr>
          <w:color w:val="1F4E79"/>
          <w:szCs w:val="18"/>
          <w:lang w:eastAsia="es-DO"/>
        </w:rPr>
        <w:t xml:space="preserve">, suman el total de </w:t>
      </w:r>
      <w:r w:rsidRPr="005D2771">
        <w:rPr>
          <w:b/>
          <w:color w:val="1F4E79"/>
          <w:szCs w:val="18"/>
          <w:lang w:eastAsia="es-DO"/>
        </w:rPr>
        <w:t>RD$6,754,818,872.04 (Seis mil setecientos cincuenta y cuatro millones ochocientos dieciocho mil ochocientos setenta y dos pesos con 04/100),</w:t>
      </w:r>
      <w:r w:rsidRPr="00E569A8">
        <w:rPr>
          <w:color w:val="1F4E79"/>
          <w:szCs w:val="18"/>
          <w:lang w:eastAsia="es-DO"/>
        </w:rPr>
        <w:t xml:space="preserve"> de los cuales el 91% fueron transferencias de capital al Gobierno Central y otras instituciones.</w:t>
      </w:r>
    </w:p>
    <w:p w14:paraId="26D44AB9" w14:textId="77777777" w:rsidR="00C92164" w:rsidRPr="00E569A8" w:rsidRDefault="00C92164" w:rsidP="005D2771">
      <w:pPr>
        <w:ind w:left="646" w:firstLine="357"/>
        <w:rPr>
          <w:color w:val="1F4E79"/>
          <w:szCs w:val="18"/>
          <w:lang w:eastAsia="es-DO"/>
        </w:rPr>
      </w:pPr>
    </w:p>
    <w:p w14:paraId="3C548A92" w14:textId="35480428" w:rsidR="00193211" w:rsidRPr="00E569A8" w:rsidRDefault="00193211" w:rsidP="005D2771">
      <w:pPr>
        <w:ind w:left="0" w:firstLine="646"/>
        <w:rPr>
          <w:color w:val="1F4E79"/>
          <w:szCs w:val="18"/>
          <w:lang w:eastAsia="es-DO"/>
        </w:rPr>
      </w:pPr>
      <w:r w:rsidRPr="00E569A8">
        <w:rPr>
          <w:color w:val="1F4E79"/>
          <w:szCs w:val="18"/>
          <w:lang w:eastAsia="es-DO"/>
        </w:rPr>
        <w:t xml:space="preserve">De este monto, las </w:t>
      </w:r>
      <w:r w:rsidRPr="005D2771">
        <w:rPr>
          <w:b/>
          <w:color w:val="1F4E79"/>
          <w:szCs w:val="18"/>
          <w:lang w:eastAsia="es-DO"/>
        </w:rPr>
        <w:t>Remuneraciones al Personal</w:t>
      </w:r>
      <w:r w:rsidRPr="00E569A8">
        <w:rPr>
          <w:color w:val="1F4E79"/>
          <w:szCs w:val="18"/>
          <w:lang w:eastAsia="es-DO"/>
        </w:rPr>
        <w:t xml:space="preserve"> ascendieron a </w:t>
      </w:r>
      <w:r w:rsidRPr="005D2771">
        <w:rPr>
          <w:b/>
          <w:color w:val="1F4E79"/>
          <w:szCs w:val="18"/>
          <w:lang w:eastAsia="es-DO"/>
        </w:rPr>
        <w:t>RD$312,223,563.33</w:t>
      </w:r>
      <w:r w:rsidRPr="00E569A8">
        <w:rPr>
          <w:color w:val="1F4E79"/>
          <w:szCs w:val="18"/>
          <w:lang w:eastAsia="es-DO"/>
        </w:rPr>
        <w:t xml:space="preserve"> (representando un 5% del total de los gastos); los Servicios No Personales con un monto de </w:t>
      </w:r>
      <w:r w:rsidRPr="005D2771">
        <w:rPr>
          <w:b/>
          <w:color w:val="1F4E79"/>
          <w:szCs w:val="18"/>
          <w:lang w:eastAsia="es-DO"/>
        </w:rPr>
        <w:t>RD$268,601,584.01</w:t>
      </w:r>
      <w:r w:rsidRPr="00E569A8">
        <w:rPr>
          <w:color w:val="1F4E79"/>
          <w:szCs w:val="18"/>
          <w:lang w:eastAsia="es-DO"/>
        </w:rPr>
        <w:t xml:space="preserve"> (4% del total de los gastos);  el </w:t>
      </w:r>
      <w:r w:rsidRPr="005D2771">
        <w:rPr>
          <w:b/>
          <w:color w:val="1F4E79"/>
          <w:szCs w:val="18"/>
          <w:lang w:eastAsia="es-DO"/>
        </w:rPr>
        <w:t>impuesto sobre la renta</w:t>
      </w:r>
      <w:r w:rsidRPr="00E569A8">
        <w:rPr>
          <w:color w:val="1F4E79"/>
          <w:szCs w:val="18"/>
          <w:lang w:eastAsia="es-DO"/>
        </w:rPr>
        <w:t xml:space="preserve"> pagado por dividendos asciende a </w:t>
      </w:r>
      <w:r w:rsidRPr="005D2771">
        <w:rPr>
          <w:b/>
          <w:color w:val="1F4E79"/>
          <w:szCs w:val="18"/>
          <w:lang w:eastAsia="es-DO"/>
        </w:rPr>
        <w:t>RD$244,585,743.56</w:t>
      </w:r>
      <w:r w:rsidRPr="00E569A8">
        <w:rPr>
          <w:color w:val="1F4E79"/>
          <w:szCs w:val="18"/>
          <w:lang w:eastAsia="es-DO"/>
        </w:rPr>
        <w:t xml:space="preserve">; los </w:t>
      </w:r>
      <w:r w:rsidRPr="005D2771">
        <w:rPr>
          <w:b/>
          <w:color w:val="1F4E79"/>
          <w:szCs w:val="18"/>
          <w:lang w:eastAsia="es-DO"/>
        </w:rPr>
        <w:t>Materiales y Suministros</w:t>
      </w:r>
      <w:r w:rsidRPr="00E569A8">
        <w:rPr>
          <w:color w:val="1F4E79"/>
          <w:szCs w:val="18"/>
          <w:lang w:eastAsia="es-DO"/>
        </w:rPr>
        <w:t xml:space="preserve"> con un monto de </w:t>
      </w:r>
      <w:r w:rsidRPr="005D2771">
        <w:rPr>
          <w:b/>
          <w:color w:val="1F4E79"/>
          <w:szCs w:val="18"/>
          <w:lang w:eastAsia="es-DO"/>
        </w:rPr>
        <w:t>RD$10,093,317.73</w:t>
      </w:r>
      <w:r w:rsidRPr="00E569A8">
        <w:rPr>
          <w:color w:val="1F4E79"/>
          <w:szCs w:val="18"/>
          <w:lang w:eastAsia="es-DO"/>
        </w:rPr>
        <w:t xml:space="preserve"> (1% del total de los gastos), y las </w:t>
      </w:r>
      <w:r w:rsidRPr="005D2771">
        <w:rPr>
          <w:b/>
          <w:color w:val="1F4E79"/>
          <w:szCs w:val="18"/>
          <w:lang w:eastAsia="es-DO"/>
        </w:rPr>
        <w:t>Transferencias al Gobierno Central e Instituciones Sin Fines de Lucro y Donaciones a Personas de Escasos Recursos</w:t>
      </w:r>
      <w:r w:rsidRPr="00E569A8">
        <w:rPr>
          <w:color w:val="1F4E79"/>
          <w:szCs w:val="18"/>
          <w:lang w:eastAsia="es-DO"/>
        </w:rPr>
        <w:t xml:space="preserve"> por un monto de </w:t>
      </w:r>
      <w:r w:rsidRPr="005D2771">
        <w:rPr>
          <w:b/>
          <w:color w:val="1F4E79"/>
          <w:szCs w:val="18"/>
          <w:lang w:eastAsia="es-DO"/>
        </w:rPr>
        <w:t>RD$6,163,900,406.97</w:t>
      </w:r>
      <w:r w:rsidRPr="00E569A8">
        <w:rPr>
          <w:color w:val="1F4E79"/>
          <w:szCs w:val="18"/>
          <w:lang w:eastAsia="es-DO"/>
        </w:rPr>
        <w:t xml:space="preserve"> (91.3% del total de los gastos).</w:t>
      </w:r>
    </w:p>
    <w:p w14:paraId="1254E9B2" w14:textId="77777777" w:rsidR="00193211" w:rsidRPr="00E569A8" w:rsidRDefault="00193211" w:rsidP="005D2771">
      <w:pPr>
        <w:ind w:left="646" w:firstLine="357"/>
        <w:rPr>
          <w:color w:val="1F4E79"/>
          <w:szCs w:val="18"/>
          <w:lang w:eastAsia="es-DO"/>
        </w:rPr>
      </w:pPr>
    </w:p>
    <w:p w14:paraId="5E95FF4B" w14:textId="77777777" w:rsidR="00193211" w:rsidRPr="00E569A8" w:rsidRDefault="00193211" w:rsidP="005D2771">
      <w:pPr>
        <w:ind w:left="0" w:firstLine="646"/>
        <w:rPr>
          <w:b/>
          <w:color w:val="1F4E79"/>
          <w:szCs w:val="18"/>
          <w:u w:val="single"/>
          <w:lang w:eastAsia="es-DO"/>
        </w:rPr>
      </w:pPr>
      <w:r w:rsidRPr="00E569A8">
        <w:rPr>
          <w:b/>
          <w:color w:val="1F4E79"/>
          <w:szCs w:val="18"/>
          <w:u w:val="single"/>
          <w:lang w:eastAsia="es-DO"/>
        </w:rPr>
        <w:t>Inversiones</w:t>
      </w:r>
    </w:p>
    <w:p w14:paraId="3B6FD1D7" w14:textId="77777777" w:rsidR="00193211" w:rsidRPr="00E569A8" w:rsidRDefault="00193211" w:rsidP="005D2771">
      <w:pPr>
        <w:ind w:left="646" w:firstLine="357"/>
        <w:rPr>
          <w:color w:val="1F4E79"/>
          <w:szCs w:val="18"/>
          <w:lang w:eastAsia="es-DO"/>
        </w:rPr>
      </w:pPr>
    </w:p>
    <w:p w14:paraId="4BD1E6AB" w14:textId="77777777" w:rsidR="00193211" w:rsidRPr="00E569A8" w:rsidRDefault="00193211" w:rsidP="005D2771">
      <w:pPr>
        <w:ind w:left="0" w:firstLine="646"/>
        <w:rPr>
          <w:color w:val="1F4E79"/>
          <w:szCs w:val="18"/>
          <w:lang w:eastAsia="es-DO"/>
        </w:rPr>
      </w:pPr>
      <w:r w:rsidRPr="00E569A8">
        <w:rPr>
          <w:color w:val="1F4E79"/>
          <w:szCs w:val="18"/>
          <w:lang w:eastAsia="es-DO"/>
        </w:rPr>
        <w:t xml:space="preserve">La inversión en certificados financieros, inició el año 2020 con una disponibilidad de RD$5,458,933,627.62 y al cierre del 31 de octubre ascienden a </w:t>
      </w:r>
      <w:r w:rsidRPr="005D2771">
        <w:rPr>
          <w:b/>
          <w:color w:val="1F4E79"/>
          <w:szCs w:val="18"/>
          <w:lang w:eastAsia="es-DO"/>
        </w:rPr>
        <w:t>RD$1,947,435,487.78</w:t>
      </w:r>
      <w:r w:rsidRPr="00E569A8">
        <w:rPr>
          <w:color w:val="1F4E79"/>
          <w:szCs w:val="18"/>
          <w:lang w:eastAsia="es-DO"/>
        </w:rPr>
        <w:t>, estos están distribuidos de la siguiente manera: un certificado en pesos y dos en dólares, en el Banco de Reservas, y uno en el Banco Agrícola.</w:t>
      </w:r>
    </w:p>
    <w:p w14:paraId="2D54C4A2" w14:textId="77777777" w:rsidR="00193211" w:rsidRPr="00E569A8" w:rsidRDefault="00193211" w:rsidP="005D2771">
      <w:pPr>
        <w:ind w:left="0" w:firstLine="646"/>
        <w:rPr>
          <w:b/>
          <w:color w:val="1F4E79"/>
          <w:szCs w:val="18"/>
          <w:u w:val="single"/>
          <w:lang w:eastAsia="es-DO"/>
        </w:rPr>
      </w:pPr>
      <w:r w:rsidRPr="00E569A8">
        <w:rPr>
          <w:b/>
          <w:color w:val="1F4E79"/>
          <w:szCs w:val="18"/>
          <w:u w:val="single"/>
          <w:lang w:eastAsia="es-DO"/>
        </w:rPr>
        <w:t>Programas y Proyectos</w:t>
      </w:r>
    </w:p>
    <w:p w14:paraId="28083CB7" w14:textId="77777777" w:rsidR="00193211" w:rsidRPr="00E569A8" w:rsidRDefault="00193211" w:rsidP="005D2771">
      <w:pPr>
        <w:ind w:left="646" w:firstLine="357"/>
        <w:rPr>
          <w:color w:val="1F4E79"/>
          <w:szCs w:val="18"/>
          <w:lang w:eastAsia="es-DO"/>
        </w:rPr>
      </w:pPr>
    </w:p>
    <w:p w14:paraId="5F0E055B" w14:textId="00A8A4F7" w:rsidR="00193211" w:rsidRPr="00E569A8" w:rsidRDefault="00193211" w:rsidP="005D2771">
      <w:pPr>
        <w:ind w:left="0" w:firstLine="646"/>
        <w:rPr>
          <w:color w:val="1F4E79"/>
          <w:szCs w:val="18"/>
          <w:lang w:eastAsia="es-DO"/>
        </w:rPr>
      </w:pPr>
      <w:r w:rsidRPr="00E569A8">
        <w:rPr>
          <w:color w:val="1F4E79"/>
          <w:szCs w:val="18"/>
          <w:lang w:eastAsia="es-DO"/>
        </w:rPr>
        <w:t xml:space="preserve">La inversión para proyectos de infraestructura asciende a un monto de </w:t>
      </w:r>
      <w:r w:rsidRPr="005D2771">
        <w:rPr>
          <w:b/>
          <w:color w:val="1F4E79"/>
          <w:szCs w:val="18"/>
          <w:lang w:eastAsia="es-DO"/>
        </w:rPr>
        <w:t>RD$595,268,109.30</w:t>
      </w:r>
      <w:r w:rsidRPr="00E569A8">
        <w:rPr>
          <w:color w:val="1F4E79"/>
          <w:szCs w:val="18"/>
          <w:lang w:eastAsia="es-DO"/>
        </w:rPr>
        <w:t xml:space="preserve">, distribuidas en veintinueve obras en ejecución, en distintas zonas a nivel nacional, de los cuales la ejecución acumulada al 31 de octubre </w:t>
      </w:r>
      <w:r w:rsidR="005D2771">
        <w:rPr>
          <w:color w:val="1F4E79"/>
          <w:szCs w:val="18"/>
          <w:lang w:eastAsia="es-DO"/>
        </w:rPr>
        <w:t xml:space="preserve">2020 </w:t>
      </w:r>
      <w:r w:rsidRPr="00E569A8">
        <w:rPr>
          <w:color w:val="1F4E79"/>
          <w:szCs w:val="18"/>
          <w:lang w:eastAsia="es-DO"/>
        </w:rPr>
        <w:t xml:space="preserve">asciende a </w:t>
      </w:r>
      <w:r w:rsidRPr="005D2771">
        <w:rPr>
          <w:b/>
          <w:color w:val="1F4E79"/>
          <w:szCs w:val="18"/>
          <w:lang w:eastAsia="es-DO"/>
        </w:rPr>
        <w:t>RD$346,131,216.74</w:t>
      </w:r>
      <w:r w:rsidRPr="00E569A8">
        <w:rPr>
          <w:color w:val="1F4E79"/>
          <w:szCs w:val="18"/>
          <w:lang w:eastAsia="es-DO"/>
        </w:rPr>
        <w:t>.</w:t>
      </w:r>
    </w:p>
    <w:p w14:paraId="37F05BD6" w14:textId="77777777" w:rsidR="00193211" w:rsidRPr="00E569A8" w:rsidRDefault="00193211" w:rsidP="005D2771">
      <w:pPr>
        <w:ind w:left="646" w:firstLine="357"/>
        <w:rPr>
          <w:color w:val="1F4E79"/>
          <w:szCs w:val="18"/>
          <w:lang w:eastAsia="es-DO"/>
        </w:rPr>
      </w:pPr>
    </w:p>
    <w:p w14:paraId="1AFFEA2D" w14:textId="77777777" w:rsidR="00193211" w:rsidRPr="00E569A8" w:rsidRDefault="00193211" w:rsidP="005D2771">
      <w:pPr>
        <w:ind w:left="0" w:firstLine="646"/>
        <w:rPr>
          <w:color w:val="1F4E79"/>
          <w:szCs w:val="18"/>
          <w:lang w:eastAsia="es-DO"/>
        </w:rPr>
      </w:pPr>
      <w:r w:rsidRPr="00E569A8">
        <w:rPr>
          <w:color w:val="1F4E79"/>
          <w:szCs w:val="18"/>
          <w:lang w:eastAsia="es-DO"/>
        </w:rPr>
        <w:t xml:space="preserve">Por otra parte, en cuanto a </w:t>
      </w:r>
      <w:r w:rsidRPr="005D2771">
        <w:rPr>
          <w:b/>
          <w:color w:val="1F4E79"/>
          <w:szCs w:val="18"/>
          <w:lang w:eastAsia="es-DO"/>
        </w:rPr>
        <w:t>programas de desarrollo social</w:t>
      </w:r>
      <w:r w:rsidRPr="00E569A8">
        <w:rPr>
          <w:color w:val="1F4E79"/>
          <w:szCs w:val="18"/>
          <w:lang w:eastAsia="es-DO"/>
        </w:rPr>
        <w:t xml:space="preserve">, al 31 de octubre 2020, se ha desembolsado un monto de </w:t>
      </w:r>
      <w:r w:rsidRPr="005D2771">
        <w:rPr>
          <w:b/>
          <w:color w:val="1F4E79"/>
          <w:szCs w:val="18"/>
          <w:lang w:eastAsia="es-DO"/>
        </w:rPr>
        <w:t>RD$18,550,000.00</w:t>
      </w:r>
      <w:r w:rsidRPr="00E569A8">
        <w:rPr>
          <w:color w:val="1F4E79"/>
          <w:szCs w:val="18"/>
          <w:lang w:eastAsia="es-DO"/>
        </w:rPr>
        <w:t>.</w:t>
      </w:r>
    </w:p>
    <w:p w14:paraId="66C7741F" w14:textId="77777777" w:rsidR="00193211" w:rsidRPr="00E569A8" w:rsidRDefault="00193211" w:rsidP="005D2771">
      <w:pPr>
        <w:ind w:left="646" w:firstLine="357"/>
        <w:rPr>
          <w:color w:val="1F4E79"/>
          <w:szCs w:val="18"/>
          <w:lang w:eastAsia="es-DO"/>
        </w:rPr>
      </w:pPr>
    </w:p>
    <w:p w14:paraId="0CBEB6CF" w14:textId="77777777" w:rsidR="00193211" w:rsidRPr="00E569A8" w:rsidRDefault="00193211" w:rsidP="005D2771">
      <w:pPr>
        <w:ind w:left="0" w:firstLine="646"/>
        <w:rPr>
          <w:b/>
          <w:color w:val="1F4E79"/>
          <w:szCs w:val="18"/>
          <w:u w:val="single"/>
          <w:lang w:eastAsia="es-DO"/>
        </w:rPr>
      </w:pPr>
      <w:r w:rsidRPr="00E569A8">
        <w:rPr>
          <w:b/>
          <w:color w:val="1F4E79"/>
          <w:szCs w:val="18"/>
          <w:u w:val="single"/>
          <w:lang w:eastAsia="es-DO"/>
        </w:rPr>
        <w:t>Transferencias y Donaciones</w:t>
      </w:r>
    </w:p>
    <w:p w14:paraId="0B77EC1C" w14:textId="77777777" w:rsidR="00193211" w:rsidRPr="00E569A8" w:rsidRDefault="00193211" w:rsidP="005D2771">
      <w:pPr>
        <w:ind w:left="646" w:firstLine="357"/>
        <w:rPr>
          <w:color w:val="1F4E79"/>
          <w:szCs w:val="18"/>
          <w:lang w:eastAsia="es-DO"/>
        </w:rPr>
      </w:pPr>
    </w:p>
    <w:p w14:paraId="12A99789" w14:textId="213AD6C9" w:rsidR="00193211" w:rsidRPr="00E569A8" w:rsidRDefault="00193211" w:rsidP="005D2771">
      <w:pPr>
        <w:ind w:left="0" w:firstLine="646"/>
        <w:rPr>
          <w:color w:val="1F4E79"/>
          <w:szCs w:val="18"/>
          <w:lang w:eastAsia="es-DO"/>
        </w:rPr>
      </w:pPr>
      <w:r w:rsidRPr="00E569A8">
        <w:rPr>
          <w:color w:val="1F4E79"/>
          <w:szCs w:val="18"/>
          <w:lang w:eastAsia="es-DO"/>
        </w:rPr>
        <w:t xml:space="preserve">Las transferencias y donaciones que no son tramitadas como proyectos directos del </w:t>
      </w:r>
      <w:r w:rsidR="00207340">
        <w:rPr>
          <w:color w:val="1F4E79"/>
          <w:szCs w:val="18"/>
          <w:lang w:eastAsia="es-DO"/>
        </w:rPr>
        <w:t>FONPER</w:t>
      </w:r>
      <w:r w:rsidRPr="00E569A8">
        <w:rPr>
          <w:color w:val="1F4E79"/>
          <w:szCs w:val="18"/>
          <w:lang w:eastAsia="es-DO"/>
        </w:rPr>
        <w:t xml:space="preserve">, son realizadas vía transferencias, y se entregan directamente a instituciones gubernamentales y empresas sin fines de lucro. Al 31 de octubre, ascienden a un monto total de </w:t>
      </w:r>
      <w:r w:rsidRPr="005D2771">
        <w:rPr>
          <w:b/>
          <w:color w:val="1F4E79"/>
          <w:szCs w:val="18"/>
          <w:lang w:eastAsia="es-DO"/>
        </w:rPr>
        <w:t>RD$6,028,622,652.33</w:t>
      </w:r>
      <w:r w:rsidRPr="00E569A8">
        <w:rPr>
          <w:color w:val="1F4E79"/>
          <w:szCs w:val="18"/>
          <w:lang w:eastAsia="es-DO"/>
        </w:rPr>
        <w:t xml:space="preserve"> distribuidos de la siguiente manera: A instituciones del sector público, a solicitud del Ministerio de Hacienda, se transfirió a la cuenta única del tesoro, la suma de </w:t>
      </w:r>
      <w:r w:rsidR="00687FF2">
        <w:rPr>
          <w:b/>
          <w:color w:val="1F4E79"/>
          <w:szCs w:val="18"/>
          <w:lang w:eastAsia="es-DO"/>
        </w:rPr>
        <w:t>RD$6,000,000,</w:t>
      </w:r>
      <w:r w:rsidRPr="005D2771">
        <w:rPr>
          <w:b/>
          <w:color w:val="1F4E79"/>
          <w:szCs w:val="18"/>
          <w:lang w:eastAsia="es-DO"/>
        </w:rPr>
        <w:t>000.00;</w:t>
      </w:r>
      <w:r w:rsidRPr="00E569A8">
        <w:rPr>
          <w:color w:val="1F4E79"/>
          <w:szCs w:val="18"/>
          <w:lang w:eastAsia="es-DO"/>
        </w:rPr>
        <w:t xml:space="preserve"> a instituciones sin fines de lucros, por un monto de </w:t>
      </w:r>
      <w:r w:rsidRPr="005D2771">
        <w:rPr>
          <w:b/>
          <w:color w:val="1F4E79"/>
          <w:szCs w:val="18"/>
          <w:lang w:eastAsia="es-DO"/>
        </w:rPr>
        <w:t>RD$3,830,384.99</w:t>
      </w:r>
      <w:r w:rsidRPr="00E569A8">
        <w:rPr>
          <w:color w:val="1F4E79"/>
          <w:szCs w:val="18"/>
          <w:lang w:eastAsia="es-DO"/>
        </w:rPr>
        <w:t xml:space="preserve">; y por concepto de donaciones a personas y becas a estudiantes de escasos recursos, por un monto de </w:t>
      </w:r>
      <w:r w:rsidRPr="005D2771">
        <w:rPr>
          <w:b/>
          <w:color w:val="1F4E79"/>
          <w:szCs w:val="18"/>
          <w:lang w:eastAsia="es-DO"/>
        </w:rPr>
        <w:t>RD$24,792,267.34</w:t>
      </w:r>
      <w:r w:rsidRPr="00E569A8">
        <w:rPr>
          <w:color w:val="1F4E79"/>
          <w:szCs w:val="18"/>
          <w:lang w:eastAsia="es-DO"/>
        </w:rPr>
        <w:t>.</w:t>
      </w:r>
    </w:p>
    <w:p w14:paraId="005AC879" w14:textId="1E854CC5" w:rsidR="00193211" w:rsidRDefault="00193211" w:rsidP="005D2C55">
      <w:pPr>
        <w:ind w:left="646" w:firstLine="357"/>
        <w:rPr>
          <w:color w:val="1F4E79"/>
          <w:szCs w:val="18"/>
          <w:lang w:eastAsia="es-DO"/>
        </w:rPr>
      </w:pPr>
    </w:p>
    <w:p w14:paraId="7ADED244" w14:textId="5157DDD9" w:rsidR="00663B7E" w:rsidRDefault="00663B7E" w:rsidP="005D2C55">
      <w:pPr>
        <w:ind w:left="646" w:firstLine="357"/>
        <w:rPr>
          <w:color w:val="1F4E79"/>
          <w:szCs w:val="18"/>
          <w:lang w:eastAsia="es-DO"/>
        </w:rPr>
      </w:pPr>
    </w:p>
    <w:p w14:paraId="32E6AF3D" w14:textId="66E051A7" w:rsidR="00663B7E" w:rsidRDefault="00663B7E" w:rsidP="005D2C55">
      <w:pPr>
        <w:ind w:left="646" w:firstLine="357"/>
        <w:rPr>
          <w:color w:val="1F4E79"/>
          <w:szCs w:val="18"/>
          <w:lang w:eastAsia="es-DO"/>
        </w:rPr>
      </w:pPr>
    </w:p>
    <w:p w14:paraId="46A95AC5" w14:textId="77777777" w:rsidR="00663B7E" w:rsidRPr="00E76F60" w:rsidRDefault="00663B7E" w:rsidP="005D2C55">
      <w:pPr>
        <w:ind w:left="646" w:firstLine="357"/>
        <w:rPr>
          <w:color w:val="1F4E79"/>
          <w:szCs w:val="18"/>
          <w:lang w:eastAsia="es-DO"/>
        </w:rPr>
      </w:pPr>
    </w:p>
    <w:p w14:paraId="35C97E7C" w14:textId="77777777" w:rsidR="00193211" w:rsidRPr="005D2C55" w:rsidRDefault="00193211" w:rsidP="0083597E">
      <w:pPr>
        <w:ind w:left="0" w:firstLine="646"/>
        <w:rPr>
          <w:b/>
          <w:color w:val="1F4E79"/>
          <w:szCs w:val="18"/>
          <w:u w:val="single"/>
          <w:lang w:eastAsia="es-DO"/>
        </w:rPr>
      </w:pPr>
      <w:r w:rsidRPr="005D2C55">
        <w:rPr>
          <w:b/>
          <w:color w:val="1F4E79"/>
          <w:szCs w:val="18"/>
          <w:u w:val="single"/>
          <w:lang w:eastAsia="es-DO"/>
        </w:rPr>
        <w:t>Desempeño Físico y Financiero del Presupuesto</w:t>
      </w:r>
    </w:p>
    <w:p w14:paraId="0E061B31" w14:textId="77777777" w:rsidR="00193211" w:rsidRPr="005D2C55" w:rsidRDefault="00193211" w:rsidP="0083597E">
      <w:pPr>
        <w:ind w:left="0" w:firstLine="646"/>
        <w:rPr>
          <w:color w:val="1F4E79"/>
          <w:szCs w:val="18"/>
          <w:lang w:eastAsia="es-DO"/>
        </w:rPr>
      </w:pPr>
    </w:p>
    <w:p w14:paraId="04C716D5" w14:textId="08EA08B4" w:rsidR="0083597E" w:rsidRDefault="00193211" w:rsidP="0083597E">
      <w:pPr>
        <w:ind w:left="0" w:firstLine="646"/>
        <w:rPr>
          <w:color w:val="1F4E79"/>
          <w:szCs w:val="18"/>
          <w:lang w:eastAsia="es-DO"/>
        </w:rPr>
      </w:pPr>
      <w:r w:rsidRPr="005D2C55">
        <w:rPr>
          <w:color w:val="1F4E79"/>
          <w:szCs w:val="18"/>
          <w:lang w:eastAsia="es-DO"/>
        </w:rPr>
        <w:t xml:space="preserve">La formulación presupuestaria en el </w:t>
      </w:r>
      <w:r w:rsidR="00207340">
        <w:rPr>
          <w:color w:val="1F4E79"/>
          <w:szCs w:val="18"/>
          <w:lang w:eastAsia="es-DO"/>
        </w:rPr>
        <w:t>FONPER</w:t>
      </w:r>
      <w:r w:rsidRPr="005D2C55">
        <w:rPr>
          <w:color w:val="1F4E79"/>
          <w:szCs w:val="18"/>
          <w:lang w:eastAsia="es-DO"/>
        </w:rPr>
        <w:t xml:space="preserve"> integra la participación de todas las áreas y es aprobado por el Consejo de Directores de la institución. El mismo sigue la siguiente estructura programática:</w:t>
      </w:r>
    </w:p>
    <w:p w14:paraId="686EE76A" w14:textId="1ADD30FE" w:rsidR="009E111B" w:rsidRPr="005D2C55" w:rsidRDefault="00193211" w:rsidP="0083597E">
      <w:pPr>
        <w:ind w:left="0"/>
        <w:rPr>
          <w:color w:val="1F4E79"/>
          <w:szCs w:val="18"/>
          <w:lang w:eastAsia="es-DO"/>
        </w:rPr>
      </w:pPr>
      <w:r w:rsidRPr="0083597E">
        <w:rPr>
          <w:b/>
          <w:color w:val="1F4E79"/>
          <w:szCs w:val="18"/>
          <w:lang w:eastAsia="es-DO"/>
        </w:rPr>
        <w:t>Ingresos Propios:</w:t>
      </w:r>
      <w:r w:rsidRPr="005D2C55">
        <w:rPr>
          <w:color w:val="1F4E79"/>
          <w:szCs w:val="18"/>
          <w:lang w:eastAsia="es-DO"/>
        </w:rPr>
        <w:t xml:space="preserve">      Dividendos, Intereses y Otros</w:t>
      </w:r>
      <w:r w:rsidR="009E111B" w:rsidRPr="005D2C55">
        <w:rPr>
          <w:color w:val="1F4E79"/>
          <w:szCs w:val="18"/>
          <w:lang w:eastAsia="es-DO"/>
        </w:rPr>
        <w:t>.</w:t>
      </w:r>
    </w:p>
    <w:p w14:paraId="74D98118" w14:textId="16317BF7" w:rsidR="00193211" w:rsidRPr="005D2C55" w:rsidRDefault="00193211" w:rsidP="0083597E">
      <w:pPr>
        <w:ind w:left="0"/>
        <w:rPr>
          <w:color w:val="1F4E79"/>
          <w:szCs w:val="18"/>
          <w:lang w:eastAsia="es-DO"/>
        </w:rPr>
      </w:pPr>
      <w:r w:rsidRPr="0083597E">
        <w:rPr>
          <w:b/>
          <w:color w:val="1F4E79"/>
          <w:szCs w:val="18"/>
          <w:lang w:eastAsia="es-DO"/>
        </w:rPr>
        <w:t>Programa 11:</w:t>
      </w:r>
      <w:r w:rsidR="009E111B" w:rsidRPr="0083597E">
        <w:rPr>
          <w:color w:val="1F4E79"/>
          <w:szCs w:val="18"/>
          <w:lang w:eastAsia="es-DO"/>
        </w:rPr>
        <w:tab/>
      </w:r>
      <w:r w:rsidRPr="005D2C55">
        <w:rPr>
          <w:color w:val="1F4E79"/>
          <w:szCs w:val="18"/>
          <w:lang w:eastAsia="es-DO"/>
        </w:rPr>
        <w:t>Supervisión y Administración del Patrimonio de las empresas. Este programa tiene 3 actividades:</w:t>
      </w:r>
    </w:p>
    <w:p w14:paraId="573A5B79" w14:textId="77777777" w:rsidR="00193211" w:rsidRPr="005D2C55" w:rsidRDefault="00193211" w:rsidP="0083597E">
      <w:pPr>
        <w:ind w:left="1418"/>
        <w:rPr>
          <w:color w:val="1F4E79"/>
          <w:szCs w:val="18"/>
          <w:lang w:eastAsia="es-DO"/>
        </w:rPr>
      </w:pPr>
      <w:r w:rsidRPr="005D2C55">
        <w:rPr>
          <w:color w:val="1F4E79"/>
          <w:szCs w:val="18"/>
          <w:lang w:eastAsia="es-DO"/>
        </w:rPr>
        <w:t>01 -  Coordinación Administrativa y Financiera</w:t>
      </w:r>
    </w:p>
    <w:p w14:paraId="74D40C71" w14:textId="77777777" w:rsidR="00193211" w:rsidRPr="005D2C55" w:rsidRDefault="00193211" w:rsidP="0083597E">
      <w:pPr>
        <w:ind w:left="1418"/>
        <w:rPr>
          <w:color w:val="1F4E79"/>
          <w:szCs w:val="18"/>
          <w:lang w:eastAsia="es-DO"/>
        </w:rPr>
      </w:pPr>
      <w:r w:rsidRPr="005D2C55">
        <w:rPr>
          <w:color w:val="1F4E79"/>
          <w:szCs w:val="18"/>
          <w:lang w:eastAsia="es-DO"/>
        </w:rPr>
        <w:t>02 -  Supervisión y Gestión Patrimonial</w:t>
      </w:r>
    </w:p>
    <w:p w14:paraId="05EE42F1" w14:textId="0987B3DF" w:rsidR="00193211" w:rsidRPr="005D2C55" w:rsidRDefault="00193211" w:rsidP="0083597E">
      <w:pPr>
        <w:ind w:left="1418"/>
        <w:rPr>
          <w:color w:val="1F4E79"/>
          <w:szCs w:val="18"/>
          <w:lang w:eastAsia="es-DO"/>
        </w:rPr>
      </w:pPr>
      <w:r w:rsidRPr="005D2C55">
        <w:rPr>
          <w:color w:val="1F4E79"/>
          <w:szCs w:val="18"/>
          <w:lang w:eastAsia="es-DO"/>
        </w:rPr>
        <w:t>03 -  Apoyo y Desarrollo Social Comunitario</w:t>
      </w:r>
    </w:p>
    <w:p w14:paraId="208ABCA4" w14:textId="3A716A0A" w:rsidR="00193211" w:rsidRPr="005D2C55" w:rsidRDefault="00193211" w:rsidP="0083597E">
      <w:pPr>
        <w:ind w:left="0"/>
        <w:rPr>
          <w:color w:val="1F4E79"/>
          <w:szCs w:val="18"/>
          <w:lang w:eastAsia="es-DO"/>
        </w:rPr>
      </w:pPr>
      <w:r w:rsidRPr="0083597E">
        <w:rPr>
          <w:b/>
          <w:color w:val="1F4E79"/>
          <w:szCs w:val="18"/>
          <w:lang w:eastAsia="es-DO"/>
        </w:rPr>
        <w:t>Programa 98:</w:t>
      </w:r>
      <w:r w:rsidRPr="0083597E">
        <w:rPr>
          <w:color w:val="1F4E79"/>
          <w:szCs w:val="18"/>
          <w:lang w:eastAsia="es-DO"/>
        </w:rPr>
        <w:tab/>
      </w:r>
      <w:r w:rsidRPr="005D2C55">
        <w:rPr>
          <w:color w:val="1F4E79"/>
          <w:szCs w:val="18"/>
          <w:lang w:eastAsia="es-DO"/>
        </w:rPr>
        <w:t xml:space="preserve">Administración de contribuciones especiales. </w:t>
      </w:r>
    </w:p>
    <w:p w14:paraId="0573B60D" w14:textId="77777777" w:rsidR="00193211" w:rsidRPr="005D2C55" w:rsidRDefault="00193211" w:rsidP="0083597E">
      <w:pPr>
        <w:ind w:left="0"/>
        <w:rPr>
          <w:color w:val="1F4E79"/>
          <w:szCs w:val="18"/>
          <w:lang w:eastAsia="es-DO"/>
        </w:rPr>
      </w:pPr>
      <w:r w:rsidRPr="0083597E">
        <w:rPr>
          <w:b/>
          <w:color w:val="1F4E79"/>
          <w:szCs w:val="18"/>
          <w:lang w:eastAsia="es-DO"/>
        </w:rPr>
        <w:t>Programa 99:</w:t>
      </w:r>
      <w:r w:rsidRPr="0083597E">
        <w:rPr>
          <w:color w:val="1F4E79"/>
          <w:szCs w:val="18"/>
          <w:lang w:eastAsia="es-DO"/>
        </w:rPr>
        <w:tab/>
      </w:r>
      <w:r w:rsidRPr="005D2C55">
        <w:rPr>
          <w:color w:val="1F4E79"/>
          <w:szCs w:val="18"/>
          <w:lang w:eastAsia="es-DO"/>
        </w:rPr>
        <w:t>Administración de transferencias y activos financieros.</w:t>
      </w:r>
    </w:p>
    <w:p w14:paraId="190983CF" w14:textId="77777777" w:rsidR="00193211" w:rsidRPr="005D2C55" w:rsidRDefault="00193211" w:rsidP="00523144">
      <w:pPr>
        <w:ind w:left="0" w:firstLine="646"/>
        <w:rPr>
          <w:color w:val="1F4E79"/>
          <w:szCs w:val="18"/>
          <w:lang w:eastAsia="es-DO"/>
        </w:rPr>
      </w:pPr>
    </w:p>
    <w:p w14:paraId="1D125991" w14:textId="0A82F363" w:rsidR="00193211" w:rsidRPr="005D2C55" w:rsidRDefault="00193211" w:rsidP="00B12E93">
      <w:pPr>
        <w:pStyle w:val="Prrafodelista"/>
        <w:numPr>
          <w:ilvl w:val="0"/>
          <w:numId w:val="21"/>
        </w:numPr>
        <w:spacing w:line="480" w:lineRule="auto"/>
        <w:rPr>
          <w:b/>
          <w:color w:val="1F4E79"/>
          <w:szCs w:val="18"/>
          <w:lang w:eastAsia="es-DO"/>
        </w:rPr>
      </w:pPr>
      <w:r w:rsidRPr="005D2C55">
        <w:rPr>
          <w:b/>
          <w:color w:val="1F4E79"/>
          <w:szCs w:val="18"/>
          <w:lang w:eastAsia="es-DO"/>
        </w:rPr>
        <w:t>Asignación Presupuestal del Período / Metas de producción a lograr</w:t>
      </w:r>
      <w:r w:rsidR="00B12E93" w:rsidRPr="005D2C55">
        <w:rPr>
          <w:b/>
          <w:color w:val="1F4E79"/>
          <w:szCs w:val="18"/>
          <w:lang w:eastAsia="es-DO"/>
        </w:rPr>
        <w:t>.</w:t>
      </w:r>
    </w:p>
    <w:p w14:paraId="6402E072" w14:textId="77777777" w:rsidR="00193211" w:rsidRPr="005D2C55" w:rsidRDefault="00193211" w:rsidP="005D2C55">
      <w:pPr>
        <w:ind w:left="0" w:firstLine="646"/>
        <w:rPr>
          <w:color w:val="1F4E79"/>
          <w:szCs w:val="18"/>
          <w:lang w:eastAsia="es-DO"/>
        </w:rPr>
      </w:pPr>
    </w:p>
    <w:p w14:paraId="5D696E46" w14:textId="1E9679FE" w:rsidR="00193211" w:rsidRPr="00FA1EEC" w:rsidRDefault="00193211" w:rsidP="00523144">
      <w:pPr>
        <w:ind w:left="0" w:firstLine="646"/>
        <w:rPr>
          <w:color w:val="1F4E79"/>
          <w:szCs w:val="18"/>
          <w:lang w:eastAsia="es-DO"/>
        </w:rPr>
      </w:pPr>
      <w:r w:rsidRPr="00FA1EEC">
        <w:rPr>
          <w:color w:val="1F4E79"/>
          <w:szCs w:val="18"/>
          <w:lang w:eastAsia="es-DO"/>
        </w:rPr>
        <w:t xml:space="preserve">Los fondos del presupuesto del </w:t>
      </w:r>
      <w:r w:rsidR="00207340">
        <w:rPr>
          <w:color w:val="1F4E79"/>
          <w:szCs w:val="18"/>
          <w:lang w:eastAsia="es-DO"/>
        </w:rPr>
        <w:t>FONPER</w:t>
      </w:r>
      <w:r w:rsidRPr="00FA1EEC">
        <w:rPr>
          <w:color w:val="1F4E79"/>
          <w:szCs w:val="18"/>
          <w:lang w:eastAsia="es-DO"/>
        </w:rPr>
        <w:t xml:space="preserve"> provienen de fuentes propias, es decir, de los dividendos que recibe por los beneficios obtenidos por las empresas reformadas.  De esta forma, es una institución calificada como de “Captación Directa”. </w:t>
      </w:r>
    </w:p>
    <w:p w14:paraId="30B84CBF" w14:textId="77777777" w:rsidR="00193211" w:rsidRPr="00FA1EEC" w:rsidRDefault="00193211" w:rsidP="00145933">
      <w:pPr>
        <w:ind w:left="0" w:firstLine="646"/>
        <w:rPr>
          <w:color w:val="1F4E79"/>
          <w:szCs w:val="18"/>
          <w:lang w:eastAsia="es-DO"/>
        </w:rPr>
      </w:pPr>
    </w:p>
    <w:p w14:paraId="2287B251" w14:textId="77777777" w:rsidR="00F164B9" w:rsidRDefault="00193211" w:rsidP="00145933">
      <w:pPr>
        <w:ind w:left="0" w:firstLine="646"/>
        <w:rPr>
          <w:color w:val="1F4E79"/>
          <w:szCs w:val="18"/>
          <w:lang w:eastAsia="es-DO"/>
        </w:rPr>
      </w:pPr>
      <w:r w:rsidRPr="00FA1EEC">
        <w:rPr>
          <w:color w:val="1F4E79"/>
          <w:szCs w:val="18"/>
          <w:lang w:eastAsia="es-DO"/>
        </w:rPr>
        <w:t xml:space="preserve"> </w:t>
      </w:r>
    </w:p>
    <w:p w14:paraId="296502A5" w14:textId="14AF421B" w:rsidR="00193211" w:rsidRPr="00FA1EEC" w:rsidRDefault="00193211" w:rsidP="00145933">
      <w:pPr>
        <w:ind w:left="0" w:firstLine="646"/>
        <w:rPr>
          <w:color w:val="1F4E79"/>
          <w:szCs w:val="18"/>
          <w:lang w:eastAsia="es-DO"/>
        </w:rPr>
      </w:pPr>
      <w:r w:rsidRPr="00FA1EEC">
        <w:rPr>
          <w:color w:val="1F4E79"/>
          <w:szCs w:val="18"/>
          <w:lang w:eastAsia="es-DO"/>
        </w:rPr>
        <w:t xml:space="preserve">El presupuesto 2020 de ingresos y gastos fue digitado en la Dirección General de Presupuesto (DIGEPRES), considerando un </w:t>
      </w:r>
      <w:r w:rsidR="004478AE" w:rsidRPr="00145933">
        <w:rPr>
          <w:b/>
          <w:color w:val="1F4E79"/>
          <w:szCs w:val="18"/>
          <w:lang w:eastAsia="es-DO"/>
        </w:rPr>
        <w:t>I</w:t>
      </w:r>
      <w:r w:rsidRPr="00145933">
        <w:rPr>
          <w:b/>
          <w:color w:val="1F4E79"/>
          <w:szCs w:val="18"/>
          <w:lang w:eastAsia="es-DO"/>
        </w:rPr>
        <w:t xml:space="preserve">ngreso </w:t>
      </w:r>
      <w:r w:rsidR="004478AE" w:rsidRPr="00145933">
        <w:rPr>
          <w:b/>
          <w:color w:val="1F4E79"/>
          <w:szCs w:val="18"/>
          <w:lang w:eastAsia="es-DO"/>
        </w:rPr>
        <w:t>T</w:t>
      </w:r>
      <w:r w:rsidRPr="00145933">
        <w:rPr>
          <w:b/>
          <w:color w:val="1F4E79"/>
          <w:szCs w:val="18"/>
          <w:lang w:eastAsia="es-DO"/>
        </w:rPr>
        <w:t>otal</w:t>
      </w:r>
      <w:r w:rsidRPr="00FA1EEC">
        <w:rPr>
          <w:color w:val="1F4E79"/>
          <w:szCs w:val="18"/>
          <w:lang w:eastAsia="es-DO"/>
        </w:rPr>
        <w:t xml:space="preserve"> de </w:t>
      </w:r>
      <w:r w:rsidRPr="00523144">
        <w:rPr>
          <w:b/>
          <w:color w:val="1F4E79"/>
          <w:szCs w:val="18"/>
          <w:lang w:eastAsia="es-DO"/>
        </w:rPr>
        <w:t>RD$3,474,257,730.00 (Tres Mil Cuatrocientos Setenta y Cuatro Millones Doscientos Cincuenta y Siete Mil Setecientos Treinta Pesos con 00/100)</w:t>
      </w:r>
      <w:r w:rsidRPr="005D2C55">
        <w:rPr>
          <w:color w:val="1F4E79"/>
          <w:szCs w:val="18"/>
          <w:lang w:eastAsia="es-DO"/>
        </w:rPr>
        <w:t>.</w:t>
      </w:r>
    </w:p>
    <w:p w14:paraId="229C4373" w14:textId="77777777" w:rsidR="00193211" w:rsidRPr="00FA1EEC" w:rsidRDefault="00193211" w:rsidP="00145933">
      <w:pPr>
        <w:ind w:left="0" w:firstLine="646"/>
        <w:rPr>
          <w:color w:val="1F4E79"/>
          <w:szCs w:val="18"/>
          <w:lang w:eastAsia="es-DO"/>
        </w:rPr>
      </w:pPr>
    </w:p>
    <w:p w14:paraId="5AF9149A" w14:textId="4CB65AAA" w:rsidR="00193211" w:rsidRPr="00FA1EEC" w:rsidRDefault="00193211" w:rsidP="00145933">
      <w:pPr>
        <w:ind w:left="0" w:firstLine="646"/>
        <w:rPr>
          <w:color w:val="1F4E79"/>
          <w:szCs w:val="18"/>
          <w:lang w:eastAsia="es-DO"/>
        </w:rPr>
      </w:pPr>
      <w:r w:rsidRPr="00FA1EEC">
        <w:rPr>
          <w:color w:val="1F4E79"/>
          <w:szCs w:val="18"/>
          <w:lang w:eastAsia="es-DO"/>
        </w:rPr>
        <w:t xml:space="preserve">En ese sentido, consideró </w:t>
      </w:r>
      <w:r w:rsidRPr="00523144">
        <w:rPr>
          <w:b/>
          <w:color w:val="1F4E79"/>
          <w:szCs w:val="18"/>
          <w:lang w:eastAsia="es-DO"/>
        </w:rPr>
        <w:t>ingresos por dividendos</w:t>
      </w:r>
      <w:r w:rsidRPr="00FA1EEC">
        <w:rPr>
          <w:color w:val="1F4E79"/>
          <w:szCs w:val="18"/>
          <w:lang w:eastAsia="es-DO"/>
        </w:rPr>
        <w:t xml:space="preserve"> ascendentes a </w:t>
      </w:r>
      <w:r w:rsidRPr="00523144">
        <w:rPr>
          <w:b/>
          <w:color w:val="1F4E79"/>
          <w:szCs w:val="18"/>
          <w:lang w:eastAsia="es-DO"/>
        </w:rPr>
        <w:t>RD$2,385,000,000.00 (Dos Mil Trescientos Ochenta y Cinco Millones Pesos Con 00/100),</w:t>
      </w:r>
      <w:r w:rsidRPr="00FA1EEC">
        <w:rPr>
          <w:color w:val="1F4E79"/>
          <w:szCs w:val="18"/>
          <w:lang w:eastAsia="es-DO"/>
        </w:rPr>
        <w:t xml:space="preserve"> representando esto el 60% del total de los ingresos. A la vez, fueron proyectados </w:t>
      </w:r>
      <w:r w:rsidRPr="005D6476">
        <w:rPr>
          <w:b/>
          <w:color w:val="1F4E79"/>
          <w:szCs w:val="18"/>
          <w:lang w:eastAsia="es-DO"/>
        </w:rPr>
        <w:t>RD$100,000,000.00 (Cien Millones de Pesos Con 00/100)</w:t>
      </w:r>
      <w:r w:rsidRPr="00FA1EEC">
        <w:rPr>
          <w:color w:val="1F4E79"/>
          <w:szCs w:val="18"/>
          <w:lang w:eastAsia="es-DO"/>
        </w:rPr>
        <w:t xml:space="preserve"> por intereses sobre inversiones financieras, lo cual representa el 4% del total, y </w:t>
      </w:r>
      <w:r w:rsidRPr="005D6476">
        <w:rPr>
          <w:b/>
          <w:color w:val="1F4E79"/>
          <w:szCs w:val="18"/>
          <w:lang w:eastAsia="es-DO"/>
        </w:rPr>
        <w:t xml:space="preserve">RD$989,257,730.00 (Novecientos Ochenta y Nueve Millones Doscientos Cincuenta y Siete Mil Setecientos Treinta Pesos Con 00/100) </w:t>
      </w:r>
      <w:r w:rsidRPr="00FA1EEC">
        <w:rPr>
          <w:color w:val="1F4E79"/>
          <w:szCs w:val="18"/>
          <w:lang w:eastAsia="es-DO"/>
        </w:rPr>
        <w:t xml:space="preserve">del balance inicial disponible al 1ro. de enero del 2020, representando el 36% del ingreso total. </w:t>
      </w:r>
    </w:p>
    <w:p w14:paraId="20984C50" w14:textId="77777777" w:rsidR="00193211" w:rsidRPr="00FA1EEC" w:rsidRDefault="00193211" w:rsidP="00145933">
      <w:pPr>
        <w:ind w:left="0" w:firstLine="646"/>
        <w:rPr>
          <w:color w:val="1F4E79"/>
          <w:szCs w:val="18"/>
          <w:lang w:eastAsia="es-DO"/>
        </w:rPr>
      </w:pPr>
    </w:p>
    <w:p w14:paraId="0DB44FEA" w14:textId="28B82A58" w:rsidR="00193211" w:rsidRPr="00FA1EEC" w:rsidRDefault="00193211" w:rsidP="00145933">
      <w:pPr>
        <w:ind w:left="0" w:firstLine="646"/>
        <w:rPr>
          <w:color w:val="1F4E79"/>
          <w:szCs w:val="18"/>
          <w:lang w:eastAsia="es-DO"/>
        </w:rPr>
      </w:pPr>
      <w:r w:rsidRPr="00FA1EEC">
        <w:rPr>
          <w:color w:val="1F4E79"/>
          <w:szCs w:val="18"/>
          <w:lang w:eastAsia="es-DO"/>
        </w:rPr>
        <w:t xml:space="preserve">La asignación presupuestaria para los </w:t>
      </w:r>
      <w:r w:rsidRPr="00145933">
        <w:rPr>
          <w:b/>
          <w:color w:val="1F4E79"/>
          <w:szCs w:val="18"/>
          <w:lang w:eastAsia="es-DO"/>
        </w:rPr>
        <w:t>Gastos Operativos</w:t>
      </w:r>
      <w:r w:rsidRPr="00FA1EEC">
        <w:rPr>
          <w:color w:val="1F4E79"/>
          <w:szCs w:val="18"/>
          <w:lang w:eastAsia="es-DO"/>
        </w:rPr>
        <w:t xml:space="preserve">, enfocados al fortalecimiento institucional y desarrollo del personal, con el fin de lograr los objetivos, fue de </w:t>
      </w:r>
      <w:r w:rsidR="00B156CB">
        <w:rPr>
          <w:b/>
          <w:color w:val="1F4E79"/>
          <w:szCs w:val="18"/>
          <w:lang w:eastAsia="es-DO"/>
        </w:rPr>
        <w:t>RD$765,572,332.6</w:t>
      </w:r>
      <w:r w:rsidRPr="00145933">
        <w:rPr>
          <w:b/>
          <w:color w:val="1F4E79"/>
          <w:szCs w:val="18"/>
          <w:lang w:eastAsia="es-DO"/>
        </w:rPr>
        <w:t>0 (Setecientos Sesenta y Cinco Millones Quinientos Setenta y Dos Mil Tresc</w:t>
      </w:r>
      <w:r w:rsidR="00B156CB">
        <w:rPr>
          <w:b/>
          <w:color w:val="1F4E79"/>
          <w:szCs w:val="18"/>
          <w:lang w:eastAsia="es-DO"/>
        </w:rPr>
        <w:t>ientos Treinta y Dos Pesos con 6</w:t>
      </w:r>
      <w:r w:rsidRPr="00145933">
        <w:rPr>
          <w:b/>
          <w:color w:val="1F4E79"/>
          <w:szCs w:val="18"/>
          <w:lang w:eastAsia="es-DO"/>
        </w:rPr>
        <w:t>0/100).</w:t>
      </w:r>
      <w:r w:rsidRPr="00FA1EEC">
        <w:rPr>
          <w:color w:val="1F4E79"/>
          <w:szCs w:val="18"/>
          <w:lang w:eastAsia="es-DO"/>
        </w:rPr>
        <w:t xml:space="preserve"> De éste monto, el 94% </w:t>
      </w:r>
      <w:r w:rsidRPr="00145933">
        <w:rPr>
          <w:b/>
          <w:color w:val="1F4E79"/>
          <w:szCs w:val="18"/>
          <w:lang w:eastAsia="es-DO"/>
        </w:rPr>
        <w:t>(RD$722,723,832.00),</w:t>
      </w:r>
      <w:r w:rsidRPr="00FA1EEC">
        <w:rPr>
          <w:color w:val="1F4E79"/>
          <w:szCs w:val="18"/>
          <w:lang w:eastAsia="es-DO"/>
        </w:rPr>
        <w:t xml:space="preserve"> corresponde a </w:t>
      </w:r>
      <w:r w:rsidRPr="00145933">
        <w:rPr>
          <w:b/>
          <w:color w:val="1F4E79"/>
          <w:szCs w:val="18"/>
          <w:lang w:eastAsia="es-DO"/>
        </w:rPr>
        <w:t>Gastos Corrientes</w:t>
      </w:r>
      <w:r w:rsidRPr="00FA1EEC">
        <w:rPr>
          <w:color w:val="1F4E79"/>
          <w:szCs w:val="18"/>
          <w:lang w:eastAsia="es-DO"/>
        </w:rPr>
        <w:t xml:space="preserve"> y el 6% restante </w:t>
      </w:r>
      <w:r w:rsidRPr="00145933">
        <w:rPr>
          <w:b/>
          <w:color w:val="1F4E79"/>
          <w:szCs w:val="18"/>
          <w:lang w:eastAsia="es-DO"/>
        </w:rPr>
        <w:t>(RD$42,848,500.00)</w:t>
      </w:r>
      <w:r w:rsidRPr="00FA1EEC">
        <w:rPr>
          <w:color w:val="1F4E79"/>
          <w:szCs w:val="18"/>
          <w:lang w:eastAsia="es-DO"/>
        </w:rPr>
        <w:t xml:space="preserve"> fue asignado para </w:t>
      </w:r>
      <w:r w:rsidRPr="00145933">
        <w:rPr>
          <w:b/>
          <w:color w:val="1F4E79"/>
          <w:szCs w:val="18"/>
          <w:lang w:eastAsia="es-DO"/>
        </w:rPr>
        <w:t>Gastos de Capital</w:t>
      </w:r>
      <w:r w:rsidRPr="00FA1EEC">
        <w:rPr>
          <w:color w:val="1F4E79"/>
          <w:szCs w:val="18"/>
          <w:lang w:eastAsia="es-DO"/>
        </w:rPr>
        <w:t>.</w:t>
      </w:r>
    </w:p>
    <w:p w14:paraId="596A75FC" w14:textId="77777777" w:rsidR="00193211" w:rsidRPr="00FA1EEC" w:rsidRDefault="00193211" w:rsidP="00523144">
      <w:pPr>
        <w:ind w:left="0" w:firstLine="646"/>
        <w:rPr>
          <w:color w:val="1F4E79"/>
          <w:szCs w:val="18"/>
          <w:lang w:eastAsia="es-DO"/>
        </w:rPr>
      </w:pPr>
    </w:p>
    <w:p w14:paraId="2F907785" w14:textId="6C8064C2" w:rsidR="004478AE" w:rsidRPr="005D2C55" w:rsidRDefault="00193211" w:rsidP="00145933">
      <w:pPr>
        <w:ind w:left="0" w:firstLine="646"/>
        <w:rPr>
          <w:color w:val="1F4E79"/>
          <w:szCs w:val="18"/>
          <w:lang w:eastAsia="es-DO"/>
        </w:rPr>
      </w:pPr>
      <w:r w:rsidRPr="00FA1EEC">
        <w:rPr>
          <w:color w:val="1F4E79"/>
          <w:szCs w:val="18"/>
          <w:lang w:eastAsia="es-DO"/>
        </w:rPr>
        <w:t xml:space="preserve">En otro orden, para </w:t>
      </w:r>
      <w:r w:rsidRPr="00145933">
        <w:rPr>
          <w:b/>
          <w:color w:val="1F4E79"/>
          <w:szCs w:val="18"/>
          <w:lang w:eastAsia="es-DO"/>
        </w:rPr>
        <w:t>Transferencias de Capital</w:t>
      </w:r>
      <w:r w:rsidRPr="00FA1EEC">
        <w:rPr>
          <w:color w:val="1F4E79"/>
          <w:szCs w:val="18"/>
          <w:lang w:eastAsia="es-DO"/>
        </w:rPr>
        <w:t xml:space="preserve"> se asignó la suma total de </w:t>
      </w:r>
      <w:r w:rsidRPr="00145933">
        <w:rPr>
          <w:b/>
          <w:color w:val="1F4E79"/>
          <w:szCs w:val="18"/>
          <w:lang w:eastAsia="es-DO"/>
        </w:rPr>
        <w:t>RD$647,771,067.20,</w:t>
      </w:r>
      <w:r w:rsidRPr="00FA1EEC">
        <w:rPr>
          <w:color w:val="1F4E79"/>
          <w:szCs w:val="18"/>
          <w:lang w:eastAsia="es-DO"/>
        </w:rPr>
        <w:t xml:space="preserve"> distribuyéndose en partes iguales para la reinversión de capital en las empresas capitalizadas y para la Unidad de Electrificación Rural y Suburbana (UERS); se presupuestó el desembolso de </w:t>
      </w:r>
      <w:r w:rsidRPr="005D2C55">
        <w:rPr>
          <w:color w:val="1F4E79"/>
          <w:szCs w:val="18"/>
          <w:lang w:eastAsia="es-DO"/>
        </w:rPr>
        <w:t>RD$420,000,000.00 (Cuatrocientos Veinte Millones de Pesos Con 00/100)</w:t>
      </w:r>
      <w:r w:rsidRPr="00FA1EEC">
        <w:rPr>
          <w:color w:val="1F4E79"/>
          <w:szCs w:val="18"/>
          <w:lang w:eastAsia="es-DO"/>
        </w:rPr>
        <w:t xml:space="preserve">, correspondiente a deudas a la UERS, registradas como resultado de períodos anteriores; se asignó un monto de </w:t>
      </w:r>
      <w:r w:rsidRPr="005D2C55">
        <w:rPr>
          <w:color w:val="1F4E79"/>
          <w:szCs w:val="18"/>
          <w:lang w:eastAsia="es-DO"/>
        </w:rPr>
        <w:t xml:space="preserve">RD$1,640,914,330.80 (Mil Seiscientos Cuarenta Millones Novecientos Catorce Mil Trescientos Treinta Pesos con 80/100) </w:t>
      </w:r>
      <w:r w:rsidRPr="00FA1EEC">
        <w:rPr>
          <w:color w:val="1F4E79"/>
          <w:szCs w:val="18"/>
          <w:lang w:eastAsia="es-DO"/>
        </w:rPr>
        <w:t>para la ejecución de proyectos de desarrollo.</w:t>
      </w:r>
    </w:p>
    <w:p w14:paraId="4BD82CF7" w14:textId="77777777" w:rsidR="00193211" w:rsidRPr="00145933" w:rsidRDefault="00193211" w:rsidP="00145933">
      <w:pPr>
        <w:pStyle w:val="Prrafodelista"/>
        <w:numPr>
          <w:ilvl w:val="0"/>
          <w:numId w:val="21"/>
        </w:numPr>
        <w:spacing w:line="480" w:lineRule="auto"/>
        <w:rPr>
          <w:b/>
          <w:color w:val="1F4E79"/>
          <w:szCs w:val="18"/>
          <w:lang w:eastAsia="es-DO"/>
        </w:rPr>
      </w:pPr>
      <w:r w:rsidRPr="00145933">
        <w:rPr>
          <w:b/>
          <w:color w:val="1F4E79"/>
          <w:szCs w:val="18"/>
          <w:lang w:eastAsia="es-DO"/>
        </w:rPr>
        <w:t>Ejecución Presupuestal del Período / Metas de Producción logradas.</w:t>
      </w:r>
    </w:p>
    <w:p w14:paraId="5EF668AC" w14:textId="77777777" w:rsidR="00193211" w:rsidRPr="00145933" w:rsidRDefault="00193211" w:rsidP="008A2E6C">
      <w:pPr>
        <w:ind w:left="0" w:firstLine="646"/>
        <w:rPr>
          <w:color w:val="1F4E79"/>
          <w:szCs w:val="18"/>
          <w:lang w:eastAsia="es-DO"/>
        </w:rPr>
      </w:pPr>
    </w:p>
    <w:p w14:paraId="2E1A7044" w14:textId="77777777" w:rsidR="00193211" w:rsidRPr="00145933" w:rsidRDefault="00193211" w:rsidP="00145933">
      <w:pPr>
        <w:ind w:left="0" w:firstLine="646"/>
        <w:rPr>
          <w:b/>
          <w:color w:val="1F4E79"/>
          <w:szCs w:val="18"/>
          <w:lang w:eastAsia="es-DO"/>
        </w:rPr>
      </w:pPr>
      <w:r w:rsidRPr="00145933">
        <w:rPr>
          <w:b/>
          <w:color w:val="1F4E79"/>
          <w:szCs w:val="18"/>
          <w:lang w:eastAsia="es-DO"/>
        </w:rPr>
        <w:t>Ingresos</w:t>
      </w:r>
    </w:p>
    <w:p w14:paraId="4751BC1E" w14:textId="77777777" w:rsidR="00193211" w:rsidRPr="00FA1EEC" w:rsidRDefault="00193211" w:rsidP="00145933">
      <w:pPr>
        <w:ind w:left="0" w:firstLine="646"/>
        <w:rPr>
          <w:color w:val="1F4E79"/>
          <w:szCs w:val="18"/>
          <w:lang w:eastAsia="es-DO"/>
        </w:rPr>
      </w:pPr>
    </w:p>
    <w:p w14:paraId="25AA9574" w14:textId="77777777" w:rsidR="00193211" w:rsidRPr="00FA1EEC" w:rsidRDefault="00193211" w:rsidP="00145933">
      <w:pPr>
        <w:ind w:left="0" w:firstLine="646"/>
        <w:rPr>
          <w:color w:val="1F4E79"/>
          <w:szCs w:val="18"/>
          <w:lang w:eastAsia="es-DO"/>
        </w:rPr>
      </w:pPr>
      <w:r w:rsidRPr="00FA1EEC">
        <w:rPr>
          <w:color w:val="1F4E79"/>
          <w:szCs w:val="18"/>
          <w:lang w:eastAsia="es-DO"/>
        </w:rPr>
        <w:t xml:space="preserve">La </w:t>
      </w:r>
      <w:r w:rsidRPr="00145933">
        <w:rPr>
          <w:b/>
          <w:color w:val="1F4E79"/>
          <w:szCs w:val="18"/>
          <w:lang w:eastAsia="es-DO"/>
        </w:rPr>
        <w:t>ejecución de los ingresos</w:t>
      </w:r>
      <w:r w:rsidRPr="00FA1EEC">
        <w:rPr>
          <w:color w:val="1F4E79"/>
          <w:szCs w:val="18"/>
          <w:lang w:eastAsia="es-DO"/>
        </w:rPr>
        <w:t xml:space="preserve"> al 31 de octubre, se define por los dividendos recibidos, intereses y otros ingresos percibidos, la cual fue de </w:t>
      </w:r>
      <w:r w:rsidRPr="00145933">
        <w:rPr>
          <w:b/>
          <w:color w:val="1F4E79"/>
          <w:szCs w:val="18"/>
          <w:lang w:eastAsia="es-DO"/>
        </w:rPr>
        <w:t>RD$2,935,036,896.70 (Dos Mil Novecientos Treinta y Cinco Millones Treinta y Seis Mil Ochocientos Noventa y Seis Pesos Con 70/100).</w:t>
      </w:r>
    </w:p>
    <w:p w14:paraId="1E560C93" w14:textId="77777777" w:rsidR="00193211" w:rsidRPr="00FA1EEC" w:rsidRDefault="00193211" w:rsidP="00145933">
      <w:pPr>
        <w:ind w:left="0" w:firstLine="646"/>
        <w:rPr>
          <w:color w:val="1F4E79"/>
          <w:szCs w:val="18"/>
          <w:lang w:eastAsia="es-DO"/>
        </w:rPr>
      </w:pPr>
    </w:p>
    <w:p w14:paraId="662D31ED" w14:textId="35027ED8" w:rsidR="00193211" w:rsidRPr="00FA1EEC" w:rsidRDefault="00193211" w:rsidP="008D5E79">
      <w:pPr>
        <w:ind w:left="0" w:firstLine="646"/>
        <w:rPr>
          <w:color w:val="1F4E79"/>
          <w:szCs w:val="18"/>
          <w:lang w:eastAsia="es-DO"/>
        </w:rPr>
      </w:pPr>
      <w:r w:rsidRPr="00FA1EEC">
        <w:rPr>
          <w:color w:val="1F4E79"/>
          <w:szCs w:val="18"/>
          <w:lang w:eastAsia="es-DO"/>
        </w:rPr>
        <w:t xml:space="preserve">En ese sentido, el monto de </w:t>
      </w:r>
      <w:r w:rsidRPr="00145933">
        <w:rPr>
          <w:b/>
          <w:color w:val="1F4E79"/>
          <w:szCs w:val="18"/>
          <w:lang w:eastAsia="es-DO"/>
        </w:rPr>
        <w:t>ingreso por dividendos</w:t>
      </w:r>
      <w:r w:rsidRPr="00FA1EEC">
        <w:rPr>
          <w:color w:val="1F4E79"/>
          <w:szCs w:val="18"/>
          <w:lang w:eastAsia="es-DO"/>
        </w:rPr>
        <w:t xml:space="preserve"> ascendió a </w:t>
      </w:r>
      <w:r w:rsidRPr="00145933">
        <w:rPr>
          <w:b/>
          <w:color w:val="1F4E79"/>
          <w:szCs w:val="18"/>
          <w:lang w:eastAsia="es-DO"/>
        </w:rPr>
        <w:t>RD$2,445,85</w:t>
      </w:r>
      <w:r w:rsidR="0090038E">
        <w:rPr>
          <w:b/>
          <w:color w:val="1F4E79"/>
          <w:szCs w:val="18"/>
          <w:lang w:eastAsia="es-DO"/>
        </w:rPr>
        <w:t>7</w:t>
      </w:r>
      <w:r w:rsidRPr="00145933">
        <w:rPr>
          <w:b/>
          <w:color w:val="1F4E79"/>
          <w:szCs w:val="18"/>
          <w:lang w:eastAsia="es-DO"/>
        </w:rPr>
        <w:t>,</w:t>
      </w:r>
      <w:r w:rsidR="0090038E">
        <w:rPr>
          <w:b/>
          <w:color w:val="1F4E79"/>
          <w:szCs w:val="18"/>
          <w:lang w:eastAsia="es-DO"/>
        </w:rPr>
        <w:t>435</w:t>
      </w:r>
      <w:r w:rsidRPr="00145933">
        <w:rPr>
          <w:b/>
          <w:color w:val="1F4E79"/>
          <w:szCs w:val="18"/>
          <w:lang w:eastAsia="es-DO"/>
        </w:rPr>
        <w:t>.</w:t>
      </w:r>
      <w:r w:rsidR="0090038E">
        <w:rPr>
          <w:b/>
          <w:color w:val="1F4E79"/>
          <w:szCs w:val="18"/>
          <w:lang w:eastAsia="es-DO"/>
        </w:rPr>
        <w:t>57</w:t>
      </w:r>
      <w:r w:rsidRPr="00145933">
        <w:rPr>
          <w:b/>
          <w:color w:val="1F4E79"/>
          <w:szCs w:val="18"/>
          <w:lang w:eastAsia="es-DO"/>
        </w:rPr>
        <w:t xml:space="preserve"> (Dos Mil Cuatrocientos Cuarenta y Cinco Millones Ochocientos Cincuenta y S</w:t>
      </w:r>
      <w:r w:rsidR="0090038E">
        <w:rPr>
          <w:b/>
          <w:color w:val="1F4E79"/>
          <w:szCs w:val="18"/>
          <w:lang w:eastAsia="es-DO"/>
        </w:rPr>
        <w:t>iete</w:t>
      </w:r>
      <w:r w:rsidRPr="00145933">
        <w:rPr>
          <w:b/>
          <w:color w:val="1F4E79"/>
          <w:szCs w:val="18"/>
          <w:lang w:eastAsia="es-DO"/>
        </w:rPr>
        <w:t xml:space="preserve"> Mil C</w:t>
      </w:r>
      <w:r w:rsidR="0090038E">
        <w:rPr>
          <w:b/>
          <w:color w:val="1F4E79"/>
          <w:szCs w:val="18"/>
          <w:lang w:eastAsia="es-DO"/>
        </w:rPr>
        <w:t>uatrocientos Trenta y Cinco Pesos con 57</w:t>
      </w:r>
      <w:r w:rsidRPr="00145933">
        <w:rPr>
          <w:b/>
          <w:color w:val="1F4E79"/>
          <w:szCs w:val="18"/>
          <w:lang w:eastAsia="es-DO"/>
        </w:rPr>
        <w:t>/100)</w:t>
      </w:r>
      <w:r w:rsidRPr="00FA1EEC">
        <w:rPr>
          <w:color w:val="1F4E79"/>
          <w:szCs w:val="18"/>
          <w:lang w:eastAsia="es-DO"/>
        </w:rPr>
        <w:t xml:space="preserve">, provenientes de EGE Itabo y EGE Haina; los intereses recibidos por las inversiones financieras realizadas fueron de </w:t>
      </w:r>
      <w:r w:rsidRPr="00145933">
        <w:rPr>
          <w:color w:val="1F4E79"/>
          <w:szCs w:val="18"/>
          <w:lang w:eastAsia="es-DO"/>
        </w:rPr>
        <w:t>RD$153,754,637.32 (Ciento Cincuenta y Tres Millones Setecientos Cincuenta y Cuatro Mil Seiscientos Treinta y Siete Pesos con 32/100)</w:t>
      </w:r>
      <w:r w:rsidRPr="00FA1EEC">
        <w:rPr>
          <w:color w:val="1F4E79"/>
          <w:szCs w:val="18"/>
          <w:lang w:eastAsia="es-DO"/>
        </w:rPr>
        <w:t xml:space="preserve">, lo que representa un </w:t>
      </w:r>
      <w:r w:rsidRPr="00145933">
        <w:rPr>
          <w:color w:val="1F4E79"/>
          <w:szCs w:val="18"/>
          <w:lang w:eastAsia="es-DO"/>
        </w:rPr>
        <w:t>171%</w:t>
      </w:r>
      <w:r w:rsidRPr="00FA1EEC">
        <w:rPr>
          <w:color w:val="1F4E79"/>
          <w:szCs w:val="18"/>
          <w:lang w:eastAsia="es-DO"/>
        </w:rPr>
        <w:t xml:space="preserve"> del total presupuestado para el año completo; y Otros Ingresos, que incluye disponibilidad bancaria a inicio del año, ingresos por variación en tasas de cambio, entre otros, con un movimiento total por </w:t>
      </w:r>
      <w:r w:rsidRPr="00145933">
        <w:rPr>
          <w:color w:val="1F4E79"/>
          <w:szCs w:val="18"/>
          <w:lang w:eastAsia="es-DO"/>
        </w:rPr>
        <w:t>RD$6,786,907,801.29 (Seis Mil Setecientos Ochenta y Seis Millones Novecientos Siete Mil Ochocientos Uno con 29/100).</w:t>
      </w:r>
      <w:r w:rsidRPr="00FA1EEC">
        <w:rPr>
          <w:color w:val="1F4E79"/>
          <w:szCs w:val="18"/>
          <w:lang w:eastAsia="es-DO"/>
        </w:rPr>
        <w:t xml:space="preserve"> </w:t>
      </w:r>
    </w:p>
    <w:p w14:paraId="5149F310" w14:textId="77777777" w:rsidR="00193211" w:rsidRPr="00FA1EEC" w:rsidRDefault="00193211" w:rsidP="008D5E79">
      <w:pPr>
        <w:ind w:left="0" w:firstLine="646"/>
        <w:rPr>
          <w:color w:val="1F4E79"/>
          <w:szCs w:val="18"/>
          <w:lang w:eastAsia="es-DO"/>
        </w:rPr>
      </w:pPr>
    </w:p>
    <w:p w14:paraId="1CFE8F58" w14:textId="77777777" w:rsidR="00193211" w:rsidRPr="008B080A" w:rsidRDefault="00193211" w:rsidP="008D5E79">
      <w:pPr>
        <w:ind w:left="0" w:firstLine="646"/>
        <w:rPr>
          <w:b/>
          <w:color w:val="1F4E79"/>
          <w:szCs w:val="18"/>
          <w:lang w:eastAsia="es-DO"/>
        </w:rPr>
      </w:pPr>
      <w:r w:rsidRPr="008B080A">
        <w:rPr>
          <w:b/>
          <w:color w:val="1F4E79"/>
          <w:szCs w:val="18"/>
          <w:lang w:eastAsia="es-DO"/>
        </w:rPr>
        <w:t>Egresos</w:t>
      </w:r>
    </w:p>
    <w:p w14:paraId="6CCDF756" w14:textId="77777777" w:rsidR="00193211" w:rsidRPr="00FA1EEC" w:rsidRDefault="00193211" w:rsidP="008D5E79">
      <w:pPr>
        <w:ind w:left="0" w:firstLine="646"/>
        <w:rPr>
          <w:color w:val="1F4E79"/>
          <w:szCs w:val="18"/>
          <w:lang w:eastAsia="es-DO"/>
        </w:rPr>
      </w:pPr>
    </w:p>
    <w:p w14:paraId="34968C50" w14:textId="1638B427" w:rsidR="00193211" w:rsidRDefault="00193211" w:rsidP="008D5E79">
      <w:pPr>
        <w:ind w:left="0" w:firstLine="646"/>
        <w:rPr>
          <w:color w:val="1F4E79"/>
          <w:szCs w:val="18"/>
          <w:lang w:eastAsia="es-DO"/>
        </w:rPr>
      </w:pPr>
      <w:r w:rsidRPr="00FA1EEC">
        <w:rPr>
          <w:color w:val="1F4E79"/>
          <w:szCs w:val="18"/>
          <w:lang w:eastAsia="es-DO"/>
        </w:rPr>
        <w:t xml:space="preserve">En lo que respecta a los egresos, la ejecución presupuestaria acumulada al 31 de octubre 2020, presenta un total de </w:t>
      </w:r>
      <w:r w:rsidRPr="008B080A">
        <w:rPr>
          <w:b/>
          <w:color w:val="1F4E79"/>
          <w:szCs w:val="18"/>
          <w:lang w:eastAsia="es-DO"/>
        </w:rPr>
        <w:t>RD$7,</w:t>
      </w:r>
      <w:r w:rsidR="00687FF2">
        <w:rPr>
          <w:b/>
          <w:color w:val="1F4E79"/>
          <w:szCs w:val="18"/>
          <w:lang w:eastAsia="es-DO"/>
        </w:rPr>
        <w:t>259</w:t>
      </w:r>
      <w:r w:rsidRPr="008B080A">
        <w:rPr>
          <w:b/>
          <w:color w:val="1F4E79"/>
          <w:szCs w:val="18"/>
          <w:lang w:eastAsia="es-DO"/>
        </w:rPr>
        <w:t>,</w:t>
      </w:r>
      <w:r w:rsidR="00687FF2">
        <w:rPr>
          <w:b/>
          <w:color w:val="1F4E79"/>
          <w:szCs w:val="18"/>
          <w:lang w:eastAsia="es-DO"/>
        </w:rPr>
        <w:t>95</w:t>
      </w:r>
      <w:r w:rsidRPr="008B080A">
        <w:rPr>
          <w:b/>
          <w:color w:val="1F4E79"/>
          <w:szCs w:val="18"/>
          <w:lang w:eastAsia="es-DO"/>
        </w:rPr>
        <w:t>2,8</w:t>
      </w:r>
      <w:r w:rsidR="00687FF2">
        <w:rPr>
          <w:b/>
          <w:color w:val="1F4E79"/>
          <w:szCs w:val="18"/>
          <w:lang w:eastAsia="es-DO"/>
        </w:rPr>
        <w:t>78</w:t>
      </w:r>
      <w:r w:rsidRPr="008B080A">
        <w:rPr>
          <w:b/>
          <w:color w:val="1F4E79"/>
          <w:szCs w:val="18"/>
          <w:lang w:eastAsia="es-DO"/>
        </w:rPr>
        <w:t>.</w:t>
      </w:r>
      <w:r w:rsidR="00687FF2">
        <w:rPr>
          <w:b/>
          <w:color w:val="1F4E79"/>
          <w:szCs w:val="18"/>
          <w:lang w:eastAsia="es-DO"/>
        </w:rPr>
        <w:t>04</w:t>
      </w:r>
      <w:r w:rsidRPr="008B080A">
        <w:rPr>
          <w:b/>
          <w:color w:val="1F4E79"/>
          <w:szCs w:val="18"/>
          <w:lang w:eastAsia="es-DO"/>
        </w:rPr>
        <w:t xml:space="preserve">, (Siete mil </w:t>
      </w:r>
      <w:r w:rsidR="00687FF2">
        <w:rPr>
          <w:b/>
          <w:color w:val="1F4E79"/>
          <w:szCs w:val="18"/>
          <w:lang w:eastAsia="es-DO"/>
        </w:rPr>
        <w:t>doscientos cincuenta</w:t>
      </w:r>
      <w:r w:rsidRPr="008B080A">
        <w:rPr>
          <w:b/>
          <w:color w:val="1F4E79"/>
          <w:szCs w:val="18"/>
          <w:lang w:eastAsia="es-DO"/>
        </w:rPr>
        <w:t xml:space="preserve"> y </w:t>
      </w:r>
      <w:r w:rsidR="00687FF2">
        <w:rPr>
          <w:b/>
          <w:color w:val="1F4E79"/>
          <w:szCs w:val="18"/>
          <w:lang w:eastAsia="es-DO"/>
        </w:rPr>
        <w:t>nueve</w:t>
      </w:r>
      <w:r w:rsidRPr="008B080A">
        <w:rPr>
          <w:b/>
          <w:color w:val="1F4E79"/>
          <w:szCs w:val="18"/>
          <w:lang w:eastAsia="es-DO"/>
        </w:rPr>
        <w:t xml:space="preserve"> millones </w:t>
      </w:r>
      <w:r w:rsidR="00687FF2">
        <w:rPr>
          <w:b/>
          <w:color w:val="1F4E79"/>
          <w:szCs w:val="18"/>
          <w:lang w:eastAsia="es-DO"/>
        </w:rPr>
        <w:t xml:space="preserve">novecientos cincuenta </w:t>
      </w:r>
      <w:r w:rsidRPr="008B080A">
        <w:rPr>
          <w:b/>
          <w:color w:val="1F4E79"/>
          <w:szCs w:val="18"/>
          <w:lang w:eastAsia="es-DO"/>
        </w:rPr>
        <w:t xml:space="preserve">y </w:t>
      </w:r>
      <w:r w:rsidR="00687FF2">
        <w:rPr>
          <w:b/>
          <w:color w:val="1F4E79"/>
          <w:szCs w:val="18"/>
          <w:lang w:eastAsia="es-DO"/>
        </w:rPr>
        <w:t>dos</w:t>
      </w:r>
      <w:r w:rsidRPr="008B080A">
        <w:rPr>
          <w:b/>
          <w:color w:val="1F4E79"/>
          <w:szCs w:val="18"/>
          <w:lang w:eastAsia="es-DO"/>
        </w:rPr>
        <w:t xml:space="preserve"> mil </w:t>
      </w:r>
      <w:r w:rsidR="00687FF2">
        <w:rPr>
          <w:b/>
          <w:color w:val="1F4E79"/>
          <w:szCs w:val="18"/>
          <w:lang w:eastAsia="es-DO"/>
        </w:rPr>
        <w:t xml:space="preserve">ochocientos setenta </w:t>
      </w:r>
      <w:r w:rsidRPr="008B080A">
        <w:rPr>
          <w:b/>
          <w:color w:val="1F4E79"/>
          <w:szCs w:val="18"/>
          <w:lang w:eastAsia="es-DO"/>
        </w:rPr>
        <w:t xml:space="preserve">y </w:t>
      </w:r>
      <w:r w:rsidR="00687FF2">
        <w:rPr>
          <w:b/>
          <w:color w:val="1F4E79"/>
          <w:szCs w:val="18"/>
          <w:lang w:eastAsia="es-DO"/>
        </w:rPr>
        <w:t>ocho</w:t>
      </w:r>
      <w:r w:rsidRPr="008B080A">
        <w:rPr>
          <w:b/>
          <w:color w:val="1F4E79"/>
          <w:szCs w:val="18"/>
          <w:lang w:eastAsia="es-DO"/>
        </w:rPr>
        <w:t xml:space="preserve"> con </w:t>
      </w:r>
      <w:r w:rsidR="00687FF2">
        <w:rPr>
          <w:b/>
          <w:color w:val="1F4E79"/>
          <w:szCs w:val="18"/>
          <w:lang w:eastAsia="es-DO"/>
        </w:rPr>
        <w:t>04</w:t>
      </w:r>
      <w:r w:rsidRPr="008B080A">
        <w:rPr>
          <w:b/>
          <w:color w:val="1F4E79"/>
          <w:szCs w:val="18"/>
          <w:lang w:eastAsia="es-DO"/>
        </w:rPr>
        <w:t>/100).</w:t>
      </w:r>
      <w:r w:rsidRPr="00FA1EEC">
        <w:rPr>
          <w:color w:val="1F4E79"/>
          <w:szCs w:val="18"/>
          <w:lang w:eastAsia="es-DO"/>
        </w:rPr>
        <w:t xml:space="preserve"> Esto representa un </w:t>
      </w:r>
      <w:r w:rsidRPr="008B080A">
        <w:rPr>
          <w:color w:val="1F4E79"/>
          <w:szCs w:val="18"/>
          <w:lang w:eastAsia="es-DO"/>
        </w:rPr>
        <w:t xml:space="preserve">37% </w:t>
      </w:r>
      <w:r w:rsidRPr="00FA1EEC">
        <w:rPr>
          <w:color w:val="1F4E79"/>
          <w:szCs w:val="18"/>
          <w:lang w:eastAsia="es-DO"/>
        </w:rPr>
        <w:t>del total de gastos presupuestados para el año 2020.</w:t>
      </w:r>
    </w:p>
    <w:p w14:paraId="0591E4B7" w14:textId="77777777" w:rsidR="00193211" w:rsidRPr="00FA1EEC" w:rsidRDefault="00193211" w:rsidP="008D5E79">
      <w:pPr>
        <w:ind w:left="0" w:firstLine="646"/>
        <w:rPr>
          <w:color w:val="1F4E79"/>
          <w:szCs w:val="18"/>
          <w:lang w:eastAsia="es-DO"/>
        </w:rPr>
      </w:pPr>
      <w:r w:rsidRPr="00FA1EEC">
        <w:rPr>
          <w:color w:val="1F4E79"/>
          <w:szCs w:val="18"/>
          <w:lang w:eastAsia="es-DO"/>
        </w:rPr>
        <w:t xml:space="preserve">El </w:t>
      </w:r>
      <w:r w:rsidRPr="008B080A">
        <w:rPr>
          <w:color w:val="1F4E79"/>
          <w:szCs w:val="18"/>
          <w:lang w:eastAsia="es-DO"/>
        </w:rPr>
        <w:t>13%</w:t>
      </w:r>
      <w:r w:rsidRPr="00FA1EEC">
        <w:rPr>
          <w:color w:val="1F4E79"/>
          <w:szCs w:val="18"/>
          <w:lang w:eastAsia="es-DO"/>
        </w:rPr>
        <w:t xml:space="preserve"> del consumo total del periodo corresponde a </w:t>
      </w:r>
      <w:r w:rsidRPr="008B080A">
        <w:rPr>
          <w:b/>
          <w:color w:val="1F4E79"/>
          <w:szCs w:val="18"/>
          <w:lang w:eastAsia="es-DO"/>
        </w:rPr>
        <w:t>Gastos y Transferencias</w:t>
      </w:r>
      <w:r w:rsidRPr="008B080A">
        <w:rPr>
          <w:color w:val="1F4E79"/>
          <w:szCs w:val="18"/>
          <w:lang w:eastAsia="es-DO"/>
        </w:rPr>
        <w:t xml:space="preserve"> </w:t>
      </w:r>
      <w:r w:rsidRPr="008B080A">
        <w:rPr>
          <w:b/>
          <w:color w:val="1F4E79"/>
          <w:szCs w:val="18"/>
          <w:lang w:eastAsia="es-DO"/>
        </w:rPr>
        <w:t>Corrientes</w:t>
      </w:r>
      <w:r w:rsidRPr="008B080A">
        <w:rPr>
          <w:color w:val="1F4E79"/>
          <w:szCs w:val="18"/>
          <w:lang w:eastAsia="es-DO"/>
        </w:rPr>
        <w:t>,</w:t>
      </w:r>
      <w:r w:rsidRPr="00FA1EEC">
        <w:rPr>
          <w:color w:val="1F4E79"/>
          <w:szCs w:val="18"/>
          <w:lang w:eastAsia="es-DO"/>
        </w:rPr>
        <w:t xml:space="preserve"> ascendentes a un monto de </w:t>
      </w:r>
      <w:r w:rsidRPr="008B080A">
        <w:rPr>
          <w:b/>
          <w:color w:val="1F4E79"/>
          <w:szCs w:val="18"/>
          <w:lang w:eastAsia="es-DO"/>
        </w:rPr>
        <w:t>RD$964,064,916.86 (Novecientos sesenta y cuatro millones sesenta y cuatro mil novecientos dieciséis con 86/100)</w:t>
      </w:r>
      <w:r w:rsidRPr="00FA1EEC">
        <w:rPr>
          <w:color w:val="1F4E79"/>
          <w:szCs w:val="18"/>
          <w:lang w:eastAsia="es-DO"/>
        </w:rPr>
        <w:t xml:space="preserve"> El </w:t>
      </w:r>
      <w:r w:rsidRPr="008B080A">
        <w:rPr>
          <w:color w:val="1F4E79"/>
          <w:szCs w:val="18"/>
          <w:lang w:eastAsia="es-DO"/>
        </w:rPr>
        <w:t>87%</w:t>
      </w:r>
      <w:r w:rsidRPr="00FA1EEC">
        <w:rPr>
          <w:color w:val="1F4E79"/>
          <w:szCs w:val="18"/>
          <w:lang w:eastAsia="es-DO"/>
        </w:rPr>
        <w:t xml:space="preserve"> restante de los desembolsos, ascendente a </w:t>
      </w:r>
      <w:r w:rsidRPr="008B080A">
        <w:rPr>
          <w:b/>
          <w:color w:val="1F4E79"/>
          <w:szCs w:val="18"/>
          <w:lang w:eastAsia="es-DO"/>
        </w:rPr>
        <w:t xml:space="preserve">RD$6,612,696,045.60 (Seis mil seiscientos doce millones seiscientos noventa y seis mil cuarenta y cinco 60/100) </w:t>
      </w:r>
      <w:r w:rsidRPr="008B080A">
        <w:rPr>
          <w:color w:val="1F4E79"/>
          <w:szCs w:val="18"/>
          <w:lang w:eastAsia="es-DO"/>
        </w:rPr>
        <w:t>corresponde a</w:t>
      </w:r>
      <w:r w:rsidRPr="008B080A">
        <w:rPr>
          <w:b/>
          <w:color w:val="1F4E79"/>
          <w:szCs w:val="18"/>
          <w:lang w:eastAsia="es-DO"/>
        </w:rPr>
        <w:t xml:space="preserve"> Gastos de Capital</w:t>
      </w:r>
      <w:r w:rsidRPr="00FA1EEC">
        <w:rPr>
          <w:color w:val="1F4E79"/>
          <w:szCs w:val="18"/>
          <w:lang w:eastAsia="es-DO"/>
        </w:rPr>
        <w:t>.</w:t>
      </w:r>
    </w:p>
    <w:p w14:paraId="2021E6FF" w14:textId="77777777" w:rsidR="00356789" w:rsidRDefault="00356789" w:rsidP="00E967AC">
      <w:pPr>
        <w:ind w:left="0" w:firstLine="646"/>
        <w:rPr>
          <w:color w:val="1F4E79"/>
          <w:szCs w:val="18"/>
          <w:lang w:eastAsia="es-DO"/>
        </w:rPr>
      </w:pPr>
    </w:p>
    <w:p w14:paraId="48FFFCA6" w14:textId="444AC7E8" w:rsidR="00193211" w:rsidRPr="008D5E79" w:rsidRDefault="00356789" w:rsidP="00356789">
      <w:pPr>
        <w:ind w:left="0"/>
        <w:rPr>
          <w:color w:val="1F4E79"/>
          <w:szCs w:val="18"/>
          <w:lang w:eastAsia="es-DO"/>
        </w:rPr>
      </w:pPr>
      <w:r w:rsidRPr="00356789">
        <w:rPr>
          <w:noProof/>
          <w:lang w:val="es-ES" w:eastAsia="es-ES"/>
        </w:rPr>
        <w:drawing>
          <wp:inline distT="0" distB="0" distL="0" distR="0" wp14:anchorId="014544D2" wp14:editId="209BB166">
            <wp:extent cx="4926227" cy="3646478"/>
            <wp:effectExtent l="0" t="0" r="825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29649" cy="3649011"/>
                    </a:xfrm>
                    <a:prstGeom prst="rect">
                      <a:avLst/>
                    </a:prstGeom>
                    <a:noFill/>
                    <a:ln>
                      <a:noFill/>
                    </a:ln>
                  </pic:spPr>
                </pic:pic>
              </a:graphicData>
            </a:graphic>
          </wp:inline>
        </w:drawing>
      </w:r>
    </w:p>
    <w:p w14:paraId="055EB657" w14:textId="38D31A23" w:rsidR="00193211" w:rsidRPr="00E967AC" w:rsidRDefault="00193211" w:rsidP="00E967AC">
      <w:pPr>
        <w:ind w:left="0" w:firstLine="646"/>
        <w:rPr>
          <w:color w:val="1F4E79"/>
          <w:szCs w:val="18"/>
          <w:lang w:eastAsia="es-DO"/>
        </w:rPr>
      </w:pPr>
    </w:p>
    <w:p w14:paraId="7DA0C24A" w14:textId="1CAD5AC6" w:rsidR="00193211" w:rsidRDefault="00193211" w:rsidP="00E967AC">
      <w:pPr>
        <w:ind w:left="0" w:firstLine="646"/>
        <w:rPr>
          <w:color w:val="1F4E79"/>
          <w:szCs w:val="18"/>
          <w:lang w:eastAsia="es-DO"/>
        </w:rPr>
      </w:pPr>
    </w:p>
    <w:p w14:paraId="418013CE" w14:textId="77777777" w:rsidR="00A01E46" w:rsidRDefault="00A01E46" w:rsidP="00E967AC">
      <w:pPr>
        <w:ind w:left="0" w:firstLine="646"/>
        <w:rPr>
          <w:color w:val="1F4E79"/>
          <w:szCs w:val="18"/>
          <w:lang w:eastAsia="es-DO"/>
        </w:rPr>
      </w:pPr>
    </w:p>
    <w:p w14:paraId="76FAD1F2" w14:textId="02B41EF6" w:rsidR="008A2E6C" w:rsidRDefault="008A2E6C" w:rsidP="00E967AC">
      <w:pPr>
        <w:ind w:left="0" w:firstLine="646"/>
        <w:rPr>
          <w:color w:val="1F4E79"/>
          <w:szCs w:val="18"/>
          <w:lang w:eastAsia="es-DO"/>
        </w:rPr>
      </w:pPr>
    </w:p>
    <w:p w14:paraId="53148321" w14:textId="77777777" w:rsidR="008A2E6C" w:rsidRPr="00E967AC" w:rsidRDefault="008A2E6C" w:rsidP="00E967AC">
      <w:pPr>
        <w:ind w:left="0" w:firstLine="646"/>
        <w:rPr>
          <w:color w:val="1F4E79"/>
          <w:szCs w:val="18"/>
          <w:lang w:eastAsia="es-DO"/>
        </w:rPr>
      </w:pPr>
    </w:p>
    <w:p w14:paraId="1B4A7CC8" w14:textId="01887E27" w:rsidR="00193211" w:rsidRPr="00391634" w:rsidRDefault="00391634" w:rsidP="0027737A">
      <w:pPr>
        <w:pStyle w:val="Prrafodelista"/>
        <w:numPr>
          <w:ilvl w:val="1"/>
          <w:numId w:val="1"/>
        </w:numPr>
        <w:spacing w:after="0" w:line="360" w:lineRule="auto"/>
        <w:ind w:left="426" w:hanging="425"/>
        <w:jc w:val="center"/>
        <w:outlineLvl w:val="1"/>
        <w:rPr>
          <w:rFonts w:ascii="Gotham Medium" w:eastAsia="Times New Roman" w:hAnsi="Gotham Medium" w:cs="Times New Roman"/>
          <w:b/>
          <w:color w:val="1F4E79"/>
          <w:sz w:val="16"/>
          <w:szCs w:val="16"/>
        </w:rPr>
      </w:pPr>
      <w:bookmarkStart w:id="15" w:name="_Toc59540164"/>
      <w:r w:rsidRPr="00391634">
        <w:rPr>
          <w:rFonts w:ascii="Gotham Medium" w:eastAsia="Times New Roman" w:hAnsi="Gotham Medium" w:cs="Times New Roman"/>
          <w:b/>
          <w:color w:val="1F4E79"/>
          <w:sz w:val="16"/>
          <w:szCs w:val="16"/>
        </w:rPr>
        <w:t>CONTRATACIONES Y ADQUISICIONES</w:t>
      </w:r>
      <w:bookmarkEnd w:id="15"/>
    </w:p>
    <w:p w14:paraId="13A1CDB7" w14:textId="77777777" w:rsidR="00193211" w:rsidRPr="00E967AC" w:rsidRDefault="00193211" w:rsidP="00E967AC">
      <w:pPr>
        <w:ind w:left="0" w:firstLine="646"/>
        <w:rPr>
          <w:color w:val="1F4E79"/>
          <w:szCs w:val="18"/>
          <w:lang w:eastAsia="es-DO"/>
        </w:rPr>
      </w:pPr>
    </w:p>
    <w:p w14:paraId="415D9CC7" w14:textId="77777777" w:rsidR="00193211" w:rsidRPr="00E967AC" w:rsidRDefault="00193211" w:rsidP="00E967AC">
      <w:pPr>
        <w:ind w:left="0" w:firstLine="646"/>
        <w:rPr>
          <w:b/>
          <w:color w:val="1F4E79"/>
          <w:szCs w:val="18"/>
          <w:u w:val="single"/>
          <w:lang w:eastAsia="es-DO"/>
        </w:rPr>
      </w:pPr>
      <w:r w:rsidRPr="00E967AC">
        <w:rPr>
          <w:b/>
          <w:color w:val="1F4E79"/>
          <w:szCs w:val="18"/>
          <w:u w:val="single"/>
          <w:lang w:eastAsia="es-DO"/>
        </w:rPr>
        <w:t xml:space="preserve">Resumen de Compras y Contrataciones </w:t>
      </w:r>
    </w:p>
    <w:p w14:paraId="3F545A15" w14:textId="77777777" w:rsidR="00193211" w:rsidRPr="00E967AC" w:rsidRDefault="00193211" w:rsidP="00E967AC">
      <w:pPr>
        <w:ind w:left="0" w:firstLine="646"/>
        <w:rPr>
          <w:color w:val="1F4E79"/>
          <w:szCs w:val="18"/>
          <w:lang w:eastAsia="es-DO"/>
        </w:rPr>
      </w:pPr>
    </w:p>
    <w:p w14:paraId="22109EAA" w14:textId="77777777" w:rsidR="00193211" w:rsidRPr="00E967AC" w:rsidRDefault="00193211" w:rsidP="00E967AC">
      <w:pPr>
        <w:ind w:left="0" w:firstLine="646"/>
        <w:rPr>
          <w:color w:val="1F4E79"/>
          <w:szCs w:val="18"/>
          <w:lang w:eastAsia="es-DO"/>
        </w:rPr>
      </w:pPr>
      <w:r w:rsidRPr="00E967AC">
        <w:rPr>
          <w:color w:val="1F4E79"/>
          <w:szCs w:val="18"/>
          <w:lang w:eastAsia="es-DO"/>
        </w:rPr>
        <w:t>Todos los procesos de compras fueron realizados dentro del marco de la Ley No.340-06 sobre Contratación Pública de Bienes, Servicios, Obras y Concesiones y sus modificaciones, así como de las normas establecidas por la Dirección General de Compras y Contrataciones.</w:t>
      </w:r>
    </w:p>
    <w:p w14:paraId="72A39AB9" w14:textId="77777777" w:rsidR="00193211" w:rsidRPr="00E967AC" w:rsidRDefault="00193211" w:rsidP="00E967AC">
      <w:pPr>
        <w:ind w:left="0" w:firstLine="646"/>
        <w:rPr>
          <w:color w:val="1F4E79"/>
          <w:szCs w:val="18"/>
          <w:lang w:eastAsia="es-DO"/>
        </w:rPr>
      </w:pPr>
    </w:p>
    <w:p w14:paraId="0973A98A" w14:textId="68C9E6A0" w:rsidR="00193211" w:rsidRPr="00E967AC" w:rsidRDefault="00193211" w:rsidP="00E967AC">
      <w:pPr>
        <w:ind w:left="0" w:firstLine="646"/>
        <w:rPr>
          <w:color w:val="1F4E79"/>
          <w:szCs w:val="18"/>
          <w:lang w:eastAsia="es-DO"/>
        </w:rPr>
      </w:pPr>
      <w:r w:rsidRPr="00E967AC">
        <w:rPr>
          <w:color w:val="1F4E79"/>
          <w:szCs w:val="18"/>
          <w:lang w:eastAsia="es-DO"/>
        </w:rPr>
        <w:t xml:space="preserve">Cada proceso fue coordinado, preparado y evaluado por el Comité de Compras y Contrataciones del </w:t>
      </w:r>
      <w:r w:rsidR="00207340">
        <w:rPr>
          <w:color w:val="1F4E79"/>
          <w:szCs w:val="18"/>
          <w:lang w:eastAsia="es-DO"/>
        </w:rPr>
        <w:t>FONPER</w:t>
      </w:r>
      <w:r w:rsidRPr="00E967AC">
        <w:rPr>
          <w:color w:val="1F4E79"/>
          <w:szCs w:val="18"/>
          <w:lang w:eastAsia="es-DO"/>
        </w:rPr>
        <w:t>, el cual está conformado acorde a las disposiciones de la Ley 340-06.</w:t>
      </w:r>
    </w:p>
    <w:p w14:paraId="58B6D773" w14:textId="5B515C2B" w:rsidR="00193211" w:rsidRPr="00E967AC" w:rsidRDefault="00193211" w:rsidP="00E967AC">
      <w:pPr>
        <w:ind w:left="0" w:firstLine="646"/>
        <w:rPr>
          <w:color w:val="1F4E79"/>
          <w:szCs w:val="18"/>
          <w:lang w:eastAsia="es-DO"/>
        </w:rPr>
      </w:pPr>
      <w:r w:rsidRPr="00E967AC">
        <w:rPr>
          <w:color w:val="1F4E79"/>
          <w:szCs w:val="18"/>
          <w:lang w:eastAsia="es-DO"/>
        </w:rPr>
        <w:t xml:space="preserve">Al </w:t>
      </w:r>
      <w:r w:rsidRPr="00E967AC">
        <w:rPr>
          <w:b/>
          <w:color w:val="1F4E79"/>
          <w:szCs w:val="18"/>
          <w:lang w:eastAsia="es-DO"/>
        </w:rPr>
        <w:t>31 de octubre del 2020</w:t>
      </w:r>
      <w:r w:rsidRPr="00E967AC">
        <w:rPr>
          <w:color w:val="1F4E79"/>
          <w:szCs w:val="18"/>
          <w:lang w:eastAsia="es-DO"/>
        </w:rPr>
        <w:t xml:space="preserve">, se realizaron compras y contrataciones de bienes y servicios, por la suma total de </w:t>
      </w:r>
      <w:r w:rsidRPr="00E967AC">
        <w:rPr>
          <w:b/>
          <w:color w:val="1F4E79"/>
          <w:szCs w:val="18"/>
          <w:lang w:eastAsia="es-DO"/>
        </w:rPr>
        <w:t>RD$31,078,258.22,</w:t>
      </w:r>
      <w:r w:rsidRPr="00E967AC">
        <w:rPr>
          <w:color w:val="1F4E79"/>
          <w:szCs w:val="18"/>
          <w:lang w:eastAsia="es-DO"/>
        </w:rPr>
        <w:t xml:space="preserve"> realizándose una totalidad de </w:t>
      </w:r>
      <w:r w:rsidRPr="00E967AC">
        <w:rPr>
          <w:b/>
          <w:color w:val="1F4E79"/>
          <w:szCs w:val="18"/>
          <w:lang w:eastAsia="es-DO"/>
        </w:rPr>
        <w:t>318</w:t>
      </w:r>
      <w:r w:rsidRPr="00E967AC">
        <w:rPr>
          <w:color w:val="1F4E79"/>
          <w:szCs w:val="18"/>
          <w:lang w:eastAsia="es-DO"/>
        </w:rPr>
        <w:t xml:space="preserve"> procesos. De estos, </w:t>
      </w:r>
      <w:r w:rsidRPr="00E967AC">
        <w:rPr>
          <w:b/>
          <w:color w:val="1F4E79"/>
          <w:szCs w:val="18"/>
          <w:lang w:eastAsia="es-DO"/>
        </w:rPr>
        <w:t>61</w:t>
      </w:r>
      <w:r w:rsidRPr="00E967AC">
        <w:rPr>
          <w:color w:val="1F4E79"/>
          <w:szCs w:val="18"/>
          <w:lang w:eastAsia="es-DO"/>
        </w:rPr>
        <w:t xml:space="preserve"> procesos fueron </w:t>
      </w:r>
      <w:r w:rsidRPr="00E967AC">
        <w:rPr>
          <w:b/>
          <w:color w:val="1F4E79"/>
          <w:szCs w:val="18"/>
          <w:lang w:eastAsia="es-DO"/>
        </w:rPr>
        <w:t>Compras y Contrataciones Menores</w:t>
      </w:r>
      <w:r w:rsidRPr="00E967AC">
        <w:rPr>
          <w:color w:val="1F4E79"/>
          <w:szCs w:val="18"/>
          <w:lang w:eastAsia="es-DO"/>
        </w:rPr>
        <w:t xml:space="preserve">, por un monto total </w:t>
      </w:r>
      <w:r w:rsidRPr="00E967AC">
        <w:rPr>
          <w:b/>
          <w:color w:val="1F4E79"/>
          <w:szCs w:val="18"/>
          <w:lang w:eastAsia="es-DO"/>
        </w:rPr>
        <w:t>RD$18,704,379.66</w:t>
      </w:r>
      <w:r w:rsidRPr="00E967AC">
        <w:rPr>
          <w:color w:val="1F4E79"/>
          <w:szCs w:val="18"/>
          <w:lang w:eastAsia="es-DO"/>
        </w:rPr>
        <w:t xml:space="preserve">; y </w:t>
      </w:r>
      <w:r w:rsidRPr="00E967AC">
        <w:rPr>
          <w:b/>
          <w:color w:val="1F4E79"/>
          <w:szCs w:val="18"/>
          <w:lang w:eastAsia="es-DO"/>
        </w:rPr>
        <w:t>257</w:t>
      </w:r>
      <w:r w:rsidRPr="00E967AC">
        <w:rPr>
          <w:color w:val="1F4E79"/>
          <w:szCs w:val="18"/>
          <w:lang w:eastAsia="es-DO"/>
        </w:rPr>
        <w:t xml:space="preserve"> fueron </w:t>
      </w:r>
      <w:r w:rsidRPr="00E967AC">
        <w:rPr>
          <w:b/>
          <w:color w:val="1F4E79"/>
          <w:szCs w:val="18"/>
          <w:lang w:eastAsia="es-DO"/>
        </w:rPr>
        <w:t>Compras por Debajo del Umbral</w:t>
      </w:r>
      <w:r w:rsidRPr="00E967AC">
        <w:rPr>
          <w:color w:val="1F4E79"/>
          <w:szCs w:val="18"/>
          <w:lang w:eastAsia="es-DO"/>
        </w:rPr>
        <w:t xml:space="preserve">, por un monto total de </w:t>
      </w:r>
      <w:r w:rsidRPr="00E967AC">
        <w:rPr>
          <w:b/>
          <w:color w:val="1F4E79"/>
          <w:szCs w:val="18"/>
          <w:lang w:eastAsia="es-DO"/>
        </w:rPr>
        <w:t>RD$12,373,878.56</w:t>
      </w:r>
      <w:r w:rsidRPr="00E967AC">
        <w:rPr>
          <w:color w:val="1F4E79"/>
          <w:szCs w:val="18"/>
          <w:lang w:eastAsia="es-DO"/>
        </w:rPr>
        <w:t>.</w:t>
      </w:r>
    </w:p>
    <w:p w14:paraId="7974413F" w14:textId="77777777" w:rsidR="00193211" w:rsidRPr="00E967AC" w:rsidRDefault="00193211" w:rsidP="00E967AC">
      <w:pPr>
        <w:ind w:left="0" w:firstLine="646"/>
        <w:rPr>
          <w:color w:val="1F4E79"/>
          <w:szCs w:val="18"/>
          <w:lang w:eastAsia="es-DO"/>
        </w:rPr>
      </w:pPr>
    </w:p>
    <w:p w14:paraId="7BF8125B" w14:textId="77777777" w:rsidR="00193211" w:rsidRPr="00E967AC" w:rsidRDefault="00193211" w:rsidP="00E967AC">
      <w:pPr>
        <w:ind w:left="0" w:firstLine="646"/>
        <w:rPr>
          <w:b/>
          <w:color w:val="1F4E79"/>
          <w:szCs w:val="18"/>
          <w:u w:val="single"/>
          <w:lang w:eastAsia="es-DO"/>
        </w:rPr>
      </w:pPr>
      <w:r w:rsidRPr="00E967AC">
        <w:rPr>
          <w:b/>
          <w:color w:val="1F4E79"/>
          <w:szCs w:val="18"/>
          <w:u w:val="single"/>
          <w:lang w:eastAsia="es-DO"/>
        </w:rPr>
        <w:t>Proveedores Contratados</w:t>
      </w:r>
    </w:p>
    <w:p w14:paraId="76E532A7" w14:textId="77777777" w:rsidR="00193211" w:rsidRPr="00E967AC" w:rsidRDefault="00193211" w:rsidP="00E967AC">
      <w:pPr>
        <w:ind w:left="0" w:firstLine="646"/>
        <w:rPr>
          <w:color w:val="1F4E79"/>
          <w:szCs w:val="18"/>
          <w:lang w:eastAsia="es-DO"/>
        </w:rPr>
      </w:pPr>
    </w:p>
    <w:p w14:paraId="51D52BC6" w14:textId="62262523" w:rsidR="00193211" w:rsidRPr="00E967AC" w:rsidRDefault="00193211" w:rsidP="00E967AC">
      <w:pPr>
        <w:ind w:left="0" w:firstLine="646"/>
        <w:rPr>
          <w:color w:val="1F4E79"/>
          <w:szCs w:val="18"/>
          <w:lang w:eastAsia="es-DO"/>
        </w:rPr>
      </w:pPr>
      <w:r w:rsidRPr="00E967AC">
        <w:rPr>
          <w:color w:val="1F4E79"/>
          <w:szCs w:val="18"/>
          <w:lang w:eastAsia="es-DO"/>
        </w:rPr>
        <w:t xml:space="preserve">El </w:t>
      </w:r>
      <w:r w:rsidR="00207340">
        <w:rPr>
          <w:color w:val="1F4E79"/>
          <w:szCs w:val="18"/>
          <w:lang w:eastAsia="es-DO"/>
        </w:rPr>
        <w:t>FONPER</w:t>
      </w:r>
      <w:r w:rsidRPr="00E967AC">
        <w:rPr>
          <w:color w:val="1F4E79"/>
          <w:szCs w:val="18"/>
          <w:lang w:eastAsia="es-DO"/>
        </w:rPr>
        <w:t xml:space="preserve"> suplió sus servicios de compras y contrataciones a través de proveedores, compuestos en un </w:t>
      </w:r>
      <w:r w:rsidRPr="005872C3">
        <w:rPr>
          <w:b/>
          <w:color w:val="1F4E79"/>
          <w:szCs w:val="18"/>
          <w:lang w:eastAsia="es-DO"/>
        </w:rPr>
        <w:t>60%</w:t>
      </w:r>
      <w:r w:rsidRPr="00E967AC">
        <w:rPr>
          <w:color w:val="1F4E79"/>
          <w:szCs w:val="18"/>
          <w:lang w:eastAsia="es-DO"/>
        </w:rPr>
        <w:t xml:space="preserve"> por </w:t>
      </w:r>
      <w:r w:rsidRPr="005872C3">
        <w:rPr>
          <w:b/>
          <w:color w:val="1F4E79"/>
          <w:szCs w:val="18"/>
          <w:lang w:eastAsia="es-DO"/>
        </w:rPr>
        <w:t>Grandes Empresas</w:t>
      </w:r>
      <w:r w:rsidRPr="00E967AC">
        <w:rPr>
          <w:color w:val="1F4E79"/>
          <w:szCs w:val="18"/>
          <w:lang w:eastAsia="es-DO"/>
        </w:rPr>
        <w:t xml:space="preserve">, y el </w:t>
      </w:r>
      <w:r w:rsidRPr="005872C3">
        <w:rPr>
          <w:b/>
          <w:color w:val="1F4E79"/>
          <w:szCs w:val="18"/>
          <w:lang w:eastAsia="es-DO"/>
        </w:rPr>
        <w:t>40%</w:t>
      </w:r>
      <w:r w:rsidRPr="00E967AC">
        <w:rPr>
          <w:color w:val="1F4E79"/>
          <w:szCs w:val="18"/>
          <w:lang w:eastAsia="es-DO"/>
        </w:rPr>
        <w:t xml:space="preserve"> restante </w:t>
      </w:r>
      <w:r w:rsidR="00391634" w:rsidRPr="00E967AC">
        <w:rPr>
          <w:color w:val="1F4E79"/>
          <w:szCs w:val="18"/>
          <w:lang w:eastAsia="es-DO"/>
        </w:rPr>
        <w:t xml:space="preserve">por </w:t>
      </w:r>
      <w:r w:rsidR="00391634" w:rsidRPr="005872C3">
        <w:rPr>
          <w:b/>
          <w:color w:val="1F4E79"/>
          <w:szCs w:val="18"/>
          <w:lang w:eastAsia="es-DO"/>
        </w:rPr>
        <w:t>Mipymes</w:t>
      </w:r>
      <w:r w:rsidRPr="00E967AC">
        <w:rPr>
          <w:color w:val="1F4E79"/>
          <w:szCs w:val="18"/>
          <w:lang w:eastAsia="es-DO"/>
        </w:rPr>
        <w:t>.</w:t>
      </w:r>
    </w:p>
    <w:p w14:paraId="79FD358D" w14:textId="79615A31" w:rsidR="00193211" w:rsidRDefault="00193211" w:rsidP="00E967AC">
      <w:pPr>
        <w:ind w:left="0" w:firstLine="646"/>
        <w:rPr>
          <w:color w:val="1F4E79"/>
          <w:szCs w:val="18"/>
          <w:lang w:eastAsia="es-DO"/>
        </w:rPr>
      </w:pPr>
    </w:p>
    <w:p w14:paraId="26CE1399" w14:textId="3EE85A05" w:rsidR="008A2E6C" w:rsidRDefault="008A2E6C" w:rsidP="00E967AC">
      <w:pPr>
        <w:ind w:left="0" w:firstLine="646"/>
        <w:rPr>
          <w:color w:val="1F4E79"/>
          <w:szCs w:val="18"/>
          <w:lang w:eastAsia="es-DO"/>
        </w:rPr>
      </w:pPr>
    </w:p>
    <w:p w14:paraId="72D2570B" w14:textId="77234B1E" w:rsidR="008A2E6C" w:rsidRDefault="008A2E6C" w:rsidP="00E967AC">
      <w:pPr>
        <w:ind w:left="0" w:firstLine="646"/>
        <w:rPr>
          <w:color w:val="1F4E79"/>
          <w:szCs w:val="18"/>
          <w:lang w:eastAsia="es-DO"/>
        </w:rPr>
      </w:pPr>
    </w:p>
    <w:p w14:paraId="2005BDA7" w14:textId="77777777" w:rsidR="008A2E6C" w:rsidRPr="00E967AC" w:rsidRDefault="008A2E6C" w:rsidP="00E967AC">
      <w:pPr>
        <w:ind w:left="0" w:firstLine="646"/>
        <w:rPr>
          <w:color w:val="1F4E79"/>
          <w:szCs w:val="18"/>
          <w:lang w:eastAsia="es-DO"/>
        </w:rPr>
      </w:pPr>
    </w:p>
    <w:p w14:paraId="01FC4E46" w14:textId="77777777" w:rsidR="00193211" w:rsidRPr="009411D1" w:rsidRDefault="00193211" w:rsidP="00E967AC">
      <w:pPr>
        <w:ind w:left="0" w:firstLine="646"/>
        <w:rPr>
          <w:b/>
          <w:color w:val="1F4E79"/>
          <w:szCs w:val="18"/>
          <w:u w:val="single"/>
          <w:lang w:eastAsia="es-DO"/>
        </w:rPr>
      </w:pPr>
      <w:r w:rsidRPr="009411D1">
        <w:rPr>
          <w:b/>
          <w:color w:val="1F4E79"/>
          <w:szCs w:val="18"/>
          <w:u w:val="single"/>
          <w:lang w:eastAsia="es-DO"/>
        </w:rPr>
        <w:t>Plan Anual de Compras y Contrataciones 2020</w:t>
      </w:r>
    </w:p>
    <w:p w14:paraId="47538435" w14:textId="77777777" w:rsidR="00193211" w:rsidRPr="00E967AC" w:rsidRDefault="00193211" w:rsidP="00E967AC">
      <w:pPr>
        <w:ind w:left="0" w:firstLine="646"/>
        <w:rPr>
          <w:color w:val="1F4E79"/>
          <w:szCs w:val="18"/>
          <w:lang w:eastAsia="es-DO"/>
        </w:rPr>
      </w:pPr>
    </w:p>
    <w:p w14:paraId="6A03C89C" w14:textId="64B32940" w:rsidR="00193211" w:rsidRPr="00E967AC" w:rsidRDefault="00193211" w:rsidP="00E967AC">
      <w:pPr>
        <w:ind w:left="0" w:firstLine="646"/>
        <w:rPr>
          <w:color w:val="1F4E79"/>
          <w:szCs w:val="18"/>
          <w:lang w:eastAsia="es-DO"/>
        </w:rPr>
      </w:pPr>
      <w:r w:rsidRPr="00E967AC">
        <w:rPr>
          <w:color w:val="1F4E79"/>
          <w:szCs w:val="18"/>
          <w:lang w:eastAsia="es-DO"/>
        </w:rPr>
        <w:t>Cumpliendo con las disposiciones de la Dirección General de Compras y Contrataciones, basadas en el Artículo No. 38 de la Ley No. 340-06 con sus modificaciones contenidas en la Ley No. 449-06 y el artículo No. 31 del Reglamento de aplicación de la citada Ley, fue elaborado y publicado el Plan Anual de Compras y Contrataciones del año 2020, bajo la coordinación de la Dirección de Planificación y con la participación del Departamento de Compras y la Dirección Financiera.</w:t>
      </w:r>
    </w:p>
    <w:p w14:paraId="48427496" w14:textId="1DBB90D6" w:rsidR="00C80A52" w:rsidRDefault="00C80A52" w:rsidP="00391634">
      <w:pPr>
        <w:spacing w:line="480" w:lineRule="auto"/>
        <w:ind w:left="0" w:firstLine="708"/>
        <w:rPr>
          <w:color w:val="1F4E79"/>
          <w:szCs w:val="18"/>
          <w:lang w:eastAsia="es-DO"/>
        </w:rPr>
      </w:pPr>
    </w:p>
    <w:p w14:paraId="3FB0263A" w14:textId="3FEE5696" w:rsidR="00C80A52" w:rsidRDefault="00C80A52">
      <w:pPr>
        <w:spacing w:line="259" w:lineRule="auto"/>
        <w:ind w:left="0"/>
        <w:jc w:val="left"/>
        <w:rPr>
          <w:color w:val="1F4E79"/>
          <w:szCs w:val="18"/>
          <w:lang w:eastAsia="es-DO"/>
        </w:rPr>
      </w:pPr>
      <w:r>
        <w:rPr>
          <w:color w:val="1F4E79"/>
          <w:szCs w:val="18"/>
          <w:lang w:eastAsia="es-DO"/>
        </w:rPr>
        <w:br w:type="page"/>
      </w:r>
    </w:p>
    <w:bookmarkStart w:id="16" w:name="_Toc59540165"/>
    <w:p w14:paraId="237B5EC6" w14:textId="7C929ED9" w:rsidR="00C80A52" w:rsidRDefault="00C80A52" w:rsidP="00C80A52">
      <w:pPr>
        <w:pStyle w:val="Ttulo1"/>
        <w:spacing w:line="480" w:lineRule="auto"/>
        <w:ind w:left="283" w:hanging="141"/>
        <w:rPr>
          <w:color w:val="1F4E79"/>
          <w:sz w:val="28"/>
          <w:szCs w:val="36"/>
        </w:rPr>
      </w:pPr>
      <w:r w:rsidRPr="009944C2">
        <w:rPr>
          <w:rFonts w:ascii="Artifex CF" w:hAnsi="Artifex CF"/>
          <w:noProof/>
          <w:color w:val="1F4E79"/>
          <w:spacing w:val="8"/>
          <w:sz w:val="28"/>
          <w:szCs w:val="28"/>
          <w:lang w:val="es-ES" w:eastAsia="es-ES"/>
        </w:rPr>
        <mc:AlternateContent>
          <mc:Choice Requires="wps">
            <w:drawing>
              <wp:anchor distT="0" distB="0" distL="114300" distR="114300" simplePos="0" relativeHeight="251697152" behindDoc="0" locked="0" layoutInCell="1" allowOverlap="1" wp14:anchorId="56E62C8E" wp14:editId="57482178">
                <wp:simplePos x="0" y="0"/>
                <wp:positionH relativeFrom="column">
                  <wp:posOffset>2094931</wp:posOffset>
                </wp:positionH>
                <wp:positionV relativeFrom="paragraph">
                  <wp:posOffset>339772</wp:posOffset>
                </wp:positionV>
                <wp:extent cx="723332" cy="0"/>
                <wp:effectExtent l="0" t="19050" r="19685" b="19050"/>
                <wp:wrapNone/>
                <wp:docPr id="7" name="Conector recto 7"/>
                <wp:cNvGraphicFramePr/>
                <a:graphic xmlns:a="http://schemas.openxmlformats.org/drawingml/2006/main">
                  <a:graphicData uri="http://schemas.microsoft.com/office/word/2010/wordprocessingShape">
                    <wps:wsp>
                      <wps:cNvCnPr/>
                      <wps:spPr>
                        <a:xfrm>
                          <a:off x="0" y="0"/>
                          <a:ext cx="723332" cy="0"/>
                        </a:xfrm>
                        <a:prstGeom prst="line">
                          <a:avLst/>
                        </a:prstGeom>
                        <a:ln w="31750">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BC939F3" id="Conector recto 7"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95pt,26.75pt" to="221.9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" strokecolor="red" strokeweight="2.5pt">
                <v:stroke joinstyle="miter"/>
              </v:line>
            </w:pict>
          </mc:Fallback>
        </mc:AlternateContent>
      </w:r>
      <w:r>
        <w:rPr>
          <w:color w:val="1F4E79"/>
          <w:sz w:val="28"/>
          <w:szCs w:val="36"/>
        </w:rPr>
        <w:t>ANEXOS</w:t>
      </w:r>
      <w:bookmarkEnd w:id="16"/>
    </w:p>
    <w:p w14:paraId="4EEF8C4C" w14:textId="77777777" w:rsidR="00C80A52" w:rsidRPr="00A1441F" w:rsidRDefault="00C80A52" w:rsidP="00C80A52">
      <w:pPr>
        <w:ind w:hanging="141"/>
        <w:jc w:val="center"/>
        <w:rPr>
          <w:b/>
          <w:color w:val="1F4E79"/>
          <w:spacing w:val="40"/>
          <w:szCs w:val="18"/>
          <w:lang w:eastAsia="es-DO"/>
        </w:rPr>
      </w:pPr>
      <w:r w:rsidRPr="00A1441F">
        <w:rPr>
          <w:rFonts w:ascii="Gotham Medium" w:hAnsi="Gotham Medium"/>
          <w:b/>
          <w:spacing w:val="40"/>
          <w:sz w:val="16"/>
          <w:szCs w:val="16"/>
        </w:rPr>
        <w:t>MEMORIAS 2020</w:t>
      </w:r>
    </w:p>
    <w:p w14:paraId="357C97CD" w14:textId="5B79C051" w:rsidR="00C80A52" w:rsidRDefault="00C80A52" w:rsidP="00267CDD">
      <w:pPr>
        <w:ind w:left="0" w:firstLine="646"/>
        <w:rPr>
          <w:color w:val="1F4E79"/>
          <w:szCs w:val="18"/>
          <w:lang w:eastAsia="es-DO"/>
        </w:rPr>
      </w:pPr>
    </w:p>
    <w:p w14:paraId="5AEFC510" w14:textId="76C7C464" w:rsidR="00C80A52" w:rsidRDefault="00C80A52" w:rsidP="00C80A52">
      <w:pPr>
        <w:numPr>
          <w:ilvl w:val="0"/>
          <w:numId w:val="24"/>
        </w:numPr>
        <w:spacing w:line="480" w:lineRule="auto"/>
        <w:ind w:left="284"/>
        <w:jc w:val="center"/>
        <w:rPr>
          <w:bCs/>
          <w:color w:val="1F4E79"/>
          <w:sz w:val="20"/>
          <w:szCs w:val="20"/>
          <w:lang w:eastAsia="es-DO"/>
        </w:rPr>
      </w:pPr>
      <w:r w:rsidRPr="00C80A52">
        <w:rPr>
          <w:bCs/>
          <w:color w:val="1F4E79"/>
          <w:sz w:val="20"/>
          <w:szCs w:val="20"/>
          <w:lang w:eastAsia="es-DO"/>
        </w:rPr>
        <w:t xml:space="preserve">Inversión del </w:t>
      </w:r>
      <w:r w:rsidR="00207340">
        <w:rPr>
          <w:bCs/>
          <w:color w:val="1F4E79"/>
          <w:sz w:val="20"/>
          <w:szCs w:val="20"/>
          <w:lang w:eastAsia="es-DO"/>
        </w:rPr>
        <w:t>FONPER</w:t>
      </w:r>
      <w:r w:rsidRPr="00C80A52">
        <w:rPr>
          <w:bCs/>
          <w:color w:val="1F4E79"/>
          <w:sz w:val="20"/>
          <w:szCs w:val="20"/>
          <w:lang w:eastAsia="es-DO"/>
        </w:rPr>
        <w:t xml:space="preserve"> en Empresas Reformadas al 31 de octubre 2020.</w:t>
      </w:r>
    </w:p>
    <w:p w14:paraId="32A88C9B" w14:textId="6C34D7AA" w:rsidR="00C80A52" w:rsidRDefault="00C80A52" w:rsidP="00AB1365">
      <w:pPr>
        <w:spacing w:line="480" w:lineRule="auto"/>
        <w:ind w:left="0" w:firstLine="708"/>
        <w:jc w:val="left"/>
        <w:rPr>
          <w:b/>
          <w:color w:val="1F4E79"/>
          <w:szCs w:val="18"/>
          <w:u w:val="single"/>
          <w:lang w:eastAsia="es-DO"/>
        </w:rPr>
      </w:pPr>
      <w:r w:rsidRPr="00C80A52">
        <w:rPr>
          <w:noProof/>
          <w:lang w:val="es-ES" w:eastAsia="es-ES"/>
        </w:rPr>
        <w:drawing>
          <wp:inline distT="0" distB="0" distL="0" distR="0" wp14:anchorId="31E3D329" wp14:editId="1FA81552">
            <wp:extent cx="4377452" cy="5648325"/>
            <wp:effectExtent l="0" t="0" r="444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92363" cy="5667565"/>
                    </a:xfrm>
                    <a:prstGeom prst="rect">
                      <a:avLst/>
                    </a:prstGeom>
                    <a:noFill/>
                    <a:ln>
                      <a:noFill/>
                    </a:ln>
                  </pic:spPr>
                </pic:pic>
              </a:graphicData>
            </a:graphic>
          </wp:inline>
        </w:drawing>
      </w:r>
    </w:p>
    <w:p w14:paraId="163A596A" w14:textId="361677BE" w:rsidR="00C80A52" w:rsidRPr="00AB1365" w:rsidRDefault="00C80A52" w:rsidP="00AB1365">
      <w:pPr>
        <w:pStyle w:val="Prrafodelista"/>
        <w:numPr>
          <w:ilvl w:val="0"/>
          <w:numId w:val="24"/>
        </w:numPr>
        <w:spacing w:line="480" w:lineRule="auto"/>
        <w:ind w:left="426"/>
        <w:rPr>
          <w:bCs/>
          <w:color w:val="1F4E79"/>
          <w:sz w:val="20"/>
          <w:szCs w:val="20"/>
          <w:lang w:eastAsia="es-DO"/>
        </w:rPr>
      </w:pPr>
      <w:r w:rsidRPr="00AB1365">
        <w:rPr>
          <w:bCs/>
          <w:color w:val="1F4E79"/>
          <w:sz w:val="20"/>
          <w:szCs w:val="20"/>
          <w:lang w:eastAsia="es-DO"/>
        </w:rPr>
        <w:t>Dividendos Recibidos de las Empresas Reformadas Año 2020.</w:t>
      </w:r>
    </w:p>
    <w:p w14:paraId="64E83495" w14:textId="6F1F42E3" w:rsidR="00AB1365" w:rsidRDefault="00AB1365" w:rsidP="00AB1365">
      <w:pPr>
        <w:spacing w:line="480" w:lineRule="auto"/>
        <w:ind w:left="0"/>
        <w:rPr>
          <w:bCs/>
          <w:color w:val="1F4E79"/>
          <w:sz w:val="20"/>
          <w:szCs w:val="20"/>
          <w:lang w:eastAsia="es-DO"/>
        </w:rPr>
      </w:pPr>
      <w:r w:rsidRPr="00AB1365">
        <w:rPr>
          <w:noProof/>
          <w:lang w:val="es-ES" w:eastAsia="es-ES"/>
        </w:rPr>
        <w:drawing>
          <wp:inline distT="0" distB="0" distL="0" distR="0" wp14:anchorId="675E54B5" wp14:editId="63338F27">
            <wp:extent cx="5185751" cy="201930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13633" cy="2030157"/>
                    </a:xfrm>
                    <a:prstGeom prst="rect">
                      <a:avLst/>
                    </a:prstGeom>
                    <a:noFill/>
                    <a:ln>
                      <a:noFill/>
                    </a:ln>
                  </pic:spPr>
                </pic:pic>
              </a:graphicData>
            </a:graphic>
          </wp:inline>
        </w:drawing>
      </w:r>
    </w:p>
    <w:p w14:paraId="03A35099" w14:textId="77777777" w:rsidR="00AB1365" w:rsidRPr="007D44ED" w:rsidRDefault="00AB1365" w:rsidP="007D44ED">
      <w:pPr>
        <w:ind w:left="0" w:firstLine="646"/>
        <w:rPr>
          <w:color w:val="1F4E79"/>
          <w:szCs w:val="18"/>
          <w:lang w:eastAsia="es-DO"/>
        </w:rPr>
      </w:pPr>
    </w:p>
    <w:p w14:paraId="57850069" w14:textId="1BB44786" w:rsidR="00C80A52" w:rsidRDefault="00C80A52" w:rsidP="00AB1365">
      <w:pPr>
        <w:pStyle w:val="Prrafodelista"/>
        <w:numPr>
          <w:ilvl w:val="0"/>
          <w:numId w:val="24"/>
        </w:numPr>
        <w:spacing w:line="480" w:lineRule="auto"/>
        <w:ind w:left="426"/>
        <w:rPr>
          <w:bCs/>
          <w:color w:val="1F4E79"/>
          <w:sz w:val="20"/>
          <w:szCs w:val="20"/>
          <w:lang w:eastAsia="es-DO"/>
        </w:rPr>
      </w:pPr>
      <w:r w:rsidRPr="00AB1365">
        <w:rPr>
          <w:bCs/>
          <w:color w:val="1F4E79"/>
          <w:sz w:val="20"/>
          <w:szCs w:val="20"/>
          <w:lang w:eastAsia="es-DO"/>
        </w:rPr>
        <w:t>Ejecución Presupuestaria Ingresos y Gastos al 31 de octubre 2020.</w:t>
      </w:r>
    </w:p>
    <w:p w14:paraId="4BEC4D81" w14:textId="577D04F9" w:rsidR="00C80A52" w:rsidRPr="00391634" w:rsidRDefault="00AB1365" w:rsidP="00AB1365">
      <w:pPr>
        <w:spacing w:line="480" w:lineRule="auto"/>
        <w:ind w:left="0"/>
        <w:jc w:val="center"/>
        <w:rPr>
          <w:color w:val="1F4E79"/>
          <w:szCs w:val="18"/>
          <w:lang w:eastAsia="es-DO"/>
        </w:rPr>
      </w:pPr>
      <w:r w:rsidRPr="00AB1365">
        <w:rPr>
          <w:noProof/>
          <w:lang w:val="es-ES" w:eastAsia="es-ES"/>
        </w:rPr>
        <w:drawing>
          <wp:inline distT="0" distB="0" distL="0" distR="0" wp14:anchorId="01ADADA6" wp14:editId="1821053D">
            <wp:extent cx="3931285" cy="3733197"/>
            <wp:effectExtent l="0" t="0" r="0" b="63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76376" cy="3776016"/>
                    </a:xfrm>
                    <a:prstGeom prst="rect">
                      <a:avLst/>
                    </a:prstGeom>
                    <a:noFill/>
                    <a:ln>
                      <a:noFill/>
                    </a:ln>
                  </pic:spPr>
                </pic:pic>
              </a:graphicData>
            </a:graphic>
          </wp:inline>
        </w:drawing>
      </w:r>
    </w:p>
    <w:sectPr w:rsidR="00C80A52" w:rsidRPr="00391634" w:rsidSect="00E336BB">
      <w:footerReference w:type="default" r:id="rId16"/>
      <w:pgSz w:w="12242" w:h="15842" w:code="1"/>
      <w:pgMar w:top="2160" w:right="2160" w:bottom="2160" w:left="216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37BF7" w14:textId="77777777" w:rsidR="00473FF1" w:rsidRDefault="00473FF1" w:rsidP="00DC4A14">
      <w:pPr>
        <w:spacing w:after="0" w:line="240" w:lineRule="auto"/>
      </w:pPr>
      <w:r>
        <w:separator/>
      </w:r>
    </w:p>
  </w:endnote>
  <w:endnote w:type="continuationSeparator" w:id="0">
    <w:p w14:paraId="78F9A893" w14:textId="77777777" w:rsidR="00473FF1" w:rsidRDefault="00473FF1" w:rsidP="00DC4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tifex CF Extra Light">
    <w:altName w:val="Calibri"/>
    <w:panose1 w:val="00000300000000000000"/>
    <w:charset w:val="00"/>
    <w:family w:val="modern"/>
    <w:notTrueType/>
    <w:pitch w:val="variable"/>
    <w:sig w:usb0="00000007" w:usb1="00000000" w:usb2="00000000" w:usb3="00000000" w:csb0="00000093" w:csb1="00000000"/>
  </w:font>
  <w:font w:name="Artifex CF Light">
    <w:altName w:val="Calibri"/>
    <w:panose1 w:val="00000400000000000000"/>
    <w:charset w:val="00"/>
    <w:family w:val="modern"/>
    <w:notTrueType/>
    <w:pitch w:val="variable"/>
    <w:sig w:usb0="00000007" w:usb1="00000000" w:usb2="00000000" w:usb3="00000000" w:csb0="00000093" w:csb1="00000000"/>
  </w:font>
  <w:font w:name="Gotham Medium">
    <w:altName w:val="Yu Gothic"/>
    <w:panose1 w:val="00000000000000000000"/>
    <w:charset w:val="00"/>
    <w:family w:val="modern"/>
    <w:notTrueType/>
    <w:pitch w:val="variable"/>
    <w:sig w:usb0="00000087" w:usb1="00000000" w:usb2="00000000" w:usb3="00000000" w:csb0="0000000B"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tifex CF Demi Bold">
    <w:altName w:val="Calibri"/>
    <w:panose1 w:val="00000700000000000000"/>
    <w:charset w:val="00"/>
    <w:family w:val="modern"/>
    <w:notTrueType/>
    <w:pitch w:val="variable"/>
    <w:sig w:usb0="00000007" w:usb1="00000000" w:usb2="00000000" w:usb3="00000000" w:csb0="00000093" w:csb1="00000000"/>
  </w:font>
  <w:font w:name="Artifex CF">
    <w:altName w:val="Calibri"/>
    <w:panose1 w:val="00000500000000000000"/>
    <w:charset w:val="00"/>
    <w:family w:val="modern"/>
    <w:notTrueType/>
    <w:pitch w:val="variable"/>
    <w:sig w:usb0="00000007" w:usb1="00000000" w:usb2="00000000" w:usb3="00000000" w:csb0="00000093" w:csb1="00000000"/>
  </w:font>
  <w:font w:name="Gotham Light">
    <w:altName w:val="Calibri"/>
    <w:panose1 w:val="00000000000000000000"/>
    <w:charset w:val="00"/>
    <w:family w:val="modern"/>
    <w:notTrueType/>
    <w:pitch w:val="variable"/>
    <w:sig w:usb0="A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CB604" w14:textId="6A505BA7" w:rsidR="00510C91" w:rsidRPr="00213B6D" w:rsidRDefault="00510C91">
    <w:pPr>
      <w:pStyle w:val="Piedepgina"/>
      <w:jc w:val="center"/>
      <w:rPr>
        <w:rFonts w:ascii="Gotham Light" w:hAnsi="Gotham Light"/>
        <w:sz w:val="15"/>
        <w:szCs w:val="15"/>
      </w:rPr>
    </w:pPr>
  </w:p>
  <w:p w14:paraId="2B1FA034" w14:textId="77777777" w:rsidR="00510C91" w:rsidRDefault="00510C9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8530782"/>
      <w:docPartObj>
        <w:docPartGallery w:val="Page Numbers (Bottom of Page)"/>
        <w:docPartUnique/>
      </w:docPartObj>
    </w:sdtPr>
    <w:sdtEndPr>
      <w:rPr>
        <w:rFonts w:ascii="Gotham Light" w:hAnsi="Gotham Light"/>
        <w:sz w:val="15"/>
        <w:szCs w:val="15"/>
      </w:rPr>
    </w:sdtEndPr>
    <w:sdtContent>
      <w:p w14:paraId="2214EC67" w14:textId="3C31D0A5" w:rsidR="00510C91" w:rsidRPr="00213B6D" w:rsidRDefault="00510C91">
        <w:pPr>
          <w:pStyle w:val="Piedepgina"/>
          <w:jc w:val="center"/>
          <w:rPr>
            <w:rFonts w:ascii="Gotham Light" w:hAnsi="Gotham Light"/>
            <w:sz w:val="15"/>
            <w:szCs w:val="15"/>
          </w:rPr>
        </w:pPr>
        <w:r w:rsidRPr="00213B6D">
          <w:rPr>
            <w:rFonts w:ascii="Gotham Light" w:hAnsi="Gotham Light"/>
            <w:noProof/>
            <w:sz w:val="15"/>
            <w:szCs w:val="15"/>
            <w:lang w:val="es-ES" w:eastAsia="es-ES"/>
          </w:rPr>
          <w:drawing>
            <wp:anchor distT="0" distB="0" distL="114300" distR="114300" simplePos="0" relativeHeight="251663360" behindDoc="1" locked="0" layoutInCell="1" allowOverlap="1" wp14:anchorId="6B505B06" wp14:editId="5F5942B0">
              <wp:simplePos x="0" y="0"/>
              <wp:positionH relativeFrom="column">
                <wp:posOffset>1403350</wp:posOffset>
              </wp:positionH>
              <wp:positionV relativeFrom="paragraph">
                <wp:posOffset>-339725</wp:posOffset>
              </wp:positionV>
              <wp:extent cx="2413000" cy="292100"/>
              <wp:effectExtent l="0" t="0" r="6350" b="0"/>
              <wp:wrapNone/>
              <wp:docPr id="19" name="Imagen 19" descr="Imagen que contiene medidor, reloj&#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Imagen que contiene medidor, reloj&#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413000" cy="292100"/>
                      </a:xfrm>
                      <a:prstGeom prst="rect">
                        <a:avLst/>
                      </a:prstGeom>
                    </pic:spPr>
                  </pic:pic>
                </a:graphicData>
              </a:graphic>
              <wp14:sizeRelH relativeFrom="page">
                <wp14:pctWidth>0</wp14:pctWidth>
              </wp14:sizeRelH>
              <wp14:sizeRelV relativeFrom="page">
                <wp14:pctHeight>0</wp14:pctHeight>
              </wp14:sizeRelV>
            </wp:anchor>
          </w:drawing>
        </w:r>
        <w:r w:rsidRPr="00213B6D">
          <w:rPr>
            <w:rFonts w:ascii="Gotham Light" w:hAnsi="Gotham Light"/>
            <w:sz w:val="15"/>
            <w:szCs w:val="15"/>
          </w:rPr>
          <w:fldChar w:fldCharType="begin"/>
        </w:r>
        <w:r w:rsidRPr="00213B6D">
          <w:rPr>
            <w:rFonts w:ascii="Gotham Light" w:hAnsi="Gotham Light"/>
            <w:sz w:val="15"/>
            <w:szCs w:val="15"/>
          </w:rPr>
          <w:instrText>PAGE   \* MERGEFORMAT</w:instrText>
        </w:r>
        <w:r w:rsidRPr="00213B6D">
          <w:rPr>
            <w:rFonts w:ascii="Gotham Light" w:hAnsi="Gotham Light"/>
            <w:sz w:val="15"/>
            <w:szCs w:val="15"/>
          </w:rPr>
          <w:fldChar w:fldCharType="separate"/>
        </w:r>
        <w:r w:rsidR="00A01E46" w:rsidRPr="00A01E46">
          <w:rPr>
            <w:rFonts w:ascii="Gotham Light" w:hAnsi="Gotham Light"/>
            <w:noProof/>
            <w:sz w:val="15"/>
            <w:szCs w:val="15"/>
            <w:lang w:val="es-ES"/>
          </w:rPr>
          <w:t>19</w:t>
        </w:r>
        <w:r w:rsidRPr="00213B6D">
          <w:rPr>
            <w:rFonts w:ascii="Gotham Light" w:hAnsi="Gotham Light"/>
            <w:sz w:val="15"/>
            <w:szCs w:val="15"/>
          </w:rPr>
          <w:fldChar w:fldCharType="end"/>
        </w:r>
      </w:p>
    </w:sdtContent>
  </w:sdt>
  <w:p w14:paraId="17BDE6EA" w14:textId="77777777" w:rsidR="00510C91" w:rsidRDefault="00510C9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FF298" w14:textId="77777777" w:rsidR="00473FF1" w:rsidRDefault="00473FF1" w:rsidP="00DC4A14">
      <w:pPr>
        <w:spacing w:after="0" w:line="240" w:lineRule="auto"/>
      </w:pPr>
      <w:r>
        <w:separator/>
      </w:r>
    </w:p>
  </w:footnote>
  <w:footnote w:type="continuationSeparator" w:id="0">
    <w:p w14:paraId="7580D9B0" w14:textId="77777777" w:rsidR="00473FF1" w:rsidRDefault="00473FF1" w:rsidP="00DC4A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4ADC"/>
    <w:multiLevelType w:val="hybridMultilevel"/>
    <w:tmpl w:val="23409C94"/>
    <w:lvl w:ilvl="0" w:tplc="0C0A0001">
      <w:start w:val="1"/>
      <w:numFmt w:val="bullet"/>
      <w:lvlText w:val=""/>
      <w:lvlJc w:val="left"/>
      <w:pPr>
        <w:ind w:left="1429" w:hanging="360"/>
      </w:pPr>
      <w:rPr>
        <w:rFonts w:ascii="Symbol" w:hAnsi="Symbol" w:hint="default"/>
      </w:rPr>
    </w:lvl>
    <w:lvl w:ilvl="1" w:tplc="0C0A0003">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 w15:restartNumberingAfterBreak="0">
    <w:nsid w:val="06A058EB"/>
    <w:multiLevelType w:val="hybridMultilevel"/>
    <w:tmpl w:val="EA66D766"/>
    <w:lvl w:ilvl="0" w:tplc="245091EE">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15:restartNumberingAfterBreak="0">
    <w:nsid w:val="0DD255DF"/>
    <w:multiLevelType w:val="hybridMultilevel"/>
    <w:tmpl w:val="4044CC84"/>
    <w:lvl w:ilvl="0" w:tplc="0C0A0001">
      <w:start w:val="1"/>
      <w:numFmt w:val="bullet"/>
      <w:lvlText w:val=""/>
      <w:lvlJc w:val="left"/>
      <w:pPr>
        <w:ind w:left="1366" w:hanging="360"/>
      </w:pPr>
      <w:rPr>
        <w:rFonts w:ascii="Symbol" w:hAnsi="Symbol" w:hint="default"/>
      </w:rPr>
    </w:lvl>
    <w:lvl w:ilvl="1" w:tplc="0C0A0003" w:tentative="1">
      <w:start w:val="1"/>
      <w:numFmt w:val="bullet"/>
      <w:lvlText w:val="o"/>
      <w:lvlJc w:val="left"/>
      <w:pPr>
        <w:ind w:left="2086" w:hanging="360"/>
      </w:pPr>
      <w:rPr>
        <w:rFonts w:ascii="Courier New" w:hAnsi="Courier New" w:cs="Courier New" w:hint="default"/>
      </w:rPr>
    </w:lvl>
    <w:lvl w:ilvl="2" w:tplc="0C0A0005" w:tentative="1">
      <w:start w:val="1"/>
      <w:numFmt w:val="bullet"/>
      <w:lvlText w:val=""/>
      <w:lvlJc w:val="left"/>
      <w:pPr>
        <w:ind w:left="2806" w:hanging="360"/>
      </w:pPr>
      <w:rPr>
        <w:rFonts w:ascii="Wingdings" w:hAnsi="Wingdings" w:hint="default"/>
      </w:rPr>
    </w:lvl>
    <w:lvl w:ilvl="3" w:tplc="0C0A0001" w:tentative="1">
      <w:start w:val="1"/>
      <w:numFmt w:val="bullet"/>
      <w:lvlText w:val=""/>
      <w:lvlJc w:val="left"/>
      <w:pPr>
        <w:ind w:left="3526" w:hanging="360"/>
      </w:pPr>
      <w:rPr>
        <w:rFonts w:ascii="Symbol" w:hAnsi="Symbol" w:hint="default"/>
      </w:rPr>
    </w:lvl>
    <w:lvl w:ilvl="4" w:tplc="0C0A0003" w:tentative="1">
      <w:start w:val="1"/>
      <w:numFmt w:val="bullet"/>
      <w:lvlText w:val="o"/>
      <w:lvlJc w:val="left"/>
      <w:pPr>
        <w:ind w:left="4246" w:hanging="360"/>
      </w:pPr>
      <w:rPr>
        <w:rFonts w:ascii="Courier New" w:hAnsi="Courier New" w:cs="Courier New" w:hint="default"/>
      </w:rPr>
    </w:lvl>
    <w:lvl w:ilvl="5" w:tplc="0C0A0005" w:tentative="1">
      <w:start w:val="1"/>
      <w:numFmt w:val="bullet"/>
      <w:lvlText w:val=""/>
      <w:lvlJc w:val="left"/>
      <w:pPr>
        <w:ind w:left="4966" w:hanging="360"/>
      </w:pPr>
      <w:rPr>
        <w:rFonts w:ascii="Wingdings" w:hAnsi="Wingdings" w:hint="default"/>
      </w:rPr>
    </w:lvl>
    <w:lvl w:ilvl="6" w:tplc="0C0A0001" w:tentative="1">
      <w:start w:val="1"/>
      <w:numFmt w:val="bullet"/>
      <w:lvlText w:val=""/>
      <w:lvlJc w:val="left"/>
      <w:pPr>
        <w:ind w:left="5686" w:hanging="360"/>
      </w:pPr>
      <w:rPr>
        <w:rFonts w:ascii="Symbol" w:hAnsi="Symbol" w:hint="default"/>
      </w:rPr>
    </w:lvl>
    <w:lvl w:ilvl="7" w:tplc="0C0A0003" w:tentative="1">
      <w:start w:val="1"/>
      <w:numFmt w:val="bullet"/>
      <w:lvlText w:val="o"/>
      <w:lvlJc w:val="left"/>
      <w:pPr>
        <w:ind w:left="6406" w:hanging="360"/>
      </w:pPr>
      <w:rPr>
        <w:rFonts w:ascii="Courier New" w:hAnsi="Courier New" w:cs="Courier New" w:hint="default"/>
      </w:rPr>
    </w:lvl>
    <w:lvl w:ilvl="8" w:tplc="0C0A0005" w:tentative="1">
      <w:start w:val="1"/>
      <w:numFmt w:val="bullet"/>
      <w:lvlText w:val=""/>
      <w:lvlJc w:val="left"/>
      <w:pPr>
        <w:ind w:left="7126" w:hanging="360"/>
      </w:pPr>
      <w:rPr>
        <w:rFonts w:ascii="Wingdings" w:hAnsi="Wingdings" w:hint="default"/>
      </w:rPr>
    </w:lvl>
  </w:abstractNum>
  <w:abstractNum w:abstractNumId="3" w15:restartNumberingAfterBreak="0">
    <w:nsid w:val="174027E2"/>
    <w:multiLevelType w:val="hybridMultilevel"/>
    <w:tmpl w:val="8CFAD912"/>
    <w:lvl w:ilvl="0" w:tplc="D5EC4EEE">
      <w:start w:val="3"/>
      <w:numFmt w:val="bullet"/>
      <w:lvlText w:val="-"/>
      <w:lvlJc w:val="left"/>
      <w:pPr>
        <w:ind w:left="1287" w:hanging="360"/>
      </w:pPr>
      <w:rPr>
        <w:rFonts w:ascii="Times New Roman" w:eastAsia="Times New Roman" w:hAnsi="Times New Roman" w:cs="Times New Roman"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4" w15:restartNumberingAfterBreak="0">
    <w:nsid w:val="1B4C5D37"/>
    <w:multiLevelType w:val="hybridMultilevel"/>
    <w:tmpl w:val="BD642F72"/>
    <w:lvl w:ilvl="0" w:tplc="0C0A0001">
      <w:start w:val="1"/>
      <w:numFmt w:val="bullet"/>
      <w:lvlText w:val=""/>
      <w:lvlJc w:val="left"/>
      <w:pPr>
        <w:ind w:left="1366" w:hanging="360"/>
      </w:pPr>
      <w:rPr>
        <w:rFonts w:ascii="Symbol" w:hAnsi="Symbol" w:hint="default"/>
      </w:rPr>
    </w:lvl>
    <w:lvl w:ilvl="1" w:tplc="0C0A0003" w:tentative="1">
      <w:start w:val="1"/>
      <w:numFmt w:val="bullet"/>
      <w:lvlText w:val="o"/>
      <w:lvlJc w:val="left"/>
      <w:pPr>
        <w:ind w:left="2086" w:hanging="360"/>
      </w:pPr>
      <w:rPr>
        <w:rFonts w:ascii="Courier New" w:hAnsi="Courier New" w:cs="Courier New" w:hint="default"/>
      </w:rPr>
    </w:lvl>
    <w:lvl w:ilvl="2" w:tplc="0C0A0005" w:tentative="1">
      <w:start w:val="1"/>
      <w:numFmt w:val="bullet"/>
      <w:lvlText w:val=""/>
      <w:lvlJc w:val="left"/>
      <w:pPr>
        <w:ind w:left="2806" w:hanging="360"/>
      </w:pPr>
      <w:rPr>
        <w:rFonts w:ascii="Wingdings" w:hAnsi="Wingdings" w:hint="default"/>
      </w:rPr>
    </w:lvl>
    <w:lvl w:ilvl="3" w:tplc="0C0A0001" w:tentative="1">
      <w:start w:val="1"/>
      <w:numFmt w:val="bullet"/>
      <w:lvlText w:val=""/>
      <w:lvlJc w:val="left"/>
      <w:pPr>
        <w:ind w:left="3526" w:hanging="360"/>
      </w:pPr>
      <w:rPr>
        <w:rFonts w:ascii="Symbol" w:hAnsi="Symbol" w:hint="default"/>
      </w:rPr>
    </w:lvl>
    <w:lvl w:ilvl="4" w:tplc="0C0A0003" w:tentative="1">
      <w:start w:val="1"/>
      <w:numFmt w:val="bullet"/>
      <w:lvlText w:val="o"/>
      <w:lvlJc w:val="left"/>
      <w:pPr>
        <w:ind w:left="4246" w:hanging="360"/>
      </w:pPr>
      <w:rPr>
        <w:rFonts w:ascii="Courier New" w:hAnsi="Courier New" w:cs="Courier New" w:hint="default"/>
      </w:rPr>
    </w:lvl>
    <w:lvl w:ilvl="5" w:tplc="0C0A0005" w:tentative="1">
      <w:start w:val="1"/>
      <w:numFmt w:val="bullet"/>
      <w:lvlText w:val=""/>
      <w:lvlJc w:val="left"/>
      <w:pPr>
        <w:ind w:left="4966" w:hanging="360"/>
      </w:pPr>
      <w:rPr>
        <w:rFonts w:ascii="Wingdings" w:hAnsi="Wingdings" w:hint="default"/>
      </w:rPr>
    </w:lvl>
    <w:lvl w:ilvl="6" w:tplc="0C0A0001" w:tentative="1">
      <w:start w:val="1"/>
      <w:numFmt w:val="bullet"/>
      <w:lvlText w:val=""/>
      <w:lvlJc w:val="left"/>
      <w:pPr>
        <w:ind w:left="5686" w:hanging="360"/>
      </w:pPr>
      <w:rPr>
        <w:rFonts w:ascii="Symbol" w:hAnsi="Symbol" w:hint="default"/>
      </w:rPr>
    </w:lvl>
    <w:lvl w:ilvl="7" w:tplc="0C0A0003" w:tentative="1">
      <w:start w:val="1"/>
      <w:numFmt w:val="bullet"/>
      <w:lvlText w:val="o"/>
      <w:lvlJc w:val="left"/>
      <w:pPr>
        <w:ind w:left="6406" w:hanging="360"/>
      </w:pPr>
      <w:rPr>
        <w:rFonts w:ascii="Courier New" w:hAnsi="Courier New" w:cs="Courier New" w:hint="default"/>
      </w:rPr>
    </w:lvl>
    <w:lvl w:ilvl="8" w:tplc="0C0A0005" w:tentative="1">
      <w:start w:val="1"/>
      <w:numFmt w:val="bullet"/>
      <w:lvlText w:val=""/>
      <w:lvlJc w:val="left"/>
      <w:pPr>
        <w:ind w:left="7126" w:hanging="360"/>
      </w:pPr>
      <w:rPr>
        <w:rFonts w:ascii="Wingdings" w:hAnsi="Wingdings" w:hint="default"/>
      </w:rPr>
    </w:lvl>
  </w:abstractNum>
  <w:abstractNum w:abstractNumId="5" w15:restartNumberingAfterBreak="0">
    <w:nsid w:val="1E711F02"/>
    <w:multiLevelType w:val="hybridMultilevel"/>
    <w:tmpl w:val="53CE9B2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1A1455E"/>
    <w:multiLevelType w:val="hybridMultilevel"/>
    <w:tmpl w:val="BE16CCDC"/>
    <w:lvl w:ilvl="0" w:tplc="0C0A0001">
      <w:start w:val="1"/>
      <w:numFmt w:val="bullet"/>
      <w:lvlText w:val=""/>
      <w:lvlJc w:val="left"/>
      <w:pPr>
        <w:ind w:left="1366" w:hanging="360"/>
      </w:pPr>
      <w:rPr>
        <w:rFonts w:ascii="Symbol" w:hAnsi="Symbol" w:hint="default"/>
      </w:rPr>
    </w:lvl>
    <w:lvl w:ilvl="1" w:tplc="0C0A0003" w:tentative="1">
      <w:start w:val="1"/>
      <w:numFmt w:val="bullet"/>
      <w:lvlText w:val="o"/>
      <w:lvlJc w:val="left"/>
      <w:pPr>
        <w:ind w:left="2086" w:hanging="360"/>
      </w:pPr>
      <w:rPr>
        <w:rFonts w:ascii="Courier New" w:hAnsi="Courier New" w:cs="Courier New" w:hint="default"/>
      </w:rPr>
    </w:lvl>
    <w:lvl w:ilvl="2" w:tplc="0C0A0005" w:tentative="1">
      <w:start w:val="1"/>
      <w:numFmt w:val="bullet"/>
      <w:lvlText w:val=""/>
      <w:lvlJc w:val="left"/>
      <w:pPr>
        <w:ind w:left="2806" w:hanging="360"/>
      </w:pPr>
      <w:rPr>
        <w:rFonts w:ascii="Wingdings" w:hAnsi="Wingdings" w:hint="default"/>
      </w:rPr>
    </w:lvl>
    <w:lvl w:ilvl="3" w:tplc="0C0A0001" w:tentative="1">
      <w:start w:val="1"/>
      <w:numFmt w:val="bullet"/>
      <w:lvlText w:val=""/>
      <w:lvlJc w:val="left"/>
      <w:pPr>
        <w:ind w:left="3526" w:hanging="360"/>
      </w:pPr>
      <w:rPr>
        <w:rFonts w:ascii="Symbol" w:hAnsi="Symbol" w:hint="default"/>
      </w:rPr>
    </w:lvl>
    <w:lvl w:ilvl="4" w:tplc="0C0A0003" w:tentative="1">
      <w:start w:val="1"/>
      <w:numFmt w:val="bullet"/>
      <w:lvlText w:val="o"/>
      <w:lvlJc w:val="left"/>
      <w:pPr>
        <w:ind w:left="4246" w:hanging="360"/>
      </w:pPr>
      <w:rPr>
        <w:rFonts w:ascii="Courier New" w:hAnsi="Courier New" w:cs="Courier New" w:hint="default"/>
      </w:rPr>
    </w:lvl>
    <w:lvl w:ilvl="5" w:tplc="0C0A0005" w:tentative="1">
      <w:start w:val="1"/>
      <w:numFmt w:val="bullet"/>
      <w:lvlText w:val=""/>
      <w:lvlJc w:val="left"/>
      <w:pPr>
        <w:ind w:left="4966" w:hanging="360"/>
      </w:pPr>
      <w:rPr>
        <w:rFonts w:ascii="Wingdings" w:hAnsi="Wingdings" w:hint="default"/>
      </w:rPr>
    </w:lvl>
    <w:lvl w:ilvl="6" w:tplc="0C0A0001" w:tentative="1">
      <w:start w:val="1"/>
      <w:numFmt w:val="bullet"/>
      <w:lvlText w:val=""/>
      <w:lvlJc w:val="left"/>
      <w:pPr>
        <w:ind w:left="5686" w:hanging="360"/>
      </w:pPr>
      <w:rPr>
        <w:rFonts w:ascii="Symbol" w:hAnsi="Symbol" w:hint="default"/>
      </w:rPr>
    </w:lvl>
    <w:lvl w:ilvl="7" w:tplc="0C0A0003" w:tentative="1">
      <w:start w:val="1"/>
      <w:numFmt w:val="bullet"/>
      <w:lvlText w:val="o"/>
      <w:lvlJc w:val="left"/>
      <w:pPr>
        <w:ind w:left="6406" w:hanging="360"/>
      </w:pPr>
      <w:rPr>
        <w:rFonts w:ascii="Courier New" w:hAnsi="Courier New" w:cs="Courier New" w:hint="default"/>
      </w:rPr>
    </w:lvl>
    <w:lvl w:ilvl="8" w:tplc="0C0A0005" w:tentative="1">
      <w:start w:val="1"/>
      <w:numFmt w:val="bullet"/>
      <w:lvlText w:val=""/>
      <w:lvlJc w:val="left"/>
      <w:pPr>
        <w:ind w:left="7126" w:hanging="360"/>
      </w:pPr>
      <w:rPr>
        <w:rFonts w:ascii="Wingdings" w:hAnsi="Wingdings" w:hint="default"/>
      </w:rPr>
    </w:lvl>
  </w:abstractNum>
  <w:abstractNum w:abstractNumId="7" w15:restartNumberingAfterBreak="0">
    <w:nsid w:val="24F22364"/>
    <w:multiLevelType w:val="hybridMultilevel"/>
    <w:tmpl w:val="F8D829D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73F6679"/>
    <w:multiLevelType w:val="multilevel"/>
    <w:tmpl w:val="B642B678"/>
    <w:lvl w:ilvl="0">
      <w:start w:val="1"/>
      <w:numFmt w:val="upperRoman"/>
      <w:lvlText w:val="%1."/>
      <w:lvlJc w:val="right"/>
      <w:pPr>
        <w:ind w:left="4188" w:hanging="360"/>
      </w:pPr>
    </w:lvl>
    <w:lvl w:ilvl="1">
      <w:start w:val="1"/>
      <w:numFmt w:val="decimal"/>
      <w:isLgl/>
      <w:lvlText w:val="%1.%2"/>
      <w:lvlJc w:val="left"/>
      <w:pPr>
        <w:ind w:left="4188" w:hanging="360"/>
      </w:pPr>
      <w:rPr>
        <w:rFonts w:hint="default"/>
      </w:rPr>
    </w:lvl>
    <w:lvl w:ilvl="2">
      <w:start w:val="1"/>
      <w:numFmt w:val="decimal"/>
      <w:isLgl/>
      <w:lvlText w:val="%1.%2.%3"/>
      <w:lvlJc w:val="left"/>
      <w:pPr>
        <w:ind w:left="4548" w:hanging="720"/>
      </w:pPr>
      <w:rPr>
        <w:rFonts w:hint="default"/>
      </w:rPr>
    </w:lvl>
    <w:lvl w:ilvl="3">
      <w:start w:val="1"/>
      <w:numFmt w:val="decimal"/>
      <w:isLgl/>
      <w:lvlText w:val="%1.%2.%3.%4"/>
      <w:lvlJc w:val="left"/>
      <w:pPr>
        <w:ind w:left="4548" w:hanging="720"/>
      </w:pPr>
      <w:rPr>
        <w:rFonts w:hint="default"/>
      </w:rPr>
    </w:lvl>
    <w:lvl w:ilvl="4">
      <w:start w:val="1"/>
      <w:numFmt w:val="decimal"/>
      <w:isLgl/>
      <w:lvlText w:val="%1.%2.%3.%4.%5"/>
      <w:lvlJc w:val="left"/>
      <w:pPr>
        <w:ind w:left="4548" w:hanging="720"/>
      </w:pPr>
      <w:rPr>
        <w:rFonts w:hint="default"/>
      </w:rPr>
    </w:lvl>
    <w:lvl w:ilvl="5">
      <w:start w:val="1"/>
      <w:numFmt w:val="decimal"/>
      <w:isLgl/>
      <w:lvlText w:val="%1.%2.%3.%4.%5.%6"/>
      <w:lvlJc w:val="left"/>
      <w:pPr>
        <w:ind w:left="4908" w:hanging="1080"/>
      </w:pPr>
      <w:rPr>
        <w:rFonts w:hint="default"/>
      </w:rPr>
    </w:lvl>
    <w:lvl w:ilvl="6">
      <w:start w:val="1"/>
      <w:numFmt w:val="decimal"/>
      <w:isLgl/>
      <w:lvlText w:val="%1.%2.%3.%4.%5.%6.%7"/>
      <w:lvlJc w:val="left"/>
      <w:pPr>
        <w:ind w:left="4908" w:hanging="1080"/>
      </w:pPr>
      <w:rPr>
        <w:rFonts w:hint="default"/>
      </w:rPr>
    </w:lvl>
    <w:lvl w:ilvl="7">
      <w:start w:val="1"/>
      <w:numFmt w:val="decimal"/>
      <w:isLgl/>
      <w:lvlText w:val="%1.%2.%3.%4.%5.%6.%7.%8"/>
      <w:lvlJc w:val="left"/>
      <w:pPr>
        <w:ind w:left="5268" w:hanging="1440"/>
      </w:pPr>
      <w:rPr>
        <w:rFonts w:hint="default"/>
      </w:rPr>
    </w:lvl>
    <w:lvl w:ilvl="8">
      <w:start w:val="1"/>
      <w:numFmt w:val="decimal"/>
      <w:isLgl/>
      <w:lvlText w:val="%1.%2.%3.%4.%5.%6.%7.%8.%9"/>
      <w:lvlJc w:val="left"/>
      <w:pPr>
        <w:ind w:left="5268" w:hanging="1440"/>
      </w:pPr>
      <w:rPr>
        <w:rFonts w:hint="default"/>
      </w:rPr>
    </w:lvl>
  </w:abstractNum>
  <w:abstractNum w:abstractNumId="9" w15:restartNumberingAfterBreak="0">
    <w:nsid w:val="279E20E7"/>
    <w:multiLevelType w:val="hybridMultilevel"/>
    <w:tmpl w:val="CE8A13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BAE6D24"/>
    <w:multiLevelType w:val="hybridMultilevel"/>
    <w:tmpl w:val="7712613A"/>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1" w15:restartNumberingAfterBreak="0">
    <w:nsid w:val="30CA6DF6"/>
    <w:multiLevelType w:val="multilevel"/>
    <w:tmpl w:val="B642B678"/>
    <w:lvl w:ilvl="0">
      <w:start w:val="1"/>
      <w:numFmt w:val="upperRoman"/>
      <w:lvlText w:val="%1."/>
      <w:lvlJc w:val="right"/>
      <w:pPr>
        <w:ind w:left="4188" w:hanging="360"/>
      </w:pPr>
    </w:lvl>
    <w:lvl w:ilvl="1">
      <w:start w:val="1"/>
      <w:numFmt w:val="decimal"/>
      <w:isLgl/>
      <w:lvlText w:val="%1.%2"/>
      <w:lvlJc w:val="left"/>
      <w:pPr>
        <w:ind w:left="4188" w:hanging="360"/>
      </w:pPr>
      <w:rPr>
        <w:rFonts w:hint="default"/>
      </w:rPr>
    </w:lvl>
    <w:lvl w:ilvl="2">
      <w:start w:val="1"/>
      <w:numFmt w:val="decimal"/>
      <w:isLgl/>
      <w:lvlText w:val="%1.%2.%3"/>
      <w:lvlJc w:val="left"/>
      <w:pPr>
        <w:ind w:left="4548" w:hanging="720"/>
      </w:pPr>
      <w:rPr>
        <w:rFonts w:hint="default"/>
      </w:rPr>
    </w:lvl>
    <w:lvl w:ilvl="3">
      <w:start w:val="1"/>
      <w:numFmt w:val="decimal"/>
      <w:isLgl/>
      <w:lvlText w:val="%1.%2.%3.%4"/>
      <w:lvlJc w:val="left"/>
      <w:pPr>
        <w:ind w:left="4548" w:hanging="720"/>
      </w:pPr>
      <w:rPr>
        <w:rFonts w:hint="default"/>
      </w:rPr>
    </w:lvl>
    <w:lvl w:ilvl="4">
      <w:start w:val="1"/>
      <w:numFmt w:val="decimal"/>
      <w:isLgl/>
      <w:lvlText w:val="%1.%2.%3.%4.%5"/>
      <w:lvlJc w:val="left"/>
      <w:pPr>
        <w:ind w:left="4548" w:hanging="720"/>
      </w:pPr>
      <w:rPr>
        <w:rFonts w:hint="default"/>
      </w:rPr>
    </w:lvl>
    <w:lvl w:ilvl="5">
      <w:start w:val="1"/>
      <w:numFmt w:val="decimal"/>
      <w:isLgl/>
      <w:lvlText w:val="%1.%2.%3.%4.%5.%6"/>
      <w:lvlJc w:val="left"/>
      <w:pPr>
        <w:ind w:left="4908" w:hanging="1080"/>
      </w:pPr>
      <w:rPr>
        <w:rFonts w:hint="default"/>
      </w:rPr>
    </w:lvl>
    <w:lvl w:ilvl="6">
      <w:start w:val="1"/>
      <w:numFmt w:val="decimal"/>
      <w:isLgl/>
      <w:lvlText w:val="%1.%2.%3.%4.%5.%6.%7"/>
      <w:lvlJc w:val="left"/>
      <w:pPr>
        <w:ind w:left="4908" w:hanging="1080"/>
      </w:pPr>
      <w:rPr>
        <w:rFonts w:hint="default"/>
      </w:rPr>
    </w:lvl>
    <w:lvl w:ilvl="7">
      <w:start w:val="1"/>
      <w:numFmt w:val="decimal"/>
      <w:isLgl/>
      <w:lvlText w:val="%1.%2.%3.%4.%5.%6.%7.%8"/>
      <w:lvlJc w:val="left"/>
      <w:pPr>
        <w:ind w:left="5268" w:hanging="1440"/>
      </w:pPr>
      <w:rPr>
        <w:rFonts w:hint="default"/>
      </w:rPr>
    </w:lvl>
    <w:lvl w:ilvl="8">
      <w:start w:val="1"/>
      <w:numFmt w:val="decimal"/>
      <w:isLgl/>
      <w:lvlText w:val="%1.%2.%3.%4.%5.%6.%7.%8.%9"/>
      <w:lvlJc w:val="left"/>
      <w:pPr>
        <w:ind w:left="5268" w:hanging="1440"/>
      </w:pPr>
      <w:rPr>
        <w:rFonts w:hint="default"/>
      </w:rPr>
    </w:lvl>
  </w:abstractNum>
  <w:abstractNum w:abstractNumId="12" w15:restartNumberingAfterBreak="0">
    <w:nsid w:val="3E1D1735"/>
    <w:multiLevelType w:val="hybridMultilevel"/>
    <w:tmpl w:val="E3721C66"/>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0A0F09"/>
    <w:multiLevelType w:val="hybridMultilevel"/>
    <w:tmpl w:val="0D90B2EE"/>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4" w15:restartNumberingAfterBreak="0">
    <w:nsid w:val="41C440B0"/>
    <w:multiLevelType w:val="multilevel"/>
    <w:tmpl w:val="E668A2DC"/>
    <w:lvl w:ilvl="0">
      <w:start w:val="2"/>
      <w:numFmt w:val="decimal"/>
      <w:lvlText w:val="%1"/>
      <w:lvlJc w:val="left"/>
      <w:pPr>
        <w:ind w:left="435" w:hanging="435"/>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646" w:hanging="1080"/>
      </w:pPr>
      <w:rPr>
        <w:rFonts w:hint="default"/>
      </w:rPr>
    </w:lvl>
    <w:lvl w:ilvl="3">
      <w:start w:val="1"/>
      <w:numFmt w:val="decimal"/>
      <w:lvlText w:val="%1.%2.%3.%4"/>
      <w:lvlJc w:val="left"/>
      <w:pPr>
        <w:ind w:left="2289" w:hanging="1440"/>
      </w:pPr>
      <w:rPr>
        <w:rFonts w:hint="default"/>
      </w:rPr>
    </w:lvl>
    <w:lvl w:ilvl="4">
      <w:start w:val="1"/>
      <w:numFmt w:val="decimal"/>
      <w:lvlText w:val="%1.%2.%3.%4.%5"/>
      <w:lvlJc w:val="left"/>
      <w:pPr>
        <w:ind w:left="2932" w:hanging="1800"/>
      </w:pPr>
      <w:rPr>
        <w:rFonts w:hint="default"/>
      </w:rPr>
    </w:lvl>
    <w:lvl w:ilvl="5">
      <w:start w:val="1"/>
      <w:numFmt w:val="decimal"/>
      <w:lvlText w:val="%1.%2.%3.%4.%5.%6"/>
      <w:lvlJc w:val="left"/>
      <w:pPr>
        <w:ind w:left="3215" w:hanging="1800"/>
      </w:pPr>
      <w:rPr>
        <w:rFonts w:hint="default"/>
      </w:rPr>
    </w:lvl>
    <w:lvl w:ilvl="6">
      <w:start w:val="1"/>
      <w:numFmt w:val="decimal"/>
      <w:lvlText w:val="%1.%2.%3.%4.%5.%6.%7"/>
      <w:lvlJc w:val="left"/>
      <w:pPr>
        <w:ind w:left="3858" w:hanging="2160"/>
      </w:pPr>
      <w:rPr>
        <w:rFonts w:hint="default"/>
      </w:rPr>
    </w:lvl>
    <w:lvl w:ilvl="7">
      <w:start w:val="1"/>
      <w:numFmt w:val="decimal"/>
      <w:lvlText w:val="%1.%2.%3.%4.%5.%6.%7.%8"/>
      <w:lvlJc w:val="left"/>
      <w:pPr>
        <w:ind w:left="4501" w:hanging="2520"/>
      </w:pPr>
      <w:rPr>
        <w:rFonts w:hint="default"/>
      </w:rPr>
    </w:lvl>
    <w:lvl w:ilvl="8">
      <w:start w:val="1"/>
      <w:numFmt w:val="decimal"/>
      <w:lvlText w:val="%1.%2.%3.%4.%5.%6.%7.%8.%9"/>
      <w:lvlJc w:val="left"/>
      <w:pPr>
        <w:ind w:left="5144" w:hanging="2880"/>
      </w:pPr>
      <w:rPr>
        <w:rFonts w:hint="default"/>
      </w:rPr>
    </w:lvl>
  </w:abstractNum>
  <w:abstractNum w:abstractNumId="15" w15:restartNumberingAfterBreak="0">
    <w:nsid w:val="42516888"/>
    <w:multiLevelType w:val="hybridMultilevel"/>
    <w:tmpl w:val="3426FF80"/>
    <w:lvl w:ilvl="0" w:tplc="0C0A0017">
      <w:start w:val="1"/>
      <w:numFmt w:val="lowerLetter"/>
      <w:lvlText w:val="%1)"/>
      <w:lvlJc w:val="left"/>
      <w:pPr>
        <w:ind w:left="1572" w:hanging="360"/>
      </w:pPr>
      <w:rPr>
        <w:rFonts w:hint="default"/>
      </w:rPr>
    </w:lvl>
    <w:lvl w:ilvl="1" w:tplc="0C0A0019" w:tentative="1">
      <w:start w:val="1"/>
      <w:numFmt w:val="lowerLetter"/>
      <w:lvlText w:val="%2."/>
      <w:lvlJc w:val="left"/>
      <w:pPr>
        <w:ind w:left="2292" w:hanging="360"/>
      </w:pPr>
    </w:lvl>
    <w:lvl w:ilvl="2" w:tplc="0C0A001B" w:tentative="1">
      <w:start w:val="1"/>
      <w:numFmt w:val="lowerRoman"/>
      <w:lvlText w:val="%3."/>
      <w:lvlJc w:val="right"/>
      <w:pPr>
        <w:ind w:left="3012" w:hanging="180"/>
      </w:pPr>
    </w:lvl>
    <w:lvl w:ilvl="3" w:tplc="0C0A000F" w:tentative="1">
      <w:start w:val="1"/>
      <w:numFmt w:val="decimal"/>
      <w:lvlText w:val="%4."/>
      <w:lvlJc w:val="left"/>
      <w:pPr>
        <w:ind w:left="3732" w:hanging="360"/>
      </w:pPr>
    </w:lvl>
    <w:lvl w:ilvl="4" w:tplc="0C0A0019" w:tentative="1">
      <w:start w:val="1"/>
      <w:numFmt w:val="lowerLetter"/>
      <w:lvlText w:val="%5."/>
      <w:lvlJc w:val="left"/>
      <w:pPr>
        <w:ind w:left="4452" w:hanging="360"/>
      </w:pPr>
    </w:lvl>
    <w:lvl w:ilvl="5" w:tplc="0C0A001B" w:tentative="1">
      <w:start w:val="1"/>
      <w:numFmt w:val="lowerRoman"/>
      <w:lvlText w:val="%6."/>
      <w:lvlJc w:val="right"/>
      <w:pPr>
        <w:ind w:left="5172" w:hanging="180"/>
      </w:pPr>
    </w:lvl>
    <w:lvl w:ilvl="6" w:tplc="0C0A000F" w:tentative="1">
      <w:start w:val="1"/>
      <w:numFmt w:val="decimal"/>
      <w:lvlText w:val="%7."/>
      <w:lvlJc w:val="left"/>
      <w:pPr>
        <w:ind w:left="5892" w:hanging="360"/>
      </w:pPr>
    </w:lvl>
    <w:lvl w:ilvl="7" w:tplc="0C0A0019" w:tentative="1">
      <w:start w:val="1"/>
      <w:numFmt w:val="lowerLetter"/>
      <w:lvlText w:val="%8."/>
      <w:lvlJc w:val="left"/>
      <w:pPr>
        <w:ind w:left="6612" w:hanging="360"/>
      </w:pPr>
    </w:lvl>
    <w:lvl w:ilvl="8" w:tplc="0C0A001B" w:tentative="1">
      <w:start w:val="1"/>
      <w:numFmt w:val="lowerRoman"/>
      <w:lvlText w:val="%9."/>
      <w:lvlJc w:val="right"/>
      <w:pPr>
        <w:ind w:left="7332" w:hanging="180"/>
      </w:pPr>
    </w:lvl>
  </w:abstractNum>
  <w:abstractNum w:abstractNumId="16" w15:restartNumberingAfterBreak="0">
    <w:nsid w:val="440A7B6C"/>
    <w:multiLevelType w:val="hybridMultilevel"/>
    <w:tmpl w:val="62E43EF4"/>
    <w:lvl w:ilvl="0" w:tplc="FFF4C476">
      <w:start w:val="1"/>
      <w:numFmt w:val="bullet"/>
      <w:lvlText w:val="–"/>
      <w:lvlJc w:val="left"/>
      <w:pPr>
        <w:ind w:left="1429" w:hanging="360"/>
      </w:pPr>
      <w:rPr>
        <w:rFonts w:ascii="Arial" w:hAnsi="Arial" w:hint="default"/>
      </w:rPr>
    </w:lvl>
    <w:lvl w:ilvl="1" w:tplc="1C0A0003" w:tentative="1">
      <w:start w:val="1"/>
      <w:numFmt w:val="bullet"/>
      <w:lvlText w:val="o"/>
      <w:lvlJc w:val="left"/>
      <w:pPr>
        <w:ind w:left="2149" w:hanging="360"/>
      </w:pPr>
      <w:rPr>
        <w:rFonts w:ascii="Courier New" w:hAnsi="Courier New" w:cs="Courier New" w:hint="default"/>
      </w:rPr>
    </w:lvl>
    <w:lvl w:ilvl="2" w:tplc="1C0A0005" w:tentative="1">
      <w:start w:val="1"/>
      <w:numFmt w:val="bullet"/>
      <w:lvlText w:val=""/>
      <w:lvlJc w:val="left"/>
      <w:pPr>
        <w:ind w:left="2869" w:hanging="360"/>
      </w:pPr>
      <w:rPr>
        <w:rFonts w:ascii="Wingdings" w:hAnsi="Wingdings" w:hint="default"/>
      </w:rPr>
    </w:lvl>
    <w:lvl w:ilvl="3" w:tplc="1C0A0001" w:tentative="1">
      <w:start w:val="1"/>
      <w:numFmt w:val="bullet"/>
      <w:lvlText w:val=""/>
      <w:lvlJc w:val="left"/>
      <w:pPr>
        <w:ind w:left="3589" w:hanging="360"/>
      </w:pPr>
      <w:rPr>
        <w:rFonts w:ascii="Symbol" w:hAnsi="Symbol" w:hint="default"/>
      </w:rPr>
    </w:lvl>
    <w:lvl w:ilvl="4" w:tplc="1C0A0003" w:tentative="1">
      <w:start w:val="1"/>
      <w:numFmt w:val="bullet"/>
      <w:lvlText w:val="o"/>
      <w:lvlJc w:val="left"/>
      <w:pPr>
        <w:ind w:left="4309" w:hanging="360"/>
      </w:pPr>
      <w:rPr>
        <w:rFonts w:ascii="Courier New" w:hAnsi="Courier New" w:cs="Courier New" w:hint="default"/>
      </w:rPr>
    </w:lvl>
    <w:lvl w:ilvl="5" w:tplc="1C0A0005" w:tentative="1">
      <w:start w:val="1"/>
      <w:numFmt w:val="bullet"/>
      <w:lvlText w:val=""/>
      <w:lvlJc w:val="left"/>
      <w:pPr>
        <w:ind w:left="5029" w:hanging="360"/>
      </w:pPr>
      <w:rPr>
        <w:rFonts w:ascii="Wingdings" w:hAnsi="Wingdings" w:hint="default"/>
      </w:rPr>
    </w:lvl>
    <w:lvl w:ilvl="6" w:tplc="1C0A0001" w:tentative="1">
      <w:start w:val="1"/>
      <w:numFmt w:val="bullet"/>
      <w:lvlText w:val=""/>
      <w:lvlJc w:val="left"/>
      <w:pPr>
        <w:ind w:left="5749" w:hanging="360"/>
      </w:pPr>
      <w:rPr>
        <w:rFonts w:ascii="Symbol" w:hAnsi="Symbol" w:hint="default"/>
      </w:rPr>
    </w:lvl>
    <w:lvl w:ilvl="7" w:tplc="1C0A0003" w:tentative="1">
      <w:start w:val="1"/>
      <w:numFmt w:val="bullet"/>
      <w:lvlText w:val="o"/>
      <w:lvlJc w:val="left"/>
      <w:pPr>
        <w:ind w:left="6469" w:hanging="360"/>
      </w:pPr>
      <w:rPr>
        <w:rFonts w:ascii="Courier New" w:hAnsi="Courier New" w:cs="Courier New" w:hint="default"/>
      </w:rPr>
    </w:lvl>
    <w:lvl w:ilvl="8" w:tplc="1C0A0005" w:tentative="1">
      <w:start w:val="1"/>
      <w:numFmt w:val="bullet"/>
      <w:lvlText w:val=""/>
      <w:lvlJc w:val="left"/>
      <w:pPr>
        <w:ind w:left="7189" w:hanging="360"/>
      </w:pPr>
      <w:rPr>
        <w:rFonts w:ascii="Wingdings" w:hAnsi="Wingdings" w:hint="default"/>
      </w:rPr>
    </w:lvl>
  </w:abstractNum>
  <w:abstractNum w:abstractNumId="17" w15:restartNumberingAfterBreak="0">
    <w:nsid w:val="484427B3"/>
    <w:multiLevelType w:val="hybridMultilevel"/>
    <w:tmpl w:val="1F627298"/>
    <w:lvl w:ilvl="0" w:tplc="0C0A0001">
      <w:start w:val="1"/>
      <w:numFmt w:val="bullet"/>
      <w:lvlText w:val=""/>
      <w:lvlJc w:val="left"/>
      <w:pPr>
        <w:ind w:left="2149"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15:restartNumberingAfterBreak="0">
    <w:nsid w:val="4B053558"/>
    <w:multiLevelType w:val="hybridMultilevel"/>
    <w:tmpl w:val="4126B7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B537A01"/>
    <w:multiLevelType w:val="hybridMultilevel"/>
    <w:tmpl w:val="F30CD00A"/>
    <w:lvl w:ilvl="0" w:tplc="15EAF5B6">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0" w15:restartNumberingAfterBreak="0">
    <w:nsid w:val="4D5F02C7"/>
    <w:multiLevelType w:val="hybridMultilevel"/>
    <w:tmpl w:val="F8FA1C36"/>
    <w:lvl w:ilvl="0" w:tplc="43C41F58">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1" w15:restartNumberingAfterBreak="0">
    <w:nsid w:val="4FBF2654"/>
    <w:multiLevelType w:val="hybridMultilevel"/>
    <w:tmpl w:val="347E19EC"/>
    <w:lvl w:ilvl="0" w:tplc="D5EC4EEE">
      <w:start w:val="3"/>
      <w:numFmt w:val="bullet"/>
      <w:lvlText w:val="-"/>
      <w:lvlJc w:val="left"/>
      <w:pPr>
        <w:ind w:left="1429" w:hanging="360"/>
      </w:pPr>
      <w:rPr>
        <w:rFonts w:ascii="Times New Roman" w:eastAsia="Times New Roman" w:hAnsi="Times New Roman" w:cs="Times New Roman" w:hint="default"/>
      </w:rPr>
    </w:lvl>
    <w:lvl w:ilvl="1" w:tplc="0C0A0003">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2" w15:restartNumberingAfterBreak="0">
    <w:nsid w:val="561A7E8A"/>
    <w:multiLevelType w:val="hybridMultilevel"/>
    <w:tmpl w:val="9F202666"/>
    <w:lvl w:ilvl="0" w:tplc="D5EC4EE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682602"/>
    <w:multiLevelType w:val="hybridMultilevel"/>
    <w:tmpl w:val="CB2285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BCE3398"/>
    <w:multiLevelType w:val="hybridMultilevel"/>
    <w:tmpl w:val="0D48FB32"/>
    <w:lvl w:ilvl="0" w:tplc="D5EC4EEE">
      <w:start w:val="3"/>
      <w:numFmt w:val="bullet"/>
      <w:lvlText w:val="-"/>
      <w:lvlJc w:val="left"/>
      <w:pPr>
        <w:ind w:left="1366" w:hanging="360"/>
      </w:pPr>
      <w:rPr>
        <w:rFonts w:ascii="Times New Roman" w:eastAsia="Times New Roman" w:hAnsi="Times New Roman" w:cs="Times New Roman" w:hint="default"/>
      </w:rPr>
    </w:lvl>
    <w:lvl w:ilvl="1" w:tplc="0C0A0003" w:tentative="1">
      <w:start w:val="1"/>
      <w:numFmt w:val="bullet"/>
      <w:lvlText w:val="o"/>
      <w:lvlJc w:val="left"/>
      <w:pPr>
        <w:ind w:left="2086" w:hanging="360"/>
      </w:pPr>
      <w:rPr>
        <w:rFonts w:ascii="Courier New" w:hAnsi="Courier New" w:cs="Courier New" w:hint="default"/>
      </w:rPr>
    </w:lvl>
    <w:lvl w:ilvl="2" w:tplc="0C0A0005" w:tentative="1">
      <w:start w:val="1"/>
      <w:numFmt w:val="bullet"/>
      <w:lvlText w:val=""/>
      <w:lvlJc w:val="left"/>
      <w:pPr>
        <w:ind w:left="2806" w:hanging="360"/>
      </w:pPr>
      <w:rPr>
        <w:rFonts w:ascii="Wingdings" w:hAnsi="Wingdings" w:hint="default"/>
      </w:rPr>
    </w:lvl>
    <w:lvl w:ilvl="3" w:tplc="0C0A0001" w:tentative="1">
      <w:start w:val="1"/>
      <w:numFmt w:val="bullet"/>
      <w:lvlText w:val=""/>
      <w:lvlJc w:val="left"/>
      <w:pPr>
        <w:ind w:left="3526" w:hanging="360"/>
      </w:pPr>
      <w:rPr>
        <w:rFonts w:ascii="Symbol" w:hAnsi="Symbol" w:hint="default"/>
      </w:rPr>
    </w:lvl>
    <w:lvl w:ilvl="4" w:tplc="0C0A0003" w:tentative="1">
      <w:start w:val="1"/>
      <w:numFmt w:val="bullet"/>
      <w:lvlText w:val="o"/>
      <w:lvlJc w:val="left"/>
      <w:pPr>
        <w:ind w:left="4246" w:hanging="360"/>
      </w:pPr>
      <w:rPr>
        <w:rFonts w:ascii="Courier New" w:hAnsi="Courier New" w:cs="Courier New" w:hint="default"/>
      </w:rPr>
    </w:lvl>
    <w:lvl w:ilvl="5" w:tplc="0C0A0005" w:tentative="1">
      <w:start w:val="1"/>
      <w:numFmt w:val="bullet"/>
      <w:lvlText w:val=""/>
      <w:lvlJc w:val="left"/>
      <w:pPr>
        <w:ind w:left="4966" w:hanging="360"/>
      </w:pPr>
      <w:rPr>
        <w:rFonts w:ascii="Wingdings" w:hAnsi="Wingdings" w:hint="default"/>
      </w:rPr>
    </w:lvl>
    <w:lvl w:ilvl="6" w:tplc="0C0A0001" w:tentative="1">
      <w:start w:val="1"/>
      <w:numFmt w:val="bullet"/>
      <w:lvlText w:val=""/>
      <w:lvlJc w:val="left"/>
      <w:pPr>
        <w:ind w:left="5686" w:hanging="360"/>
      </w:pPr>
      <w:rPr>
        <w:rFonts w:ascii="Symbol" w:hAnsi="Symbol" w:hint="default"/>
      </w:rPr>
    </w:lvl>
    <w:lvl w:ilvl="7" w:tplc="0C0A0003" w:tentative="1">
      <w:start w:val="1"/>
      <w:numFmt w:val="bullet"/>
      <w:lvlText w:val="o"/>
      <w:lvlJc w:val="left"/>
      <w:pPr>
        <w:ind w:left="6406" w:hanging="360"/>
      </w:pPr>
      <w:rPr>
        <w:rFonts w:ascii="Courier New" w:hAnsi="Courier New" w:cs="Courier New" w:hint="default"/>
      </w:rPr>
    </w:lvl>
    <w:lvl w:ilvl="8" w:tplc="0C0A0005" w:tentative="1">
      <w:start w:val="1"/>
      <w:numFmt w:val="bullet"/>
      <w:lvlText w:val=""/>
      <w:lvlJc w:val="left"/>
      <w:pPr>
        <w:ind w:left="7126" w:hanging="360"/>
      </w:pPr>
      <w:rPr>
        <w:rFonts w:ascii="Wingdings" w:hAnsi="Wingdings" w:hint="default"/>
      </w:rPr>
    </w:lvl>
  </w:abstractNum>
  <w:abstractNum w:abstractNumId="25" w15:restartNumberingAfterBreak="0">
    <w:nsid w:val="5DCC3253"/>
    <w:multiLevelType w:val="hybridMultilevel"/>
    <w:tmpl w:val="15BC11F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F8F29BA"/>
    <w:multiLevelType w:val="multilevel"/>
    <w:tmpl w:val="83CEFE46"/>
    <w:lvl w:ilvl="0">
      <w:start w:val="1"/>
      <w:numFmt w:val="decimal"/>
      <w:lvlText w:val="%1."/>
      <w:lvlJc w:val="left"/>
      <w:pPr>
        <w:ind w:left="927" w:hanging="360"/>
      </w:pPr>
      <w:rPr>
        <w:rFonts w:hint="default"/>
      </w:rPr>
    </w:lvl>
    <w:lvl w:ilvl="1">
      <w:start w:val="1"/>
      <w:numFmt w:val="decimal"/>
      <w:isLgl/>
      <w:lvlText w:val="%1.%2"/>
      <w:lvlJc w:val="left"/>
      <w:pPr>
        <w:ind w:left="1697" w:hanging="420"/>
      </w:pPr>
      <w:rPr>
        <w:rFonts w:hint="default"/>
      </w:rPr>
    </w:lvl>
    <w:lvl w:ilvl="2">
      <w:start w:val="1"/>
      <w:numFmt w:val="decimal"/>
      <w:isLgl/>
      <w:lvlText w:val="%1.%2.%3"/>
      <w:lvlJc w:val="left"/>
      <w:pPr>
        <w:ind w:left="1513" w:hanging="720"/>
      </w:pPr>
      <w:rPr>
        <w:rFonts w:hint="default"/>
      </w:rPr>
    </w:lvl>
    <w:lvl w:ilvl="3">
      <w:start w:val="1"/>
      <w:numFmt w:val="decimal"/>
      <w:isLgl/>
      <w:lvlText w:val="%1.%2.%3.%4"/>
      <w:lvlJc w:val="left"/>
      <w:pPr>
        <w:ind w:left="1626" w:hanging="720"/>
      </w:pPr>
      <w:rPr>
        <w:rFonts w:hint="default"/>
      </w:rPr>
    </w:lvl>
    <w:lvl w:ilvl="4">
      <w:start w:val="1"/>
      <w:numFmt w:val="decimal"/>
      <w:isLgl/>
      <w:lvlText w:val="%1.%2.%3.%4.%5"/>
      <w:lvlJc w:val="left"/>
      <w:pPr>
        <w:ind w:left="2099" w:hanging="1080"/>
      </w:pPr>
      <w:rPr>
        <w:rFonts w:hint="default"/>
      </w:rPr>
    </w:lvl>
    <w:lvl w:ilvl="5">
      <w:start w:val="1"/>
      <w:numFmt w:val="decimal"/>
      <w:isLgl/>
      <w:lvlText w:val="%1.%2.%3.%4.%5.%6"/>
      <w:lvlJc w:val="left"/>
      <w:pPr>
        <w:ind w:left="2212" w:hanging="1080"/>
      </w:pPr>
      <w:rPr>
        <w:rFonts w:hint="default"/>
      </w:rPr>
    </w:lvl>
    <w:lvl w:ilvl="6">
      <w:start w:val="1"/>
      <w:numFmt w:val="decimal"/>
      <w:isLgl/>
      <w:lvlText w:val="%1.%2.%3.%4.%5.%6.%7"/>
      <w:lvlJc w:val="left"/>
      <w:pPr>
        <w:ind w:left="2685" w:hanging="1440"/>
      </w:pPr>
      <w:rPr>
        <w:rFonts w:hint="default"/>
      </w:rPr>
    </w:lvl>
    <w:lvl w:ilvl="7">
      <w:start w:val="1"/>
      <w:numFmt w:val="decimal"/>
      <w:isLgl/>
      <w:lvlText w:val="%1.%2.%3.%4.%5.%6.%7.%8"/>
      <w:lvlJc w:val="left"/>
      <w:pPr>
        <w:ind w:left="2798" w:hanging="1440"/>
      </w:pPr>
      <w:rPr>
        <w:rFonts w:hint="default"/>
      </w:rPr>
    </w:lvl>
    <w:lvl w:ilvl="8">
      <w:start w:val="1"/>
      <w:numFmt w:val="decimal"/>
      <w:isLgl/>
      <w:lvlText w:val="%1.%2.%3.%4.%5.%6.%7.%8.%9"/>
      <w:lvlJc w:val="left"/>
      <w:pPr>
        <w:ind w:left="3271" w:hanging="1800"/>
      </w:pPr>
      <w:rPr>
        <w:rFonts w:hint="default"/>
      </w:rPr>
    </w:lvl>
  </w:abstractNum>
  <w:abstractNum w:abstractNumId="27" w15:restartNumberingAfterBreak="0">
    <w:nsid w:val="68CD3CD7"/>
    <w:multiLevelType w:val="hybridMultilevel"/>
    <w:tmpl w:val="160411F2"/>
    <w:lvl w:ilvl="0" w:tplc="C546BBEE">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8" w15:restartNumberingAfterBreak="0">
    <w:nsid w:val="69826D3E"/>
    <w:multiLevelType w:val="hybridMultilevel"/>
    <w:tmpl w:val="6E845286"/>
    <w:lvl w:ilvl="0" w:tplc="0C0A0001">
      <w:start w:val="1"/>
      <w:numFmt w:val="bullet"/>
      <w:lvlText w:val=""/>
      <w:lvlJc w:val="left"/>
      <w:pPr>
        <w:ind w:left="1429" w:hanging="360"/>
      </w:pPr>
      <w:rPr>
        <w:rFonts w:ascii="Symbol" w:hAnsi="Symbol" w:hint="default"/>
      </w:rPr>
    </w:lvl>
    <w:lvl w:ilvl="1" w:tplc="0C0A0003">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9" w15:restartNumberingAfterBreak="0">
    <w:nsid w:val="69A06119"/>
    <w:multiLevelType w:val="hybridMultilevel"/>
    <w:tmpl w:val="9D30DDDE"/>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0" w15:restartNumberingAfterBreak="0">
    <w:nsid w:val="69B74DD0"/>
    <w:multiLevelType w:val="hybridMultilevel"/>
    <w:tmpl w:val="93E2B70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1" w15:restartNumberingAfterBreak="0">
    <w:nsid w:val="6A505DA0"/>
    <w:multiLevelType w:val="hybridMultilevel"/>
    <w:tmpl w:val="8A7AD0BE"/>
    <w:lvl w:ilvl="0" w:tplc="3EB2A47A">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B5C0479"/>
    <w:multiLevelType w:val="hybridMultilevel"/>
    <w:tmpl w:val="A110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8257BB"/>
    <w:multiLevelType w:val="hybridMultilevel"/>
    <w:tmpl w:val="D1D0BC20"/>
    <w:lvl w:ilvl="0" w:tplc="0C0A0001">
      <w:start w:val="1"/>
      <w:numFmt w:val="bullet"/>
      <w:lvlText w:val=""/>
      <w:lvlJc w:val="left"/>
      <w:pPr>
        <w:ind w:left="1429" w:hanging="360"/>
      </w:pPr>
      <w:rPr>
        <w:rFonts w:ascii="Symbol" w:hAnsi="Symbol" w:hint="default"/>
      </w:rPr>
    </w:lvl>
    <w:lvl w:ilvl="1" w:tplc="D5EC4EEE">
      <w:start w:val="3"/>
      <w:numFmt w:val="bullet"/>
      <w:lvlText w:val="-"/>
      <w:lvlJc w:val="left"/>
      <w:pPr>
        <w:ind w:left="2149" w:hanging="360"/>
      </w:pPr>
      <w:rPr>
        <w:rFonts w:ascii="Times New Roman" w:eastAsia="Times New Roman" w:hAnsi="Times New Roman" w:cs="Times New Roman"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4" w15:restartNumberingAfterBreak="0">
    <w:nsid w:val="72FE5554"/>
    <w:multiLevelType w:val="hybridMultilevel"/>
    <w:tmpl w:val="7FC2D64C"/>
    <w:lvl w:ilvl="0" w:tplc="D5EC4EEE">
      <w:start w:val="3"/>
      <w:numFmt w:val="bullet"/>
      <w:lvlText w:val="-"/>
      <w:lvlJc w:val="left"/>
      <w:pPr>
        <w:ind w:left="1429" w:hanging="360"/>
      </w:pPr>
      <w:rPr>
        <w:rFonts w:ascii="Times New Roman" w:eastAsia="Times New Roman" w:hAnsi="Times New Roman" w:cs="Times New Roman" w:hint="default"/>
      </w:rPr>
    </w:lvl>
    <w:lvl w:ilvl="1" w:tplc="0C0A0001">
      <w:start w:val="1"/>
      <w:numFmt w:val="bullet"/>
      <w:lvlText w:val=""/>
      <w:lvlJc w:val="left"/>
      <w:pPr>
        <w:ind w:left="2149" w:hanging="360"/>
      </w:pPr>
      <w:rPr>
        <w:rFonts w:ascii="Symbol" w:hAnsi="Symbol"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5" w15:restartNumberingAfterBreak="0">
    <w:nsid w:val="7C01740C"/>
    <w:multiLevelType w:val="hybridMultilevel"/>
    <w:tmpl w:val="A7D2B9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1"/>
  </w:num>
  <w:num w:numId="3">
    <w:abstractNumId w:val="28"/>
  </w:num>
  <w:num w:numId="4">
    <w:abstractNumId w:val="21"/>
  </w:num>
  <w:num w:numId="5">
    <w:abstractNumId w:val="23"/>
  </w:num>
  <w:num w:numId="6">
    <w:abstractNumId w:val="18"/>
  </w:num>
  <w:num w:numId="7">
    <w:abstractNumId w:val="11"/>
  </w:num>
  <w:num w:numId="8">
    <w:abstractNumId w:val="30"/>
  </w:num>
  <w:num w:numId="9">
    <w:abstractNumId w:val="16"/>
  </w:num>
  <w:num w:numId="10">
    <w:abstractNumId w:val="10"/>
  </w:num>
  <w:num w:numId="11">
    <w:abstractNumId w:val="32"/>
  </w:num>
  <w:num w:numId="12">
    <w:abstractNumId w:val="25"/>
  </w:num>
  <w:num w:numId="13">
    <w:abstractNumId w:val="35"/>
  </w:num>
  <w:num w:numId="14">
    <w:abstractNumId w:val="13"/>
  </w:num>
  <w:num w:numId="15">
    <w:abstractNumId w:val="15"/>
  </w:num>
  <w:num w:numId="16">
    <w:abstractNumId w:val="17"/>
  </w:num>
  <w:num w:numId="17">
    <w:abstractNumId w:val="5"/>
  </w:num>
  <w:num w:numId="18">
    <w:abstractNumId w:val="34"/>
  </w:num>
  <w:num w:numId="19">
    <w:abstractNumId w:val="0"/>
  </w:num>
  <w:num w:numId="20">
    <w:abstractNumId w:val="19"/>
  </w:num>
  <w:num w:numId="21">
    <w:abstractNumId w:val="1"/>
  </w:num>
  <w:num w:numId="22">
    <w:abstractNumId w:val="14"/>
  </w:num>
  <w:num w:numId="23">
    <w:abstractNumId w:val="20"/>
  </w:num>
  <w:num w:numId="24">
    <w:abstractNumId w:val="26"/>
  </w:num>
  <w:num w:numId="25">
    <w:abstractNumId w:val="33"/>
  </w:num>
  <w:num w:numId="26">
    <w:abstractNumId w:val="24"/>
  </w:num>
  <w:num w:numId="27">
    <w:abstractNumId w:val="27"/>
  </w:num>
  <w:num w:numId="28">
    <w:abstractNumId w:val="22"/>
  </w:num>
  <w:num w:numId="29">
    <w:abstractNumId w:val="12"/>
  </w:num>
  <w:num w:numId="30">
    <w:abstractNumId w:val="3"/>
  </w:num>
  <w:num w:numId="31">
    <w:abstractNumId w:val="7"/>
  </w:num>
  <w:num w:numId="32">
    <w:abstractNumId w:val="29"/>
  </w:num>
  <w:num w:numId="33">
    <w:abstractNumId w:val="6"/>
  </w:num>
  <w:num w:numId="34">
    <w:abstractNumId w:val="9"/>
  </w:num>
  <w:num w:numId="35">
    <w:abstractNumId w:val="4"/>
  </w:num>
  <w:num w:numId="3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191"/>
    <w:rsid w:val="0000085E"/>
    <w:rsid w:val="0000270F"/>
    <w:rsid w:val="000047B2"/>
    <w:rsid w:val="00007AFC"/>
    <w:rsid w:val="00010E8E"/>
    <w:rsid w:val="00011955"/>
    <w:rsid w:val="000120FE"/>
    <w:rsid w:val="00023F8F"/>
    <w:rsid w:val="000240F3"/>
    <w:rsid w:val="000254CE"/>
    <w:rsid w:val="000278DA"/>
    <w:rsid w:val="00034411"/>
    <w:rsid w:val="00040CC9"/>
    <w:rsid w:val="00041EBE"/>
    <w:rsid w:val="00042CA2"/>
    <w:rsid w:val="00043474"/>
    <w:rsid w:val="00044B4C"/>
    <w:rsid w:val="00045032"/>
    <w:rsid w:val="00052192"/>
    <w:rsid w:val="00052346"/>
    <w:rsid w:val="000557DF"/>
    <w:rsid w:val="0006074C"/>
    <w:rsid w:val="00060A8F"/>
    <w:rsid w:val="00063317"/>
    <w:rsid w:val="0006358F"/>
    <w:rsid w:val="000657DE"/>
    <w:rsid w:val="000707B5"/>
    <w:rsid w:val="00071A41"/>
    <w:rsid w:val="000725A7"/>
    <w:rsid w:val="00091638"/>
    <w:rsid w:val="000949D3"/>
    <w:rsid w:val="000A2840"/>
    <w:rsid w:val="000A4203"/>
    <w:rsid w:val="000B1685"/>
    <w:rsid w:val="000C3E7B"/>
    <w:rsid w:val="000C4720"/>
    <w:rsid w:val="000C6C35"/>
    <w:rsid w:val="000D081A"/>
    <w:rsid w:val="000D2DC8"/>
    <w:rsid w:val="000D3146"/>
    <w:rsid w:val="000D3A0D"/>
    <w:rsid w:val="000D639B"/>
    <w:rsid w:val="000E1BBA"/>
    <w:rsid w:val="000E73A2"/>
    <w:rsid w:val="000F0268"/>
    <w:rsid w:val="000F6404"/>
    <w:rsid w:val="000F6764"/>
    <w:rsid w:val="000F68D2"/>
    <w:rsid w:val="00104A30"/>
    <w:rsid w:val="0011690E"/>
    <w:rsid w:val="00121A30"/>
    <w:rsid w:val="00126372"/>
    <w:rsid w:val="00127191"/>
    <w:rsid w:val="001277EF"/>
    <w:rsid w:val="00134B5F"/>
    <w:rsid w:val="00136C54"/>
    <w:rsid w:val="00141846"/>
    <w:rsid w:val="001437D4"/>
    <w:rsid w:val="001453E8"/>
    <w:rsid w:val="00145933"/>
    <w:rsid w:val="0015147E"/>
    <w:rsid w:val="00152AEA"/>
    <w:rsid w:val="00152B8C"/>
    <w:rsid w:val="00154AF9"/>
    <w:rsid w:val="0015555D"/>
    <w:rsid w:val="00161D2F"/>
    <w:rsid w:val="00161D87"/>
    <w:rsid w:val="00163378"/>
    <w:rsid w:val="00166BE3"/>
    <w:rsid w:val="0017463C"/>
    <w:rsid w:val="00180F3A"/>
    <w:rsid w:val="001825A6"/>
    <w:rsid w:val="00182A9E"/>
    <w:rsid w:val="00182C4F"/>
    <w:rsid w:val="001852DE"/>
    <w:rsid w:val="00193211"/>
    <w:rsid w:val="001959EB"/>
    <w:rsid w:val="00197AE1"/>
    <w:rsid w:val="001A2516"/>
    <w:rsid w:val="001B08D4"/>
    <w:rsid w:val="001B3216"/>
    <w:rsid w:val="001B3D9F"/>
    <w:rsid w:val="001B4314"/>
    <w:rsid w:val="001B7F8B"/>
    <w:rsid w:val="001D415D"/>
    <w:rsid w:val="001D62AC"/>
    <w:rsid w:val="001D7E28"/>
    <w:rsid w:val="001E78C3"/>
    <w:rsid w:val="001F0530"/>
    <w:rsid w:val="001F38CE"/>
    <w:rsid w:val="00204148"/>
    <w:rsid w:val="00205820"/>
    <w:rsid w:val="00207340"/>
    <w:rsid w:val="002133B9"/>
    <w:rsid w:val="00213B6D"/>
    <w:rsid w:val="002149C8"/>
    <w:rsid w:val="00217DC2"/>
    <w:rsid w:val="002250FE"/>
    <w:rsid w:val="00226847"/>
    <w:rsid w:val="00232BC7"/>
    <w:rsid w:val="00234F5D"/>
    <w:rsid w:val="00237155"/>
    <w:rsid w:val="002374AE"/>
    <w:rsid w:val="002414EB"/>
    <w:rsid w:val="00253459"/>
    <w:rsid w:val="00254EC6"/>
    <w:rsid w:val="0025688E"/>
    <w:rsid w:val="0026538A"/>
    <w:rsid w:val="00267CDD"/>
    <w:rsid w:val="0027103A"/>
    <w:rsid w:val="00276667"/>
    <w:rsid w:val="0027675A"/>
    <w:rsid w:val="0027737A"/>
    <w:rsid w:val="00284CEF"/>
    <w:rsid w:val="002863CB"/>
    <w:rsid w:val="00287C89"/>
    <w:rsid w:val="00291D92"/>
    <w:rsid w:val="002941EE"/>
    <w:rsid w:val="002961DA"/>
    <w:rsid w:val="002970D0"/>
    <w:rsid w:val="002A084B"/>
    <w:rsid w:val="002A3EEF"/>
    <w:rsid w:val="002A4C22"/>
    <w:rsid w:val="002A553C"/>
    <w:rsid w:val="002A70F9"/>
    <w:rsid w:val="002A772B"/>
    <w:rsid w:val="002B44EE"/>
    <w:rsid w:val="002B5AEC"/>
    <w:rsid w:val="002B682D"/>
    <w:rsid w:val="002C1109"/>
    <w:rsid w:val="002C18F0"/>
    <w:rsid w:val="002C3D60"/>
    <w:rsid w:val="002C3EF7"/>
    <w:rsid w:val="002C4D11"/>
    <w:rsid w:val="002C5E75"/>
    <w:rsid w:val="002D16DF"/>
    <w:rsid w:val="002D2E41"/>
    <w:rsid w:val="002D4B9C"/>
    <w:rsid w:val="002E515D"/>
    <w:rsid w:val="002F0373"/>
    <w:rsid w:val="002F3EBD"/>
    <w:rsid w:val="002F5701"/>
    <w:rsid w:val="002F58D3"/>
    <w:rsid w:val="00301230"/>
    <w:rsid w:val="003053E9"/>
    <w:rsid w:val="00305F36"/>
    <w:rsid w:val="00306072"/>
    <w:rsid w:val="00310A67"/>
    <w:rsid w:val="00310B16"/>
    <w:rsid w:val="00311286"/>
    <w:rsid w:val="00313126"/>
    <w:rsid w:val="0032683E"/>
    <w:rsid w:val="00331F0C"/>
    <w:rsid w:val="00332F94"/>
    <w:rsid w:val="003338E4"/>
    <w:rsid w:val="00335905"/>
    <w:rsid w:val="0034521D"/>
    <w:rsid w:val="0035387F"/>
    <w:rsid w:val="00353A3F"/>
    <w:rsid w:val="00356789"/>
    <w:rsid w:val="003623C9"/>
    <w:rsid w:val="00362932"/>
    <w:rsid w:val="00367D29"/>
    <w:rsid w:val="00371A6F"/>
    <w:rsid w:val="00371DD4"/>
    <w:rsid w:val="00372D45"/>
    <w:rsid w:val="00374C13"/>
    <w:rsid w:val="00376DE5"/>
    <w:rsid w:val="00380B21"/>
    <w:rsid w:val="00391634"/>
    <w:rsid w:val="00392A72"/>
    <w:rsid w:val="00397D5A"/>
    <w:rsid w:val="003A0B2F"/>
    <w:rsid w:val="003B1A1B"/>
    <w:rsid w:val="003B3830"/>
    <w:rsid w:val="003B43FD"/>
    <w:rsid w:val="003B4B36"/>
    <w:rsid w:val="003C4FBF"/>
    <w:rsid w:val="003C793A"/>
    <w:rsid w:val="003D0038"/>
    <w:rsid w:val="003D405B"/>
    <w:rsid w:val="003D61F0"/>
    <w:rsid w:val="003D63B9"/>
    <w:rsid w:val="003E1385"/>
    <w:rsid w:val="003E19B6"/>
    <w:rsid w:val="003E2293"/>
    <w:rsid w:val="003E49E2"/>
    <w:rsid w:val="003E6CEB"/>
    <w:rsid w:val="003F0BE6"/>
    <w:rsid w:val="003F18A9"/>
    <w:rsid w:val="003F382A"/>
    <w:rsid w:val="003F5956"/>
    <w:rsid w:val="003F7A35"/>
    <w:rsid w:val="00400D9F"/>
    <w:rsid w:val="0040494A"/>
    <w:rsid w:val="00406F9A"/>
    <w:rsid w:val="0040702C"/>
    <w:rsid w:val="0041227C"/>
    <w:rsid w:val="00415884"/>
    <w:rsid w:val="0041591B"/>
    <w:rsid w:val="004223DF"/>
    <w:rsid w:val="00423AC9"/>
    <w:rsid w:val="004267B1"/>
    <w:rsid w:val="004308CD"/>
    <w:rsid w:val="00431C81"/>
    <w:rsid w:val="00433CE4"/>
    <w:rsid w:val="00440FBA"/>
    <w:rsid w:val="0044392C"/>
    <w:rsid w:val="004445D9"/>
    <w:rsid w:val="00444680"/>
    <w:rsid w:val="004478AE"/>
    <w:rsid w:val="004539E7"/>
    <w:rsid w:val="00454E22"/>
    <w:rsid w:val="0045607D"/>
    <w:rsid w:val="00462DC1"/>
    <w:rsid w:val="0046408F"/>
    <w:rsid w:val="0046556E"/>
    <w:rsid w:val="00466F5F"/>
    <w:rsid w:val="00467EBD"/>
    <w:rsid w:val="00470FFF"/>
    <w:rsid w:val="004710C0"/>
    <w:rsid w:val="004712BD"/>
    <w:rsid w:val="00471B93"/>
    <w:rsid w:val="00473FF1"/>
    <w:rsid w:val="004755C8"/>
    <w:rsid w:val="0047746A"/>
    <w:rsid w:val="00482956"/>
    <w:rsid w:val="00490160"/>
    <w:rsid w:val="00491B45"/>
    <w:rsid w:val="00492305"/>
    <w:rsid w:val="00492B9C"/>
    <w:rsid w:val="00493C64"/>
    <w:rsid w:val="004970CE"/>
    <w:rsid w:val="004A2757"/>
    <w:rsid w:val="004A35C9"/>
    <w:rsid w:val="004A50C0"/>
    <w:rsid w:val="004A6E06"/>
    <w:rsid w:val="004B0E8C"/>
    <w:rsid w:val="004B27F3"/>
    <w:rsid w:val="004C041E"/>
    <w:rsid w:val="004C33D3"/>
    <w:rsid w:val="004C73FE"/>
    <w:rsid w:val="004D26CE"/>
    <w:rsid w:val="004E04C0"/>
    <w:rsid w:val="004E253A"/>
    <w:rsid w:val="004E5384"/>
    <w:rsid w:val="004E7EBD"/>
    <w:rsid w:val="004F2AE3"/>
    <w:rsid w:val="005002B0"/>
    <w:rsid w:val="00500731"/>
    <w:rsid w:val="005009EE"/>
    <w:rsid w:val="0050559E"/>
    <w:rsid w:val="00507DDE"/>
    <w:rsid w:val="00510023"/>
    <w:rsid w:val="00510155"/>
    <w:rsid w:val="00510C91"/>
    <w:rsid w:val="0051182C"/>
    <w:rsid w:val="005149D7"/>
    <w:rsid w:val="00523144"/>
    <w:rsid w:val="00525E6C"/>
    <w:rsid w:val="00530D4A"/>
    <w:rsid w:val="00534034"/>
    <w:rsid w:val="0053439E"/>
    <w:rsid w:val="00535963"/>
    <w:rsid w:val="0053791F"/>
    <w:rsid w:val="00543B73"/>
    <w:rsid w:val="005451F6"/>
    <w:rsid w:val="0054607D"/>
    <w:rsid w:val="0054625A"/>
    <w:rsid w:val="0055106B"/>
    <w:rsid w:val="00551CE5"/>
    <w:rsid w:val="00567118"/>
    <w:rsid w:val="00567302"/>
    <w:rsid w:val="00570E7C"/>
    <w:rsid w:val="00572B4A"/>
    <w:rsid w:val="00576056"/>
    <w:rsid w:val="00576DB0"/>
    <w:rsid w:val="00577101"/>
    <w:rsid w:val="005820A7"/>
    <w:rsid w:val="00583D30"/>
    <w:rsid w:val="00585E2D"/>
    <w:rsid w:val="00585E9E"/>
    <w:rsid w:val="005872C3"/>
    <w:rsid w:val="0059159D"/>
    <w:rsid w:val="005A1BB2"/>
    <w:rsid w:val="005A2098"/>
    <w:rsid w:val="005B7D28"/>
    <w:rsid w:val="005C0CD1"/>
    <w:rsid w:val="005C5A61"/>
    <w:rsid w:val="005D2771"/>
    <w:rsid w:val="005D2C55"/>
    <w:rsid w:val="005D2EDF"/>
    <w:rsid w:val="005D43EE"/>
    <w:rsid w:val="005D6476"/>
    <w:rsid w:val="005E12EF"/>
    <w:rsid w:val="005E1B37"/>
    <w:rsid w:val="005E2260"/>
    <w:rsid w:val="005E50B0"/>
    <w:rsid w:val="005E76AD"/>
    <w:rsid w:val="005F0C86"/>
    <w:rsid w:val="005F36D0"/>
    <w:rsid w:val="005F40CF"/>
    <w:rsid w:val="006021A2"/>
    <w:rsid w:val="00602678"/>
    <w:rsid w:val="0060492D"/>
    <w:rsid w:val="00607D75"/>
    <w:rsid w:val="00607E45"/>
    <w:rsid w:val="00612435"/>
    <w:rsid w:val="00612755"/>
    <w:rsid w:val="0061461A"/>
    <w:rsid w:val="006173CD"/>
    <w:rsid w:val="00632954"/>
    <w:rsid w:val="00642F9F"/>
    <w:rsid w:val="006432AA"/>
    <w:rsid w:val="00644D92"/>
    <w:rsid w:val="00652A64"/>
    <w:rsid w:val="0065422C"/>
    <w:rsid w:val="00655FFD"/>
    <w:rsid w:val="00656840"/>
    <w:rsid w:val="00657480"/>
    <w:rsid w:val="00662719"/>
    <w:rsid w:val="00663B7E"/>
    <w:rsid w:val="00670114"/>
    <w:rsid w:val="00672908"/>
    <w:rsid w:val="006735B9"/>
    <w:rsid w:val="00675B81"/>
    <w:rsid w:val="00681F94"/>
    <w:rsid w:val="00684C98"/>
    <w:rsid w:val="006863AF"/>
    <w:rsid w:val="00687892"/>
    <w:rsid w:val="00687FF2"/>
    <w:rsid w:val="00691FE4"/>
    <w:rsid w:val="006946E3"/>
    <w:rsid w:val="0069574D"/>
    <w:rsid w:val="006A2E97"/>
    <w:rsid w:val="006A2EF6"/>
    <w:rsid w:val="006A7063"/>
    <w:rsid w:val="006B0D5D"/>
    <w:rsid w:val="006B218E"/>
    <w:rsid w:val="006B3E36"/>
    <w:rsid w:val="006B5DEC"/>
    <w:rsid w:val="006C031B"/>
    <w:rsid w:val="006C69EE"/>
    <w:rsid w:val="006C71FE"/>
    <w:rsid w:val="006C7539"/>
    <w:rsid w:val="006E1ED0"/>
    <w:rsid w:val="006E35DF"/>
    <w:rsid w:val="006E6C76"/>
    <w:rsid w:val="006F1C31"/>
    <w:rsid w:val="006F543E"/>
    <w:rsid w:val="006F7560"/>
    <w:rsid w:val="00702DDD"/>
    <w:rsid w:val="007060A5"/>
    <w:rsid w:val="007071BB"/>
    <w:rsid w:val="00721EAC"/>
    <w:rsid w:val="007260EA"/>
    <w:rsid w:val="00733B34"/>
    <w:rsid w:val="00733B35"/>
    <w:rsid w:val="00737D41"/>
    <w:rsid w:val="00740249"/>
    <w:rsid w:val="00750085"/>
    <w:rsid w:val="00750DF6"/>
    <w:rsid w:val="00761D64"/>
    <w:rsid w:val="00764F7A"/>
    <w:rsid w:val="007652C8"/>
    <w:rsid w:val="00771827"/>
    <w:rsid w:val="00773921"/>
    <w:rsid w:val="007906BD"/>
    <w:rsid w:val="00790BA2"/>
    <w:rsid w:val="007970B4"/>
    <w:rsid w:val="007A0F2E"/>
    <w:rsid w:val="007A6362"/>
    <w:rsid w:val="007A7263"/>
    <w:rsid w:val="007B5493"/>
    <w:rsid w:val="007B6B3C"/>
    <w:rsid w:val="007B7421"/>
    <w:rsid w:val="007C45CD"/>
    <w:rsid w:val="007D07D3"/>
    <w:rsid w:val="007D0E20"/>
    <w:rsid w:val="007D2846"/>
    <w:rsid w:val="007D3B15"/>
    <w:rsid w:val="007D44ED"/>
    <w:rsid w:val="007D52AC"/>
    <w:rsid w:val="007D6E9F"/>
    <w:rsid w:val="007D7232"/>
    <w:rsid w:val="007F0511"/>
    <w:rsid w:val="008025B8"/>
    <w:rsid w:val="008061C0"/>
    <w:rsid w:val="00812B1B"/>
    <w:rsid w:val="008202CD"/>
    <w:rsid w:val="0082168E"/>
    <w:rsid w:val="0083366D"/>
    <w:rsid w:val="008350F1"/>
    <w:rsid w:val="0083597E"/>
    <w:rsid w:val="00852D5F"/>
    <w:rsid w:val="008571E6"/>
    <w:rsid w:val="00860525"/>
    <w:rsid w:val="00860882"/>
    <w:rsid w:val="008664C3"/>
    <w:rsid w:val="0087065D"/>
    <w:rsid w:val="008765EB"/>
    <w:rsid w:val="0088199A"/>
    <w:rsid w:val="00882E81"/>
    <w:rsid w:val="00883ECB"/>
    <w:rsid w:val="008849AF"/>
    <w:rsid w:val="008867ED"/>
    <w:rsid w:val="00887725"/>
    <w:rsid w:val="00890423"/>
    <w:rsid w:val="0089473B"/>
    <w:rsid w:val="0089501E"/>
    <w:rsid w:val="00895B6F"/>
    <w:rsid w:val="008A2E6C"/>
    <w:rsid w:val="008B080A"/>
    <w:rsid w:val="008C235A"/>
    <w:rsid w:val="008C3253"/>
    <w:rsid w:val="008C6C21"/>
    <w:rsid w:val="008C70FF"/>
    <w:rsid w:val="008D5E79"/>
    <w:rsid w:val="008E06FC"/>
    <w:rsid w:val="008E34FC"/>
    <w:rsid w:val="008E367C"/>
    <w:rsid w:val="008E4423"/>
    <w:rsid w:val="008E5731"/>
    <w:rsid w:val="008E58E2"/>
    <w:rsid w:val="008E65D6"/>
    <w:rsid w:val="008F1268"/>
    <w:rsid w:val="008F20C8"/>
    <w:rsid w:val="008F45FD"/>
    <w:rsid w:val="008F71E5"/>
    <w:rsid w:val="008F7667"/>
    <w:rsid w:val="0090038E"/>
    <w:rsid w:val="00901741"/>
    <w:rsid w:val="0090638E"/>
    <w:rsid w:val="00906A33"/>
    <w:rsid w:val="00906C93"/>
    <w:rsid w:val="00907906"/>
    <w:rsid w:val="00910010"/>
    <w:rsid w:val="009140E1"/>
    <w:rsid w:val="00920B84"/>
    <w:rsid w:val="00925F92"/>
    <w:rsid w:val="00927EA6"/>
    <w:rsid w:val="0093088A"/>
    <w:rsid w:val="00932443"/>
    <w:rsid w:val="00935F1D"/>
    <w:rsid w:val="009373E7"/>
    <w:rsid w:val="009411D1"/>
    <w:rsid w:val="00945149"/>
    <w:rsid w:val="009526FA"/>
    <w:rsid w:val="00953651"/>
    <w:rsid w:val="00953BEC"/>
    <w:rsid w:val="0095557F"/>
    <w:rsid w:val="00956891"/>
    <w:rsid w:val="00962888"/>
    <w:rsid w:val="00966940"/>
    <w:rsid w:val="00970072"/>
    <w:rsid w:val="009705C7"/>
    <w:rsid w:val="00974772"/>
    <w:rsid w:val="009759EE"/>
    <w:rsid w:val="00980D0B"/>
    <w:rsid w:val="009819B4"/>
    <w:rsid w:val="00982218"/>
    <w:rsid w:val="009921B5"/>
    <w:rsid w:val="00993F30"/>
    <w:rsid w:val="009944C2"/>
    <w:rsid w:val="00994D64"/>
    <w:rsid w:val="00995698"/>
    <w:rsid w:val="009B251E"/>
    <w:rsid w:val="009B56FE"/>
    <w:rsid w:val="009B5DF6"/>
    <w:rsid w:val="009C349E"/>
    <w:rsid w:val="009C4CF6"/>
    <w:rsid w:val="009C5883"/>
    <w:rsid w:val="009C5A59"/>
    <w:rsid w:val="009C7AA0"/>
    <w:rsid w:val="009D0AE1"/>
    <w:rsid w:val="009D147C"/>
    <w:rsid w:val="009D337D"/>
    <w:rsid w:val="009E111B"/>
    <w:rsid w:val="009E161D"/>
    <w:rsid w:val="009E322D"/>
    <w:rsid w:val="009E4807"/>
    <w:rsid w:val="009E4ABD"/>
    <w:rsid w:val="009E5E93"/>
    <w:rsid w:val="009F6092"/>
    <w:rsid w:val="009F66B3"/>
    <w:rsid w:val="00A01E46"/>
    <w:rsid w:val="00A03D2A"/>
    <w:rsid w:val="00A04079"/>
    <w:rsid w:val="00A0408F"/>
    <w:rsid w:val="00A041FF"/>
    <w:rsid w:val="00A04A97"/>
    <w:rsid w:val="00A13A44"/>
    <w:rsid w:val="00A1441F"/>
    <w:rsid w:val="00A35570"/>
    <w:rsid w:val="00A41D3B"/>
    <w:rsid w:val="00A431C6"/>
    <w:rsid w:val="00A453BA"/>
    <w:rsid w:val="00A47E50"/>
    <w:rsid w:val="00A503F5"/>
    <w:rsid w:val="00A65EAD"/>
    <w:rsid w:val="00A70FFB"/>
    <w:rsid w:val="00A71E65"/>
    <w:rsid w:val="00A801D6"/>
    <w:rsid w:val="00A82D30"/>
    <w:rsid w:val="00A84130"/>
    <w:rsid w:val="00A8417B"/>
    <w:rsid w:val="00A87751"/>
    <w:rsid w:val="00A94D67"/>
    <w:rsid w:val="00A95F68"/>
    <w:rsid w:val="00AA1B28"/>
    <w:rsid w:val="00AA1B9D"/>
    <w:rsid w:val="00AB1365"/>
    <w:rsid w:val="00AB2407"/>
    <w:rsid w:val="00AB7B02"/>
    <w:rsid w:val="00AC35C3"/>
    <w:rsid w:val="00AC46BD"/>
    <w:rsid w:val="00AC59F8"/>
    <w:rsid w:val="00AC7344"/>
    <w:rsid w:val="00AC7444"/>
    <w:rsid w:val="00AD31D0"/>
    <w:rsid w:val="00AD4339"/>
    <w:rsid w:val="00AD5455"/>
    <w:rsid w:val="00AE4375"/>
    <w:rsid w:val="00AE492C"/>
    <w:rsid w:val="00AF2894"/>
    <w:rsid w:val="00AF7413"/>
    <w:rsid w:val="00B03E9D"/>
    <w:rsid w:val="00B075F6"/>
    <w:rsid w:val="00B101FB"/>
    <w:rsid w:val="00B10895"/>
    <w:rsid w:val="00B11723"/>
    <w:rsid w:val="00B12E93"/>
    <w:rsid w:val="00B156CB"/>
    <w:rsid w:val="00B156FB"/>
    <w:rsid w:val="00B3357C"/>
    <w:rsid w:val="00B354FE"/>
    <w:rsid w:val="00B436FE"/>
    <w:rsid w:val="00B47272"/>
    <w:rsid w:val="00B47FDA"/>
    <w:rsid w:val="00B51042"/>
    <w:rsid w:val="00B55B0A"/>
    <w:rsid w:val="00B614B4"/>
    <w:rsid w:val="00B666A8"/>
    <w:rsid w:val="00B67E9E"/>
    <w:rsid w:val="00B73598"/>
    <w:rsid w:val="00B73C74"/>
    <w:rsid w:val="00B7788D"/>
    <w:rsid w:val="00B81900"/>
    <w:rsid w:val="00B81BDB"/>
    <w:rsid w:val="00B86E6B"/>
    <w:rsid w:val="00B87CC9"/>
    <w:rsid w:val="00B902CA"/>
    <w:rsid w:val="00B91365"/>
    <w:rsid w:val="00B919DD"/>
    <w:rsid w:val="00B94CD5"/>
    <w:rsid w:val="00B9565E"/>
    <w:rsid w:val="00B95CD5"/>
    <w:rsid w:val="00B96C40"/>
    <w:rsid w:val="00BA0D57"/>
    <w:rsid w:val="00BA16AE"/>
    <w:rsid w:val="00BA189C"/>
    <w:rsid w:val="00BA200F"/>
    <w:rsid w:val="00BA32CF"/>
    <w:rsid w:val="00BA39B0"/>
    <w:rsid w:val="00BA4579"/>
    <w:rsid w:val="00BA4DD1"/>
    <w:rsid w:val="00BA506B"/>
    <w:rsid w:val="00BB0AC2"/>
    <w:rsid w:val="00BB1889"/>
    <w:rsid w:val="00BB2E14"/>
    <w:rsid w:val="00BB48DF"/>
    <w:rsid w:val="00BB6959"/>
    <w:rsid w:val="00BB6DC0"/>
    <w:rsid w:val="00BC0A62"/>
    <w:rsid w:val="00BC20C6"/>
    <w:rsid w:val="00BC2C97"/>
    <w:rsid w:val="00BD05F2"/>
    <w:rsid w:val="00BD2478"/>
    <w:rsid w:val="00BD4B11"/>
    <w:rsid w:val="00BD59E7"/>
    <w:rsid w:val="00BD60D5"/>
    <w:rsid w:val="00BE0A06"/>
    <w:rsid w:val="00BE217C"/>
    <w:rsid w:val="00BE2F67"/>
    <w:rsid w:val="00BE33F6"/>
    <w:rsid w:val="00BE3D4F"/>
    <w:rsid w:val="00BF25BC"/>
    <w:rsid w:val="00BF3CAB"/>
    <w:rsid w:val="00C057A0"/>
    <w:rsid w:val="00C1135A"/>
    <w:rsid w:val="00C2033F"/>
    <w:rsid w:val="00C22535"/>
    <w:rsid w:val="00C231F6"/>
    <w:rsid w:val="00C27A35"/>
    <w:rsid w:val="00C3106C"/>
    <w:rsid w:val="00C3118F"/>
    <w:rsid w:val="00C311C7"/>
    <w:rsid w:val="00C33ED7"/>
    <w:rsid w:val="00C366A9"/>
    <w:rsid w:val="00C37623"/>
    <w:rsid w:val="00C439DA"/>
    <w:rsid w:val="00C46108"/>
    <w:rsid w:val="00C516C9"/>
    <w:rsid w:val="00C5278F"/>
    <w:rsid w:val="00C53F0C"/>
    <w:rsid w:val="00C57419"/>
    <w:rsid w:val="00C605D3"/>
    <w:rsid w:val="00C614CE"/>
    <w:rsid w:val="00C64EB0"/>
    <w:rsid w:val="00C67622"/>
    <w:rsid w:val="00C712E3"/>
    <w:rsid w:val="00C71565"/>
    <w:rsid w:val="00C7206E"/>
    <w:rsid w:val="00C760A0"/>
    <w:rsid w:val="00C761DC"/>
    <w:rsid w:val="00C80A52"/>
    <w:rsid w:val="00C86858"/>
    <w:rsid w:val="00C86E66"/>
    <w:rsid w:val="00C87066"/>
    <w:rsid w:val="00C87635"/>
    <w:rsid w:val="00C92164"/>
    <w:rsid w:val="00CB2600"/>
    <w:rsid w:val="00CB2607"/>
    <w:rsid w:val="00CB4219"/>
    <w:rsid w:val="00CD3AB3"/>
    <w:rsid w:val="00CD7137"/>
    <w:rsid w:val="00CE113F"/>
    <w:rsid w:val="00CE1591"/>
    <w:rsid w:val="00CE3873"/>
    <w:rsid w:val="00CE3FE8"/>
    <w:rsid w:val="00D00893"/>
    <w:rsid w:val="00D02EC0"/>
    <w:rsid w:val="00D0398E"/>
    <w:rsid w:val="00D04A39"/>
    <w:rsid w:val="00D07694"/>
    <w:rsid w:val="00D131FA"/>
    <w:rsid w:val="00D16294"/>
    <w:rsid w:val="00D23444"/>
    <w:rsid w:val="00D245C4"/>
    <w:rsid w:val="00D254F0"/>
    <w:rsid w:val="00D3109A"/>
    <w:rsid w:val="00D33195"/>
    <w:rsid w:val="00D35CD2"/>
    <w:rsid w:val="00D40861"/>
    <w:rsid w:val="00D529FA"/>
    <w:rsid w:val="00D548A1"/>
    <w:rsid w:val="00D564FE"/>
    <w:rsid w:val="00D60998"/>
    <w:rsid w:val="00D610B4"/>
    <w:rsid w:val="00D618E7"/>
    <w:rsid w:val="00D67453"/>
    <w:rsid w:val="00D70398"/>
    <w:rsid w:val="00D83ECC"/>
    <w:rsid w:val="00D8514F"/>
    <w:rsid w:val="00D85904"/>
    <w:rsid w:val="00D85C39"/>
    <w:rsid w:val="00D93314"/>
    <w:rsid w:val="00D94E26"/>
    <w:rsid w:val="00D95EB6"/>
    <w:rsid w:val="00D97855"/>
    <w:rsid w:val="00D97E14"/>
    <w:rsid w:val="00DA44CA"/>
    <w:rsid w:val="00DA5A31"/>
    <w:rsid w:val="00DB48CD"/>
    <w:rsid w:val="00DC2C23"/>
    <w:rsid w:val="00DC4A14"/>
    <w:rsid w:val="00DC6BB9"/>
    <w:rsid w:val="00DC6BFB"/>
    <w:rsid w:val="00DD1894"/>
    <w:rsid w:val="00DE057D"/>
    <w:rsid w:val="00DE0C05"/>
    <w:rsid w:val="00DE4AF5"/>
    <w:rsid w:val="00DE5787"/>
    <w:rsid w:val="00DE7BE6"/>
    <w:rsid w:val="00DF0C46"/>
    <w:rsid w:val="00DF693D"/>
    <w:rsid w:val="00DF6EB5"/>
    <w:rsid w:val="00E0232E"/>
    <w:rsid w:val="00E03CB3"/>
    <w:rsid w:val="00E0512C"/>
    <w:rsid w:val="00E10213"/>
    <w:rsid w:val="00E22C95"/>
    <w:rsid w:val="00E26069"/>
    <w:rsid w:val="00E2668E"/>
    <w:rsid w:val="00E26B6A"/>
    <w:rsid w:val="00E27B92"/>
    <w:rsid w:val="00E336BB"/>
    <w:rsid w:val="00E35748"/>
    <w:rsid w:val="00E3637C"/>
    <w:rsid w:val="00E42DC9"/>
    <w:rsid w:val="00E45B1B"/>
    <w:rsid w:val="00E4731B"/>
    <w:rsid w:val="00E52CE0"/>
    <w:rsid w:val="00E52D6E"/>
    <w:rsid w:val="00E54660"/>
    <w:rsid w:val="00E55271"/>
    <w:rsid w:val="00E552A4"/>
    <w:rsid w:val="00E556F3"/>
    <w:rsid w:val="00E569A8"/>
    <w:rsid w:val="00E604C3"/>
    <w:rsid w:val="00E61B95"/>
    <w:rsid w:val="00E63B44"/>
    <w:rsid w:val="00E64445"/>
    <w:rsid w:val="00E76F60"/>
    <w:rsid w:val="00E819B4"/>
    <w:rsid w:val="00E838FA"/>
    <w:rsid w:val="00E83D61"/>
    <w:rsid w:val="00E8459A"/>
    <w:rsid w:val="00E85DA1"/>
    <w:rsid w:val="00E917E1"/>
    <w:rsid w:val="00E91F86"/>
    <w:rsid w:val="00E928D9"/>
    <w:rsid w:val="00E944C6"/>
    <w:rsid w:val="00E967AC"/>
    <w:rsid w:val="00E96E5C"/>
    <w:rsid w:val="00EA1C16"/>
    <w:rsid w:val="00EA28A8"/>
    <w:rsid w:val="00EA3693"/>
    <w:rsid w:val="00EA472A"/>
    <w:rsid w:val="00EB5537"/>
    <w:rsid w:val="00EB606D"/>
    <w:rsid w:val="00EC0868"/>
    <w:rsid w:val="00EC0CBD"/>
    <w:rsid w:val="00EC24E2"/>
    <w:rsid w:val="00EC3201"/>
    <w:rsid w:val="00EC45EB"/>
    <w:rsid w:val="00EC5F10"/>
    <w:rsid w:val="00ED0B19"/>
    <w:rsid w:val="00ED128D"/>
    <w:rsid w:val="00ED5D77"/>
    <w:rsid w:val="00ED5DF6"/>
    <w:rsid w:val="00EE0555"/>
    <w:rsid w:val="00EE307A"/>
    <w:rsid w:val="00EE4083"/>
    <w:rsid w:val="00EE7486"/>
    <w:rsid w:val="00EF2EBD"/>
    <w:rsid w:val="00EF3ED7"/>
    <w:rsid w:val="00F0055F"/>
    <w:rsid w:val="00F0430D"/>
    <w:rsid w:val="00F05F5D"/>
    <w:rsid w:val="00F06E3B"/>
    <w:rsid w:val="00F07107"/>
    <w:rsid w:val="00F1408B"/>
    <w:rsid w:val="00F149D0"/>
    <w:rsid w:val="00F164B9"/>
    <w:rsid w:val="00F30E7E"/>
    <w:rsid w:val="00F325F5"/>
    <w:rsid w:val="00F3394E"/>
    <w:rsid w:val="00F37403"/>
    <w:rsid w:val="00F40AEE"/>
    <w:rsid w:val="00F41DFB"/>
    <w:rsid w:val="00F458AF"/>
    <w:rsid w:val="00F52234"/>
    <w:rsid w:val="00F525B3"/>
    <w:rsid w:val="00F6103B"/>
    <w:rsid w:val="00F65844"/>
    <w:rsid w:val="00F66E67"/>
    <w:rsid w:val="00F673B5"/>
    <w:rsid w:val="00F722F3"/>
    <w:rsid w:val="00F72BE5"/>
    <w:rsid w:val="00F73DA3"/>
    <w:rsid w:val="00F74DB5"/>
    <w:rsid w:val="00F8061E"/>
    <w:rsid w:val="00F816F4"/>
    <w:rsid w:val="00F82736"/>
    <w:rsid w:val="00F8711F"/>
    <w:rsid w:val="00F87E29"/>
    <w:rsid w:val="00F93A58"/>
    <w:rsid w:val="00FA1EEC"/>
    <w:rsid w:val="00FB03AE"/>
    <w:rsid w:val="00FB19C4"/>
    <w:rsid w:val="00FB4F95"/>
    <w:rsid w:val="00FC1D94"/>
    <w:rsid w:val="00FD511A"/>
    <w:rsid w:val="00FE04B9"/>
    <w:rsid w:val="00FE1345"/>
    <w:rsid w:val="00FE2A5B"/>
    <w:rsid w:val="00FF66C4"/>
    <w:rsid w:val="00FF762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1C984A"/>
  <w15:chartTrackingRefBased/>
  <w15:docId w15:val="{2382EF95-1DD5-467A-B721-DB31A8F2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17B"/>
    <w:pPr>
      <w:spacing w:line="456" w:lineRule="auto"/>
      <w:ind w:left="284"/>
      <w:jc w:val="both"/>
    </w:pPr>
    <w:rPr>
      <w:rFonts w:ascii="Artifex CF Extra Light" w:hAnsi="Artifex CF Extra Light"/>
      <w:color w:val="1F4E79" w:themeColor="accent1" w:themeShade="80"/>
      <w:sz w:val="18"/>
    </w:rPr>
  </w:style>
  <w:style w:type="paragraph" w:styleId="Ttulo1">
    <w:name w:val="heading 1"/>
    <w:basedOn w:val="Normal"/>
    <w:next w:val="Normal"/>
    <w:link w:val="Ttulo1Car"/>
    <w:uiPriority w:val="9"/>
    <w:qFormat/>
    <w:rsid w:val="00E61B95"/>
    <w:pPr>
      <w:keepNext/>
      <w:keepLines/>
      <w:spacing w:before="240" w:after="0"/>
      <w:jc w:val="center"/>
      <w:outlineLvl w:val="0"/>
    </w:pPr>
    <w:rPr>
      <w:rFonts w:ascii="Artifex CF Light" w:eastAsiaTheme="majorEastAsia" w:hAnsi="Artifex CF Light" w:cstheme="majorBidi"/>
      <w:color w:val="2E74B5" w:themeColor="accent1" w:themeShade="BF"/>
      <w:spacing w:val="30"/>
      <w:kern w:val="38"/>
      <w:sz w:val="26"/>
      <w:szCs w:val="32"/>
    </w:rPr>
  </w:style>
  <w:style w:type="paragraph" w:styleId="Ttulo2">
    <w:name w:val="heading 2"/>
    <w:basedOn w:val="Normal"/>
    <w:next w:val="Normal"/>
    <w:link w:val="Ttulo2Car"/>
    <w:uiPriority w:val="9"/>
    <w:unhideWhenUsed/>
    <w:qFormat/>
    <w:rsid w:val="00E61B95"/>
    <w:pPr>
      <w:keepNext/>
      <w:keepLines/>
      <w:spacing w:before="40" w:after="0"/>
      <w:jc w:val="center"/>
      <w:outlineLvl w:val="1"/>
    </w:pPr>
    <w:rPr>
      <w:rFonts w:ascii="Gotham Medium" w:eastAsiaTheme="majorEastAsia" w:hAnsi="Gotham Medium" w:cstheme="majorBidi"/>
      <w:sz w:val="16"/>
      <w:szCs w:val="26"/>
    </w:rPr>
  </w:style>
  <w:style w:type="paragraph" w:styleId="Ttulo3">
    <w:name w:val="heading 3"/>
    <w:basedOn w:val="Normal"/>
    <w:next w:val="Normal"/>
    <w:link w:val="Ttulo3Car"/>
    <w:uiPriority w:val="9"/>
    <w:unhideWhenUsed/>
    <w:qFormat/>
    <w:rsid w:val="003B4B36"/>
    <w:pPr>
      <w:keepNext/>
      <w:keepLines/>
      <w:spacing w:before="40" w:after="0"/>
      <w:jc w:val="center"/>
      <w:outlineLvl w:val="2"/>
    </w:pPr>
    <w:rPr>
      <w:rFonts w:ascii="Gotham Medium" w:eastAsiaTheme="majorEastAsia" w:hAnsi="Gotham Medium" w:cstheme="majorBidi"/>
      <w:color w:val="1F4D78" w:themeColor="accent1" w:themeShade="7F"/>
      <w:sz w:val="16"/>
      <w:szCs w:val="24"/>
    </w:rPr>
  </w:style>
  <w:style w:type="paragraph" w:styleId="Ttulo4">
    <w:name w:val="heading 4"/>
    <w:basedOn w:val="Normal"/>
    <w:next w:val="Normal"/>
    <w:link w:val="Ttulo4Car"/>
    <w:uiPriority w:val="9"/>
    <w:unhideWhenUsed/>
    <w:qFormat/>
    <w:rsid w:val="00E819B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C4A1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C4A14"/>
  </w:style>
  <w:style w:type="paragraph" w:styleId="Piedepgina">
    <w:name w:val="footer"/>
    <w:basedOn w:val="Normal"/>
    <w:link w:val="PiedepginaCar"/>
    <w:uiPriority w:val="99"/>
    <w:unhideWhenUsed/>
    <w:rsid w:val="00DC4A1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C4A14"/>
  </w:style>
  <w:style w:type="character" w:customStyle="1" w:styleId="Ttulo1Car">
    <w:name w:val="Título 1 Car"/>
    <w:basedOn w:val="Fuentedeprrafopredeter"/>
    <w:link w:val="Ttulo1"/>
    <w:uiPriority w:val="9"/>
    <w:rsid w:val="00E61B95"/>
    <w:rPr>
      <w:rFonts w:ascii="Artifex CF Light" w:eastAsiaTheme="majorEastAsia" w:hAnsi="Artifex CF Light" w:cstheme="majorBidi"/>
      <w:color w:val="2E74B5" w:themeColor="accent1" w:themeShade="BF"/>
      <w:spacing w:val="30"/>
      <w:kern w:val="38"/>
      <w:sz w:val="26"/>
      <w:szCs w:val="32"/>
    </w:rPr>
  </w:style>
  <w:style w:type="paragraph" w:styleId="Sinespaciado">
    <w:name w:val="No Spacing"/>
    <w:link w:val="SinespaciadoCar"/>
    <w:uiPriority w:val="1"/>
    <w:qFormat/>
    <w:rsid w:val="00EF3ED7"/>
    <w:pPr>
      <w:spacing w:after="0" w:line="240" w:lineRule="auto"/>
    </w:pPr>
    <w:rPr>
      <w:rFonts w:eastAsiaTheme="minorEastAsia"/>
      <w:lang w:eastAsia="es-DO"/>
    </w:rPr>
  </w:style>
  <w:style w:type="character" w:customStyle="1" w:styleId="SinespaciadoCar">
    <w:name w:val="Sin espaciado Car"/>
    <w:basedOn w:val="Fuentedeprrafopredeter"/>
    <w:link w:val="Sinespaciado"/>
    <w:uiPriority w:val="1"/>
    <w:rsid w:val="00EF3ED7"/>
    <w:rPr>
      <w:rFonts w:eastAsiaTheme="minorEastAsia"/>
      <w:lang w:eastAsia="es-DO"/>
    </w:rPr>
  </w:style>
  <w:style w:type="character" w:customStyle="1" w:styleId="Ttulo2Car">
    <w:name w:val="Título 2 Car"/>
    <w:basedOn w:val="Fuentedeprrafopredeter"/>
    <w:link w:val="Ttulo2"/>
    <w:uiPriority w:val="9"/>
    <w:rsid w:val="00E61B95"/>
    <w:rPr>
      <w:rFonts w:ascii="Gotham Medium" w:eastAsiaTheme="majorEastAsia" w:hAnsi="Gotham Medium" w:cstheme="majorBidi"/>
      <w:color w:val="1F4E79" w:themeColor="accent1" w:themeShade="80"/>
      <w:sz w:val="16"/>
      <w:szCs w:val="26"/>
    </w:rPr>
  </w:style>
  <w:style w:type="paragraph" w:styleId="TtuloTDC">
    <w:name w:val="TOC Heading"/>
    <w:basedOn w:val="Ttulo1"/>
    <w:next w:val="Normal"/>
    <w:uiPriority w:val="39"/>
    <w:unhideWhenUsed/>
    <w:qFormat/>
    <w:rsid w:val="005F40CF"/>
    <w:pPr>
      <w:jc w:val="left"/>
      <w:outlineLvl w:val="9"/>
    </w:pPr>
    <w:rPr>
      <w:rFonts w:asciiTheme="majorHAnsi" w:hAnsiTheme="majorHAnsi"/>
      <w:spacing w:val="0"/>
      <w:kern w:val="0"/>
      <w:sz w:val="32"/>
      <w:lang w:eastAsia="es-DO"/>
    </w:rPr>
  </w:style>
  <w:style w:type="paragraph" w:styleId="TDC1">
    <w:name w:val="toc 1"/>
    <w:basedOn w:val="Normal"/>
    <w:next w:val="Normal"/>
    <w:autoRedefine/>
    <w:uiPriority w:val="39"/>
    <w:unhideWhenUsed/>
    <w:rsid w:val="002C5E75"/>
    <w:pPr>
      <w:tabs>
        <w:tab w:val="left" w:pos="880"/>
        <w:tab w:val="left" w:pos="1276"/>
        <w:tab w:val="right" w:pos="7576"/>
      </w:tabs>
      <w:spacing w:after="100"/>
    </w:pPr>
    <w:rPr>
      <w:spacing w:val="10"/>
      <w:position w:val="4"/>
    </w:rPr>
  </w:style>
  <w:style w:type="character" w:styleId="Hipervnculo">
    <w:name w:val="Hyperlink"/>
    <w:basedOn w:val="Fuentedeprrafopredeter"/>
    <w:uiPriority w:val="99"/>
    <w:unhideWhenUsed/>
    <w:rsid w:val="005F40CF"/>
    <w:rPr>
      <w:color w:val="0563C1" w:themeColor="hyperlink"/>
      <w:u w:val="single"/>
    </w:rPr>
  </w:style>
  <w:style w:type="paragraph" w:styleId="TDC2">
    <w:name w:val="toc 2"/>
    <w:basedOn w:val="Normal"/>
    <w:next w:val="Normal"/>
    <w:autoRedefine/>
    <w:uiPriority w:val="39"/>
    <w:unhideWhenUsed/>
    <w:rsid w:val="000D2DC8"/>
    <w:pPr>
      <w:tabs>
        <w:tab w:val="left" w:pos="880"/>
        <w:tab w:val="right" w:pos="7576"/>
      </w:tabs>
      <w:spacing w:after="100"/>
      <w:ind w:left="220"/>
      <w:jc w:val="left"/>
    </w:pPr>
    <w:rPr>
      <w:rFonts w:ascii="Artifex CF Light" w:eastAsia="Times New Roman" w:hAnsi="Artifex CF Light" w:cs="Times New Roman"/>
      <w:noProof/>
      <w:sz w:val="16"/>
      <w:szCs w:val="16"/>
    </w:rPr>
  </w:style>
  <w:style w:type="paragraph" w:styleId="Prrafodelista">
    <w:name w:val="List Paragraph"/>
    <w:basedOn w:val="Normal"/>
    <w:uiPriority w:val="34"/>
    <w:qFormat/>
    <w:rsid w:val="00440FBA"/>
    <w:pPr>
      <w:ind w:left="720"/>
      <w:contextualSpacing/>
    </w:pPr>
  </w:style>
  <w:style w:type="paragraph" w:customStyle="1" w:styleId="Default">
    <w:name w:val="Default"/>
    <w:rsid w:val="00BD59E7"/>
    <w:pPr>
      <w:autoSpaceDE w:val="0"/>
      <w:autoSpaceDN w:val="0"/>
      <w:adjustRightInd w:val="0"/>
      <w:spacing w:after="0" w:line="240" w:lineRule="auto"/>
    </w:pPr>
    <w:rPr>
      <w:rFonts w:ascii="Calibri" w:hAnsi="Calibri" w:cs="Calibri"/>
      <w:color w:val="000000"/>
      <w:sz w:val="24"/>
      <w:szCs w:val="24"/>
    </w:rPr>
  </w:style>
  <w:style w:type="paragraph" w:customStyle="1" w:styleId="xmsonormal">
    <w:name w:val="x_msonormal"/>
    <w:basedOn w:val="Normal"/>
    <w:rsid w:val="00AB7B02"/>
    <w:pPr>
      <w:spacing w:before="100" w:beforeAutospacing="1" w:after="100" w:afterAutospacing="1" w:line="240" w:lineRule="auto"/>
      <w:ind w:left="0"/>
      <w:jc w:val="left"/>
    </w:pPr>
    <w:rPr>
      <w:rFonts w:ascii="Times New Roman" w:eastAsia="Times New Roman" w:hAnsi="Times New Roman" w:cs="Times New Roman"/>
      <w:color w:val="auto"/>
      <w:sz w:val="24"/>
      <w:szCs w:val="24"/>
      <w:lang w:val="es-ES" w:eastAsia="es-ES"/>
    </w:rPr>
  </w:style>
  <w:style w:type="character" w:styleId="Textoennegrita">
    <w:name w:val="Strong"/>
    <w:basedOn w:val="Fuentedeprrafopredeter"/>
    <w:uiPriority w:val="22"/>
    <w:qFormat/>
    <w:rsid w:val="00180F3A"/>
    <w:rPr>
      <w:b/>
      <w:bCs/>
    </w:rPr>
  </w:style>
  <w:style w:type="paragraph" w:styleId="Descripcin">
    <w:name w:val="caption"/>
    <w:basedOn w:val="Normal"/>
    <w:next w:val="Normal"/>
    <w:uiPriority w:val="35"/>
    <w:semiHidden/>
    <w:unhideWhenUsed/>
    <w:qFormat/>
    <w:rsid w:val="00B101FB"/>
    <w:pPr>
      <w:spacing w:after="200" w:line="240" w:lineRule="auto"/>
    </w:pPr>
    <w:rPr>
      <w:i/>
      <w:iCs/>
      <w:color w:val="44546A" w:themeColor="text2"/>
      <w:szCs w:val="18"/>
    </w:rPr>
  </w:style>
  <w:style w:type="paragraph" w:styleId="Textoindependiente">
    <w:name w:val="Body Text"/>
    <w:basedOn w:val="Normal"/>
    <w:link w:val="TextoindependienteCar"/>
    <w:uiPriority w:val="1"/>
    <w:qFormat/>
    <w:rsid w:val="008571E6"/>
    <w:pPr>
      <w:widowControl w:val="0"/>
      <w:autoSpaceDE w:val="0"/>
      <w:autoSpaceDN w:val="0"/>
      <w:spacing w:after="0" w:line="240" w:lineRule="auto"/>
      <w:ind w:left="0"/>
      <w:jc w:val="left"/>
    </w:pPr>
    <w:rPr>
      <w:rFonts w:ascii="Times New Roman" w:eastAsia="Times New Roman" w:hAnsi="Times New Roman" w:cs="Times New Roman"/>
      <w:color w:val="auto"/>
      <w:sz w:val="24"/>
      <w:szCs w:val="24"/>
      <w:lang w:val="es-ES" w:eastAsia="es-ES" w:bidi="es-ES"/>
    </w:rPr>
  </w:style>
  <w:style w:type="character" w:customStyle="1" w:styleId="TextoindependienteCar">
    <w:name w:val="Texto independiente Car"/>
    <w:basedOn w:val="Fuentedeprrafopredeter"/>
    <w:link w:val="Textoindependiente"/>
    <w:uiPriority w:val="1"/>
    <w:rsid w:val="008571E6"/>
    <w:rPr>
      <w:rFonts w:ascii="Times New Roman" w:eastAsia="Times New Roman" w:hAnsi="Times New Roman" w:cs="Times New Roman"/>
      <w:sz w:val="24"/>
      <w:szCs w:val="24"/>
      <w:lang w:val="es-ES" w:eastAsia="es-ES" w:bidi="es-ES"/>
    </w:rPr>
  </w:style>
  <w:style w:type="character" w:customStyle="1" w:styleId="Ttulo3Car">
    <w:name w:val="Título 3 Car"/>
    <w:basedOn w:val="Fuentedeprrafopredeter"/>
    <w:link w:val="Ttulo3"/>
    <w:uiPriority w:val="9"/>
    <w:rsid w:val="003B4B36"/>
    <w:rPr>
      <w:rFonts w:ascii="Gotham Medium" w:eastAsiaTheme="majorEastAsia" w:hAnsi="Gotham Medium" w:cstheme="majorBidi"/>
      <w:color w:val="1F4D78" w:themeColor="accent1" w:themeShade="7F"/>
      <w:sz w:val="16"/>
      <w:szCs w:val="24"/>
    </w:rPr>
  </w:style>
  <w:style w:type="character" w:customStyle="1" w:styleId="Ttulo4Car">
    <w:name w:val="Título 4 Car"/>
    <w:basedOn w:val="Fuentedeprrafopredeter"/>
    <w:link w:val="Ttulo4"/>
    <w:uiPriority w:val="9"/>
    <w:rsid w:val="00E819B4"/>
    <w:rPr>
      <w:rFonts w:asciiTheme="majorHAnsi" w:eastAsiaTheme="majorEastAsia" w:hAnsiTheme="majorHAnsi" w:cstheme="majorBidi"/>
      <w:i/>
      <w:iCs/>
      <w:color w:val="2E74B5" w:themeColor="accent1" w:themeShade="BF"/>
    </w:rPr>
  </w:style>
  <w:style w:type="paragraph" w:styleId="TDC3">
    <w:name w:val="toc 3"/>
    <w:basedOn w:val="Normal"/>
    <w:next w:val="Normal"/>
    <w:autoRedefine/>
    <w:uiPriority w:val="39"/>
    <w:unhideWhenUsed/>
    <w:rsid w:val="00F1408B"/>
    <w:pPr>
      <w:spacing w:after="100"/>
      <w:ind w:left="440"/>
    </w:pPr>
  </w:style>
  <w:style w:type="paragraph" w:styleId="Textonotapie">
    <w:name w:val="footnote text"/>
    <w:basedOn w:val="Normal"/>
    <w:link w:val="TextonotapieCar"/>
    <w:uiPriority w:val="99"/>
    <w:semiHidden/>
    <w:unhideWhenUsed/>
    <w:rsid w:val="00AA1B9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A1B9D"/>
    <w:rPr>
      <w:rFonts w:ascii="Artifex CF Extra Light" w:hAnsi="Artifex CF Extra Light"/>
      <w:color w:val="1F4E79" w:themeColor="accent1" w:themeShade="80"/>
      <w:sz w:val="20"/>
      <w:szCs w:val="20"/>
    </w:rPr>
  </w:style>
  <w:style w:type="character" w:styleId="Refdenotaalpie">
    <w:name w:val="footnote reference"/>
    <w:basedOn w:val="Fuentedeprrafopredeter"/>
    <w:uiPriority w:val="99"/>
    <w:semiHidden/>
    <w:unhideWhenUsed/>
    <w:rsid w:val="00AA1B9D"/>
    <w:rPr>
      <w:vertAlign w:val="superscript"/>
    </w:rPr>
  </w:style>
  <w:style w:type="paragraph" w:styleId="Sangradetextonormal">
    <w:name w:val="Body Text Indent"/>
    <w:basedOn w:val="Normal"/>
    <w:link w:val="SangradetextonormalCar"/>
    <w:uiPriority w:val="99"/>
    <w:semiHidden/>
    <w:unhideWhenUsed/>
    <w:rsid w:val="00BA200F"/>
    <w:pPr>
      <w:spacing w:after="120"/>
      <w:ind w:left="283"/>
    </w:pPr>
  </w:style>
  <w:style w:type="character" w:customStyle="1" w:styleId="SangradetextonormalCar">
    <w:name w:val="Sangría de texto normal Car"/>
    <w:basedOn w:val="Fuentedeprrafopredeter"/>
    <w:link w:val="Sangradetextonormal"/>
    <w:uiPriority w:val="99"/>
    <w:semiHidden/>
    <w:rsid w:val="00BA200F"/>
    <w:rPr>
      <w:rFonts w:ascii="Artifex CF Extra Light" w:hAnsi="Artifex CF Extra Light"/>
      <w:color w:val="1F4E79" w:themeColor="accent1" w:themeShade="80"/>
      <w:sz w:val="18"/>
    </w:rPr>
  </w:style>
  <w:style w:type="character" w:customStyle="1" w:styleId="longtext1">
    <w:name w:val="long_text1"/>
    <w:rsid w:val="00193211"/>
    <w:rPr>
      <w:sz w:val="13"/>
      <w:szCs w:val="13"/>
    </w:rPr>
  </w:style>
  <w:style w:type="paragraph" w:styleId="Textodeglobo">
    <w:name w:val="Balloon Text"/>
    <w:basedOn w:val="Normal"/>
    <w:link w:val="TextodegloboCar"/>
    <w:uiPriority w:val="99"/>
    <w:semiHidden/>
    <w:unhideWhenUsed/>
    <w:rsid w:val="00E336BB"/>
    <w:pPr>
      <w:spacing w:after="0" w:line="240" w:lineRule="auto"/>
    </w:pPr>
    <w:rPr>
      <w:rFonts w:ascii="Segoe UI" w:hAnsi="Segoe UI" w:cs="Segoe UI"/>
      <w:szCs w:val="18"/>
    </w:rPr>
  </w:style>
  <w:style w:type="character" w:customStyle="1" w:styleId="TextodegloboCar">
    <w:name w:val="Texto de globo Car"/>
    <w:basedOn w:val="Fuentedeprrafopredeter"/>
    <w:link w:val="Textodeglobo"/>
    <w:uiPriority w:val="99"/>
    <w:semiHidden/>
    <w:rsid w:val="00E336BB"/>
    <w:rPr>
      <w:rFonts w:ascii="Segoe UI" w:hAnsi="Segoe UI" w:cs="Segoe UI"/>
      <w:color w:val="1F4E79" w:themeColor="accent1" w:themeShade="8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56120">
      <w:bodyDiv w:val="1"/>
      <w:marLeft w:val="0"/>
      <w:marRight w:val="0"/>
      <w:marTop w:val="0"/>
      <w:marBottom w:val="0"/>
      <w:divBdr>
        <w:top w:val="none" w:sz="0" w:space="0" w:color="auto"/>
        <w:left w:val="none" w:sz="0" w:space="0" w:color="auto"/>
        <w:bottom w:val="none" w:sz="0" w:space="0" w:color="auto"/>
        <w:right w:val="none" w:sz="0" w:space="0" w:color="auto"/>
      </w:divBdr>
    </w:div>
    <w:div w:id="187456364">
      <w:bodyDiv w:val="1"/>
      <w:marLeft w:val="0"/>
      <w:marRight w:val="0"/>
      <w:marTop w:val="0"/>
      <w:marBottom w:val="0"/>
      <w:divBdr>
        <w:top w:val="none" w:sz="0" w:space="0" w:color="auto"/>
        <w:left w:val="none" w:sz="0" w:space="0" w:color="auto"/>
        <w:bottom w:val="none" w:sz="0" w:space="0" w:color="auto"/>
        <w:right w:val="none" w:sz="0" w:space="0" w:color="auto"/>
      </w:divBdr>
    </w:div>
    <w:div w:id="420680196">
      <w:bodyDiv w:val="1"/>
      <w:marLeft w:val="0"/>
      <w:marRight w:val="0"/>
      <w:marTop w:val="0"/>
      <w:marBottom w:val="0"/>
      <w:divBdr>
        <w:top w:val="none" w:sz="0" w:space="0" w:color="auto"/>
        <w:left w:val="none" w:sz="0" w:space="0" w:color="auto"/>
        <w:bottom w:val="none" w:sz="0" w:space="0" w:color="auto"/>
        <w:right w:val="none" w:sz="0" w:space="0" w:color="auto"/>
      </w:divBdr>
    </w:div>
    <w:div w:id="814182689">
      <w:bodyDiv w:val="1"/>
      <w:marLeft w:val="0"/>
      <w:marRight w:val="0"/>
      <w:marTop w:val="0"/>
      <w:marBottom w:val="0"/>
      <w:divBdr>
        <w:top w:val="none" w:sz="0" w:space="0" w:color="auto"/>
        <w:left w:val="none" w:sz="0" w:space="0" w:color="auto"/>
        <w:bottom w:val="none" w:sz="0" w:space="0" w:color="auto"/>
        <w:right w:val="none" w:sz="0" w:space="0" w:color="auto"/>
      </w:divBdr>
    </w:div>
    <w:div w:id="869991512">
      <w:bodyDiv w:val="1"/>
      <w:marLeft w:val="0"/>
      <w:marRight w:val="0"/>
      <w:marTop w:val="0"/>
      <w:marBottom w:val="0"/>
      <w:divBdr>
        <w:top w:val="none" w:sz="0" w:space="0" w:color="auto"/>
        <w:left w:val="none" w:sz="0" w:space="0" w:color="auto"/>
        <w:bottom w:val="none" w:sz="0" w:space="0" w:color="auto"/>
        <w:right w:val="none" w:sz="0" w:space="0" w:color="auto"/>
      </w:divBdr>
    </w:div>
    <w:div w:id="955988408">
      <w:bodyDiv w:val="1"/>
      <w:marLeft w:val="0"/>
      <w:marRight w:val="0"/>
      <w:marTop w:val="0"/>
      <w:marBottom w:val="0"/>
      <w:divBdr>
        <w:top w:val="none" w:sz="0" w:space="0" w:color="auto"/>
        <w:left w:val="none" w:sz="0" w:space="0" w:color="auto"/>
        <w:bottom w:val="none" w:sz="0" w:space="0" w:color="auto"/>
        <w:right w:val="none" w:sz="0" w:space="0" w:color="auto"/>
      </w:divBdr>
    </w:div>
    <w:div w:id="972252829">
      <w:bodyDiv w:val="1"/>
      <w:marLeft w:val="0"/>
      <w:marRight w:val="0"/>
      <w:marTop w:val="0"/>
      <w:marBottom w:val="0"/>
      <w:divBdr>
        <w:top w:val="none" w:sz="0" w:space="0" w:color="auto"/>
        <w:left w:val="none" w:sz="0" w:space="0" w:color="auto"/>
        <w:bottom w:val="none" w:sz="0" w:space="0" w:color="auto"/>
        <w:right w:val="none" w:sz="0" w:space="0" w:color="auto"/>
      </w:divBdr>
    </w:div>
    <w:div w:id="1038042667">
      <w:bodyDiv w:val="1"/>
      <w:marLeft w:val="0"/>
      <w:marRight w:val="0"/>
      <w:marTop w:val="0"/>
      <w:marBottom w:val="0"/>
      <w:divBdr>
        <w:top w:val="none" w:sz="0" w:space="0" w:color="auto"/>
        <w:left w:val="none" w:sz="0" w:space="0" w:color="auto"/>
        <w:bottom w:val="none" w:sz="0" w:space="0" w:color="auto"/>
        <w:right w:val="none" w:sz="0" w:space="0" w:color="auto"/>
      </w:divBdr>
    </w:div>
    <w:div w:id="1054233420">
      <w:bodyDiv w:val="1"/>
      <w:marLeft w:val="0"/>
      <w:marRight w:val="0"/>
      <w:marTop w:val="0"/>
      <w:marBottom w:val="0"/>
      <w:divBdr>
        <w:top w:val="none" w:sz="0" w:space="0" w:color="auto"/>
        <w:left w:val="none" w:sz="0" w:space="0" w:color="auto"/>
        <w:bottom w:val="none" w:sz="0" w:space="0" w:color="auto"/>
        <w:right w:val="none" w:sz="0" w:space="0" w:color="auto"/>
      </w:divBdr>
    </w:div>
    <w:div w:id="1199273095">
      <w:bodyDiv w:val="1"/>
      <w:marLeft w:val="0"/>
      <w:marRight w:val="0"/>
      <w:marTop w:val="0"/>
      <w:marBottom w:val="0"/>
      <w:divBdr>
        <w:top w:val="none" w:sz="0" w:space="0" w:color="auto"/>
        <w:left w:val="none" w:sz="0" w:space="0" w:color="auto"/>
        <w:bottom w:val="none" w:sz="0" w:space="0" w:color="auto"/>
        <w:right w:val="none" w:sz="0" w:space="0" w:color="auto"/>
      </w:divBdr>
    </w:div>
    <w:div w:id="1880166196">
      <w:bodyDiv w:val="1"/>
      <w:marLeft w:val="0"/>
      <w:marRight w:val="0"/>
      <w:marTop w:val="0"/>
      <w:marBottom w:val="0"/>
      <w:divBdr>
        <w:top w:val="none" w:sz="0" w:space="0" w:color="auto"/>
        <w:left w:val="none" w:sz="0" w:space="0" w:color="auto"/>
        <w:bottom w:val="none" w:sz="0" w:space="0" w:color="auto"/>
        <w:right w:val="none" w:sz="0" w:space="0" w:color="auto"/>
      </w:divBdr>
    </w:div>
    <w:div w:id="189565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emf"/></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882BB-5ADB-4325-A12A-BF5AC1A3F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52</Pages>
  <Words>9552</Words>
  <Characters>52539</Characters>
  <Application>Microsoft Office Word</Application>
  <DocSecurity>0</DocSecurity>
  <Lines>437</Lines>
  <Paragraphs>123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MEMORIA INSTITUCIONAL</vt:lpstr>
      <vt:lpstr>MEMORIA INSTITUCIONAL</vt:lpstr>
    </vt:vector>
  </TitlesOfParts>
  <Company/>
  <LinksUpToDate>false</LinksUpToDate>
  <CharactersWithSpaces>61968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 INSTITUCIONAL</dc:title>
  <dc:subject>AÑO 2020</dc:subject>
  <dc:creator>FRANCISCO GONZALEZ</dc:creator>
  <cp:keywords/>
  <dc:description/>
  <cp:lastModifiedBy>Aida V. Pardilla Martinez</cp:lastModifiedBy>
  <cp:revision>4</cp:revision>
  <cp:lastPrinted>2021-01-15T16:55:00Z</cp:lastPrinted>
  <dcterms:created xsi:type="dcterms:W3CDTF">2021-01-19T12:33:00Z</dcterms:created>
  <dcterms:modified xsi:type="dcterms:W3CDTF">2021-01-19T13:04:00Z</dcterms:modified>
</cp:coreProperties>
</file>