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B4E96F" w14:textId="77777777" w:rsidR="003F1BF5" w:rsidRPr="008C70FF" w:rsidRDefault="003F1BF5" w:rsidP="003F1BF5">
      <w:pPr>
        <w:pStyle w:val="Sinespaciado"/>
        <w:tabs>
          <w:tab w:val="center" w:pos="3793"/>
          <w:tab w:val="right" w:pos="7586"/>
        </w:tabs>
        <w:spacing w:before="1540" w:after="240"/>
        <w:jc w:val="center"/>
        <w:rPr>
          <w:rFonts w:ascii="Artifex CF Extra Light" w:eastAsiaTheme="minorHAnsi" w:hAnsi="Artifex CF Extra Light"/>
          <w:color w:val="8E6C00"/>
          <w:spacing w:val="24"/>
          <w:lang w:eastAsia="en-US"/>
          <w14:textFill>
            <w14:solidFill>
              <w14:srgbClr w14:val="8E6C00">
                <w14:alpha w14:val="50000"/>
              </w14:srgbClr>
            </w14:solidFill>
          </w14:textFill>
        </w:rPr>
      </w:pPr>
      <w:r w:rsidRPr="003F5956">
        <w:rPr>
          <w:noProof/>
          <w:color w:val="8E6C00"/>
          <w:lang w:val="en-US" w:eastAsia="en-US"/>
          <w14:textFill>
            <w14:solidFill>
              <w14:srgbClr w14:val="8E6C00">
                <w14:alpha w14:val="50000"/>
              </w14:srgbClr>
            </w14:solidFill>
          </w14:textFill>
        </w:rPr>
        <w:drawing>
          <wp:anchor distT="0" distB="0" distL="114300" distR="114300" simplePos="0" relativeHeight="251677696" behindDoc="0" locked="0" layoutInCell="1" allowOverlap="1" wp14:anchorId="76D2C6C0" wp14:editId="0F1FB4B4">
            <wp:simplePos x="0" y="0"/>
            <wp:positionH relativeFrom="margin">
              <wp:align>center</wp:align>
            </wp:positionH>
            <wp:positionV relativeFrom="margin">
              <wp:posOffset>-404476</wp:posOffset>
            </wp:positionV>
            <wp:extent cx="1270659" cy="1284699"/>
            <wp:effectExtent l="0" t="0" r="5715"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956">
        <w:rPr>
          <w:rFonts w:ascii="Artifex CF Demi Bold" w:hAnsi="Artifex CF Demi Bold"/>
          <w:b/>
          <w:bCs/>
          <w:color w:val="8E6C00"/>
          <w:spacing w:val="24"/>
          <w14:textFill>
            <w14:solidFill>
              <w14:srgbClr w14:val="8E6C00">
                <w14:alpha w14:val="50000"/>
              </w14:srgbClr>
            </w14:solidFill>
          </w14:textFill>
        </w:rPr>
        <w:t>REPÚBLICA</w:t>
      </w:r>
      <w:r>
        <w:rPr>
          <w:rFonts w:ascii="Artifex CF Demi Bold" w:hAnsi="Artifex CF Demi Bold"/>
          <w:b/>
          <w:bCs/>
          <w:color w:val="8E6C00"/>
          <w:spacing w:val="24"/>
          <w14:textFill>
            <w14:solidFill>
              <w14:srgbClr w14:val="8E6C00">
                <w14:alpha w14:val="50000"/>
              </w14:srgbClr>
            </w14:solidFill>
          </w14:textFill>
        </w:rPr>
        <w:t xml:space="preserve"> </w:t>
      </w:r>
      <w:r w:rsidRPr="003F5956">
        <w:rPr>
          <w:rFonts w:ascii="Artifex CF Demi Bold" w:hAnsi="Artifex CF Demi Bold"/>
          <w:b/>
          <w:bCs/>
          <w:color w:val="8E6C00"/>
          <w:spacing w:val="24"/>
          <w14:textFill>
            <w14:solidFill>
              <w14:srgbClr w14:val="8E6C00">
                <w14:alpha w14:val="50000"/>
              </w14:srgbClr>
            </w14:solidFill>
          </w14:textFill>
        </w:rPr>
        <w:t>DOMINICANA</w:t>
      </w:r>
    </w:p>
    <w:p w14:paraId="206C4B46" w14:textId="77777777" w:rsidR="003F1BF5" w:rsidRPr="003F1BF5" w:rsidRDefault="003F1BF5" w:rsidP="003F1BF5">
      <w:pPr>
        <w:rPr>
          <w:b/>
          <w:bCs/>
          <w:lang w:val="es-ES"/>
        </w:rPr>
      </w:pPr>
    </w:p>
    <w:p w14:paraId="75909152" w14:textId="77777777" w:rsidR="003F1BF5" w:rsidRPr="003F1BF5" w:rsidRDefault="003F1BF5" w:rsidP="003F1BF5">
      <w:pPr>
        <w:rPr>
          <w:b/>
          <w:bCs/>
          <w:lang w:val="es-ES"/>
        </w:rPr>
      </w:pPr>
    </w:p>
    <w:p w14:paraId="4623EF46" w14:textId="77777777" w:rsidR="003F1BF5" w:rsidRPr="003F1BF5" w:rsidRDefault="003F1BF5" w:rsidP="003F1BF5">
      <w:pPr>
        <w:rPr>
          <w:b/>
          <w:bCs/>
          <w:lang w:val="es-ES"/>
        </w:rPr>
      </w:pPr>
    </w:p>
    <w:p w14:paraId="6B9F2D43" w14:textId="77777777" w:rsidR="003F1BF5" w:rsidRPr="003F1BF5" w:rsidRDefault="003F1BF5" w:rsidP="003F1BF5">
      <w:pPr>
        <w:rPr>
          <w:b/>
          <w:bCs/>
          <w:lang w:val="es-ES"/>
        </w:rPr>
      </w:pPr>
    </w:p>
    <w:p w14:paraId="54986590" w14:textId="77777777" w:rsidR="003F1BF5" w:rsidRDefault="003F1BF5" w:rsidP="003F1BF5">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p>
    <w:p w14:paraId="757D39D3" w14:textId="77777777" w:rsidR="003F1BF5" w:rsidRPr="00A95F68" w:rsidRDefault="003F1BF5" w:rsidP="003F1BF5">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60203ECC" w14:textId="77777777" w:rsidR="003F1BF5" w:rsidRPr="00A95F68" w:rsidRDefault="003F1BF5" w:rsidP="003F1BF5">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50160EB8" w14:textId="748D4E40" w:rsidR="003F1BF5" w:rsidRPr="00A95F68" w:rsidRDefault="003F1BF5" w:rsidP="003F1BF5">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lang w:val="en-US" w:eastAsia="en-US"/>
          <w14:textFill>
            <w14:solidFill>
              <w14:srgbClr w14:val="8E6C00">
                <w14:alpha w14:val="50000"/>
              </w14:srgbClr>
            </w14:solidFill>
          </w14:textFill>
        </w:rPr>
        <mc:AlternateContent>
          <mc:Choice Requires="wps">
            <w:drawing>
              <wp:anchor distT="0" distB="0" distL="114300" distR="114300" simplePos="0" relativeHeight="251425792" behindDoc="0" locked="0" layoutInCell="1" allowOverlap="1" wp14:anchorId="4E642818" wp14:editId="505FD9B0">
                <wp:simplePos x="0" y="0"/>
                <wp:positionH relativeFrom="margin">
                  <wp:align>center</wp:align>
                </wp:positionH>
                <wp:positionV relativeFrom="paragraph">
                  <wp:posOffset>3810</wp:posOffset>
                </wp:positionV>
                <wp:extent cx="439420" cy="8255"/>
                <wp:effectExtent l="19050" t="19050" r="36830" b="29845"/>
                <wp:wrapNone/>
                <wp:docPr id="11"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3B535547" id="Conector recto 4" o:spid="_x0000_s1026" style="position:absolute;flip:y;z-index:251425792;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FFXKuzzAQAAOA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793F9749" w14:textId="5A5B95D5" w:rsidR="003F1BF5" w:rsidRDefault="003F1BF5" w:rsidP="003F1BF5">
      <w:pPr>
        <w:pStyle w:val="Sinespaciado"/>
        <w:jc w:val="center"/>
        <w:rPr>
          <w:rFonts w:ascii="Artifex CF Extra Light" w:hAnsi="Artifex CF Extra Light"/>
          <w:color w:val="8E6C00"/>
          <w:spacing w:val="40"/>
          <w:sz w:val="20"/>
          <w:szCs w:val="20"/>
          <w14:textFill>
            <w14:solidFill>
              <w14:srgbClr w14:val="8E6C00">
                <w14:alpha w14:val="50000"/>
              </w14:srgbClr>
            </w14:solidFill>
          </w14:textFill>
        </w:rPr>
      </w:pPr>
      <w:r w:rsidRPr="009C5883">
        <w:rPr>
          <w:rFonts w:ascii="Artifex CF Extra Light" w:hAnsi="Artifex CF Extra Light"/>
          <w:color w:val="8E6C00"/>
          <w:spacing w:val="40"/>
          <w:sz w:val="20"/>
          <w:szCs w:val="20"/>
          <w14:textFill>
            <w14:solidFill>
              <w14:srgbClr w14:val="8E6C00">
                <w14:alpha w14:val="50000"/>
              </w14:srgbClr>
            </w14:solidFill>
          </w14:textFill>
        </w:rPr>
        <w:t>AÑO 202</w:t>
      </w:r>
      <w:r>
        <w:rPr>
          <w:noProof/>
          <w:lang w:val="en-US" w:eastAsia="en-US"/>
        </w:rPr>
        <w:drawing>
          <wp:anchor distT="0" distB="0" distL="114300" distR="114300" simplePos="0" relativeHeight="251467776" behindDoc="0" locked="0" layoutInCell="1" allowOverlap="1" wp14:anchorId="44571233" wp14:editId="441968A6">
            <wp:simplePos x="0" y="0"/>
            <wp:positionH relativeFrom="column">
              <wp:posOffset>-890905</wp:posOffset>
            </wp:positionH>
            <wp:positionV relativeFrom="paragraph">
              <wp:posOffset>2680335</wp:posOffset>
            </wp:positionV>
            <wp:extent cx="2547620" cy="11188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Pr>
          <w:rFonts w:ascii="Artifex CF Extra Light" w:hAnsi="Artifex CF Extra Light"/>
          <w:color w:val="8E6C00"/>
          <w:spacing w:val="40"/>
          <w:sz w:val="20"/>
          <w:szCs w:val="20"/>
          <w14:textFill>
            <w14:solidFill>
              <w14:srgbClr w14:val="8E6C00">
                <w14:alpha w14:val="50000"/>
              </w14:srgbClr>
            </w14:solidFill>
          </w14:textFill>
        </w:rPr>
        <w:t xml:space="preserve">0 </w:t>
      </w:r>
    </w:p>
    <w:p w14:paraId="179BC1AF" w14:textId="068FFF06" w:rsidR="003F1BF5" w:rsidRPr="003F1BF5" w:rsidRDefault="0081331C" w:rsidP="003F1BF5">
      <w:pPr>
        <w:rPr>
          <w:rFonts w:ascii="Artifex CF Extra Light" w:eastAsiaTheme="minorEastAsia" w:hAnsi="Artifex CF Extra Light"/>
          <w:color w:val="8E6C00"/>
          <w:spacing w:val="40"/>
          <w:sz w:val="20"/>
          <w:szCs w:val="20"/>
          <w:lang w:val="es-ES" w:eastAsia="es-DO"/>
          <w14:textFill>
            <w14:solidFill>
              <w14:srgbClr w14:val="8E6C00">
                <w14:alpha w14:val="50000"/>
              </w14:srgbClr>
            </w14:solidFill>
          </w14:textFill>
        </w:rPr>
      </w:pPr>
      <w:r>
        <w:rPr>
          <w:rFonts w:ascii="Ghotam" w:hAnsi="Ghotam" w:cs="Arial"/>
          <w:b/>
          <w:bCs/>
          <w:noProof/>
          <w:color w:val="193C6A"/>
          <w:sz w:val="28"/>
          <w:szCs w:val="28"/>
          <w:lang w:val="es-ES"/>
        </w:rPr>
        <w:drawing>
          <wp:anchor distT="0" distB="0" distL="114300" distR="114300" simplePos="0" relativeHeight="251930624" behindDoc="0" locked="0" layoutInCell="1" allowOverlap="1" wp14:anchorId="61770A1F" wp14:editId="08130131">
            <wp:simplePos x="0" y="0"/>
            <wp:positionH relativeFrom="column">
              <wp:posOffset>2811780</wp:posOffset>
            </wp:positionH>
            <wp:positionV relativeFrom="paragraph">
              <wp:posOffset>2319655</wp:posOffset>
            </wp:positionV>
            <wp:extent cx="2705735" cy="1519555"/>
            <wp:effectExtent l="0" t="0" r="0" b="4445"/>
            <wp:wrapTopAndBottom/>
            <wp:docPr id="45" name="Imagen 4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Logotipo, nombre de la empresa&#10;&#10;Descripción generada automáticamente"/>
                    <pic:cNvPicPr/>
                  </pic:nvPicPr>
                  <pic:blipFill>
                    <a:blip r:embed="rId13"/>
                    <a:stretch>
                      <a:fillRect/>
                    </a:stretch>
                  </pic:blipFill>
                  <pic:spPr>
                    <a:xfrm>
                      <a:off x="0" y="0"/>
                      <a:ext cx="2705735" cy="1519555"/>
                    </a:xfrm>
                    <a:prstGeom prst="rect">
                      <a:avLst/>
                    </a:prstGeom>
                  </pic:spPr>
                </pic:pic>
              </a:graphicData>
            </a:graphic>
            <wp14:sizeRelH relativeFrom="margin">
              <wp14:pctWidth>0</wp14:pctWidth>
            </wp14:sizeRelH>
            <wp14:sizeRelV relativeFrom="margin">
              <wp14:pctHeight>0</wp14:pctHeight>
            </wp14:sizeRelV>
          </wp:anchor>
        </w:drawing>
      </w:r>
      <w:r w:rsidR="003F1BF5" w:rsidRPr="003F1BF5">
        <w:rPr>
          <w:rFonts w:ascii="Artifex CF Extra Light" w:hAnsi="Artifex CF Extra Light"/>
          <w:color w:val="8E6C00"/>
          <w:spacing w:val="40"/>
          <w:sz w:val="20"/>
          <w:szCs w:val="20"/>
          <w:lang w:val="es-ES"/>
          <w14:textFill>
            <w14:solidFill>
              <w14:srgbClr w14:val="8E6C00">
                <w14:alpha w14:val="50000"/>
              </w14:srgbClr>
            </w14:solidFill>
          </w14:textFill>
        </w:rPr>
        <w:br w:type="page"/>
      </w:r>
    </w:p>
    <w:p w14:paraId="4D621B48" w14:textId="77777777" w:rsidR="003F1BF5" w:rsidRPr="00F24A25" w:rsidRDefault="003F1BF5" w:rsidP="00B57DB6">
      <w:pPr>
        <w:pStyle w:val="Sinespaciado"/>
        <w:rPr>
          <w:rFonts w:ascii="Artifex CF Extra Light" w:hAnsi="Artifex CF Extra Light"/>
          <w:color w:val="8E6C00"/>
          <w:spacing w:val="40"/>
          <w:sz w:val="20"/>
          <w:szCs w:val="20"/>
          <w14:textFill>
            <w14:solidFill>
              <w14:srgbClr w14:val="8E6C00">
                <w14:alpha w14:val="50000"/>
              </w14:srgbClr>
            </w14:solidFill>
          </w14:textFill>
        </w:rPr>
        <w:sectPr w:rsidR="003F1BF5" w:rsidRPr="00F24A25" w:rsidSect="005734E0">
          <w:footerReference w:type="default" r:id="rId14"/>
          <w:pgSz w:w="11906" w:h="16838"/>
          <w:pgMar w:top="2160" w:right="2160" w:bottom="2160" w:left="2160" w:header="709" w:footer="709" w:gutter="0"/>
          <w:pgNumType w:start="0"/>
          <w:cols w:space="708"/>
          <w:titlePg/>
          <w:docGrid w:linePitch="360"/>
        </w:sectPr>
      </w:pPr>
    </w:p>
    <w:p w14:paraId="7FAA5FC8" w14:textId="77777777" w:rsidR="003F1BF5" w:rsidRPr="003F1BF5" w:rsidRDefault="003F1BF5" w:rsidP="003F1BF5">
      <w:pPr>
        <w:rPr>
          <w:b/>
          <w:bCs/>
          <w:lang w:val="es-ES"/>
        </w:rPr>
      </w:pPr>
    </w:p>
    <w:p w14:paraId="4629841A" w14:textId="77777777" w:rsidR="003F1BF5" w:rsidRPr="003F1BF5" w:rsidRDefault="003F1BF5" w:rsidP="003F1BF5">
      <w:pPr>
        <w:rPr>
          <w:b/>
          <w:bCs/>
          <w:lang w:val="es-ES"/>
        </w:rPr>
      </w:pPr>
    </w:p>
    <w:p w14:paraId="41BDAA71" w14:textId="77777777" w:rsidR="003F1BF5" w:rsidRPr="00A95F68" w:rsidRDefault="003F1BF5" w:rsidP="003F1BF5">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24409874" w14:textId="77777777" w:rsidR="003F1BF5" w:rsidRPr="00A95F68" w:rsidRDefault="003F1BF5" w:rsidP="003F1BF5">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5D256717" w14:textId="0E0CFDB7" w:rsidR="003F1BF5" w:rsidRPr="00A95F68" w:rsidRDefault="003F1BF5" w:rsidP="003F1BF5">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lang w:val="en-US" w:eastAsia="en-US"/>
          <w14:textFill>
            <w14:solidFill>
              <w14:srgbClr w14:val="8E6C00">
                <w14:alpha w14:val="50000"/>
              </w14:srgbClr>
            </w14:solidFill>
          </w14:textFill>
        </w:rPr>
        <mc:AlternateContent>
          <mc:Choice Requires="wps">
            <w:drawing>
              <wp:anchor distT="0" distB="0" distL="114300" distR="114300" simplePos="0" relativeHeight="251551744" behindDoc="0" locked="0" layoutInCell="1" allowOverlap="1" wp14:anchorId="5B100E02" wp14:editId="4FC4CBE4">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36B4E653" id="Conector recto 4" o:spid="_x0000_s1026" style="position:absolute;flip:y;z-index:25155174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08EA1870" w14:textId="46569540" w:rsidR="0033049C" w:rsidRPr="003F1BF5" w:rsidRDefault="006F2F51" w:rsidP="000C4DF8">
      <w:pPr>
        <w:spacing w:line="360" w:lineRule="auto"/>
        <w:jc w:val="center"/>
        <w:rPr>
          <w:rFonts w:ascii="Ghotam" w:hAnsi="Ghotam" w:cs="Arial"/>
          <w:b/>
          <w:bCs/>
          <w:color w:val="193C6A"/>
          <w:sz w:val="28"/>
          <w:szCs w:val="28"/>
          <w:lang w:val="es-ES"/>
        </w:rPr>
        <w:sectPr w:rsidR="0033049C" w:rsidRPr="003F1BF5" w:rsidSect="007F324E">
          <w:headerReference w:type="default" r:id="rId15"/>
          <w:headerReference w:type="first" r:id="rId16"/>
          <w:pgSz w:w="12240" w:h="15840" w:code="1"/>
          <w:pgMar w:top="590" w:right="2160" w:bottom="590" w:left="2160" w:header="708" w:footer="708" w:gutter="0"/>
          <w:pgNumType w:start="0"/>
          <w:cols w:space="708"/>
          <w:titlePg/>
          <w:docGrid w:linePitch="360"/>
        </w:sectPr>
      </w:pPr>
      <w:r>
        <w:rPr>
          <w:rFonts w:ascii="Ghotam" w:hAnsi="Ghotam" w:cs="Arial"/>
          <w:b/>
          <w:bCs/>
          <w:noProof/>
          <w:color w:val="193C6A"/>
          <w:sz w:val="28"/>
          <w:szCs w:val="28"/>
          <w:lang w:val="es-ES"/>
        </w:rPr>
        <w:drawing>
          <wp:anchor distT="0" distB="0" distL="114300" distR="114300" simplePos="0" relativeHeight="251666432" behindDoc="0" locked="0" layoutInCell="1" allowOverlap="1" wp14:anchorId="35D3974C" wp14:editId="7F2A46B8">
            <wp:simplePos x="0" y="0"/>
            <wp:positionH relativeFrom="column">
              <wp:posOffset>3009900</wp:posOffset>
            </wp:positionH>
            <wp:positionV relativeFrom="paragraph">
              <wp:posOffset>3979545</wp:posOffset>
            </wp:positionV>
            <wp:extent cx="2597150" cy="1459865"/>
            <wp:effectExtent l="0" t="0" r="0" b="6985"/>
            <wp:wrapTopAndBottom/>
            <wp:docPr id="44" name="Imagen 4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Logotipo, nombre de la empresa&#10;&#10;Descripción generada automáticamente"/>
                    <pic:cNvPicPr/>
                  </pic:nvPicPr>
                  <pic:blipFill>
                    <a:blip r:embed="rId13"/>
                    <a:stretch>
                      <a:fillRect/>
                    </a:stretch>
                  </pic:blipFill>
                  <pic:spPr>
                    <a:xfrm>
                      <a:off x="0" y="0"/>
                      <a:ext cx="2597150" cy="1459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78BE64B7" wp14:editId="52F10F2C">
            <wp:simplePos x="0" y="0"/>
            <wp:positionH relativeFrom="column">
              <wp:posOffset>-201295</wp:posOffset>
            </wp:positionH>
            <wp:positionV relativeFrom="paragraph">
              <wp:posOffset>4144645</wp:posOffset>
            </wp:positionV>
            <wp:extent cx="2547620" cy="1118870"/>
            <wp:effectExtent l="0" t="0" r="5080" b="508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sidR="003F1BF5" w:rsidRPr="003F1BF5">
        <w:rPr>
          <w:rFonts w:ascii="Artifex CF Extra Light" w:hAnsi="Artifex CF Extra Light"/>
          <w:color w:val="8E6C00"/>
          <w:spacing w:val="40"/>
          <w:sz w:val="20"/>
          <w:szCs w:val="20"/>
          <w:lang w:val="es-ES"/>
          <w14:textFill>
            <w14:solidFill>
              <w14:srgbClr w14:val="8E6C00">
                <w14:alpha w14:val="50000"/>
              </w14:srgbClr>
            </w14:solidFill>
          </w14:textFill>
        </w:rPr>
        <w:t>AÑO 2020</w:t>
      </w:r>
    </w:p>
    <w:p w14:paraId="3F948FC0" w14:textId="77777777" w:rsidR="00827DFB" w:rsidRPr="00324A19" w:rsidRDefault="00827DFB" w:rsidP="00B02CA3">
      <w:pPr>
        <w:pStyle w:val="Prrafodelista"/>
        <w:keepNext/>
        <w:keepLines/>
        <w:spacing w:after="120" w:line="456" w:lineRule="auto"/>
        <w:ind w:left="0" w:firstLine="284"/>
        <w:contextualSpacing w:val="0"/>
        <w:jc w:val="center"/>
        <w:rPr>
          <w:rFonts w:ascii="Artifex CF Light" w:eastAsia="Times New Roman" w:hAnsi="Artifex CF Light" w:cs="Times New Roman"/>
          <w:color w:val="1F4E79" w:themeColor="accent1" w:themeShade="80"/>
          <w:spacing w:val="30"/>
          <w:sz w:val="26"/>
          <w:szCs w:val="32"/>
          <w:lang w:val="es-DO" w:eastAsia="es-DO"/>
        </w:rPr>
      </w:pPr>
      <w:bookmarkStart w:id="0" w:name="_Toc58332432"/>
      <w:bookmarkStart w:id="1" w:name="_Toc54949055"/>
      <w:r w:rsidRPr="00324A19">
        <w:rPr>
          <w:rFonts w:ascii="Artifex CF Light" w:eastAsia="Times New Roman" w:hAnsi="Artifex CF Light" w:cs="Times New Roman"/>
          <w:noProof/>
          <w:color w:val="1F4E79" w:themeColor="accent1" w:themeShade="80"/>
          <w:spacing w:val="30"/>
          <w:sz w:val="26"/>
          <w:szCs w:val="32"/>
          <w:lang w:val="es-DO" w:eastAsia="es-DO"/>
        </w:rPr>
        <w:lastRenderedPageBreak/>
        <mc:AlternateContent>
          <mc:Choice Requires="wps">
            <w:drawing>
              <wp:anchor distT="0" distB="0" distL="114300" distR="114300" simplePos="0" relativeHeight="251653120" behindDoc="0" locked="0" layoutInCell="1" allowOverlap="1" wp14:anchorId="415B85A0" wp14:editId="5621406B">
                <wp:simplePos x="0" y="0"/>
                <wp:positionH relativeFrom="margin">
                  <wp:posOffset>2286000</wp:posOffset>
                </wp:positionH>
                <wp:positionV relativeFrom="paragraph">
                  <wp:posOffset>336878</wp:posOffset>
                </wp:positionV>
                <wp:extent cx="464820" cy="0"/>
                <wp:effectExtent l="0" t="19050" r="30480" b="19050"/>
                <wp:wrapNone/>
                <wp:docPr id="47" name="Conector recto 47"/>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680B97" id="Conector recto 47"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pt,26.55pt" to="216.6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" strokecolor="red" strokeweight="2.5pt">
                <v:stroke joinstyle="miter"/>
                <w10:wrap anchorx="margin"/>
              </v:line>
            </w:pict>
          </mc:Fallback>
        </mc:AlternateContent>
      </w:r>
      <w:r w:rsidRPr="00324A19">
        <w:rPr>
          <w:rFonts w:ascii="Artifex CF Light" w:eastAsia="Times New Roman" w:hAnsi="Artifex CF Light" w:cs="Times New Roman"/>
          <w:color w:val="1F4E79" w:themeColor="accent1" w:themeShade="80"/>
          <w:spacing w:val="30"/>
          <w:sz w:val="26"/>
          <w:szCs w:val="32"/>
          <w:lang w:val="es-DO" w:eastAsia="es-DO"/>
        </w:rPr>
        <w:t>ÍNDICE DE CONTENIDO</w:t>
      </w:r>
    </w:p>
    <w:sdt>
      <w:sdtPr>
        <w:rPr>
          <w:rFonts w:ascii="Artifex CF Extra Light" w:eastAsiaTheme="minorHAnsi" w:hAnsi="Artifex CF Extra Light" w:cstheme="minorBidi"/>
          <w:color w:val="1F4E79" w:themeColor="accent1" w:themeShade="80"/>
          <w:spacing w:val="10"/>
          <w:sz w:val="18"/>
          <w:szCs w:val="18"/>
          <w:lang w:val="es-ES"/>
        </w:rPr>
        <w:id w:val="1456371317"/>
        <w:docPartObj>
          <w:docPartGallery w:val="Table of Contents"/>
          <w:docPartUnique/>
        </w:docPartObj>
      </w:sdtPr>
      <w:sdtEndPr>
        <w:rPr>
          <w:b/>
          <w:bCs/>
          <w:lang w:val="en-US"/>
        </w:rPr>
      </w:sdtEndPr>
      <w:sdtContent>
        <w:p w14:paraId="69628002" w14:textId="4CDA6E9A" w:rsidR="00813E62" w:rsidRPr="00FD664E" w:rsidRDefault="00813E62" w:rsidP="00CB70CE">
          <w:pPr>
            <w:pStyle w:val="TtuloTDC"/>
            <w:spacing w:before="0" w:after="0" w:line="456" w:lineRule="auto"/>
            <w:contextualSpacing/>
            <w:rPr>
              <w:rFonts w:ascii="Artifex CF Extra Light" w:hAnsi="Artifex CF Extra Light"/>
              <w:color w:val="1F4E79" w:themeColor="accent1" w:themeShade="80"/>
              <w:spacing w:val="10"/>
              <w:sz w:val="18"/>
              <w:szCs w:val="18"/>
            </w:rPr>
          </w:pPr>
        </w:p>
        <w:p w14:paraId="41129BA4" w14:textId="15EE92CA" w:rsidR="00CB70CE" w:rsidRPr="00A16317" w:rsidRDefault="00CB70CE" w:rsidP="00CB70CE">
          <w:pPr>
            <w:pStyle w:val="TDC1"/>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r w:rsidRPr="00FD664E">
            <w:rPr>
              <w:rFonts w:ascii="Artifex CF Extra Light" w:hAnsi="Artifex CF Extra Light"/>
              <w:color w:val="1F4E79" w:themeColor="accent1" w:themeShade="80"/>
              <w:spacing w:val="10"/>
              <w:sz w:val="18"/>
              <w:szCs w:val="18"/>
            </w:rPr>
            <w:fldChar w:fldCharType="begin"/>
          </w:r>
          <w:r w:rsidRPr="00FD664E">
            <w:rPr>
              <w:rFonts w:ascii="Artifex CF Extra Light" w:hAnsi="Artifex CF Extra Light"/>
              <w:color w:val="1F4E79" w:themeColor="accent1" w:themeShade="80"/>
              <w:spacing w:val="10"/>
              <w:sz w:val="18"/>
              <w:szCs w:val="18"/>
            </w:rPr>
            <w:instrText xml:space="preserve"> TOC \o "1-6" \h \z \u </w:instrText>
          </w:r>
          <w:r w:rsidRPr="00FD664E">
            <w:rPr>
              <w:rFonts w:ascii="Artifex CF Extra Light" w:hAnsi="Artifex CF Extra Light"/>
              <w:color w:val="1F4E79" w:themeColor="accent1" w:themeShade="80"/>
              <w:spacing w:val="10"/>
              <w:sz w:val="18"/>
              <w:szCs w:val="18"/>
            </w:rPr>
            <w:fldChar w:fldCharType="separate"/>
          </w:r>
          <w:hyperlink w:anchor="_Toc59528079" w:history="1">
            <w:r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I.</w:t>
            </w:r>
            <w:r w:rsidRPr="00A16317">
              <w:rPr>
                <w:rFonts w:ascii="Artifex CF Extra Light" w:eastAsiaTheme="minorEastAsia" w:hAnsi="Artifex CF Extra Light"/>
                <w:b/>
                <w:bCs/>
                <w:noProof/>
                <w:color w:val="1F4E79" w:themeColor="accent1" w:themeShade="80"/>
                <w:spacing w:val="10"/>
                <w:sz w:val="18"/>
                <w:szCs w:val="18"/>
                <w:lang w:val="es-ES" w:eastAsia="es-ES"/>
              </w:rPr>
              <w:tab/>
            </w:r>
            <w:r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RESUMEN EJECUTIVO</w:t>
            </w:r>
            <w:r w:rsidRPr="00A16317">
              <w:rPr>
                <w:rFonts w:ascii="Artifex CF Extra Light" w:hAnsi="Artifex CF Extra Light"/>
                <w:b/>
                <w:bCs/>
                <w:noProof/>
                <w:webHidden/>
                <w:color w:val="1F4E79" w:themeColor="accent1" w:themeShade="80"/>
                <w:spacing w:val="10"/>
                <w:sz w:val="18"/>
                <w:szCs w:val="18"/>
              </w:rPr>
              <w:tab/>
            </w:r>
            <w:r w:rsidRPr="00A16317">
              <w:rPr>
                <w:rFonts w:ascii="Artifex CF Extra Light" w:hAnsi="Artifex CF Extra Light"/>
                <w:b/>
                <w:bCs/>
                <w:noProof/>
                <w:webHidden/>
                <w:color w:val="1F4E79" w:themeColor="accent1" w:themeShade="80"/>
                <w:spacing w:val="10"/>
                <w:sz w:val="18"/>
                <w:szCs w:val="18"/>
              </w:rPr>
              <w:fldChar w:fldCharType="begin"/>
            </w:r>
            <w:r w:rsidRPr="00A16317">
              <w:rPr>
                <w:rFonts w:ascii="Artifex CF Extra Light" w:hAnsi="Artifex CF Extra Light"/>
                <w:b/>
                <w:bCs/>
                <w:noProof/>
                <w:webHidden/>
                <w:color w:val="1F4E79" w:themeColor="accent1" w:themeShade="80"/>
                <w:spacing w:val="10"/>
                <w:sz w:val="18"/>
                <w:szCs w:val="18"/>
              </w:rPr>
              <w:instrText xml:space="preserve"> PAGEREF _Toc59528079 \h </w:instrText>
            </w:r>
            <w:r w:rsidRPr="00A16317">
              <w:rPr>
                <w:rFonts w:ascii="Artifex CF Extra Light" w:hAnsi="Artifex CF Extra Light"/>
                <w:b/>
                <w:bCs/>
                <w:noProof/>
                <w:webHidden/>
                <w:color w:val="1F4E79" w:themeColor="accent1" w:themeShade="80"/>
                <w:spacing w:val="10"/>
                <w:sz w:val="18"/>
                <w:szCs w:val="18"/>
              </w:rPr>
            </w:r>
            <w:r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5</w:t>
            </w:r>
            <w:r w:rsidRPr="00A16317">
              <w:rPr>
                <w:rFonts w:ascii="Artifex CF Extra Light" w:hAnsi="Artifex CF Extra Light"/>
                <w:b/>
                <w:bCs/>
                <w:noProof/>
                <w:webHidden/>
                <w:color w:val="1F4E79" w:themeColor="accent1" w:themeShade="80"/>
                <w:spacing w:val="10"/>
                <w:sz w:val="18"/>
                <w:szCs w:val="18"/>
              </w:rPr>
              <w:fldChar w:fldCharType="end"/>
            </w:r>
          </w:hyperlink>
        </w:p>
        <w:p w14:paraId="01E9AA5D" w14:textId="42BF5265" w:rsidR="00CB70CE" w:rsidRPr="00A16317" w:rsidRDefault="006F2F51" w:rsidP="00CB70CE">
          <w:pPr>
            <w:pStyle w:val="TDC1"/>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80" w:history="1">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INFORMACIÓN INSTITUCIONAL</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_Toc59528080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10</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C3965B5" w14:textId="29BC25F4"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081" w:history="1">
            <w:r w:rsidR="00CB70CE" w:rsidRPr="00A16317">
              <w:rPr>
                <w:rStyle w:val="Hipervnculo"/>
                <w:rFonts w:ascii="Artifex CF Extra Light" w:hAnsi="Artifex CF Extra Light"/>
                <w:b/>
                <w:bCs/>
                <w:noProof/>
                <w:color w:val="1F4E79" w:themeColor="accent1" w:themeShade="80"/>
                <w:spacing w:val="10"/>
                <w:sz w:val="18"/>
                <w:szCs w:val="18"/>
                <w:lang w:val="es-DO"/>
              </w:rPr>
              <w:t>A.</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MISIÓN</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_Toc59528081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10</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40FFCC3D" w14:textId="511423E0"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082" w:history="1">
            <w:r w:rsidR="00CB70CE" w:rsidRPr="00A16317">
              <w:rPr>
                <w:rStyle w:val="Hipervnculo"/>
                <w:rFonts w:ascii="Artifex CF Extra Light" w:hAnsi="Artifex CF Extra Light"/>
                <w:b/>
                <w:bCs/>
                <w:noProof/>
                <w:color w:val="1F4E79" w:themeColor="accent1" w:themeShade="80"/>
                <w:spacing w:val="10"/>
                <w:sz w:val="18"/>
                <w:szCs w:val="18"/>
                <w:lang w:val="es-DO"/>
              </w:rPr>
              <w:t>B.</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VISIÓN</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_Toc59528082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10</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304B17E7" w14:textId="117B8634"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083" w:history="1">
            <w:r w:rsidR="00CB70CE" w:rsidRPr="00A16317">
              <w:rPr>
                <w:rStyle w:val="Hipervnculo"/>
                <w:rFonts w:ascii="Artifex CF Extra Light" w:hAnsi="Artifex CF Extra Light"/>
                <w:b/>
                <w:bCs/>
                <w:noProof/>
                <w:color w:val="1F4E79" w:themeColor="accent1" w:themeShade="80"/>
                <w:spacing w:val="10"/>
                <w:sz w:val="18"/>
                <w:szCs w:val="18"/>
                <w:lang w:val="es-DO"/>
              </w:rPr>
              <w:t>C.</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VALORES</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_Toc59528083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10</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4BE0C74B" w14:textId="53363158"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084" w:history="1">
            <w:r w:rsidR="00CB70CE" w:rsidRPr="00A16317">
              <w:rPr>
                <w:rStyle w:val="Hipervnculo"/>
                <w:rFonts w:ascii="Artifex CF Extra Light" w:hAnsi="Artifex CF Extra Light"/>
                <w:b/>
                <w:bCs/>
                <w:noProof/>
                <w:color w:val="1F4E79" w:themeColor="accent1" w:themeShade="80"/>
                <w:spacing w:val="10"/>
                <w:sz w:val="18"/>
                <w:szCs w:val="18"/>
                <w:lang w:val="es-DO"/>
              </w:rPr>
              <w:t>D.</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OBJETIVO GENERAL</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_Toc59528084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11</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094A61F0" w14:textId="21D366A4"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085" w:history="1">
            <w:r w:rsidR="00CB70CE" w:rsidRPr="00A16317">
              <w:rPr>
                <w:rStyle w:val="Hipervnculo"/>
                <w:rFonts w:ascii="Artifex CF Extra Light" w:hAnsi="Artifex CF Extra Light"/>
                <w:b/>
                <w:bCs/>
                <w:noProof/>
                <w:color w:val="1F4E79" w:themeColor="accent1" w:themeShade="80"/>
                <w:spacing w:val="10"/>
                <w:sz w:val="18"/>
                <w:szCs w:val="18"/>
                <w:lang w:val="es-DO"/>
              </w:rPr>
              <w:t>E.</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FUNCIONARIOS</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_Toc59528085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11</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059BF7ED" w14:textId="7ED464FF"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086" w:history="1">
            <w:r w:rsidR="00CB70CE" w:rsidRPr="00A16317">
              <w:rPr>
                <w:rStyle w:val="Hipervnculo"/>
                <w:rFonts w:ascii="Artifex CF Extra Light" w:hAnsi="Artifex CF Extra Light"/>
                <w:b/>
                <w:bCs/>
                <w:noProof/>
                <w:color w:val="1F4E79" w:themeColor="accent1" w:themeShade="80"/>
                <w:spacing w:val="10"/>
                <w:sz w:val="18"/>
                <w:szCs w:val="18"/>
                <w:lang w:val="es-DO"/>
              </w:rPr>
              <w:t>F.</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BASE LEGAL</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_Toc59528086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12</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4B82FA5E" w14:textId="56FA4041" w:rsidR="00CB70CE" w:rsidRPr="00A16317" w:rsidRDefault="006F2F51" w:rsidP="00CB70CE">
          <w:pPr>
            <w:pStyle w:val="TDC1"/>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87" w:history="1">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III.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RESULTADOS DE LA GESTIÓN DEL AÑO</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_Toc59528087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15</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ACBB59F" w14:textId="4DAA99CB"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088" w:history="1">
            <w:r w:rsidR="00CB70CE" w:rsidRPr="00A16317">
              <w:rPr>
                <w:rStyle w:val="Hipervnculo"/>
                <w:rFonts w:ascii="Artifex CF Extra Light" w:hAnsi="Artifex CF Extra Light"/>
                <w:b/>
                <w:bCs/>
                <w:noProof/>
                <w:color w:val="1F4E79" w:themeColor="accent1" w:themeShade="80"/>
                <w:spacing w:val="10"/>
                <w:sz w:val="18"/>
                <w:szCs w:val="18"/>
                <w:lang w:val="es-DO"/>
              </w:rPr>
              <w:t>A.</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METAS INSTITUCIONALES DE IMPACTO A LA CIUDADANÍA</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_Toc59528088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15</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4038DEB" w14:textId="2564CFD4"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089" w:history="1">
            <w:r w:rsidR="00CB70CE" w:rsidRPr="00A16317">
              <w:rPr>
                <w:rStyle w:val="Hipervnculo"/>
                <w:rFonts w:ascii="Artifex CF Extra Light" w:hAnsi="Artifex CF Extra Light"/>
                <w:b/>
                <w:bCs/>
                <w:noProof/>
                <w:color w:val="1F4E79" w:themeColor="accent1" w:themeShade="80"/>
                <w:spacing w:val="10"/>
                <w:sz w:val="18"/>
                <w:szCs w:val="18"/>
                <w:lang w:val="es-DO"/>
              </w:rPr>
              <w:t>B.</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INDICADORES DE GESTIÓN</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_Toc59528089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65</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476865A2" w14:textId="0F1FCDA3" w:rsidR="00CB70CE" w:rsidRPr="00A16317" w:rsidRDefault="006F2F51" w:rsidP="00CB70CE">
          <w:pPr>
            <w:pStyle w:val="TDC4"/>
            <w:tabs>
              <w:tab w:val="left" w:pos="120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0" w:history="1">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1.</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PERSPECTIVA ESTRATÉGICA</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_Toc59528090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65</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0B0FDC09" w14:textId="06A290DF" w:rsidR="00CB70CE" w:rsidRPr="00A16317" w:rsidRDefault="006F2F51" w:rsidP="00CB70CE">
          <w:pPr>
            <w:pStyle w:val="TDC5"/>
            <w:tabs>
              <w:tab w:val="left" w:pos="14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1" w:history="1">
            <w:r w:rsidR="00CB70CE" w:rsidRPr="00A16317">
              <w:rPr>
                <w:rStyle w:val="Hipervnculo"/>
                <w:rFonts w:ascii="Artifex CF Extra Light" w:hAnsi="Artifex CF Extra Light" w:cs="Times New Roman"/>
                <w:b/>
                <w:bCs/>
                <w:noProof/>
                <w:color w:val="1F4E79" w:themeColor="accent1" w:themeShade="80"/>
                <w:spacing w:val="10"/>
                <w:sz w:val="18"/>
                <w:szCs w:val="18"/>
              </w:rPr>
              <w:t>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METAS PRESIDENCIALES</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_Toc59528091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65</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A78F31F" w14:textId="7C70080C" w:rsidR="00CB70CE" w:rsidRPr="00A16317" w:rsidRDefault="006F2F51" w:rsidP="00CB70CE">
          <w:pPr>
            <w:pStyle w:val="TDC5"/>
            <w:tabs>
              <w:tab w:val="left" w:pos="14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2" w:history="1">
            <w:r w:rsidR="00CB70CE" w:rsidRPr="00A16317">
              <w:rPr>
                <w:rStyle w:val="Hipervnculo"/>
                <w:rFonts w:ascii="Artifex CF Extra Light" w:hAnsi="Artifex CF Extra Light" w:cs="Times New Roman"/>
                <w:b/>
                <w:bCs/>
                <w:noProof/>
                <w:color w:val="1F4E79" w:themeColor="accent1" w:themeShade="80"/>
                <w:spacing w:val="10"/>
                <w:sz w:val="18"/>
                <w:szCs w:val="18"/>
              </w:rPr>
              <w:t>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OBJETIVOS DE DESARROLLO SOSTENIBLE</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_Toc59528092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68</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0D13F2C3" w14:textId="6BC208E1" w:rsidR="00CB70CE" w:rsidRPr="00A16317" w:rsidRDefault="006F2F51" w:rsidP="00CB70CE">
          <w:pPr>
            <w:pStyle w:val="TDC5"/>
            <w:tabs>
              <w:tab w:val="left" w:pos="15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3" w:history="1">
            <w:r w:rsidR="00CB70CE" w:rsidRPr="00A16317">
              <w:rPr>
                <w:rStyle w:val="Hipervnculo"/>
                <w:rFonts w:ascii="Artifex CF Extra Light" w:hAnsi="Artifex CF Extra Light" w:cs="Times New Roman"/>
                <w:b/>
                <w:bCs/>
                <w:noProof/>
                <w:color w:val="1F4E79" w:themeColor="accent1" w:themeShade="80"/>
                <w:spacing w:val="10"/>
                <w:sz w:val="18"/>
                <w:szCs w:val="18"/>
              </w:rPr>
              <w:t>iii.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SISTEMA DE MONITOREO Y MEDICIÓN DE LA GESTIÓN PÚBLICA (SMMGP)</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_Toc59528093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81</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5154D81D" w14:textId="2B6BA40C" w:rsidR="00CB70CE" w:rsidRPr="00A16317" w:rsidRDefault="006F2F51" w:rsidP="00CB70CE">
          <w:pPr>
            <w:pStyle w:val="TDC5"/>
            <w:tabs>
              <w:tab w:val="left" w:pos="15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4" w:history="1">
            <w:r w:rsidR="00CB70CE" w:rsidRPr="00A16317">
              <w:rPr>
                <w:rStyle w:val="Hipervnculo"/>
                <w:rFonts w:ascii="Artifex CF Extra Light" w:hAnsi="Artifex CF Extra Light" w:cs="Times New Roman"/>
                <w:b/>
                <w:bCs/>
                <w:noProof/>
                <w:color w:val="1F4E79" w:themeColor="accent1" w:themeShade="80"/>
                <w:spacing w:val="10"/>
                <w:sz w:val="18"/>
                <w:szCs w:val="18"/>
              </w:rPr>
              <w:t>iv.</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SISTEMA DE MONITOREO DE LA ADMINISTRACIÓN PÚBLICA (SISMAP)</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_Toc59528094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83</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3EF3AFFF" w14:textId="44E4EAA7" w:rsidR="00CB70CE" w:rsidRPr="00A16317" w:rsidRDefault="006F2F51" w:rsidP="00CB70CE">
          <w:pPr>
            <w:pStyle w:val="TDC4"/>
            <w:tabs>
              <w:tab w:val="left" w:pos="120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5" w:history="1">
            <w:r w:rsidR="00CB70CE" w:rsidRPr="00A16317">
              <w:rPr>
                <w:rStyle w:val="Hipervnculo"/>
                <w:rFonts w:ascii="Artifex CF Extra Light" w:hAnsi="Artifex CF Extra Light" w:cs="Times New Roman"/>
                <w:b/>
                <w:bCs/>
                <w:noProof/>
                <w:color w:val="1F4E79" w:themeColor="accent1" w:themeShade="80"/>
                <w:spacing w:val="10"/>
                <w:sz w:val="18"/>
                <w:szCs w:val="18"/>
              </w:rPr>
              <w:t>2.</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PERSPECTIVA OPERATIVA</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_Toc59528095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89</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25B38CD9" w14:textId="762E79A7" w:rsidR="00CB70CE" w:rsidRPr="00A16317" w:rsidRDefault="006F2F51" w:rsidP="00CB70CE">
          <w:pPr>
            <w:pStyle w:val="TDC5"/>
            <w:tabs>
              <w:tab w:val="left" w:pos="14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6" w:history="1">
            <w:r w:rsidR="00CB70CE" w:rsidRPr="00A16317">
              <w:rPr>
                <w:rStyle w:val="Hipervnculo"/>
                <w:rFonts w:ascii="Artifex CF Extra Light" w:hAnsi="Artifex CF Extra Light" w:cs="Times New Roman"/>
                <w:b/>
                <w:bCs/>
                <w:noProof/>
                <w:color w:val="1F4E79" w:themeColor="accent1" w:themeShade="80"/>
                <w:spacing w:val="10"/>
                <w:sz w:val="18"/>
                <w:szCs w:val="18"/>
              </w:rPr>
              <w:t>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ÍNDICE DE TRANSPARENCIA</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_Toc59528096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89</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42F380C" w14:textId="723BAA5F" w:rsidR="00CB70CE" w:rsidRPr="00A16317" w:rsidRDefault="006F2F51" w:rsidP="00CB70CE">
          <w:pPr>
            <w:pStyle w:val="TDC5"/>
            <w:tabs>
              <w:tab w:val="left" w:pos="14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7" w:history="1">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ÍNDICE DE USO TIC E IMPLEMENTACIÓN GOBIERNO ELECTRÓNICO</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_Toc59528097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91</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52860EAF" w14:textId="1BB48C88" w:rsidR="00CB70CE" w:rsidRPr="00A16317" w:rsidRDefault="006F2F51" w:rsidP="00CB70CE">
          <w:pPr>
            <w:pStyle w:val="TDC5"/>
            <w:tabs>
              <w:tab w:val="left" w:pos="15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8" w:history="1">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iii.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NORMAS BÁSICAS DE CONTROL INTERNO (NOBACI)</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_Toc59528098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92</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BEE1FD2" w14:textId="79EAD658" w:rsidR="00CB70CE" w:rsidRPr="00A16317" w:rsidRDefault="006F2F51" w:rsidP="00CB70CE">
          <w:pPr>
            <w:pStyle w:val="TDC5"/>
            <w:tabs>
              <w:tab w:val="left" w:pos="15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099" w:history="1">
            <w:r w:rsidR="00CB70CE" w:rsidRPr="00A16317">
              <w:rPr>
                <w:rStyle w:val="Hipervnculo"/>
                <w:rFonts w:ascii="Artifex CF Extra Light" w:hAnsi="Artifex CF Extra Light" w:cs="Times New Roman"/>
                <w:b/>
                <w:bCs/>
                <w:noProof/>
                <w:color w:val="1F4E79" w:themeColor="accent1" w:themeShade="80"/>
                <w:spacing w:val="10"/>
                <w:sz w:val="18"/>
                <w:szCs w:val="18"/>
              </w:rPr>
              <w:t>iv.</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GESTIÓN PRESUPUESTARIA</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_Toc59528099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93</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947A9BB" w14:textId="7669A9B6" w:rsidR="00CB70CE" w:rsidRPr="00A16317" w:rsidRDefault="006F2F51" w:rsidP="00CB70CE">
          <w:pPr>
            <w:pStyle w:val="TDC5"/>
            <w:tabs>
              <w:tab w:val="left" w:pos="14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0" w:history="1">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v.</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PLAN ANUAL DE COMPRAS Y CONTRATACIONES (PACC)</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_Toc59528100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93</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4D47613F" w14:textId="541877D7" w:rsidR="00CB70CE" w:rsidRPr="00A16317" w:rsidRDefault="006F2F51" w:rsidP="00CB70CE">
          <w:pPr>
            <w:pStyle w:val="TDC5"/>
            <w:tabs>
              <w:tab w:val="left" w:pos="15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1" w:history="1">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vi.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SISTEMA NACIONAL DE COMPRAS Y CONTRATACIONES PÚBLICAS (SNCCP)</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_Toc59528101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94</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466A8088" w14:textId="2303C0BE" w:rsidR="00CB70CE" w:rsidRPr="00A16317" w:rsidRDefault="006F2F51" w:rsidP="00CB70CE">
          <w:pPr>
            <w:pStyle w:val="TDC5"/>
            <w:tabs>
              <w:tab w:val="left" w:pos="15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2" w:history="1">
            <w:r w:rsidR="00CB70CE" w:rsidRPr="00A16317">
              <w:rPr>
                <w:rStyle w:val="Hipervnculo"/>
                <w:rFonts w:ascii="Artifex CF Extra Light" w:hAnsi="Artifex CF Extra Light" w:cs="Times New Roman"/>
                <w:b/>
                <w:bCs/>
                <w:noProof/>
                <w:color w:val="1F4E79" w:themeColor="accent1" w:themeShade="80"/>
                <w:spacing w:val="10"/>
                <w:sz w:val="18"/>
                <w:szCs w:val="18"/>
              </w:rPr>
              <w:t>vii.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COMISIONES DE VEEDURÍA CIUDADANA</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_Toc59528102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94</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ED1C8A7" w14:textId="424E3AF4" w:rsidR="00CB70CE" w:rsidRPr="00A16317" w:rsidRDefault="006F2F51" w:rsidP="00CB70CE">
          <w:pPr>
            <w:pStyle w:val="TDC5"/>
            <w:tabs>
              <w:tab w:val="left" w:pos="176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3" w:history="1">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viii.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REGISTROS FINANCIEROS E IMPACTO DE LA COOPERACIÓN INTERNACIONAL</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_Toc59528103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95</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510BBA69" w14:textId="70834F33" w:rsidR="00CB70CE" w:rsidRPr="00A16317" w:rsidRDefault="006F2F51" w:rsidP="00CB70CE">
          <w:pPr>
            <w:pStyle w:val="TDC5"/>
            <w:tabs>
              <w:tab w:val="left" w:pos="15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4" w:history="1">
            <w:r w:rsidR="00CB70CE" w:rsidRPr="00A16317">
              <w:rPr>
                <w:rStyle w:val="Hipervnculo"/>
                <w:rFonts w:ascii="Artifex CF Extra Light" w:hAnsi="Artifex CF Extra Light" w:cs="Times New Roman"/>
                <w:b/>
                <w:bCs/>
                <w:noProof/>
                <w:color w:val="1F4E79" w:themeColor="accent1" w:themeShade="80"/>
                <w:spacing w:val="10"/>
                <w:sz w:val="18"/>
                <w:szCs w:val="18"/>
              </w:rPr>
              <w:t>ix.</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AUDITORÍAS Y DECLARACIONES JURADAS</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_Toc59528104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96</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49FB1ED8" w14:textId="389FAA6E" w:rsidR="00CB70CE" w:rsidRPr="00A16317" w:rsidRDefault="006F2F51" w:rsidP="00CB70CE">
          <w:pPr>
            <w:pStyle w:val="TDC4"/>
            <w:tabs>
              <w:tab w:val="left" w:pos="120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5" w:history="1">
            <w:r w:rsidR="00CB70CE" w:rsidRPr="00A16317">
              <w:rPr>
                <w:rStyle w:val="Hipervnculo"/>
                <w:rFonts w:ascii="Artifex CF Extra Light" w:hAnsi="Artifex CF Extra Light" w:cs="Times New Roman"/>
                <w:b/>
                <w:bCs/>
                <w:noProof/>
                <w:color w:val="1F4E79" w:themeColor="accent1" w:themeShade="80"/>
                <w:spacing w:val="10"/>
                <w:sz w:val="18"/>
                <w:szCs w:val="18"/>
              </w:rPr>
              <w:t>3.</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PERSPECTIVA DE LOS USUARIOS</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_Toc59528105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97</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41DB0FFF" w14:textId="76D8E885" w:rsidR="00CB70CE" w:rsidRPr="00A16317" w:rsidRDefault="006F2F51" w:rsidP="00CB70CE">
          <w:pPr>
            <w:pStyle w:val="TDC5"/>
            <w:tabs>
              <w:tab w:val="left" w:pos="14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6" w:history="1">
            <w:r w:rsidR="00CB70CE" w:rsidRPr="00A16317">
              <w:rPr>
                <w:rStyle w:val="Hipervnculo"/>
                <w:rFonts w:ascii="Artifex CF Extra Light" w:hAnsi="Artifex CF Extra Light" w:cs="Times New Roman"/>
                <w:b/>
                <w:bCs/>
                <w:noProof/>
                <w:color w:val="1F4E79" w:themeColor="accent1" w:themeShade="80"/>
                <w:spacing w:val="10"/>
                <w:sz w:val="18"/>
                <w:szCs w:val="18"/>
              </w:rPr>
              <w:t>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rPr>
              <w:t>SISTEMA DE ATENCIÓN CIUDADANA 3-1-1</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_Toc59528106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97</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0C018713" w14:textId="41B4187E" w:rsidR="00CB70CE" w:rsidRPr="00A16317" w:rsidRDefault="006F2F51" w:rsidP="00CB70CE">
          <w:pPr>
            <w:pStyle w:val="TDC6"/>
            <w:tabs>
              <w:tab w:val="left" w:pos="176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7" w:history="1">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a.</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ESTADÍSTICAS DE SOLICITUDES DE ACCESO A LA INFORMACIÓN VÍA LA OAI</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_Toc59528107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97</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31A7AAC9" w14:textId="4A46FC2F" w:rsidR="00CB70CE" w:rsidRPr="00A16317" w:rsidRDefault="006F2F51" w:rsidP="00CB70CE">
          <w:pPr>
            <w:pStyle w:val="TDC5"/>
            <w:tabs>
              <w:tab w:val="left" w:pos="1440"/>
              <w:tab w:val="right" w:leader="dot" w:pos="7910"/>
            </w:tabs>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8" w:history="1">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cs="Times New Roman"/>
                <w:b/>
                <w:bCs/>
                <w:noProof/>
                <w:color w:val="1F4E79" w:themeColor="accent1" w:themeShade="80"/>
                <w:spacing w:val="10"/>
                <w:sz w:val="18"/>
                <w:szCs w:val="18"/>
                <w:lang w:val="es-DO"/>
              </w:rPr>
              <w:t>ENTRADA DE SERVICIOS EN LÍNEA, SIMPLIFICACIÓN DE TRÁMITES, MEJORA DE SERVICIOS PÚBLICOS</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_Toc59528108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97</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084FB46B" w14:textId="356729CA" w:rsidR="00CB70CE" w:rsidRPr="00A16317" w:rsidRDefault="006F2F51" w:rsidP="00CB70CE">
          <w:pPr>
            <w:pStyle w:val="TDC1"/>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09" w:history="1">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IV.</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GESTIÓN INTERNA</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_Toc59528109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98</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74C926B6" w14:textId="5730D585"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110" w:history="1">
            <w:r w:rsidR="00CB70CE" w:rsidRPr="00A16317">
              <w:rPr>
                <w:rStyle w:val="Hipervnculo"/>
                <w:rFonts w:ascii="Artifex CF Extra Light" w:hAnsi="Artifex CF Extra Light"/>
                <w:b/>
                <w:bCs/>
                <w:noProof/>
                <w:color w:val="1F4E79" w:themeColor="accent1" w:themeShade="80"/>
                <w:spacing w:val="10"/>
                <w:sz w:val="18"/>
                <w:szCs w:val="18"/>
                <w:lang w:val="es-DO"/>
              </w:rPr>
              <w:t>A.</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DESEMPEÑO FINANCIERO</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_Toc59528110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98</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63DF1D02" w14:textId="184DB6B2" w:rsidR="00CB70CE" w:rsidRPr="00A16317" w:rsidRDefault="006F2F51" w:rsidP="00CB70CE">
          <w:pPr>
            <w:pStyle w:val="TDC2"/>
            <w:tabs>
              <w:tab w:val="left" w:pos="720"/>
              <w:tab w:val="right" w:leader="dot" w:pos="7910"/>
            </w:tabs>
            <w:spacing w:after="0" w:line="456" w:lineRule="auto"/>
            <w:contextualSpacing/>
            <w:rPr>
              <w:rFonts w:ascii="Artifex CF Extra Light" w:hAnsi="Artifex CF Extra Light" w:cstheme="minorBidi"/>
              <w:b/>
              <w:bCs/>
              <w:noProof/>
              <w:color w:val="1F4E79" w:themeColor="accent1" w:themeShade="80"/>
              <w:spacing w:val="10"/>
              <w:sz w:val="18"/>
              <w:szCs w:val="18"/>
              <w:lang w:val="es-ES" w:eastAsia="es-ES"/>
            </w:rPr>
          </w:pPr>
          <w:hyperlink w:anchor="_Toc59528111" w:history="1">
            <w:r w:rsidR="00CB70CE" w:rsidRPr="00A16317">
              <w:rPr>
                <w:rStyle w:val="Hipervnculo"/>
                <w:rFonts w:ascii="Artifex CF Extra Light" w:hAnsi="Artifex CF Extra Light"/>
                <w:b/>
                <w:bCs/>
                <w:noProof/>
                <w:color w:val="1F4E79" w:themeColor="accent1" w:themeShade="80"/>
                <w:spacing w:val="10"/>
                <w:sz w:val="18"/>
                <w:szCs w:val="18"/>
                <w:lang w:val="es-DO"/>
              </w:rPr>
              <w:t>B.</w:t>
            </w:r>
            <w:r w:rsidR="00CB70CE" w:rsidRPr="00A16317">
              <w:rPr>
                <w:rFonts w:ascii="Artifex CF Extra Light" w:hAnsi="Artifex CF Extra Light" w:cstheme="minorBidi"/>
                <w:b/>
                <w:bCs/>
                <w:noProof/>
                <w:color w:val="1F4E79" w:themeColor="accent1" w:themeShade="80"/>
                <w:spacing w:val="10"/>
                <w:sz w:val="18"/>
                <w:szCs w:val="18"/>
                <w:lang w:val="es-ES" w:eastAsia="es-ES"/>
              </w:rPr>
              <w:tab/>
            </w:r>
            <w:r w:rsidR="00CB70CE" w:rsidRPr="00A16317">
              <w:rPr>
                <w:rStyle w:val="Hipervnculo"/>
                <w:rFonts w:ascii="Artifex CF Extra Light" w:hAnsi="Artifex CF Extra Light"/>
                <w:b/>
                <w:bCs/>
                <w:noProof/>
                <w:color w:val="1F4E79" w:themeColor="accent1" w:themeShade="80"/>
                <w:spacing w:val="10"/>
                <w:sz w:val="18"/>
                <w:szCs w:val="18"/>
                <w:lang w:val="es-DO"/>
              </w:rPr>
              <w:t>CONTRATACIONES Y ADQUISICIONES</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_Toc59528111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101</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0168D08A" w14:textId="2E9FDD35" w:rsidR="00CB70CE" w:rsidRPr="00A16317" w:rsidRDefault="006F2F51" w:rsidP="00CB70CE">
          <w:pPr>
            <w:pStyle w:val="TDC1"/>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12" w:history="1">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V.</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IMPLEMENTACION Y CERTIFICACIONES DE CALIDAD ALCANZADASGESTIÓN INTERNA</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_Toc59528112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104</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2D14E672" w14:textId="3DBF506A" w:rsidR="00CB70CE" w:rsidRPr="00A16317" w:rsidRDefault="006F2F51" w:rsidP="00CB70CE">
          <w:pPr>
            <w:pStyle w:val="TDC1"/>
            <w:spacing w:after="0" w:line="456" w:lineRule="auto"/>
            <w:contextualSpacing/>
            <w:rPr>
              <w:rFonts w:ascii="Artifex CF Extra Light" w:eastAsiaTheme="minorEastAsia" w:hAnsi="Artifex CF Extra Light"/>
              <w:b/>
              <w:bCs/>
              <w:noProof/>
              <w:color w:val="1F4E79" w:themeColor="accent1" w:themeShade="80"/>
              <w:spacing w:val="10"/>
              <w:sz w:val="18"/>
              <w:szCs w:val="18"/>
              <w:lang w:val="es-ES" w:eastAsia="es-ES"/>
            </w:rPr>
          </w:pPr>
          <w:hyperlink w:anchor="_Toc59528113" w:history="1">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VI.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PROYECCIONES AL PROXIMO AÑO</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_Toc59528113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105</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15D9729E" w14:textId="3CEF7E39" w:rsidR="00CB70CE" w:rsidRPr="00FD664E" w:rsidRDefault="006F2F51" w:rsidP="00CB70CE">
          <w:pPr>
            <w:pStyle w:val="TDC1"/>
            <w:spacing w:after="0" w:line="456" w:lineRule="auto"/>
            <w:contextualSpacing/>
            <w:rPr>
              <w:rFonts w:ascii="Artifex CF Extra Light" w:eastAsiaTheme="minorEastAsia" w:hAnsi="Artifex CF Extra Light"/>
              <w:noProof/>
              <w:color w:val="1F4E79" w:themeColor="accent1" w:themeShade="80"/>
              <w:spacing w:val="10"/>
              <w:sz w:val="18"/>
              <w:szCs w:val="18"/>
              <w:lang w:val="es-ES" w:eastAsia="es-ES"/>
            </w:rPr>
          </w:pPr>
          <w:hyperlink w:anchor="_Toc59528114" w:history="1">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VII.</w:t>
            </w:r>
            <w:r w:rsidR="00CB70CE" w:rsidRPr="00A16317">
              <w:rPr>
                <w:rFonts w:ascii="Artifex CF Extra Light" w:eastAsiaTheme="minorEastAsia" w:hAnsi="Artifex CF Extra Light"/>
                <w:b/>
                <w:bCs/>
                <w:noProof/>
                <w:color w:val="1F4E79" w:themeColor="accent1" w:themeShade="80"/>
                <w:spacing w:val="10"/>
                <w:sz w:val="18"/>
                <w:szCs w:val="18"/>
                <w:lang w:val="es-ES" w:eastAsia="es-ES"/>
              </w:rPr>
              <w:tab/>
            </w:r>
            <w:r w:rsidR="00CB70CE" w:rsidRPr="00A16317">
              <w:rPr>
                <w:rStyle w:val="Hipervnculo"/>
                <w:rFonts w:ascii="Artifex CF Extra Light" w:eastAsia="Times New Roman" w:hAnsi="Artifex CF Extra Light" w:cs="Times New Roman"/>
                <w:b/>
                <w:bCs/>
                <w:noProof/>
                <w:color w:val="1F4E79" w:themeColor="accent1" w:themeShade="80"/>
                <w:spacing w:val="10"/>
                <w:sz w:val="18"/>
                <w:szCs w:val="18"/>
                <w:lang w:val="es-DO" w:eastAsia="es-DO"/>
              </w:rPr>
              <w:t>ANEXOS</w:t>
            </w:r>
            <w:r w:rsidR="00CB70CE" w:rsidRPr="00A16317">
              <w:rPr>
                <w:rFonts w:ascii="Artifex CF Extra Light" w:hAnsi="Artifex CF Extra Light"/>
                <w:b/>
                <w:bCs/>
                <w:noProof/>
                <w:webHidden/>
                <w:color w:val="1F4E79" w:themeColor="accent1" w:themeShade="80"/>
                <w:spacing w:val="10"/>
                <w:sz w:val="18"/>
                <w:szCs w:val="18"/>
              </w:rPr>
              <w:tab/>
            </w:r>
            <w:r w:rsidR="00CB70CE" w:rsidRPr="00A16317">
              <w:rPr>
                <w:rFonts w:ascii="Artifex CF Extra Light" w:hAnsi="Artifex CF Extra Light"/>
                <w:b/>
                <w:bCs/>
                <w:noProof/>
                <w:webHidden/>
                <w:color w:val="1F4E79" w:themeColor="accent1" w:themeShade="80"/>
                <w:spacing w:val="10"/>
                <w:sz w:val="18"/>
                <w:szCs w:val="18"/>
              </w:rPr>
              <w:fldChar w:fldCharType="begin"/>
            </w:r>
            <w:r w:rsidR="00CB70CE" w:rsidRPr="00A16317">
              <w:rPr>
                <w:rFonts w:ascii="Artifex CF Extra Light" w:hAnsi="Artifex CF Extra Light"/>
                <w:b/>
                <w:bCs/>
                <w:noProof/>
                <w:webHidden/>
                <w:color w:val="1F4E79" w:themeColor="accent1" w:themeShade="80"/>
                <w:spacing w:val="10"/>
                <w:sz w:val="18"/>
                <w:szCs w:val="18"/>
              </w:rPr>
              <w:instrText xml:space="preserve"> PAGEREF _Toc59528114 \h </w:instrText>
            </w:r>
            <w:r w:rsidR="00CB70CE" w:rsidRPr="00A16317">
              <w:rPr>
                <w:rFonts w:ascii="Artifex CF Extra Light" w:hAnsi="Artifex CF Extra Light"/>
                <w:b/>
                <w:bCs/>
                <w:noProof/>
                <w:webHidden/>
                <w:color w:val="1F4E79" w:themeColor="accent1" w:themeShade="80"/>
                <w:spacing w:val="10"/>
                <w:sz w:val="18"/>
                <w:szCs w:val="18"/>
              </w:rPr>
            </w:r>
            <w:r w:rsidR="00CB70CE" w:rsidRPr="00A16317">
              <w:rPr>
                <w:rFonts w:ascii="Artifex CF Extra Light" w:hAnsi="Artifex CF Extra Light"/>
                <w:b/>
                <w:bCs/>
                <w:noProof/>
                <w:webHidden/>
                <w:color w:val="1F4E79" w:themeColor="accent1" w:themeShade="80"/>
                <w:spacing w:val="10"/>
                <w:sz w:val="18"/>
                <w:szCs w:val="18"/>
              </w:rPr>
              <w:fldChar w:fldCharType="separate"/>
            </w:r>
            <w:r w:rsidR="00A16317" w:rsidRPr="00A16317">
              <w:rPr>
                <w:rFonts w:ascii="Artifex CF Extra Light" w:hAnsi="Artifex CF Extra Light"/>
                <w:b/>
                <w:bCs/>
                <w:noProof/>
                <w:webHidden/>
                <w:color w:val="1F4E79" w:themeColor="accent1" w:themeShade="80"/>
                <w:spacing w:val="10"/>
                <w:sz w:val="18"/>
                <w:szCs w:val="18"/>
              </w:rPr>
              <w:t>106</w:t>
            </w:r>
            <w:r w:rsidR="00CB70CE" w:rsidRPr="00A16317">
              <w:rPr>
                <w:rFonts w:ascii="Artifex CF Extra Light" w:hAnsi="Artifex CF Extra Light"/>
                <w:b/>
                <w:bCs/>
                <w:noProof/>
                <w:webHidden/>
                <w:color w:val="1F4E79" w:themeColor="accent1" w:themeShade="80"/>
                <w:spacing w:val="10"/>
                <w:sz w:val="18"/>
                <w:szCs w:val="18"/>
              </w:rPr>
              <w:fldChar w:fldCharType="end"/>
            </w:r>
          </w:hyperlink>
        </w:p>
        <w:p w14:paraId="02D5B4E2" w14:textId="520ED626" w:rsidR="00813E62" w:rsidRDefault="00CB70CE" w:rsidP="00CB70CE">
          <w:pPr>
            <w:spacing w:after="0" w:line="456" w:lineRule="auto"/>
            <w:contextualSpacing/>
          </w:pPr>
          <w:r w:rsidRPr="00FD664E">
            <w:rPr>
              <w:rFonts w:ascii="Artifex CF Extra Light" w:hAnsi="Artifex CF Extra Light"/>
              <w:color w:val="1F4E79" w:themeColor="accent1" w:themeShade="80"/>
              <w:spacing w:val="10"/>
              <w:sz w:val="18"/>
              <w:szCs w:val="18"/>
            </w:rPr>
            <w:fldChar w:fldCharType="end"/>
          </w:r>
        </w:p>
      </w:sdtContent>
    </w:sdt>
    <w:p w14:paraId="021F4769" w14:textId="77777777" w:rsidR="00FC6FC8" w:rsidRPr="001B7EDE" w:rsidRDefault="00FC6FC8" w:rsidP="00864966">
      <w:pPr>
        <w:keepNext/>
        <w:keepLines/>
        <w:spacing w:before="380" w:after="120" w:line="456" w:lineRule="auto"/>
        <w:ind w:firstLine="284"/>
        <w:rPr>
          <w:rFonts w:ascii="Artifex CF Light" w:eastAsia="Times New Roman" w:hAnsi="Artifex CF Light" w:cs="Times New Roman"/>
          <w:color w:val="193C6A"/>
          <w:spacing w:val="30"/>
          <w:kern w:val="38"/>
          <w:sz w:val="26"/>
          <w:szCs w:val="32"/>
          <w:lang w:val="es-DO" w:eastAsia="es-DO"/>
        </w:rPr>
      </w:pPr>
    </w:p>
    <w:p w14:paraId="6A56BBA1" w14:textId="77777777" w:rsidR="00FC6FC8" w:rsidRPr="001B7EDE" w:rsidRDefault="00FC6FC8" w:rsidP="00864966">
      <w:pPr>
        <w:keepNext/>
        <w:keepLines/>
        <w:spacing w:before="380" w:after="120" w:line="456" w:lineRule="auto"/>
        <w:ind w:firstLine="284"/>
        <w:jc w:val="center"/>
        <w:rPr>
          <w:rFonts w:ascii="Artifex CF Light" w:eastAsia="Times New Roman" w:hAnsi="Artifex CF Light" w:cs="Times New Roman"/>
          <w:color w:val="193C6A"/>
          <w:spacing w:val="30"/>
          <w:kern w:val="38"/>
          <w:sz w:val="26"/>
          <w:szCs w:val="32"/>
          <w:lang w:val="es-DO" w:eastAsia="es-DO"/>
        </w:rPr>
      </w:pPr>
    </w:p>
    <w:p w14:paraId="02A01097" w14:textId="77777777" w:rsidR="00FC6FC8" w:rsidRPr="001B7EDE" w:rsidRDefault="00FC6FC8" w:rsidP="00864966">
      <w:pPr>
        <w:keepNext/>
        <w:keepLines/>
        <w:spacing w:before="380" w:after="120" w:line="456" w:lineRule="auto"/>
        <w:ind w:firstLine="284"/>
        <w:jc w:val="center"/>
        <w:rPr>
          <w:rFonts w:ascii="Artifex CF Light" w:eastAsia="Times New Roman" w:hAnsi="Artifex CF Light" w:cs="Times New Roman"/>
          <w:color w:val="193C6A"/>
          <w:spacing w:val="30"/>
          <w:kern w:val="38"/>
          <w:sz w:val="26"/>
          <w:szCs w:val="32"/>
          <w:lang w:val="es-DO" w:eastAsia="es-DO"/>
        </w:rPr>
      </w:pPr>
    </w:p>
    <w:p w14:paraId="0DE4608E" w14:textId="41DD160E" w:rsidR="00CA7A65" w:rsidRPr="001B7EDE" w:rsidRDefault="00CA7A65" w:rsidP="00864966">
      <w:pPr>
        <w:spacing w:before="380" w:after="120" w:line="456" w:lineRule="auto"/>
        <w:ind w:firstLine="284"/>
        <w:rPr>
          <w:rFonts w:ascii="Artifex CF Light" w:hAnsi="Artifex CF Light" w:cs="Times New Roman"/>
          <w:b/>
          <w:bCs/>
          <w:color w:val="193C6A"/>
          <w:sz w:val="26"/>
          <w:szCs w:val="26"/>
          <w:lang w:val="es-ES"/>
        </w:rPr>
      </w:pPr>
    </w:p>
    <w:p w14:paraId="601A6B9B" w14:textId="77777777" w:rsidR="00FC6FC8" w:rsidRPr="001B7EDE" w:rsidRDefault="00FC6FC8" w:rsidP="00864966">
      <w:pPr>
        <w:spacing w:before="380" w:after="120" w:line="456" w:lineRule="auto"/>
        <w:ind w:firstLine="284"/>
        <w:rPr>
          <w:rFonts w:ascii="Artifex CF Light" w:hAnsi="Artifex CF Light" w:cs="Times New Roman"/>
          <w:b/>
          <w:bCs/>
          <w:color w:val="193C6A"/>
          <w:sz w:val="26"/>
          <w:szCs w:val="26"/>
          <w:lang w:val="es-DO"/>
        </w:rPr>
      </w:pPr>
      <w:r w:rsidRPr="001B7EDE">
        <w:rPr>
          <w:rFonts w:ascii="Artifex CF Light" w:hAnsi="Artifex CF Light" w:cs="Times New Roman"/>
          <w:b/>
          <w:bCs/>
          <w:color w:val="193C6A"/>
          <w:sz w:val="26"/>
          <w:szCs w:val="26"/>
          <w:lang w:val="es-ES"/>
        </w:rPr>
        <w:br w:type="page"/>
      </w:r>
    </w:p>
    <w:p w14:paraId="79D3BCA0" w14:textId="7E126DC5" w:rsidR="007D0284" w:rsidRPr="007D0284" w:rsidRDefault="006E5A25" w:rsidP="007D0284">
      <w:pPr>
        <w:pStyle w:val="Prrafodelista"/>
        <w:keepNext/>
        <w:keepLines/>
        <w:numPr>
          <w:ilvl w:val="0"/>
          <w:numId w:val="5"/>
        </w:numPr>
        <w:spacing w:before="380" w:after="120" w:line="456" w:lineRule="auto"/>
        <w:ind w:left="0" w:firstLine="284"/>
        <w:contextualSpacing w:val="0"/>
        <w:jc w:val="center"/>
        <w:outlineLvl w:val="0"/>
        <w:rPr>
          <w:rFonts w:ascii="Artifex CF Light" w:eastAsia="Times New Roman" w:hAnsi="Artifex CF Light" w:cs="Times New Roman"/>
          <w:color w:val="1F4E79" w:themeColor="accent1" w:themeShade="80"/>
          <w:spacing w:val="30"/>
          <w:sz w:val="26"/>
          <w:szCs w:val="32"/>
          <w:lang w:val="es-DO" w:eastAsia="es-DO"/>
        </w:rPr>
      </w:pPr>
      <w:bookmarkStart w:id="2" w:name="_Toc59528079"/>
      <w:r w:rsidRPr="00324A19">
        <w:rPr>
          <w:noProof/>
          <w:color w:val="1F4E79" w:themeColor="accent1" w:themeShade="80"/>
          <w:spacing w:val="30"/>
        </w:rPr>
        <w:lastRenderedPageBreak/>
        <mc:AlternateContent>
          <mc:Choice Requires="wps">
            <w:drawing>
              <wp:anchor distT="0" distB="0" distL="114300" distR="114300" simplePos="0" relativeHeight="251655168" behindDoc="0" locked="0" layoutInCell="1" allowOverlap="1" wp14:anchorId="6F7420E7" wp14:editId="091397AC">
                <wp:simplePos x="0" y="0"/>
                <wp:positionH relativeFrom="margin">
                  <wp:posOffset>2286000</wp:posOffset>
                </wp:positionH>
                <wp:positionV relativeFrom="paragraph">
                  <wp:posOffset>337018</wp:posOffset>
                </wp:positionV>
                <wp:extent cx="464820" cy="0"/>
                <wp:effectExtent l="0" t="19050" r="30480" b="19050"/>
                <wp:wrapNone/>
                <wp:docPr id="50" name="Conector recto 50"/>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8E314E" id="Conector recto 50"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pt,26.55pt" to="216.6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" strokecolor="red" strokeweight="2.5pt">
                <v:stroke joinstyle="miter"/>
                <w10:wrap anchorx="margin"/>
              </v:line>
            </w:pict>
          </mc:Fallback>
        </mc:AlternateContent>
      </w:r>
      <w:r w:rsidR="001857DF" w:rsidRPr="00324A19">
        <w:rPr>
          <w:rFonts w:ascii="Artifex CF Light" w:eastAsia="Times New Roman" w:hAnsi="Artifex CF Light" w:cs="Times New Roman"/>
          <w:color w:val="1F4E79" w:themeColor="accent1" w:themeShade="80"/>
          <w:spacing w:val="30"/>
          <w:sz w:val="26"/>
          <w:szCs w:val="32"/>
          <w:lang w:val="es-DO" w:eastAsia="es-DO"/>
        </w:rPr>
        <w:t>RESUMEN</w:t>
      </w:r>
      <w:r w:rsidR="00B17042" w:rsidRPr="00324A19">
        <w:rPr>
          <w:rFonts w:ascii="Artifex CF Light" w:eastAsia="Times New Roman" w:hAnsi="Artifex CF Light" w:cs="Times New Roman"/>
          <w:color w:val="1F4E79" w:themeColor="accent1" w:themeShade="80"/>
          <w:spacing w:val="30"/>
          <w:sz w:val="26"/>
          <w:szCs w:val="32"/>
          <w:lang w:val="es-DO" w:eastAsia="es-DO"/>
        </w:rPr>
        <w:t xml:space="preserve"> EJE</w:t>
      </w:r>
      <w:r w:rsidR="00D8576A" w:rsidRPr="00324A19">
        <w:rPr>
          <w:rFonts w:ascii="Artifex CF Light" w:eastAsia="Times New Roman" w:hAnsi="Artifex CF Light" w:cs="Times New Roman"/>
          <w:color w:val="1F4E79" w:themeColor="accent1" w:themeShade="80"/>
          <w:spacing w:val="30"/>
          <w:sz w:val="26"/>
          <w:szCs w:val="32"/>
          <w:lang w:val="es-DO" w:eastAsia="es-DO"/>
        </w:rPr>
        <w:t>CUTIVO</w:t>
      </w:r>
      <w:bookmarkStart w:id="3" w:name="_Toc58332433"/>
      <w:bookmarkEnd w:id="0"/>
      <w:bookmarkEnd w:id="1"/>
      <w:bookmarkEnd w:id="2"/>
    </w:p>
    <w:p w14:paraId="7AADCDBD" w14:textId="037DEABF" w:rsidR="00465B15" w:rsidRPr="007D0284" w:rsidRDefault="00465B15"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El Centro de Exportación e Inversión de la República Dominicana (ProDominicana), como responsable del fomento a las exportaciones y la atracción de inversión extranjera directa al país, desarrolló durante 2020 su plan de actividades y proyectos en torno a cuatro (4) ejes estratégicos que componen el Plan Operativo Anual 2020: Fortalecimiento Institucional; Inversión para el desarrollo; Exportar para crecer; y</w:t>
      </w:r>
      <w:r w:rsidR="006F2F51" w:rsidRPr="007D0284">
        <w:rPr>
          <w:rFonts w:ascii="Artifex CF Extra Light" w:hAnsi="Artifex CF Extra Light" w:cs="Times New Roman"/>
          <w:color w:val="1F4E79" w:themeColor="accent1" w:themeShade="80"/>
          <w:sz w:val="18"/>
          <w:szCs w:val="18"/>
          <w:lang w:val="es-DO"/>
        </w:rPr>
        <w:t xml:space="preserve"> </w:t>
      </w:r>
      <w:r w:rsidRPr="007D0284">
        <w:rPr>
          <w:rFonts w:ascii="Artifex CF Extra Light" w:hAnsi="Artifex CF Extra Light" w:cs="Times New Roman"/>
          <w:color w:val="1F4E79" w:themeColor="accent1" w:themeShade="80"/>
          <w:sz w:val="18"/>
          <w:szCs w:val="18"/>
          <w:lang w:val="es-DO"/>
        </w:rPr>
        <w:t>Marca País. Este Plan de actividades y proyectos están enfocados en el cumplimiento de las metas institucionales de impacto a la ciudadanía establecidas en el Plan Estratégico Institucional (PEI) 2017-2020, en la Estrategia Nacional de Desarrollo (END) 2030 y en el Plan Nacional Plurianual del Sector Público (PNPSP). En ese sentido, ProDominicana presenta sus memorias ejecutorias 2020</w:t>
      </w:r>
      <w:r w:rsidR="007D0284">
        <w:rPr>
          <w:rFonts w:ascii="Artifex CF Extra Light" w:hAnsi="Artifex CF Extra Light" w:cs="Times New Roman"/>
          <w:color w:val="1F4E79" w:themeColor="accent1" w:themeShade="80"/>
          <w:sz w:val="18"/>
          <w:szCs w:val="18"/>
          <w:lang w:val="es-DO"/>
        </w:rPr>
        <w:t>.</w:t>
      </w:r>
    </w:p>
    <w:p w14:paraId="544BE104" w14:textId="77777777" w:rsidR="007D0284" w:rsidRDefault="008A6901"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En lo relativo a las metas de exportación, en el año 2020, la gestión de ProDominicana ha resultado en un monto de exportación de aproximadamente US$1,000 millones, con una generación de empleos formales de aproximadamente -</w:t>
      </w:r>
      <w:r w:rsidRPr="007D0284">
        <w:rPr>
          <w:rStyle w:val="Refdenotaalpie"/>
          <w:rFonts w:ascii="Artifex CF Extra Light" w:hAnsi="Artifex CF Extra Light" w:cs="Times New Roman"/>
          <w:color w:val="1F4E79" w:themeColor="accent1" w:themeShade="80"/>
          <w:sz w:val="18"/>
          <w:szCs w:val="18"/>
          <w:lang w:val="es-DO"/>
        </w:rPr>
        <w:footnoteReference w:id="2"/>
      </w:r>
      <w:r w:rsidRPr="007D0284">
        <w:rPr>
          <w:rFonts w:ascii="Artifex CF Extra Light" w:hAnsi="Artifex CF Extra Light" w:cs="Times New Roman"/>
          <w:color w:val="1F4E79" w:themeColor="accent1" w:themeShade="80"/>
          <w:sz w:val="18"/>
          <w:szCs w:val="18"/>
          <w:lang w:val="es-DO"/>
        </w:rPr>
        <w:t xml:space="preserve"> empleos, así mismo, el número de exportadores capacitados fue de 255, los potenciales exportadores capacitados fueron 60 y otras personas interesadas en comercio exterior capacitadas fueron 3000 (ver más detalles en los anexos 1 y 2).</w:t>
      </w:r>
    </w:p>
    <w:p w14:paraId="40AB9860" w14:textId="6CE625FA" w:rsidR="00C03218" w:rsidRPr="007D0284" w:rsidRDefault="00465B15"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En cuanto a las metas de Inversión, en el 2020, a pesar de ser un año en que la economía mundial sufrió duramente el impacto negativo de la Pandemia Covid-19, la gestión de ProDominicana resulto en un monto de inversión aproximado de US$1,169,070,000, con una generación de empleos directos e indirectos de 5,663 empleos asociados a IED, así mismo, la cantidad de proyectos de inversión que se instalaron o se expandieron en el 2020 fue de 15 proyectos (ver más detalles en anexo 3).</w:t>
      </w:r>
    </w:p>
    <w:p w14:paraId="56FE959B" w14:textId="12DE18EC" w:rsidR="006D5B7E" w:rsidRPr="00A6352F" w:rsidRDefault="007D0284" w:rsidP="007D0284">
      <w:pPr>
        <w:keepNext/>
        <w:keepLines/>
        <w:spacing w:before="100" w:beforeAutospacing="1" w:after="100" w:afterAutospacing="1" w:line="456" w:lineRule="auto"/>
        <w:ind w:firstLine="284"/>
        <w:jc w:val="center"/>
        <w:rPr>
          <w:rFonts w:ascii="Artifex CF Extra Light" w:hAnsi="Artifex CF Extra Light" w:cs="Times New Roman"/>
          <w:b/>
          <w:bCs/>
          <w:color w:val="1F4E79" w:themeColor="accent1" w:themeShade="80"/>
          <w:spacing w:val="10"/>
          <w:sz w:val="18"/>
          <w:szCs w:val="18"/>
          <w:lang w:val="es-DO"/>
        </w:rPr>
      </w:pPr>
      <w:r w:rsidRPr="00A6352F">
        <w:rPr>
          <w:rFonts w:ascii="Artifex CF Extra Light" w:hAnsi="Artifex CF Extra Light" w:cs="Times New Roman"/>
          <w:b/>
          <w:bCs/>
          <w:color w:val="1F4E79" w:themeColor="accent1" w:themeShade="80"/>
          <w:spacing w:val="10"/>
          <w:sz w:val="18"/>
          <w:szCs w:val="18"/>
          <w:lang w:val="es-DO"/>
        </w:rPr>
        <w:lastRenderedPageBreak/>
        <w:t>GESTIÓN DEL PRESIDENTE LUIS ABINADER</w:t>
      </w:r>
    </w:p>
    <w:p w14:paraId="7FBE4D92" w14:textId="3062A720" w:rsidR="006D5B7E" w:rsidRPr="007D0284" w:rsidRDefault="00DD77C7" w:rsidP="007D0284">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Pr>
          <w:rFonts w:ascii="Artifex CF Extra Light" w:hAnsi="Artifex CF Extra Light" w:cs="Times New Roman"/>
          <w:color w:val="1F4E79" w:themeColor="accent1" w:themeShade="80"/>
          <w:sz w:val="18"/>
          <w:szCs w:val="18"/>
          <w:lang w:val="es-DO"/>
        </w:rPr>
        <w:t>Durante</w:t>
      </w:r>
      <w:r w:rsidR="006D5B7E" w:rsidRPr="007D0284">
        <w:rPr>
          <w:rFonts w:ascii="Artifex CF Extra Light" w:hAnsi="Artifex CF Extra Light" w:cs="Times New Roman"/>
          <w:color w:val="1F4E79" w:themeColor="accent1" w:themeShade="80"/>
          <w:sz w:val="18"/>
          <w:szCs w:val="18"/>
          <w:lang w:val="es-DO"/>
        </w:rPr>
        <w:t xml:space="preserve"> la nueva gestión, en el Centro de Exportación e Inversión de la República Dominicana (ProDominicana) se han puesto en marcha interesantes iniciativas que han marcado el inicio de la transformación del centro, para convertirse en el aliado estratégico por excelencia de los exportadores dominicanos, los inversionistas, compradores internacionales y potenciales interesados en invertir y exportar.</w:t>
      </w:r>
    </w:p>
    <w:p w14:paraId="4EA6AD59" w14:textId="2D7DAC48" w:rsidR="00037FE8" w:rsidRPr="007D0284" w:rsidRDefault="006D5B7E" w:rsidP="00DD77C7">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Con el objetivo de generar sinergias público-privadas, levantar información e identificar necesidades de exportadores e inversionistas ante la actual crisis mundial, la dirección ejecutiva de ProDominicana sostuvo importantes encuentros con más de 33 actores claves para el fomento de las exportaciones, para la inserción competitiva de los productos y servicios dominicanos en los mercados internacionales, y para la atracción de inversión extranjera directa. </w:t>
      </w:r>
      <w:r w:rsidR="00DD77C7">
        <w:rPr>
          <w:rFonts w:ascii="Artifex CF Extra Light" w:hAnsi="Artifex CF Extra Light" w:cs="Times New Roman"/>
          <w:color w:val="1F4E79" w:themeColor="accent1" w:themeShade="80"/>
          <w:sz w:val="18"/>
          <w:szCs w:val="18"/>
          <w:lang w:val="es-DO"/>
        </w:rPr>
        <w:t xml:space="preserve">También </w:t>
      </w:r>
      <w:r w:rsidR="00DD77C7" w:rsidRPr="007D0284">
        <w:rPr>
          <w:rFonts w:ascii="Artifex CF Extra Light" w:hAnsi="Artifex CF Extra Light" w:cs="Times New Roman"/>
          <w:color w:val="1F4E79" w:themeColor="accent1" w:themeShade="80"/>
          <w:sz w:val="18"/>
          <w:szCs w:val="18"/>
          <w:lang w:val="es-DO"/>
        </w:rPr>
        <w:t>sostuvo</w:t>
      </w:r>
      <w:r w:rsidRPr="007D0284">
        <w:rPr>
          <w:rFonts w:ascii="Artifex CF Extra Light" w:hAnsi="Artifex CF Extra Light" w:cs="Times New Roman"/>
          <w:color w:val="1F4E79" w:themeColor="accent1" w:themeShade="80"/>
          <w:sz w:val="18"/>
          <w:szCs w:val="18"/>
          <w:lang w:val="es-DO"/>
        </w:rPr>
        <w:t xml:space="preserve"> encuentros con representantes de más de 14 importantes empresas exportadoras e inversionistas con miras a conocer sus necesidades y planes a corto, mediano y largo plazo para desde la institución ser catalizadores de soluciones efectivas que vayan acorde con sus planes de crecimiento en el país. Así mismo, para definir acciones que impulsen el intercambio comercial, propiciar la inversión extranjera directa y fortalecer relaciones culturales con otros países, se realizaron encuentros con más de 21 representantes de embajadas, consulados y cámaras de comercio de distintas partes del mundo.</w:t>
      </w:r>
    </w:p>
    <w:p w14:paraId="19FB14DF" w14:textId="2DB5AD69" w:rsidR="004D0D95" w:rsidRPr="007D0284" w:rsidRDefault="00465B15" w:rsidP="007D0284">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Dentro de los principales logros del eje Fortalecimiento Institucional, se encuentran el fortalecimiento de las plataformas de interacción con el cliente a través de la innovación, la Optimización de la plataforma de comercio online, ProDominicana Connect, las mejoras incorporadas a la plataforma virtual educativa, </w:t>
      </w:r>
      <w:r w:rsidR="005A771C" w:rsidRPr="007D0284">
        <w:rPr>
          <w:rFonts w:ascii="Artifex CF Extra Light" w:hAnsi="Artifex CF Extra Light" w:cs="Times New Roman"/>
          <w:color w:val="1F4E79" w:themeColor="accent1" w:themeShade="80"/>
          <w:sz w:val="18"/>
          <w:szCs w:val="18"/>
          <w:lang w:val="es-DO"/>
        </w:rPr>
        <w:t>las mejoras en</w:t>
      </w:r>
      <w:r w:rsidRPr="007D0284">
        <w:rPr>
          <w:rFonts w:ascii="Artifex CF Extra Light" w:hAnsi="Artifex CF Extra Light" w:cs="Times New Roman"/>
          <w:color w:val="1F4E79" w:themeColor="accent1" w:themeShade="80"/>
          <w:sz w:val="18"/>
          <w:szCs w:val="18"/>
          <w:lang w:val="es-DO"/>
        </w:rPr>
        <w:t xml:space="preserve"> la plataforma de inteligencia comercial ProDominicana Data Market, el desarrollo del programa CRECE para MiPymes de exportación y la habilitación de la línea de apoyo al exportador.</w:t>
      </w:r>
    </w:p>
    <w:p w14:paraId="3CF6A97F" w14:textId="4542123C" w:rsidR="004D0D95" w:rsidRPr="007D0284" w:rsidRDefault="00465B15" w:rsidP="007D0284">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Así mismo, para alcanzar un mejor posicionamiento de la institución se realizó el lanzamiento de ProDominicana, </w:t>
      </w:r>
      <w:r w:rsidR="007D0284">
        <w:rPr>
          <w:rFonts w:ascii="Artifex CF Extra Light" w:hAnsi="Artifex CF Extra Light" w:cs="Times New Roman"/>
          <w:color w:val="1F4E79" w:themeColor="accent1" w:themeShade="80"/>
          <w:sz w:val="18"/>
          <w:szCs w:val="18"/>
          <w:lang w:val="es-DO"/>
        </w:rPr>
        <w:t xml:space="preserve">la nueva marca </w:t>
      </w:r>
      <w:r w:rsidRPr="007D0284">
        <w:rPr>
          <w:rFonts w:ascii="Artifex CF Extra Light" w:hAnsi="Artifex CF Extra Light" w:cs="Times New Roman"/>
          <w:color w:val="1F4E79" w:themeColor="accent1" w:themeShade="80"/>
          <w:sz w:val="18"/>
          <w:szCs w:val="18"/>
          <w:lang w:val="es-DO"/>
        </w:rPr>
        <w:t xml:space="preserve">se </w:t>
      </w:r>
      <w:r w:rsidR="007D0284" w:rsidRPr="007D0284">
        <w:rPr>
          <w:rFonts w:ascii="Artifex CF Extra Light" w:hAnsi="Artifex CF Extra Light" w:cs="Times New Roman"/>
          <w:color w:val="1F4E79" w:themeColor="accent1" w:themeShade="80"/>
          <w:sz w:val="18"/>
          <w:szCs w:val="18"/>
          <w:lang w:val="es-DO"/>
        </w:rPr>
        <w:t>lanz</w:t>
      </w:r>
      <w:r w:rsidR="007D0284">
        <w:rPr>
          <w:rFonts w:ascii="Artifex CF Extra Light" w:hAnsi="Artifex CF Extra Light" w:cs="Times New Roman"/>
          <w:color w:val="1F4E79" w:themeColor="accent1" w:themeShade="80"/>
          <w:sz w:val="18"/>
          <w:szCs w:val="18"/>
          <w:lang w:val="es-DO"/>
        </w:rPr>
        <w:t>ó</w:t>
      </w:r>
      <w:r w:rsidRPr="007D0284">
        <w:rPr>
          <w:rFonts w:ascii="Artifex CF Extra Light" w:hAnsi="Artifex CF Extra Light" w:cs="Times New Roman"/>
          <w:color w:val="1F4E79" w:themeColor="accent1" w:themeShade="80"/>
          <w:sz w:val="18"/>
          <w:szCs w:val="18"/>
          <w:lang w:val="es-DO"/>
        </w:rPr>
        <w:t xml:space="preserve"> para cambiar la percepción de la institución y crear una nueva propuesta de valor para cumplir con su misión de promotor de las exportaciones e inversiones de la República Dominicana.</w:t>
      </w:r>
    </w:p>
    <w:p w14:paraId="2D38FE75" w14:textId="4DC92D3D" w:rsidR="007D0284" w:rsidRDefault="00465B15" w:rsidP="007D0284">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lastRenderedPageBreak/>
        <w:t xml:space="preserve">Para el fortalecimiento institucional ProDominicana también ha transformado su oferta de capacitación para asumir los retos que presenta enseñar con calidad en un entorno impactado por el COVID-19, migrándola a la virtualidad para formar a los exportadores en un ambiente sano y seguro, ha lanzado </w:t>
      </w:r>
      <w:r w:rsidR="00406493" w:rsidRPr="007D0284">
        <w:rPr>
          <w:rFonts w:ascii="Artifex CF Extra Light" w:hAnsi="Artifex CF Extra Light" w:cs="Times New Roman"/>
          <w:color w:val="1F4E79" w:themeColor="accent1" w:themeShade="80"/>
          <w:sz w:val="18"/>
          <w:szCs w:val="18"/>
          <w:lang w:val="es-DO"/>
        </w:rPr>
        <w:t>e</w:t>
      </w:r>
      <w:r w:rsidRPr="007D0284">
        <w:rPr>
          <w:rFonts w:ascii="Artifex CF Extra Light" w:hAnsi="Artifex CF Extra Light" w:cs="Times New Roman"/>
          <w:color w:val="1F4E79" w:themeColor="accent1" w:themeShade="80"/>
          <w:sz w:val="18"/>
          <w:szCs w:val="18"/>
          <w:lang w:val="es-DO"/>
        </w:rPr>
        <w:t>l Plan de Formación en Comercio Internacional</w:t>
      </w:r>
      <w:r w:rsidR="00DD77C7">
        <w:rPr>
          <w:rFonts w:ascii="Artifex CF Extra Light" w:hAnsi="Artifex CF Extra Light" w:cs="Times New Roman"/>
          <w:color w:val="1F4E79" w:themeColor="accent1" w:themeShade="80"/>
          <w:sz w:val="18"/>
          <w:szCs w:val="18"/>
          <w:lang w:val="es-DO"/>
        </w:rPr>
        <w:t>.</w:t>
      </w:r>
    </w:p>
    <w:p w14:paraId="00E9E742" w14:textId="603265F6" w:rsidR="007D0284" w:rsidRDefault="00465B15" w:rsidP="007D0284">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Otro logro</w:t>
      </w:r>
      <w:r w:rsidR="00DD77C7">
        <w:rPr>
          <w:rFonts w:ascii="Artifex CF Extra Light" w:hAnsi="Artifex CF Extra Light" w:cs="Times New Roman"/>
          <w:color w:val="1F4E79" w:themeColor="accent1" w:themeShade="80"/>
          <w:sz w:val="18"/>
          <w:szCs w:val="18"/>
          <w:lang w:val="es-DO"/>
        </w:rPr>
        <w:t xml:space="preserve"> fue el </w:t>
      </w:r>
      <w:r w:rsidRPr="007D0284">
        <w:rPr>
          <w:rFonts w:ascii="Artifex CF Extra Light" w:hAnsi="Artifex CF Extra Light" w:cs="Times New Roman"/>
          <w:color w:val="1F4E79" w:themeColor="accent1" w:themeShade="80"/>
          <w:sz w:val="18"/>
          <w:szCs w:val="18"/>
          <w:lang w:val="es-DO"/>
        </w:rPr>
        <w:t xml:space="preserve">fortalecimiento de los recursos humanos, a través del desarrollo del plan de capacitación para reducir la brecha cargo-empleado, </w:t>
      </w:r>
      <w:r w:rsidR="007D0284">
        <w:rPr>
          <w:rFonts w:ascii="Artifex CF Extra Light" w:hAnsi="Artifex CF Extra Light" w:cs="Times New Roman"/>
          <w:color w:val="1F4E79" w:themeColor="accent1" w:themeShade="80"/>
          <w:sz w:val="18"/>
          <w:szCs w:val="18"/>
          <w:lang w:val="es-DO"/>
        </w:rPr>
        <w:t xml:space="preserve">se impartió </w:t>
      </w:r>
      <w:r w:rsidRPr="007D0284">
        <w:rPr>
          <w:rFonts w:ascii="Artifex CF Extra Light" w:hAnsi="Artifex CF Extra Light" w:cs="Times New Roman"/>
          <w:color w:val="1F4E79" w:themeColor="accent1" w:themeShade="80"/>
          <w:sz w:val="18"/>
          <w:szCs w:val="18"/>
          <w:lang w:val="es-DO"/>
        </w:rPr>
        <w:t>un (1) masterclass que abarco 4 importantes temas, a saber: Inteligencia emocional para líderes, técnicas esenciales de vocería, imagen en redes sociales y manejo de conflictos y felicidad laboral. De igual manera también se desarrollaron el programa de reconocimiento, para colaboradores destacados y el programa de sucesión para los puestos claves.</w:t>
      </w:r>
    </w:p>
    <w:p w14:paraId="5676BD6E" w14:textId="77777777" w:rsidR="00DD77C7" w:rsidRDefault="00465B15" w:rsidP="00DD77C7">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Así mismo, </w:t>
      </w:r>
      <w:r w:rsidR="007866F0" w:rsidRPr="007D0284">
        <w:rPr>
          <w:rFonts w:ascii="Artifex CF Extra Light" w:hAnsi="Artifex CF Extra Light" w:cs="Times New Roman"/>
          <w:color w:val="1F4E79" w:themeColor="accent1" w:themeShade="80"/>
          <w:sz w:val="18"/>
          <w:szCs w:val="18"/>
          <w:lang w:val="es-DO"/>
        </w:rPr>
        <w:t xml:space="preserve">se firmaron </w:t>
      </w:r>
      <w:r w:rsidRPr="007D0284">
        <w:rPr>
          <w:rFonts w:ascii="Artifex CF Extra Light" w:hAnsi="Artifex CF Extra Light" w:cs="Times New Roman"/>
          <w:color w:val="1F4E79" w:themeColor="accent1" w:themeShade="80"/>
          <w:sz w:val="18"/>
          <w:szCs w:val="18"/>
          <w:lang w:val="es-DO"/>
        </w:rPr>
        <w:t>importantes acuerdos</w:t>
      </w:r>
      <w:r w:rsidR="00DD77C7">
        <w:rPr>
          <w:rFonts w:ascii="Artifex CF Extra Light" w:hAnsi="Artifex CF Extra Light" w:cs="Times New Roman"/>
          <w:color w:val="1F4E79" w:themeColor="accent1" w:themeShade="80"/>
          <w:sz w:val="18"/>
          <w:szCs w:val="18"/>
          <w:lang w:val="es-DO"/>
        </w:rPr>
        <w:t xml:space="preserve">, a saber: </w:t>
      </w:r>
      <w:r w:rsidRPr="007D0284">
        <w:rPr>
          <w:rFonts w:ascii="Artifex CF Extra Light" w:hAnsi="Artifex CF Extra Light" w:cs="Times New Roman"/>
          <w:color w:val="1F4E79" w:themeColor="accent1" w:themeShade="80"/>
          <w:sz w:val="18"/>
          <w:szCs w:val="18"/>
          <w:lang w:val="es-DO"/>
        </w:rPr>
        <w:t>el acuerdo de cooperación para la implementación del proyecto de la marca país de la república dominicana; la extensión del contrato de subvención para la ejecución del "programa de fortalecimiento e internacionalización de pymes de la república dominicana; la consolidación de acuerdo con la agencia de promoción de exportaciones e inversiones de Brasil, APEX; el acuerdo con la dirección general de cine para el fomento de la industria cinematográfica; el acuerdo interinstitucional entre la Fundación Francina y ProDominicana; y el acuerdo interinstitucional entre el Banco Nacional de las Exportaciones (BANDEX) y ProDominicana.</w:t>
      </w:r>
    </w:p>
    <w:p w14:paraId="60E1007C" w14:textId="77777777" w:rsidR="00DD77C7" w:rsidRDefault="00465B15" w:rsidP="00DD77C7">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Dentro de los principales logros del eje Inversión para el Desarrollo se encuentran el desarrollo de acciones para el fortalecimiento de la captación de inversión, estas acciones fueron: el desarrollo y formalización de protocolo con APEX-Brasil y el desarrollo del proyecto de UNIDO con el Ministerio de Industria Comercio y MiPymes y ProDominicana.</w:t>
      </w:r>
    </w:p>
    <w:p w14:paraId="6ED8E10A" w14:textId="5E6B9932" w:rsidR="00465B15" w:rsidRPr="007D0284" w:rsidRDefault="00465B15" w:rsidP="00DD77C7">
      <w:pPr>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Así mismo, se ha ejecutado el programa para la expansión y captación de nuevos inversionistas, programa que</w:t>
      </w:r>
      <w:r w:rsidR="00A56790" w:rsidRPr="007D0284">
        <w:rPr>
          <w:rFonts w:ascii="Artifex CF Extra Light" w:hAnsi="Artifex CF Extra Light" w:cs="Times New Roman"/>
          <w:color w:val="1F4E79" w:themeColor="accent1" w:themeShade="80"/>
          <w:sz w:val="18"/>
          <w:szCs w:val="18"/>
          <w:lang w:val="es-DO"/>
        </w:rPr>
        <w:t xml:space="preserve"> durante la nue</w:t>
      </w:r>
      <w:r w:rsidR="00F11AA2" w:rsidRPr="007D0284">
        <w:rPr>
          <w:rFonts w:ascii="Artifex CF Extra Light" w:hAnsi="Artifex CF Extra Light" w:cs="Times New Roman"/>
          <w:color w:val="1F4E79" w:themeColor="accent1" w:themeShade="80"/>
          <w:sz w:val="18"/>
          <w:szCs w:val="18"/>
          <w:lang w:val="es-DO"/>
        </w:rPr>
        <w:t xml:space="preserve">va gestión tuvo como resultado </w:t>
      </w:r>
      <w:r w:rsidRPr="007D0284">
        <w:rPr>
          <w:rFonts w:ascii="Artifex CF Extra Light" w:hAnsi="Artifex CF Extra Light" w:cs="Times New Roman"/>
          <w:color w:val="1F4E79" w:themeColor="accent1" w:themeShade="80"/>
          <w:sz w:val="18"/>
          <w:szCs w:val="18"/>
          <w:lang w:val="es-DO"/>
        </w:rPr>
        <w:t xml:space="preserve">el establecimiento de </w:t>
      </w:r>
      <w:r w:rsidR="000E50C4" w:rsidRPr="007D0284">
        <w:rPr>
          <w:rFonts w:ascii="Artifex CF Extra Light" w:hAnsi="Artifex CF Extra Light" w:cs="Times New Roman"/>
          <w:color w:val="1F4E79" w:themeColor="accent1" w:themeShade="80"/>
          <w:sz w:val="18"/>
          <w:szCs w:val="18"/>
          <w:lang w:val="es-DO"/>
        </w:rPr>
        <w:t>siete</w:t>
      </w:r>
      <w:r w:rsidRPr="007D0284">
        <w:rPr>
          <w:rFonts w:ascii="Artifex CF Extra Light" w:hAnsi="Artifex CF Extra Light" w:cs="Times New Roman"/>
          <w:color w:val="1F4E79" w:themeColor="accent1" w:themeShade="80"/>
          <w:sz w:val="18"/>
          <w:szCs w:val="18"/>
          <w:lang w:val="es-DO"/>
        </w:rPr>
        <w:t xml:space="preserve"> (</w:t>
      </w:r>
      <w:r w:rsidR="000E50C4" w:rsidRPr="007D0284">
        <w:rPr>
          <w:rFonts w:ascii="Artifex CF Extra Light" w:hAnsi="Artifex CF Extra Light" w:cs="Times New Roman"/>
          <w:color w:val="1F4E79" w:themeColor="accent1" w:themeShade="80"/>
          <w:sz w:val="18"/>
          <w:szCs w:val="18"/>
          <w:lang w:val="es-DO"/>
        </w:rPr>
        <w:t>7</w:t>
      </w:r>
      <w:r w:rsidRPr="007D0284">
        <w:rPr>
          <w:rFonts w:ascii="Artifex CF Extra Light" w:hAnsi="Artifex CF Extra Light" w:cs="Times New Roman"/>
          <w:color w:val="1F4E79" w:themeColor="accent1" w:themeShade="80"/>
          <w:sz w:val="18"/>
          <w:szCs w:val="18"/>
          <w:lang w:val="es-DO"/>
        </w:rPr>
        <w:t xml:space="preserve">) proyectos de nueva inversión, la expansión de </w:t>
      </w:r>
      <w:r w:rsidR="00CE2AAF" w:rsidRPr="007D0284">
        <w:rPr>
          <w:rFonts w:ascii="Artifex CF Extra Light" w:hAnsi="Artifex CF Extra Light" w:cs="Times New Roman"/>
          <w:color w:val="1F4E79" w:themeColor="accent1" w:themeShade="80"/>
          <w:sz w:val="18"/>
          <w:szCs w:val="18"/>
          <w:lang w:val="es-DO"/>
        </w:rPr>
        <w:t>cinco</w:t>
      </w:r>
      <w:r w:rsidRPr="007D0284">
        <w:rPr>
          <w:rFonts w:ascii="Artifex CF Extra Light" w:hAnsi="Artifex CF Extra Light" w:cs="Times New Roman"/>
          <w:color w:val="1F4E79" w:themeColor="accent1" w:themeShade="80"/>
          <w:sz w:val="18"/>
          <w:szCs w:val="18"/>
          <w:lang w:val="es-DO"/>
        </w:rPr>
        <w:t xml:space="preserve"> (</w:t>
      </w:r>
      <w:r w:rsidR="00CE2AAF" w:rsidRPr="007D0284">
        <w:rPr>
          <w:rFonts w:ascii="Artifex CF Extra Light" w:hAnsi="Artifex CF Extra Light" w:cs="Times New Roman"/>
          <w:color w:val="1F4E79" w:themeColor="accent1" w:themeShade="80"/>
          <w:sz w:val="18"/>
          <w:szCs w:val="18"/>
          <w:lang w:val="es-DO"/>
        </w:rPr>
        <w:t>5</w:t>
      </w:r>
      <w:r w:rsidRPr="007D0284">
        <w:rPr>
          <w:rFonts w:ascii="Artifex CF Extra Light" w:hAnsi="Artifex CF Extra Light" w:cs="Times New Roman"/>
          <w:color w:val="1F4E79" w:themeColor="accent1" w:themeShade="80"/>
          <w:sz w:val="18"/>
          <w:szCs w:val="18"/>
          <w:lang w:val="es-DO"/>
        </w:rPr>
        <w:t>) proyectos de inversión</w:t>
      </w:r>
      <w:r w:rsidR="00335280" w:rsidRPr="007D0284">
        <w:rPr>
          <w:rFonts w:ascii="Artifex CF Extra Light" w:hAnsi="Artifex CF Extra Light" w:cs="Times New Roman"/>
          <w:color w:val="1F4E79" w:themeColor="accent1" w:themeShade="80"/>
          <w:sz w:val="18"/>
          <w:szCs w:val="18"/>
          <w:lang w:val="es-DO"/>
        </w:rPr>
        <w:t>,</w:t>
      </w:r>
      <w:r w:rsidRPr="007D0284">
        <w:rPr>
          <w:rFonts w:ascii="Artifex CF Extra Light" w:hAnsi="Artifex CF Extra Light" w:cs="Times New Roman"/>
          <w:color w:val="1F4E79" w:themeColor="accent1" w:themeShade="80"/>
          <w:sz w:val="18"/>
          <w:szCs w:val="18"/>
          <w:lang w:val="es-DO"/>
        </w:rPr>
        <w:t xml:space="preserve"> el desarrollo de una campaña post-establecimiento y el desarrollo de un plan de trabajo con CAIPA.</w:t>
      </w:r>
    </w:p>
    <w:p w14:paraId="1974A927" w14:textId="257FCD48" w:rsidR="00465B15" w:rsidRPr="007D0284" w:rsidRDefault="00465B15"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lastRenderedPageBreak/>
        <w:t xml:space="preserve">Otras actividades relevantes relacionadas a la atracción de IED se han realizado, a saber: </w:t>
      </w:r>
      <w:r w:rsidR="00A81FF5" w:rsidRPr="007D0284">
        <w:rPr>
          <w:rFonts w:ascii="Artifex CF Extra Light" w:hAnsi="Artifex CF Extra Light" w:cs="Times New Roman"/>
          <w:color w:val="1F4E79" w:themeColor="accent1" w:themeShade="80"/>
          <w:sz w:val="18"/>
          <w:szCs w:val="18"/>
          <w:lang w:val="es-DO"/>
        </w:rPr>
        <w:t>L</w:t>
      </w:r>
      <w:r w:rsidRPr="007D0284">
        <w:rPr>
          <w:rFonts w:ascii="Artifex CF Extra Light" w:hAnsi="Artifex CF Extra Light" w:cs="Times New Roman"/>
          <w:color w:val="1F4E79" w:themeColor="accent1" w:themeShade="80"/>
          <w:sz w:val="18"/>
          <w:szCs w:val="18"/>
          <w:lang w:val="es-DO"/>
        </w:rPr>
        <w:t>a reestructuración organizativa enfocada en la fidelización de los clientes y el fortalecimiento de relaciones internacionales.</w:t>
      </w:r>
    </w:p>
    <w:p w14:paraId="23603193" w14:textId="2B361958" w:rsidR="00114F80" w:rsidRPr="007D0284" w:rsidRDefault="00465B15"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Dentro de los principales logros del eje Exportar Para Crecer se encuentran el desarrollo y lanzamiento de dos (2) importantes iniciativas, a saber: El Plan de Promoción Comercial y el Plan Nacional de Fomento a las Exportaciones.</w:t>
      </w:r>
    </w:p>
    <w:p w14:paraId="671D26F5" w14:textId="4B741EB8" w:rsidR="00BE16C3" w:rsidRPr="007D0284" w:rsidRDefault="00B63A60"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Así mismo, se ha brindado asistencia técnica a </w:t>
      </w:r>
      <w:r w:rsidR="002807E4" w:rsidRPr="007D0284">
        <w:rPr>
          <w:rFonts w:ascii="Artifex CF Extra Light" w:hAnsi="Artifex CF Extra Light" w:cs="Times New Roman"/>
          <w:color w:val="1F4E79" w:themeColor="accent1" w:themeShade="80"/>
          <w:sz w:val="18"/>
          <w:szCs w:val="18"/>
          <w:lang w:val="es-DO"/>
        </w:rPr>
        <w:t>92</w:t>
      </w:r>
      <w:r w:rsidRPr="007D0284">
        <w:rPr>
          <w:rFonts w:ascii="Artifex CF Extra Light" w:hAnsi="Artifex CF Extra Light" w:cs="Times New Roman"/>
          <w:color w:val="1F4E79" w:themeColor="accent1" w:themeShade="80"/>
          <w:sz w:val="18"/>
          <w:szCs w:val="18"/>
          <w:lang w:val="es-DO"/>
        </w:rPr>
        <w:t xml:space="preserve"> nuevos clientes y </w:t>
      </w:r>
      <w:r w:rsidR="002807E4" w:rsidRPr="007D0284">
        <w:rPr>
          <w:rFonts w:ascii="Artifex CF Extra Light" w:hAnsi="Artifex CF Extra Light" w:cs="Times New Roman"/>
          <w:color w:val="1F4E79" w:themeColor="accent1" w:themeShade="80"/>
          <w:sz w:val="18"/>
          <w:szCs w:val="18"/>
          <w:lang w:val="es-DO"/>
        </w:rPr>
        <w:t>116</w:t>
      </w:r>
      <w:r w:rsidRPr="007D0284">
        <w:rPr>
          <w:rFonts w:ascii="Artifex CF Extra Light" w:hAnsi="Artifex CF Extra Light" w:cs="Times New Roman"/>
          <w:color w:val="1F4E79" w:themeColor="accent1" w:themeShade="80"/>
          <w:sz w:val="18"/>
          <w:szCs w:val="18"/>
          <w:lang w:val="es-DO"/>
        </w:rPr>
        <w:t xml:space="preserve"> clientes habituales,</w:t>
      </w:r>
      <w:r w:rsidR="00BE16C3" w:rsidRPr="007D0284">
        <w:rPr>
          <w:rFonts w:ascii="Artifex CF Extra Light" w:hAnsi="Artifex CF Extra Light" w:cs="Times New Roman"/>
          <w:color w:val="1F4E79" w:themeColor="accent1" w:themeShade="80"/>
          <w:sz w:val="18"/>
          <w:szCs w:val="18"/>
          <w:lang w:val="es-DO"/>
        </w:rPr>
        <w:t xml:space="preserve"> se logró que 32 empresas exportadoras participaran en la primera feria comercial virtual PMA 2020, en la cual sostuvieron reuniones virtuales con importantes Compradores Internacionales de Estados Unidos, con un Monto de Intención de US$ 728,380 mensual y US$ 8,972,560 anual. Se han realizado más de 90 reuniones virtuales con un poco más de 60 compradores estadounidenses, dentro de los cuales se pueden resaltar cadenas como Walmart, Target y Sisco. </w:t>
      </w:r>
    </w:p>
    <w:p w14:paraId="2DD0F322" w14:textId="6162A25D" w:rsidR="00B63A60" w:rsidRPr="007D0284" w:rsidRDefault="00BE16C3"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También se han realizado misiones comerciales (presenciales, virtuales), de un total de 5 países que son: España, Holanda, Argentina, Martinica e Italia, beneficiándose allí a través de enlaces comerciales un total de 125 empresas exportadoras de productos como: aguacate, café, miel, ron y concentrados de piña. Se han ofrecido asesorías a 15 empresas exportadoras en inteligencia de mercados para países como México, Brasil, USA, Canadá, Francia, China y España.</w:t>
      </w:r>
    </w:p>
    <w:p w14:paraId="614C1F17" w14:textId="2B4BEF74" w:rsidR="00954A6D" w:rsidRPr="007D0284" w:rsidRDefault="00954A6D"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Así mismo, se han realizado 115 visitas de campo a diferentes empresas de los sectores: agro, agroindustrial e industrial. Productos como: café, miel, aguacate, piña, cemento, belleza, tabaco, cazabe, textil. </w:t>
      </w:r>
    </w:p>
    <w:p w14:paraId="709D6CBD" w14:textId="629058FD" w:rsidR="00465B15" w:rsidRPr="007D0284" w:rsidRDefault="00465B15"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Por su parte, la gerencia del Centro MiPymes de exportación también tuvo importantes logros con la formación y desarrollo de exportadores, 3</w:t>
      </w:r>
      <w:r w:rsidR="00C74938" w:rsidRPr="007D0284">
        <w:rPr>
          <w:rFonts w:ascii="Artifex CF Extra Light" w:hAnsi="Artifex CF Extra Light" w:cs="Times New Roman"/>
          <w:color w:val="1F4E79" w:themeColor="accent1" w:themeShade="80"/>
          <w:sz w:val="18"/>
          <w:szCs w:val="18"/>
          <w:lang w:val="es-DO"/>
        </w:rPr>
        <w:t>0</w:t>
      </w:r>
      <w:r w:rsidRPr="007D0284">
        <w:rPr>
          <w:rFonts w:ascii="Artifex CF Extra Light" w:hAnsi="Artifex CF Extra Light" w:cs="Times New Roman"/>
          <w:color w:val="1F4E79" w:themeColor="accent1" w:themeShade="80"/>
          <w:sz w:val="18"/>
          <w:szCs w:val="18"/>
          <w:lang w:val="es-DO"/>
        </w:rPr>
        <w:t xml:space="preserve"> MiPymes fueron identificadas y preparadas para exportar, 10 MiPymes exportaron lo primera vez</w:t>
      </w:r>
      <w:r w:rsidR="00EB169E" w:rsidRPr="007D0284">
        <w:rPr>
          <w:rFonts w:ascii="Artifex CF Extra Light" w:hAnsi="Artifex CF Extra Light" w:cs="Times New Roman"/>
          <w:color w:val="1F4E79" w:themeColor="accent1" w:themeShade="80"/>
          <w:sz w:val="18"/>
          <w:szCs w:val="18"/>
          <w:lang w:val="es-DO"/>
        </w:rPr>
        <w:t xml:space="preserve"> en el 2020</w:t>
      </w:r>
      <w:r w:rsidRPr="007D0284">
        <w:rPr>
          <w:rFonts w:ascii="Artifex CF Extra Light" w:hAnsi="Artifex CF Extra Light" w:cs="Times New Roman"/>
          <w:color w:val="1F4E79" w:themeColor="accent1" w:themeShade="80"/>
          <w:sz w:val="18"/>
          <w:szCs w:val="18"/>
          <w:lang w:val="es-DO"/>
        </w:rPr>
        <w:t>, gracias a los servicios de ProDominicana</w:t>
      </w:r>
      <w:r w:rsidR="00EB169E" w:rsidRPr="007D0284">
        <w:rPr>
          <w:rFonts w:ascii="Artifex CF Extra Light" w:hAnsi="Artifex CF Extra Light" w:cs="Times New Roman"/>
          <w:color w:val="1F4E79" w:themeColor="accent1" w:themeShade="80"/>
          <w:sz w:val="18"/>
          <w:szCs w:val="18"/>
          <w:lang w:val="es-DO"/>
        </w:rPr>
        <w:t>.</w:t>
      </w:r>
    </w:p>
    <w:p w14:paraId="2345C4B1" w14:textId="18DD6BAE" w:rsidR="0071161E" w:rsidRPr="007D0284" w:rsidRDefault="00465B15" w:rsidP="007D0284">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En el ámbito de los servicios de formación en comercio internacional, en el año 2020 ProDominicana </w:t>
      </w:r>
      <w:r w:rsidR="0071161E" w:rsidRPr="007D0284">
        <w:rPr>
          <w:rFonts w:ascii="Artifex CF Extra Light" w:hAnsi="Artifex CF Extra Light" w:cs="Times New Roman"/>
          <w:color w:val="1F4E79" w:themeColor="accent1" w:themeShade="80"/>
          <w:sz w:val="18"/>
          <w:szCs w:val="18"/>
          <w:lang w:val="es-DO"/>
        </w:rPr>
        <w:t xml:space="preserve">se </w:t>
      </w:r>
      <w:r w:rsidR="00C70466" w:rsidRPr="007D0284">
        <w:rPr>
          <w:rFonts w:ascii="Artifex CF Extra Light" w:hAnsi="Artifex CF Extra Light" w:cs="Times New Roman"/>
          <w:color w:val="1F4E79" w:themeColor="accent1" w:themeShade="80"/>
          <w:sz w:val="18"/>
          <w:szCs w:val="18"/>
          <w:lang w:val="es-DO"/>
        </w:rPr>
        <w:t>realizaron</w:t>
      </w:r>
      <w:r w:rsidR="0071161E" w:rsidRPr="007D0284">
        <w:rPr>
          <w:rFonts w:ascii="Artifex CF Extra Light" w:hAnsi="Artifex CF Extra Light" w:cs="Times New Roman"/>
          <w:color w:val="1F4E79" w:themeColor="accent1" w:themeShade="80"/>
          <w:sz w:val="18"/>
          <w:szCs w:val="18"/>
          <w:lang w:val="es-DO"/>
        </w:rPr>
        <w:t xml:space="preserve"> 13 capacitaciones virtuales, de las cuales se han beneficiado 683 personas, de los cuales 71 son exportadores, 39 son potenciales exportadores.</w:t>
      </w:r>
    </w:p>
    <w:p w14:paraId="697A5D52" w14:textId="1BA2BA1E" w:rsidR="00AF5C36" w:rsidRPr="007D0284" w:rsidRDefault="00C70466" w:rsidP="00A6352F">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lastRenderedPageBreak/>
        <w:t>Dando cumplimiento a lo establecido en la ley No. 84-99 sobre Reactivación y Fomento de las Exportaciones, en los primeros 100 días de gestión se han emitido 16 resoluciones de admisión temporal</w:t>
      </w:r>
      <w:r w:rsidR="00A6352F">
        <w:rPr>
          <w:rFonts w:ascii="Artifex CF Extra Light" w:hAnsi="Artifex CF Extra Light" w:cs="Times New Roman"/>
          <w:color w:val="1F4E79" w:themeColor="accent1" w:themeShade="80"/>
          <w:sz w:val="18"/>
          <w:szCs w:val="18"/>
          <w:lang w:val="es-DO"/>
        </w:rPr>
        <w:t>, igualmente, d</w:t>
      </w:r>
      <w:r w:rsidR="00AF5C36" w:rsidRPr="007D0284">
        <w:rPr>
          <w:rFonts w:ascii="Artifex CF Extra Light" w:hAnsi="Artifex CF Extra Light" w:cs="Times New Roman"/>
          <w:color w:val="1F4E79" w:themeColor="accent1" w:themeShade="80"/>
          <w:sz w:val="18"/>
          <w:szCs w:val="18"/>
          <w:lang w:val="es-DO"/>
        </w:rPr>
        <w:t>ando cumplimiento a lo establecido en la Ley No. 110-13 Sobre Desperdicios y Desechos de Metales, Chatarras y otros Desechos de Cobre, Aluminio y sus Aleaciones, en los primeros 100 días de gestión se han emitido 14 certificaciones para exportar</w:t>
      </w:r>
      <w:r w:rsidR="00DD77C7">
        <w:rPr>
          <w:rFonts w:ascii="Artifex CF Extra Light" w:hAnsi="Artifex CF Extra Light" w:cs="Times New Roman"/>
          <w:color w:val="1F4E79" w:themeColor="accent1" w:themeShade="80"/>
          <w:sz w:val="18"/>
          <w:szCs w:val="18"/>
          <w:lang w:val="es-DO"/>
        </w:rPr>
        <w:t>.</w:t>
      </w:r>
    </w:p>
    <w:p w14:paraId="310F1957" w14:textId="77777777" w:rsidR="00DD77C7" w:rsidRDefault="00465B15" w:rsidP="00DD77C7">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Otra actividad relevante fue la celebración del Encuentro Nacional “Mujeres en Exportación” consistió en el lanzamiento del estudio de las exportaciones de empresas lideradas por mujeres y su impacto en la economía dominicana, la inauguración de una exposición de productos de estas empresas que actualmente exportan y potenciales exportadores, así como el reconocimiento a las empresas lideradas por mujeres con destacado desempeño en las exportaciones en los últimos años.   </w:t>
      </w:r>
    </w:p>
    <w:p w14:paraId="2B2F0901" w14:textId="47C34420" w:rsidR="00344799" w:rsidRPr="007D0284" w:rsidRDefault="00554570" w:rsidP="00DD77C7">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D</w:t>
      </w:r>
      <w:r w:rsidR="00465B15" w:rsidRPr="007D0284">
        <w:rPr>
          <w:rFonts w:ascii="Artifex CF Extra Light" w:hAnsi="Artifex CF Extra Light" w:cs="Times New Roman"/>
          <w:color w:val="1F4E79" w:themeColor="accent1" w:themeShade="80"/>
          <w:sz w:val="18"/>
          <w:szCs w:val="18"/>
          <w:lang w:val="es-DO"/>
        </w:rPr>
        <w:t xml:space="preserve">entro de los principales logros del eje Mas Marca País se encuentra el lanzamiento de la marca país de la Republica Dominicana ´´La Republica del Mundo´´, que consistió en lanzar una estrategia que posicione y promocione las potencialidades de </w:t>
      </w:r>
      <w:r w:rsidR="00A6352F">
        <w:rPr>
          <w:rFonts w:ascii="Artifex CF Extra Light" w:hAnsi="Artifex CF Extra Light" w:cs="Times New Roman"/>
          <w:color w:val="1F4E79" w:themeColor="accent1" w:themeShade="80"/>
          <w:sz w:val="18"/>
          <w:szCs w:val="18"/>
          <w:lang w:val="es-DO"/>
        </w:rPr>
        <w:t>Republica Dominicana</w:t>
      </w:r>
      <w:r w:rsidR="00465B15" w:rsidRPr="007D0284">
        <w:rPr>
          <w:rFonts w:ascii="Artifex CF Extra Light" w:hAnsi="Artifex CF Extra Light" w:cs="Times New Roman"/>
          <w:color w:val="1F4E79" w:themeColor="accent1" w:themeShade="80"/>
          <w:sz w:val="18"/>
          <w:szCs w:val="18"/>
          <w:lang w:val="es-DO"/>
        </w:rPr>
        <w:t>, frente a competidores regionales que llevan al mundo una oferta similar a la nuestra, proporcionando valor al comercio, el turismo, la inversión, la ciudadanía y nuestra cultura, permitiendo unificar bajo un mismo concepto los productos y servicios dominicanos, así como maximizar las potencialidades turísticas, que reflejen en forma atractiva, y distintiva los elementos de la identidad dominicana de m</w:t>
      </w:r>
      <w:r w:rsidR="004329AA" w:rsidRPr="007D0284">
        <w:rPr>
          <w:rFonts w:ascii="Artifex CF Extra Light" w:hAnsi="Artifex CF Extra Light" w:cs="Times New Roman"/>
          <w:color w:val="1F4E79" w:themeColor="accent1" w:themeShade="80"/>
          <w:sz w:val="18"/>
          <w:szCs w:val="18"/>
          <w:lang w:val="es-DO"/>
        </w:rPr>
        <w:t>a</w:t>
      </w:r>
      <w:r w:rsidR="00465B15" w:rsidRPr="007D0284">
        <w:rPr>
          <w:rFonts w:ascii="Artifex CF Extra Light" w:hAnsi="Artifex CF Extra Light" w:cs="Times New Roman"/>
          <w:color w:val="1F4E79" w:themeColor="accent1" w:themeShade="80"/>
          <w:sz w:val="18"/>
          <w:szCs w:val="18"/>
          <w:lang w:val="es-DO"/>
        </w:rPr>
        <w:t>yor interés.</w:t>
      </w:r>
    </w:p>
    <w:p w14:paraId="51CCB8E4" w14:textId="77777777" w:rsidR="00A6352F" w:rsidRDefault="00554570" w:rsidP="00A6352F">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Otros importantes logros de han alcanzado </w:t>
      </w:r>
      <w:r w:rsidR="009B558B" w:rsidRPr="007D0284">
        <w:rPr>
          <w:rFonts w:ascii="Artifex CF Extra Light" w:hAnsi="Artifex CF Extra Light" w:cs="Times New Roman"/>
          <w:color w:val="1F4E79" w:themeColor="accent1" w:themeShade="80"/>
          <w:sz w:val="18"/>
          <w:szCs w:val="18"/>
          <w:lang w:val="es-DO"/>
        </w:rPr>
        <w:t xml:space="preserve">con relación a la infraestructura </w:t>
      </w:r>
      <w:r w:rsidR="008A4084" w:rsidRPr="007D0284">
        <w:rPr>
          <w:rFonts w:ascii="Artifex CF Extra Light" w:hAnsi="Artifex CF Extra Light" w:cs="Times New Roman"/>
          <w:color w:val="1F4E79" w:themeColor="accent1" w:themeShade="80"/>
          <w:sz w:val="18"/>
          <w:szCs w:val="18"/>
          <w:lang w:val="es-DO"/>
        </w:rPr>
        <w:t xml:space="preserve">física, como: La adecuación primer piso, </w:t>
      </w:r>
      <w:r w:rsidR="001B0E88" w:rsidRPr="007D0284">
        <w:rPr>
          <w:rFonts w:ascii="Artifex CF Extra Light" w:hAnsi="Artifex CF Extra Light" w:cs="Times New Roman"/>
          <w:color w:val="1F4E79" w:themeColor="accent1" w:themeShade="80"/>
          <w:sz w:val="18"/>
          <w:szCs w:val="18"/>
          <w:lang w:val="es-DO"/>
        </w:rPr>
        <w:t>la habilitación e inauguración de la sala de lactancia</w:t>
      </w:r>
      <w:r w:rsidR="00A6352F">
        <w:rPr>
          <w:rFonts w:ascii="Artifex CF Extra Light" w:hAnsi="Artifex CF Extra Light" w:cs="Times New Roman"/>
          <w:color w:val="1F4E79" w:themeColor="accent1" w:themeShade="80"/>
          <w:sz w:val="18"/>
          <w:szCs w:val="18"/>
          <w:lang w:val="es-DO"/>
        </w:rPr>
        <w:t>,</w:t>
      </w:r>
      <w:r w:rsidR="001B0E88" w:rsidRPr="007D0284">
        <w:rPr>
          <w:rFonts w:ascii="Artifex CF Extra Light" w:hAnsi="Artifex CF Extra Light" w:cs="Times New Roman"/>
          <w:color w:val="1F4E79" w:themeColor="accent1" w:themeShade="80"/>
          <w:sz w:val="18"/>
          <w:szCs w:val="18"/>
          <w:lang w:val="es-DO"/>
        </w:rPr>
        <w:t xml:space="preserve"> la </w:t>
      </w:r>
      <w:r w:rsidR="00127DC6" w:rsidRPr="007D0284">
        <w:rPr>
          <w:rFonts w:ascii="Artifex CF Extra Light" w:hAnsi="Artifex CF Extra Light" w:cs="Times New Roman"/>
          <w:color w:val="1F4E79" w:themeColor="accent1" w:themeShade="80"/>
          <w:sz w:val="18"/>
          <w:szCs w:val="18"/>
          <w:lang w:val="es-DO"/>
        </w:rPr>
        <w:t>habilitación de c</w:t>
      </w:r>
      <w:r w:rsidR="008A4084" w:rsidRPr="007D0284">
        <w:rPr>
          <w:rFonts w:ascii="Artifex CF Extra Light" w:hAnsi="Artifex CF Extra Light" w:cs="Times New Roman"/>
          <w:color w:val="1F4E79" w:themeColor="accent1" w:themeShade="80"/>
          <w:sz w:val="18"/>
          <w:szCs w:val="18"/>
          <w:lang w:val="es-DO"/>
        </w:rPr>
        <w:t>iclo parqueaderos</w:t>
      </w:r>
      <w:r w:rsidR="00A6352F">
        <w:rPr>
          <w:rFonts w:ascii="Artifex CF Extra Light" w:hAnsi="Artifex CF Extra Light" w:cs="Times New Roman"/>
          <w:color w:val="1F4E79" w:themeColor="accent1" w:themeShade="80"/>
          <w:sz w:val="18"/>
          <w:szCs w:val="18"/>
          <w:lang w:val="es-DO"/>
        </w:rPr>
        <w:t xml:space="preserve"> </w:t>
      </w:r>
      <w:r w:rsidR="00D712C9" w:rsidRPr="007D0284">
        <w:rPr>
          <w:rFonts w:ascii="Artifex CF Extra Light" w:hAnsi="Artifex CF Extra Light" w:cs="Times New Roman"/>
          <w:color w:val="1F4E79" w:themeColor="accent1" w:themeShade="80"/>
          <w:sz w:val="18"/>
          <w:szCs w:val="18"/>
          <w:lang w:val="es-DO"/>
        </w:rPr>
        <w:t>y la instalación de</w:t>
      </w:r>
      <w:r w:rsidR="008A4084" w:rsidRPr="007D0284">
        <w:rPr>
          <w:rFonts w:ascii="Artifex CF Extra Light" w:hAnsi="Artifex CF Extra Light" w:cs="Times New Roman"/>
          <w:color w:val="1F4E79" w:themeColor="accent1" w:themeShade="80"/>
          <w:sz w:val="18"/>
          <w:szCs w:val="18"/>
          <w:lang w:val="es-DO"/>
        </w:rPr>
        <w:t xml:space="preserve"> una estación de carga eléctrica.</w:t>
      </w:r>
    </w:p>
    <w:p w14:paraId="1757A7E4" w14:textId="4C0E0B1A" w:rsidR="00D44A9D" w:rsidRPr="007D0284" w:rsidRDefault="00D44A9D" w:rsidP="00A6352F">
      <w:pPr>
        <w:keepNext/>
        <w:keepLines/>
        <w:spacing w:before="100" w:beforeAutospacing="1" w:after="100" w:afterAutospacing="1" w:line="456" w:lineRule="auto"/>
        <w:ind w:firstLine="284"/>
        <w:jc w:val="both"/>
        <w:rPr>
          <w:rFonts w:ascii="Artifex CF Extra Light" w:hAnsi="Artifex CF Extra Light" w:cs="Times New Roman"/>
          <w:color w:val="1F4E79" w:themeColor="accent1" w:themeShade="80"/>
          <w:sz w:val="18"/>
          <w:szCs w:val="18"/>
          <w:lang w:val="es-DO"/>
        </w:rPr>
      </w:pPr>
      <w:r w:rsidRPr="007D0284">
        <w:rPr>
          <w:rFonts w:ascii="Artifex CF Extra Light" w:hAnsi="Artifex CF Extra Light" w:cs="Times New Roman"/>
          <w:color w:val="1F4E79" w:themeColor="accent1" w:themeShade="80"/>
          <w:sz w:val="18"/>
          <w:szCs w:val="18"/>
          <w:lang w:val="es-DO"/>
        </w:rPr>
        <w:t xml:space="preserve">Por otro lado, </w:t>
      </w:r>
      <w:r w:rsidR="00F552C0" w:rsidRPr="007D0284">
        <w:rPr>
          <w:rFonts w:ascii="Artifex CF Extra Light" w:hAnsi="Artifex CF Extra Light" w:cs="Times New Roman"/>
          <w:color w:val="1F4E79" w:themeColor="accent1" w:themeShade="80"/>
          <w:sz w:val="18"/>
          <w:szCs w:val="18"/>
          <w:lang w:val="es-DO"/>
        </w:rPr>
        <w:t>se realizaron algunas mejoras administrativas y financieras</w:t>
      </w:r>
      <w:r w:rsidR="002175AD" w:rsidRPr="007D0284">
        <w:rPr>
          <w:rFonts w:ascii="Artifex CF Extra Light" w:hAnsi="Artifex CF Extra Light" w:cs="Times New Roman"/>
          <w:color w:val="1F4E79" w:themeColor="accent1" w:themeShade="80"/>
          <w:sz w:val="18"/>
          <w:szCs w:val="18"/>
          <w:lang w:val="es-DO"/>
        </w:rPr>
        <w:t xml:space="preserve"> a través de controles para el manejo </w:t>
      </w:r>
      <w:r w:rsidR="00541568" w:rsidRPr="007D0284">
        <w:rPr>
          <w:rFonts w:ascii="Artifex CF Extra Light" w:hAnsi="Artifex CF Extra Light" w:cs="Times New Roman"/>
          <w:color w:val="1F4E79" w:themeColor="accent1" w:themeShade="80"/>
          <w:sz w:val="18"/>
          <w:szCs w:val="18"/>
          <w:lang w:val="es-DO"/>
        </w:rPr>
        <w:t xml:space="preserve">de combustible. Así </w:t>
      </w:r>
      <w:r w:rsidR="00B104BE" w:rsidRPr="007D0284">
        <w:rPr>
          <w:rFonts w:ascii="Artifex CF Extra Light" w:hAnsi="Artifex CF Extra Light" w:cs="Times New Roman"/>
          <w:color w:val="1F4E79" w:themeColor="accent1" w:themeShade="80"/>
          <w:sz w:val="18"/>
          <w:szCs w:val="18"/>
          <w:lang w:val="es-DO"/>
        </w:rPr>
        <w:t>mismo</w:t>
      </w:r>
      <w:r w:rsidR="00CE5DD7" w:rsidRPr="007D0284">
        <w:rPr>
          <w:rFonts w:ascii="Artifex CF Extra Light" w:hAnsi="Artifex CF Extra Light" w:cs="Times New Roman"/>
          <w:color w:val="1F4E79" w:themeColor="accent1" w:themeShade="80"/>
          <w:sz w:val="18"/>
          <w:szCs w:val="18"/>
          <w:lang w:val="es-DO"/>
        </w:rPr>
        <w:t>,</w:t>
      </w:r>
      <w:r w:rsidR="00B90D7D" w:rsidRPr="007D0284">
        <w:rPr>
          <w:rFonts w:ascii="Artifex CF Extra Light" w:hAnsi="Artifex CF Extra Light" w:cs="Times New Roman"/>
          <w:color w:val="1F4E79" w:themeColor="accent1" w:themeShade="80"/>
          <w:sz w:val="18"/>
          <w:szCs w:val="18"/>
          <w:lang w:val="es-DO"/>
        </w:rPr>
        <w:t xml:space="preserve"> </w:t>
      </w:r>
      <w:r w:rsidR="00CE5DD7" w:rsidRPr="007D0284">
        <w:rPr>
          <w:rFonts w:ascii="Artifex CF Extra Light" w:hAnsi="Artifex CF Extra Light" w:cs="Times New Roman"/>
          <w:color w:val="1F4E79" w:themeColor="accent1" w:themeShade="80"/>
          <w:sz w:val="18"/>
          <w:szCs w:val="18"/>
          <w:lang w:val="es-DO"/>
        </w:rPr>
        <w:t>e</w:t>
      </w:r>
      <w:r w:rsidR="00B90D7D" w:rsidRPr="007D0284">
        <w:rPr>
          <w:rFonts w:ascii="Artifex CF Extra Light" w:hAnsi="Artifex CF Extra Light" w:cs="Times New Roman"/>
          <w:color w:val="1F4E79" w:themeColor="accent1" w:themeShade="80"/>
          <w:sz w:val="18"/>
          <w:szCs w:val="18"/>
          <w:lang w:val="es-DO"/>
        </w:rPr>
        <w:t>ntre los meses de julio y noviembre se ha reducido el monto de la nómina en un -5.4 %, lo que representa un ahorro de RD$912,859.14</w:t>
      </w:r>
      <w:r w:rsidR="00A6352F">
        <w:rPr>
          <w:rFonts w:ascii="Artifex CF Extra Light" w:hAnsi="Artifex CF Extra Light" w:cs="Times New Roman"/>
          <w:color w:val="1F4E79" w:themeColor="accent1" w:themeShade="80"/>
          <w:sz w:val="18"/>
          <w:szCs w:val="18"/>
          <w:lang w:val="es-DO"/>
        </w:rPr>
        <w:t>,</w:t>
      </w:r>
      <w:r w:rsidR="00B90D7D" w:rsidRPr="007D0284">
        <w:rPr>
          <w:rFonts w:ascii="Artifex CF Extra Light" w:hAnsi="Artifex CF Extra Light" w:cs="Times New Roman"/>
          <w:color w:val="1F4E79" w:themeColor="accent1" w:themeShade="80"/>
          <w:sz w:val="18"/>
          <w:szCs w:val="18"/>
          <w:lang w:val="es-DO"/>
        </w:rPr>
        <w:t xml:space="preserve"> Esto a pesar de que se han reforzado áreas sustantivas de alto impacto a los servicios de ProDominicana, como son las áreas de </w:t>
      </w:r>
      <w:r w:rsidR="00CE5DD7" w:rsidRPr="007D0284">
        <w:rPr>
          <w:rFonts w:ascii="Artifex CF Extra Light" w:hAnsi="Artifex CF Extra Light" w:cs="Times New Roman"/>
          <w:color w:val="1F4E79" w:themeColor="accent1" w:themeShade="80"/>
          <w:sz w:val="18"/>
          <w:szCs w:val="18"/>
          <w:lang w:val="es-DO"/>
        </w:rPr>
        <w:t>i</w:t>
      </w:r>
      <w:r w:rsidR="00B90D7D" w:rsidRPr="007D0284">
        <w:rPr>
          <w:rFonts w:ascii="Artifex CF Extra Light" w:hAnsi="Artifex CF Extra Light" w:cs="Times New Roman"/>
          <w:color w:val="1F4E79" w:themeColor="accent1" w:themeShade="80"/>
          <w:sz w:val="18"/>
          <w:szCs w:val="18"/>
          <w:lang w:val="es-DO"/>
        </w:rPr>
        <w:t xml:space="preserve">nversión, </w:t>
      </w:r>
      <w:r w:rsidR="00CE5DD7" w:rsidRPr="007D0284">
        <w:rPr>
          <w:rFonts w:ascii="Artifex CF Extra Light" w:hAnsi="Artifex CF Extra Light" w:cs="Times New Roman"/>
          <w:color w:val="1F4E79" w:themeColor="accent1" w:themeShade="80"/>
          <w:sz w:val="18"/>
          <w:szCs w:val="18"/>
          <w:lang w:val="es-DO"/>
        </w:rPr>
        <w:t>a</w:t>
      </w:r>
      <w:r w:rsidR="00B90D7D" w:rsidRPr="007D0284">
        <w:rPr>
          <w:rFonts w:ascii="Artifex CF Extra Light" w:hAnsi="Artifex CF Extra Light" w:cs="Times New Roman"/>
          <w:color w:val="1F4E79" w:themeColor="accent1" w:themeShade="80"/>
          <w:sz w:val="18"/>
          <w:szCs w:val="18"/>
          <w:lang w:val="es-DO"/>
        </w:rPr>
        <w:t>suntos Internacionales y la unidad interna de Tecnología.</w:t>
      </w:r>
    </w:p>
    <w:p w14:paraId="029EC8E6" w14:textId="582F353B" w:rsidR="00554570" w:rsidRPr="000E6A72" w:rsidRDefault="00554570" w:rsidP="00A6352F">
      <w:pPr>
        <w:spacing w:before="380" w:after="120" w:line="456" w:lineRule="auto"/>
        <w:jc w:val="both"/>
        <w:rPr>
          <w:rFonts w:ascii="Artifex CF Extra Light" w:hAnsi="Artifex CF Extra Light" w:cs="Times New Roman"/>
          <w:color w:val="1F4E79" w:themeColor="accent1" w:themeShade="80"/>
          <w:spacing w:val="10"/>
          <w:sz w:val="18"/>
          <w:szCs w:val="18"/>
          <w:lang w:val="es-DO"/>
        </w:rPr>
        <w:sectPr w:rsidR="00554570" w:rsidRPr="000E6A72" w:rsidSect="00AD1FF8">
          <w:footerReference w:type="default" r:id="rId17"/>
          <w:footerReference w:type="first" r:id="rId18"/>
          <w:pgSz w:w="12240" w:h="15840" w:code="1"/>
          <w:pgMar w:top="1440" w:right="2160" w:bottom="1440" w:left="2160" w:header="709" w:footer="709" w:gutter="0"/>
          <w:pgNumType w:start="3"/>
          <w:cols w:space="708"/>
          <w:docGrid w:linePitch="360"/>
        </w:sectPr>
      </w:pPr>
    </w:p>
    <w:p w14:paraId="30DE5568" w14:textId="0ADD7180" w:rsidR="004B00F3" w:rsidRPr="004B00F3" w:rsidRDefault="004B00F3" w:rsidP="00B02CA3">
      <w:pPr>
        <w:pStyle w:val="Prrafodelista"/>
        <w:keepNext/>
        <w:keepLines/>
        <w:numPr>
          <w:ilvl w:val="0"/>
          <w:numId w:val="5"/>
        </w:numPr>
        <w:spacing w:after="120" w:line="456" w:lineRule="auto"/>
        <w:ind w:left="0" w:firstLine="284"/>
        <w:contextualSpacing w:val="0"/>
        <w:jc w:val="center"/>
        <w:outlineLvl w:val="0"/>
        <w:rPr>
          <w:rFonts w:ascii="Artifex CF Light" w:eastAsia="Times New Roman" w:hAnsi="Artifex CF Light" w:cs="Times New Roman"/>
          <w:color w:val="1F4E79" w:themeColor="accent1" w:themeShade="80"/>
          <w:spacing w:val="30"/>
          <w:sz w:val="26"/>
          <w:szCs w:val="32"/>
          <w:lang w:val="es-DO" w:eastAsia="es-DO"/>
        </w:rPr>
      </w:pPr>
      <w:bookmarkStart w:id="4" w:name="_Toc59528080"/>
      <w:r w:rsidRPr="00324A19">
        <w:rPr>
          <w:noProof/>
          <w:color w:val="1F4E79" w:themeColor="accent1" w:themeShade="80"/>
          <w:spacing w:val="30"/>
        </w:rPr>
        <w:lastRenderedPageBreak/>
        <mc:AlternateContent>
          <mc:Choice Requires="wps">
            <w:drawing>
              <wp:anchor distT="0" distB="0" distL="114300" distR="114300" simplePos="0" relativeHeight="251657216" behindDoc="0" locked="0" layoutInCell="1" allowOverlap="1" wp14:anchorId="5F2B903E" wp14:editId="384395BB">
                <wp:simplePos x="0" y="0"/>
                <wp:positionH relativeFrom="margin">
                  <wp:posOffset>2285586</wp:posOffset>
                </wp:positionH>
                <wp:positionV relativeFrom="paragraph">
                  <wp:posOffset>330476</wp:posOffset>
                </wp:positionV>
                <wp:extent cx="464820" cy="0"/>
                <wp:effectExtent l="0" t="19050" r="30480" b="19050"/>
                <wp:wrapNone/>
                <wp:docPr id="19" name="Conector recto 19"/>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D88B1F" id="Conector recto 19"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26pt" to="216.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" strokecolor="red" strokeweight="2.5pt">
                <v:stroke joinstyle="miter"/>
                <w10:wrap anchorx="margin"/>
              </v:line>
            </w:pict>
          </mc:Fallback>
        </mc:AlternateContent>
      </w:r>
      <w:r w:rsidR="00F95111" w:rsidRPr="00CB348E">
        <w:rPr>
          <w:rFonts w:ascii="Artifex CF Light" w:eastAsia="Times New Roman" w:hAnsi="Artifex CF Light" w:cs="Times New Roman"/>
          <w:color w:val="1F4E79" w:themeColor="accent1" w:themeShade="80"/>
          <w:spacing w:val="30"/>
          <w:sz w:val="26"/>
          <w:szCs w:val="32"/>
          <w:lang w:val="es-DO" w:eastAsia="es-DO"/>
        </w:rPr>
        <w:t>INFORMACIÓN INSTITUCIONAL</w:t>
      </w:r>
      <w:bookmarkEnd w:id="3"/>
      <w:bookmarkEnd w:id="4"/>
    </w:p>
    <w:p w14:paraId="64945164" w14:textId="35DB41D1" w:rsidR="00A34C26" w:rsidRPr="00A6352F" w:rsidRDefault="00F95111" w:rsidP="00864966">
      <w:pPr>
        <w:pStyle w:val="Prrafodelista"/>
        <w:numPr>
          <w:ilvl w:val="0"/>
          <w:numId w:val="2"/>
        </w:numPr>
        <w:spacing w:before="380" w:after="120" w:line="456" w:lineRule="auto"/>
        <w:ind w:left="0" w:firstLine="284"/>
        <w:contextualSpacing w:val="0"/>
        <w:jc w:val="center"/>
        <w:outlineLvl w:val="1"/>
        <w:rPr>
          <w:rFonts w:ascii="Artifex CF Extra Light" w:hAnsi="Artifex CF Extra Light" w:cs="Times New Roman"/>
          <w:b/>
          <w:bCs/>
          <w:color w:val="1F4E79" w:themeColor="accent1" w:themeShade="80"/>
          <w:sz w:val="18"/>
          <w:szCs w:val="18"/>
          <w:lang w:val="es-DO"/>
        </w:rPr>
      </w:pPr>
      <w:bookmarkStart w:id="5" w:name="_Toc58332434"/>
      <w:bookmarkStart w:id="6" w:name="_Toc59528081"/>
      <w:r w:rsidRPr="00A6352F">
        <w:rPr>
          <w:rFonts w:ascii="Artifex CF Extra Light" w:hAnsi="Artifex CF Extra Light" w:cs="Times New Roman"/>
          <w:b/>
          <w:bCs/>
          <w:color w:val="1F4E79" w:themeColor="accent1" w:themeShade="80"/>
          <w:sz w:val="18"/>
          <w:szCs w:val="18"/>
          <w:lang w:val="es-DO"/>
        </w:rPr>
        <w:t>MISIÓN</w:t>
      </w:r>
      <w:bookmarkStart w:id="7" w:name="_Toc54949056"/>
      <w:bookmarkEnd w:id="5"/>
      <w:bookmarkEnd w:id="6"/>
    </w:p>
    <w:p w14:paraId="22327233" w14:textId="23577A8B" w:rsidR="00A34C26" w:rsidRPr="004B00F3" w:rsidRDefault="00C11103" w:rsidP="00864966">
      <w:pPr>
        <w:spacing w:before="380" w:after="120" w:line="456" w:lineRule="auto"/>
        <w:ind w:firstLine="284"/>
        <w:mirrorIndents/>
        <w:jc w:val="both"/>
        <w:rPr>
          <w:rFonts w:ascii="Artifex CF Extra Light" w:hAnsi="Artifex CF Extra Light" w:cs="Times New Roman"/>
          <w:color w:val="1F4E79" w:themeColor="accent1" w:themeShade="80"/>
          <w:spacing w:val="10"/>
          <w:sz w:val="18"/>
          <w:szCs w:val="18"/>
          <w:lang w:val="es-DO"/>
        </w:rPr>
      </w:pPr>
      <w:r w:rsidRPr="004B00F3">
        <w:rPr>
          <w:rFonts w:ascii="Artifex CF Extra Light" w:hAnsi="Artifex CF Extra Light" w:cs="Times New Roman"/>
          <w:color w:val="1F4E79" w:themeColor="accent1" w:themeShade="80"/>
          <w:spacing w:val="10"/>
          <w:sz w:val="18"/>
          <w:szCs w:val="18"/>
          <w:lang w:val="es-DO"/>
        </w:rPr>
        <w:t>Crear valor y servir para optimizar la atracción de inversión y mejorar nuestra presencia exportadora en los mercados internacionales incentivando empleos de calidad.</w:t>
      </w:r>
    </w:p>
    <w:p w14:paraId="448C9E61" w14:textId="45133C21" w:rsidR="00CD1467" w:rsidRPr="00A6352F" w:rsidRDefault="00F95111" w:rsidP="00864966">
      <w:pPr>
        <w:pStyle w:val="Prrafodelista"/>
        <w:numPr>
          <w:ilvl w:val="0"/>
          <w:numId w:val="2"/>
        </w:numPr>
        <w:spacing w:before="380" w:after="120" w:line="456" w:lineRule="auto"/>
        <w:ind w:left="0" w:firstLine="284"/>
        <w:contextualSpacing w:val="0"/>
        <w:jc w:val="center"/>
        <w:outlineLvl w:val="1"/>
        <w:rPr>
          <w:rFonts w:ascii="Artifex CF Extra Light" w:hAnsi="Artifex CF Extra Light" w:cs="Times New Roman"/>
          <w:b/>
          <w:bCs/>
          <w:color w:val="1F4E79" w:themeColor="accent1" w:themeShade="80"/>
          <w:sz w:val="18"/>
          <w:szCs w:val="18"/>
          <w:lang w:val="es-DO"/>
        </w:rPr>
      </w:pPr>
      <w:bookmarkStart w:id="8" w:name="_Toc58332435"/>
      <w:bookmarkStart w:id="9" w:name="_Toc59528082"/>
      <w:r w:rsidRPr="00A6352F">
        <w:rPr>
          <w:rFonts w:ascii="Artifex CF Extra Light" w:hAnsi="Artifex CF Extra Light" w:cs="Times New Roman"/>
          <w:b/>
          <w:bCs/>
          <w:color w:val="1F4E79" w:themeColor="accent1" w:themeShade="80"/>
          <w:sz w:val="18"/>
          <w:szCs w:val="18"/>
          <w:lang w:val="es-DO"/>
        </w:rPr>
        <w:t>VISIÓN</w:t>
      </w:r>
      <w:bookmarkEnd w:id="8"/>
      <w:bookmarkEnd w:id="9"/>
    </w:p>
    <w:p w14:paraId="1DC7A0B5" w14:textId="77E9495C" w:rsidR="00A34C26" w:rsidRPr="004B00F3" w:rsidRDefault="00CD1467" w:rsidP="00864966">
      <w:pPr>
        <w:spacing w:before="380" w:after="120" w:line="456" w:lineRule="auto"/>
        <w:ind w:firstLine="284"/>
        <w:mirrorIndents/>
        <w:jc w:val="both"/>
        <w:rPr>
          <w:rFonts w:ascii="Artifex CF Extra Light" w:hAnsi="Artifex CF Extra Light" w:cs="Times New Roman"/>
          <w:color w:val="1F4E79" w:themeColor="accent1" w:themeShade="80"/>
          <w:spacing w:val="10"/>
          <w:sz w:val="18"/>
          <w:szCs w:val="18"/>
          <w:lang w:val="es-DO"/>
        </w:rPr>
      </w:pPr>
      <w:r w:rsidRPr="004B00F3">
        <w:rPr>
          <w:rFonts w:ascii="Artifex CF Extra Light" w:hAnsi="Artifex CF Extra Light" w:cs="Times New Roman"/>
          <w:color w:val="1F4E79" w:themeColor="accent1" w:themeShade="80"/>
          <w:spacing w:val="10"/>
          <w:sz w:val="18"/>
          <w:szCs w:val="18"/>
          <w:lang w:val="es-DO"/>
        </w:rPr>
        <w:t>Ser la agencia de promoción de exportación e inversión más eficiente de la región, para una República Dominicana más competitiva, productiva y desarrollada.</w:t>
      </w:r>
    </w:p>
    <w:p w14:paraId="2E56982C" w14:textId="77777777" w:rsidR="004C590A" w:rsidRPr="00A6352F" w:rsidRDefault="00F95111" w:rsidP="00864966">
      <w:pPr>
        <w:pStyle w:val="Prrafodelista"/>
        <w:numPr>
          <w:ilvl w:val="0"/>
          <w:numId w:val="2"/>
        </w:numPr>
        <w:spacing w:before="380" w:after="120" w:line="456" w:lineRule="auto"/>
        <w:ind w:left="0" w:firstLine="284"/>
        <w:contextualSpacing w:val="0"/>
        <w:jc w:val="center"/>
        <w:outlineLvl w:val="1"/>
        <w:rPr>
          <w:rFonts w:ascii="Artifex CF Extra Light" w:hAnsi="Artifex CF Extra Light" w:cs="Times New Roman"/>
          <w:b/>
          <w:bCs/>
          <w:color w:val="1F4E79" w:themeColor="accent1" w:themeShade="80"/>
          <w:sz w:val="18"/>
          <w:szCs w:val="18"/>
          <w:lang w:val="es-DO"/>
        </w:rPr>
      </w:pPr>
      <w:bookmarkStart w:id="10" w:name="_Toc58332436"/>
      <w:bookmarkStart w:id="11" w:name="_Toc59528083"/>
      <w:r w:rsidRPr="00A6352F">
        <w:rPr>
          <w:rFonts w:ascii="Artifex CF Extra Light" w:hAnsi="Artifex CF Extra Light" w:cs="Times New Roman"/>
          <w:b/>
          <w:bCs/>
          <w:color w:val="1F4E79" w:themeColor="accent1" w:themeShade="80"/>
          <w:sz w:val="18"/>
          <w:szCs w:val="18"/>
          <w:lang w:val="es-DO"/>
        </w:rPr>
        <w:t>VALORES</w:t>
      </w:r>
      <w:bookmarkEnd w:id="10"/>
      <w:bookmarkEnd w:id="11"/>
    </w:p>
    <w:p w14:paraId="7EE1DF27" w14:textId="77777777" w:rsidR="002D6D5B" w:rsidRPr="006E3EB1" w:rsidRDefault="00136446"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Excelencia</w:t>
      </w:r>
    </w:p>
    <w:p w14:paraId="79A83EF6" w14:textId="776BD546" w:rsidR="00136446" w:rsidRPr="006E3EB1" w:rsidRDefault="00136446"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Trabajo en equipo</w:t>
      </w:r>
    </w:p>
    <w:p w14:paraId="470AD59D" w14:textId="39474996" w:rsidR="00911EDA" w:rsidRPr="006E3EB1" w:rsidRDefault="00911EDA"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Integridad</w:t>
      </w:r>
    </w:p>
    <w:p w14:paraId="7EDEDB93" w14:textId="4F4D4327" w:rsidR="00911EDA" w:rsidRPr="006E3EB1" w:rsidRDefault="00911EDA"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Eficiencia</w:t>
      </w:r>
    </w:p>
    <w:p w14:paraId="62161824" w14:textId="37EE1DE6" w:rsidR="00911EDA" w:rsidRPr="006E3EB1" w:rsidRDefault="00911EDA"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Confianza</w:t>
      </w:r>
    </w:p>
    <w:p w14:paraId="44FDD0BA" w14:textId="16FD13D6" w:rsidR="00911EDA" w:rsidRPr="006E3EB1" w:rsidRDefault="00911EDA"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Transparencia</w:t>
      </w:r>
    </w:p>
    <w:p w14:paraId="05EEB450" w14:textId="755C49AC" w:rsidR="00911EDA" w:rsidRPr="006E3EB1" w:rsidRDefault="00911EDA"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Vocación de servicio</w:t>
      </w:r>
    </w:p>
    <w:p w14:paraId="70833BCD" w14:textId="79F541A9" w:rsidR="00DC08C7" w:rsidRPr="006E3EB1" w:rsidRDefault="00DC08C7"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Proactividad</w:t>
      </w:r>
    </w:p>
    <w:p w14:paraId="685A9B8F" w14:textId="1EB9E470" w:rsidR="009249FA" w:rsidRPr="005977CF" w:rsidRDefault="00DC08C7"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lastRenderedPageBreak/>
        <w:t>Equidad</w:t>
      </w:r>
      <w:bookmarkStart w:id="12" w:name="_Toc58332437"/>
    </w:p>
    <w:p w14:paraId="2BBA3B2C" w14:textId="77FE0D8C" w:rsidR="00842E4B" w:rsidRPr="00A6352F" w:rsidRDefault="00F95111" w:rsidP="00864966">
      <w:pPr>
        <w:pStyle w:val="Prrafodelista"/>
        <w:numPr>
          <w:ilvl w:val="0"/>
          <w:numId w:val="2"/>
        </w:numPr>
        <w:spacing w:before="380" w:after="120" w:line="456" w:lineRule="auto"/>
        <w:ind w:left="0" w:firstLine="284"/>
        <w:contextualSpacing w:val="0"/>
        <w:jc w:val="center"/>
        <w:outlineLvl w:val="1"/>
        <w:rPr>
          <w:rFonts w:ascii="Artifex CF Extra Light" w:hAnsi="Artifex CF Extra Light" w:cs="Times New Roman"/>
          <w:b/>
          <w:bCs/>
          <w:color w:val="1F4E79" w:themeColor="accent1" w:themeShade="80"/>
          <w:sz w:val="18"/>
          <w:szCs w:val="18"/>
          <w:lang w:val="es-DO"/>
        </w:rPr>
      </w:pPr>
      <w:bookmarkStart w:id="13" w:name="_Toc59528084"/>
      <w:r w:rsidRPr="00A6352F">
        <w:rPr>
          <w:rFonts w:ascii="Artifex CF Extra Light" w:hAnsi="Artifex CF Extra Light" w:cs="Times New Roman"/>
          <w:b/>
          <w:bCs/>
          <w:color w:val="1F4E79" w:themeColor="accent1" w:themeShade="80"/>
          <w:sz w:val="18"/>
          <w:szCs w:val="18"/>
          <w:lang w:val="es-DO"/>
        </w:rPr>
        <w:t>OBJETIVO GENERAL</w:t>
      </w:r>
      <w:bookmarkEnd w:id="12"/>
      <w:bookmarkEnd w:id="13"/>
    </w:p>
    <w:p w14:paraId="79CE882E" w14:textId="15E97AAB" w:rsidR="00935783" w:rsidRPr="006E3EB1" w:rsidRDefault="00111E4F" w:rsidP="00864966">
      <w:pPr>
        <w:spacing w:before="380" w:after="120" w:line="456" w:lineRule="auto"/>
        <w:ind w:firstLine="284"/>
        <w:mirrorIndents/>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Contribuir con el desarrollo sostenible, la generación de empleos y el aumento del ingreso promedio, a través de servicios a favor del incremento y diversificación de las exportaciones y las inversiones</w:t>
      </w:r>
      <w:r w:rsidR="006005F4" w:rsidRPr="006E3EB1">
        <w:rPr>
          <w:rFonts w:ascii="Artifex CF Extra Light" w:hAnsi="Artifex CF Extra Light" w:cs="Times New Roman"/>
          <w:color w:val="1F4E79" w:themeColor="accent1" w:themeShade="80"/>
          <w:spacing w:val="10"/>
          <w:sz w:val="18"/>
          <w:szCs w:val="18"/>
          <w:lang w:val="es-DO"/>
        </w:rPr>
        <w:t>.</w:t>
      </w:r>
    </w:p>
    <w:p w14:paraId="5FB09F41" w14:textId="21CEED99" w:rsidR="00446348" w:rsidRPr="00A6352F" w:rsidRDefault="00F95111" w:rsidP="00864966">
      <w:pPr>
        <w:pStyle w:val="Prrafodelista"/>
        <w:numPr>
          <w:ilvl w:val="0"/>
          <w:numId w:val="2"/>
        </w:numPr>
        <w:spacing w:before="380" w:after="120" w:line="456" w:lineRule="auto"/>
        <w:ind w:left="0" w:firstLine="284"/>
        <w:contextualSpacing w:val="0"/>
        <w:jc w:val="center"/>
        <w:outlineLvl w:val="1"/>
        <w:rPr>
          <w:rFonts w:ascii="Artifex CF Extra Light" w:hAnsi="Artifex CF Extra Light" w:cs="Times New Roman"/>
          <w:b/>
          <w:bCs/>
          <w:color w:val="1F4E79" w:themeColor="accent1" w:themeShade="80"/>
          <w:sz w:val="18"/>
          <w:szCs w:val="18"/>
          <w:lang w:val="es-DO"/>
        </w:rPr>
      </w:pPr>
      <w:bookmarkStart w:id="14" w:name="_Toc58332438"/>
      <w:bookmarkStart w:id="15" w:name="_Toc59528085"/>
      <w:r w:rsidRPr="00A6352F">
        <w:rPr>
          <w:rFonts w:ascii="Artifex CF Extra Light" w:hAnsi="Artifex CF Extra Light" w:cs="Times New Roman"/>
          <w:b/>
          <w:bCs/>
          <w:color w:val="1F4E79" w:themeColor="accent1" w:themeShade="80"/>
          <w:sz w:val="18"/>
          <w:szCs w:val="18"/>
          <w:lang w:val="es-DO"/>
        </w:rPr>
        <w:t>FUNCIONARIOS</w:t>
      </w:r>
      <w:bookmarkEnd w:id="14"/>
      <w:bookmarkEnd w:id="15"/>
    </w:p>
    <w:p w14:paraId="1F1E5575" w14:textId="489C239A" w:rsidR="007F7161" w:rsidRPr="006E3EB1" w:rsidRDefault="00A416E1"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Biviana Riveiro</w:t>
      </w:r>
      <w:r w:rsidR="008F662B" w:rsidRPr="006E3EB1">
        <w:rPr>
          <w:rFonts w:ascii="Artifex CF Extra Light" w:hAnsi="Artifex CF Extra Light" w:cs="Times New Roman"/>
          <w:color w:val="1F4E79" w:themeColor="accent1" w:themeShade="80"/>
          <w:spacing w:val="10"/>
          <w:sz w:val="18"/>
          <w:szCs w:val="18"/>
          <w:lang w:val="es-DO"/>
        </w:rPr>
        <w:t>, Director</w:t>
      </w:r>
      <w:r w:rsidR="004F3644" w:rsidRPr="006E3EB1">
        <w:rPr>
          <w:rFonts w:ascii="Artifex CF Extra Light" w:hAnsi="Artifex CF Extra Light" w:cs="Times New Roman"/>
          <w:color w:val="1F4E79" w:themeColor="accent1" w:themeShade="80"/>
          <w:spacing w:val="10"/>
          <w:sz w:val="18"/>
          <w:szCs w:val="18"/>
          <w:lang w:val="es-DO"/>
        </w:rPr>
        <w:t>a</w:t>
      </w:r>
      <w:r w:rsidR="008F662B" w:rsidRPr="006E3EB1">
        <w:rPr>
          <w:rFonts w:ascii="Artifex CF Extra Light" w:hAnsi="Artifex CF Extra Light" w:cs="Times New Roman"/>
          <w:color w:val="1F4E79" w:themeColor="accent1" w:themeShade="80"/>
          <w:spacing w:val="10"/>
          <w:sz w:val="18"/>
          <w:szCs w:val="18"/>
          <w:lang w:val="es-DO"/>
        </w:rPr>
        <w:t xml:space="preserve"> Ejecutiv</w:t>
      </w:r>
      <w:r w:rsidR="00393AF3" w:rsidRPr="006E3EB1">
        <w:rPr>
          <w:rFonts w:ascii="Artifex CF Extra Light" w:hAnsi="Artifex CF Extra Light" w:cs="Times New Roman"/>
          <w:color w:val="1F4E79" w:themeColor="accent1" w:themeShade="80"/>
          <w:spacing w:val="10"/>
          <w:sz w:val="18"/>
          <w:szCs w:val="18"/>
          <w:lang w:val="es-DO"/>
        </w:rPr>
        <w:t>a</w:t>
      </w:r>
      <w:r w:rsidR="002047BD" w:rsidRPr="006E3EB1">
        <w:rPr>
          <w:rFonts w:ascii="Artifex CF Extra Light" w:hAnsi="Artifex CF Extra Light" w:cs="Times New Roman"/>
          <w:color w:val="1F4E79" w:themeColor="accent1" w:themeShade="80"/>
          <w:spacing w:val="10"/>
          <w:sz w:val="18"/>
          <w:szCs w:val="18"/>
          <w:lang w:val="es-DO"/>
        </w:rPr>
        <w:t>.</w:t>
      </w:r>
    </w:p>
    <w:p w14:paraId="0E150000" w14:textId="6860E654" w:rsidR="00FA7E14" w:rsidRPr="006E3EB1" w:rsidRDefault="00260166"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Lidia Aybar</w:t>
      </w:r>
      <w:r w:rsidR="008F662B" w:rsidRPr="006E3EB1">
        <w:rPr>
          <w:rFonts w:ascii="Artifex CF Extra Light" w:hAnsi="Artifex CF Extra Light" w:cs="Times New Roman"/>
          <w:color w:val="1F4E79" w:themeColor="accent1" w:themeShade="80"/>
          <w:spacing w:val="10"/>
          <w:sz w:val="18"/>
          <w:szCs w:val="18"/>
          <w:lang w:val="es-DO"/>
        </w:rPr>
        <w:t>, Subdirector</w:t>
      </w:r>
      <w:r w:rsidR="004F3644" w:rsidRPr="006E3EB1">
        <w:rPr>
          <w:rFonts w:ascii="Artifex CF Extra Light" w:hAnsi="Artifex CF Extra Light" w:cs="Times New Roman"/>
          <w:color w:val="1F4E79" w:themeColor="accent1" w:themeShade="80"/>
          <w:spacing w:val="10"/>
          <w:sz w:val="18"/>
          <w:szCs w:val="18"/>
          <w:lang w:val="es-DO"/>
        </w:rPr>
        <w:t>a</w:t>
      </w:r>
      <w:r w:rsidR="008F662B" w:rsidRPr="006E3EB1">
        <w:rPr>
          <w:rFonts w:ascii="Artifex CF Extra Light" w:hAnsi="Artifex CF Extra Light" w:cs="Times New Roman"/>
          <w:color w:val="1F4E79" w:themeColor="accent1" w:themeShade="80"/>
          <w:spacing w:val="10"/>
          <w:sz w:val="18"/>
          <w:szCs w:val="18"/>
          <w:lang w:val="es-DO"/>
        </w:rPr>
        <w:t xml:space="preserve"> General</w:t>
      </w:r>
      <w:r w:rsidR="002047BD" w:rsidRPr="006E3EB1">
        <w:rPr>
          <w:rFonts w:ascii="Artifex CF Extra Light" w:hAnsi="Artifex CF Extra Light" w:cs="Times New Roman"/>
          <w:color w:val="1F4E79" w:themeColor="accent1" w:themeShade="80"/>
          <w:spacing w:val="10"/>
          <w:sz w:val="18"/>
          <w:szCs w:val="18"/>
          <w:lang w:val="es-DO"/>
        </w:rPr>
        <w:t>.</w:t>
      </w:r>
    </w:p>
    <w:p w14:paraId="3C5F2993" w14:textId="4F4F561D" w:rsidR="00FA7E14" w:rsidRPr="006E3EB1" w:rsidRDefault="004A1871"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Mildred Santos, Subdirectora Técnica</w:t>
      </w:r>
      <w:r w:rsidR="002047BD" w:rsidRPr="006E3EB1">
        <w:rPr>
          <w:rFonts w:ascii="Artifex CF Extra Light" w:hAnsi="Artifex CF Extra Light" w:cs="Times New Roman"/>
          <w:color w:val="1F4E79" w:themeColor="accent1" w:themeShade="80"/>
          <w:spacing w:val="10"/>
          <w:sz w:val="18"/>
          <w:szCs w:val="18"/>
          <w:lang w:val="es-DO"/>
        </w:rPr>
        <w:t>.</w:t>
      </w:r>
    </w:p>
    <w:p w14:paraId="2D89933C" w14:textId="1C8FAA64" w:rsidR="00FA7E14" w:rsidRPr="006E3EB1" w:rsidRDefault="00FC613D"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 xml:space="preserve">Vladimir Pimentel, </w:t>
      </w:r>
      <w:r w:rsidR="001B70DC" w:rsidRPr="006E3EB1">
        <w:rPr>
          <w:rFonts w:ascii="Artifex CF Extra Light" w:hAnsi="Artifex CF Extra Light" w:cs="Times New Roman"/>
          <w:color w:val="1F4E79" w:themeColor="accent1" w:themeShade="80"/>
          <w:spacing w:val="10"/>
          <w:sz w:val="18"/>
          <w:szCs w:val="18"/>
          <w:lang w:val="es-DO"/>
        </w:rPr>
        <w:t xml:space="preserve">Asesor de la </w:t>
      </w:r>
      <w:r w:rsidR="00FF33F9" w:rsidRPr="006E3EB1">
        <w:rPr>
          <w:rFonts w:ascii="Artifex CF Extra Light" w:hAnsi="Artifex CF Extra Light" w:cs="Times New Roman"/>
          <w:color w:val="1F4E79" w:themeColor="accent1" w:themeShade="80"/>
          <w:spacing w:val="10"/>
          <w:sz w:val="18"/>
          <w:szCs w:val="18"/>
          <w:lang w:val="es-DO"/>
        </w:rPr>
        <w:t>D</w:t>
      </w:r>
      <w:r w:rsidR="001B70DC" w:rsidRPr="006E3EB1">
        <w:rPr>
          <w:rFonts w:ascii="Artifex CF Extra Light" w:hAnsi="Artifex CF Extra Light" w:cs="Times New Roman"/>
          <w:color w:val="1F4E79" w:themeColor="accent1" w:themeShade="80"/>
          <w:spacing w:val="10"/>
          <w:sz w:val="18"/>
          <w:szCs w:val="18"/>
          <w:lang w:val="es-DO"/>
        </w:rPr>
        <w:t xml:space="preserve">irección </w:t>
      </w:r>
      <w:r w:rsidR="00FF33F9" w:rsidRPr="006E3EB1">
        <w:rPr>
          <w:rFonts w:ascii="Artifex CF Extra Light" w:hAnsi="Artifex CF Extra Light" w:cs="Times New Roman"/>
          <w:color w:val="1F4E79" w:themeColor="accent1" w:themeShade="80"/>
          <w:spacing w:val="10"/>
          <w:sz w:val="18"/>
          <w:szCs w:val="18"/>
          <w:lang w:val="es-DO"/>
        </w:rPr>
        <w:t>E</w:t>
      </w:r>
      <w:r w:rsidR="001B70DC" w:rsidRPr="006E3EB1">
        <w:rPr>
          <w:rFonts w:ascii="Artifex CF Extra Light" w:hAnsi="Artifex CF Extra Light" w:cs="Times New Roman"/>
          <w:color w:val="1F4E79" w:themeColor="accent1" w:themeShade="80"/>
          <w:spacing w:val="10"/>
          <w:sz w:val="18"/>
          <w:szCs w:val="18"/>
          <w:lang w:val="es-DO"/>
        </w:rPr>
        <w:t>jecutiva</w:t>
      </w:r>
      <w:r w:rsidR="002047BD" w:rsidRPr="006E3EB1">
        <w:rPr>
          <w:rFonts w:ascii="Artifex CF Extra Light" w:hAnsi="Artifex CF Extra Light" w:cs="Times New Roman"/>
          <w:color w:val="1F4E79" w:themeColor="accent1" w:themeShade="80"/>
          <w:spacing w:val="10"/>
          <w:sz w:val="18"/>
          <w:szCs w:val="18"/>
          <w:lang w:val="es-DO"/>
        </w:rPr>
        <w:t>.</w:t>
      </w:r>
    </w:p>
    <w:p w14:paraId="5C0AD988" w14:textId="6E2526C5" w:rsidR="00FA7E14" w:rsidRPr="006E3EB1" w:rsidRDefault="008F662B"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Jorge E. López, Director de Innovación Estratégica</w:t>
      </w:r>
      <w:r w:rsidR="002047BD" w:rsidRPr="006E3EB1">
        <w:rPr>
          <w:rFonts w:ascii="Artifex CF Extra Light" w:hAnsi="Artifex CF Extra Light" w:cs="Times New Roman"/>
          <w:color w:val="1F4E79" w:themeColor="accent1" w:themeShade="80"/>
          <w:spacing w:val="10"/>
          <w:sz w:val="18"/>
          <w:szCs w:val="18"/>
          <w:lang w:val="es-DO"/>
        </w:rPr>
        <w:t>.</w:t>
      </w:r>
    </w:p>
    <w:p w14:paraId="3F6157C5" w14:textId="572F144A" w:rsidR="00FA7E14" w:rsidRPr="006E3EB1" w:rsidRDefault="2F9CC5A9"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 xml:space="preserve">Gabriella Dipino, Directora de Atención y Servicios. </w:t>
      </w:r>
    </w:p>
    <w:p w14:paraId="022CC2C1" w14:textId="572F144A" w:rsidR="00FA7E14" w:rsidRPr="006E3EB1" w:rsidRDefault="007F0EA9"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Jaime Licairac</w:t>
      </w:r>
      <w:r w:rsidR="008F662B" w:rsidRPr="006E3EB1">
        <w:rPr>
          <w:rFonts w:ascii="Artifex CF Extra Light" w:hAnsi="Artifex CF Extra Light" w:cs="Times New Roman"/>
          <w:color w:val="1F4E79" w:themeColor="accent1" w:themeShade="80"/>
          <w:spacing w:val="10"/>
          <w:sz w:val="18"/>
          <w:szCs w:val="18"/>
          <w:lang w:val="es-DO"/>
        </w:rPr>
        <w:t>, Director de Exportación</w:t>
      </w:r>
      <w:r w:rsidR="002047BD" w:rsidRPr="006E3EB1">
        <w:rPr>
          <w:rFonts w:ascii="Artifex CF Extra Light" w:hAnsi="Artifex CF Extra Light" w:cs="Times New Roman"/>
          <w:color w:val="1F4E79" w:themeColor="accent1" w:themeShade="80"/>
          <w:spacing w:val="10"/>
          <w:sz w:val="18"/>
          <w:szCs w:val="18"/>
          <w:lang w:val="es-DO"/>
        </w:rPr>
        <w:t>.</w:t>
      </w:r>
    </w:p>
    <w:p w14:paraId="79909F4E" w14:textId="2F0AA96F" w:rsidR="00417B23" w:rsidRPr="006E3EB1" w:rsidRDefault="00417B23"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Marcial Smester</w:t>
      </w:r>
      <w:r w:rsidR="00010F07" w:rsidRPr="006E3EB1">
        <w:rPr>
          <w:rFonts w:ascii="Artifex CF Extra Light" w:hAnsi="Artifex CF Extra Light" w:cs="Times New Roman"/>
          <w:color w:val="1F4E79" w:themeColor="accent1" w:themeShade="80"/>
          <w:spacing w:val="10"/>
          <w:sz w:val="18"/>
          <w:szCs w:val="18"/>
          <w:lang w:val="es-DO"/>
        </w:rPr>
        <w:t>, Director de Inversión.</w:t>
      </w:r>
    </w:p>
    <w:p w14:paraId="192CABA1" w14:textId="63D6D9AF" w:rsidR="00FA7E14" w:rsidRPr="006E3EB1" w:rsidRDefault="008F662B"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Jonathan Aragonez, Director de Estudios Económicos y Estadísticos</w:t>
      </w:r>
      <w:r w:rsidR="002047BD" w:rsidRPr="006E3EB1">
        <w:rPr>
          <w:rFonts w:ascii="Artifex CF Extra Light" w:hAnsi="Artifex CF Extra Light" w:cs="Times New Roman"/>
          <w:color w:val="1F4E79" w:themeColor="accent1" w:themeShade="80"/>
          <w:spacing w:val="10"/>
          <w:sz w:val="18"/>
          <w:szCs w:val="18"/>
          <w:lang w:val="es-DO"/>
        </w:rPr>
        <w:t>.</w:t>
      </w:r>
    </w:p>
    <w:p w14:paraId="4C737658" w14:textId="572F144A" w:rsidR="00FA7E14" w:rsidRPr="006E3EB1" w:rsidRDefault="008F662B"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Ariel Fondeur, Director de Marketing y Comunicación</w:t>
      </w:r>
      <w:r w:rsidR="002047BD" w:rsidRPr="006E3EB1">
        <w:rPr>
          <w:rFonts w:ascii="Artifex CF Extra Light" w:hAnsi="Artifex CF Extra Light" w:cs="Times New Roman"/>
          <w:color w:val="1F4E79" w:themeColor="accent1" w:themeShade="80"/>
          <w:spacing w:val="10"/>
          <w:sz w:val="18"/>
          <w:szCs w:val="18"/>
          <w:lang w:val="es-DO"/>
        </w:rPr>
        <w:t>.</w:t>
      </w:r>
    </w:p>
    <w:p w14:paraId="258830A9" w14:textId="5B5ADCA6" w:rsidR="00010F07" w:rsidRPr="006E3EB1" w:rsidRDefault="5F45FEF5"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 xml:space="preserve">José L. Mañón Javier, Director Administrativo Financiero. </w:t>
      </w:r>
    </w:p>
    <w:p w14:paraId="4CE11D68" w14:textId="3A275137" w:rsidR="009249FA" w:rsidRPr="005977CF" w:rsidRDefault="008F662B"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lastRenderedPageBreak/>
        <w:t>Arnaldo Randelli, Consultor Jurídico</w:t>
      </w:r>
      <w:r w:rsidR="002047BD" w:rsidRPr="006E3EB1">
        <w:rPr>
          <w:rFonts w:ascii="Artifex CF Extra Light" w:hAnsi="Artifex CF Extra Light" w:cs="Times New Roman"/>
          <w:color w:val="1F4E79" w:themeColor="accent1" w:themeShade="80"/>
          <w:spacing w:val="10"/>
          <w:sz w:val="18"/>
          <w:szCs w:val="18"/>
          <w:lang w:val="es-DO"/>
        </w:rPr>
        <w:t>.</w:t>
      </w:r>
      <w:bookmarkStart w:id="16" w:name="_Toc58332439"/>
    </w:p>
    <w:p w14:paraId="2603C176" w14:textId="22771158" w:rsidR="00062A56" w:rsidRPr="00A6352F" w:rsidRDefault="00F95111" w:rsidP="00864966">
      <w:pPr>
        <w:pStyle w:val="Prrafodelista"/>
        <w:numPr>
          <w:ilvl w:val="0"/>
          <w:numId w:val="2"/>
        </w:numPr>
        <w:spacing w:before="380" w:after="120" w:line="456" w:lineRule="auto"/>
        <w:ind w:left="0" w:firstLine="284"/>
        <w:contextualSpacing w:val="0"/>
        <w:jc w:val="center"/>
        <w:outlineLvl w:val="1"/>
        <w:rPr>
          <w:rFonts w:ascii="Artifex CF Extra Light" w:hAnsi="Artifex CF Extra Light" w:cs="Times New Roman"/>
          <w:b/>
          <w:bCs/>
          <w:color w:val="1F4E79" w:themeColor="accent1" w:themeShade="80"/>
          <w:sz w:val="18"/>
          <w:szCs w:val="18"/>
          <w:lang w:val="es-DO"/>
        </w:rPr>
      </w:pPr>
      <w:bookmarkStart w:id="17" w:name="_Toc59528086"/>
      <w:r w:rsidRPr="00A6352F">
        <w:rPr>
          <w:rFonts w:ascii="Artifex CF Extra Light" w:hAnsi="Artifex CF Extra Light" w:cs="Times New Roman"/>
          <w:b/>
          <w:bCs/>
          <w:color w:val="1F4E79" w:themeColor="accent1" w:themeShade="80"/>
          <w:sz w:val="18"/>
          <w:szCs w:val="18"/>
          <w:lang w:val="es-DO"/>
        </w:rPr>
        <w:t>BASE LEGAL</w:t>
      </w:r>
      <w:bookmarkEnd w:id="16"/>
      <w:bookmarkEnd w:id="17"/>
    </w:p>
    <w:p w14:paraId="051E5DC2" w14:textId="30176E57" w:rsidR="00A34C26" w:rsidRPr="006E3EB1" w:rsidRDefault="00013112" w:rsidP="00864966">
      <w:pPr>
        <w:spacing w:before="380" w:after="120" w:line="456" w:lineRule="auto"/>
        <w:ind w:firstLine="284"/>
        <w:mirrorIndents/>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 xml:space="preserve">La Ley No. 98-03 del 17 de junio del año 2003, </w:t>
      </w:r>
      <w:r w:rsidR="0E09110C" w:rsidRPr="006E3EB1">
        <w:rPr>
          <w:rFonts w:ascii="Artifex CF Extra Light" w:hAnsi="Artifex CF Extra Light" w:cs="Times New Roman"/>
          <w:color w:val="1F4E79" w:themeColor="accent1" w:themeShade="80"/>
          <w:spacing w:val="10"/>
          <w:sz w:val="18"/>
          <w:szCs w:val="18"/>
          <w:lang w:val="es-DO"/>
        </w:rPr>
        <w:t>es la ley orgánica de</w:t>
      </w:r>
      <w:r w:rsidR="5A20F359" w:rsidRPr="006E3EB1">
        <w:rPr>
          <w:rFonts w:ascii="Artifex CF Extra Light" w:hAnsi="Artifex CF Extra Light" w:cs="Times New Roman"/>
          <w:color w:val="1F4E79" w:themeColor="accent1" w:themeShade="80"/>
          <w:spacing w:val="10"/>
          <w:sz w:val="18"/>
          <w:szCs w:val="18"/>
          <w:lang w:val="es-DO"/>
        </w:rPr>
        <w:t xml:space="preserve"> ProDominicana, institución creada con el objetivo de foment</w:t>
      </w:r>
      <w:r w:rsidR="7DFAAF65" w:rsidRPr="006E3EB1">
        <w:rPr>
          <w:rFonts w:ascii="Artifex CF Extra Light" w:hAnsi="Artifex CF Extra Light" w:cs="Times New Roman"/>
          <w:color w:val="1F4E79" w:themeColor="accent1" w:themeShade="80"/>
          <w:spacing w:val="10"/>
          <w:sz w:val="18"/>
          <w:szCs w:val="18"/>
          <w:lang w:val="es-DO"/>
        </w:rPr>
        <w:t>ar</w:t>
      </w:r>
      <w:r w:rsidR="5A20F359" w:rsidRPr="006E3EB1">
        <w:rPr>
          <w:rFonts w:ascii="Artifex CF Extra Light" w:hAnsi="Artifex CF Extra Light" w:cs="Times New Roman"/>
          <w:color w:val="1F4E79" w:themeColor="accent1" w:themeShade="80"/>
          <w:spacing w:val="10"/>
          <w:sz w:val="18"/>
          <w:szCs w:val="18"/>
          <w:lang w:val="es-DO"/>
        </w:rPr>
        <w:t xml:space="preserve"> las Exportaciones y </w:t>
      </w:r>
      <w:r w:rsidR="5733B670" w:rsidRPr="006E3EB1">
        <w:rPr>
          <w:rFonts w:ascii="Artifex CF Extra Light" w:hAnsi="Artifex CF Extra Light" w:cs="Times New Roman"/>
          <w:color w:val="1F4E79" w:themeColor="accent1" w:themeShade="80"/>
          <w:spacing w:val="10"/>
          <w:sz w:val="18"/>
          <w:szCs w:val="18"/>
          <w:lang w:val="es-DO"/>
        </w:rPr>
        <w:t>atraer</w:t>
      </w:r>
      <w:r w:rsidR="5A20F359" w:rsidRPr="006E3EB1">
        <w:rPr>
          <w:rFonts w:ascii="Artifex CF Extra Light" w:hAnsi="Artifex CF Extra Light" w:cs="Times New Roman"/>
          <w:color w:val="1F4E79" w:themeColor="accent1" w:themeShade="80"/>
          <w:spacing w:val="10"/>
          <w:sz w:val="18"/>
          <w:szCs w:val="18"/>
          <w:lang w:val="es-DO"/>
        </w:rPr>
        <w:t xml:space="preserve"> Inversión Extranjera Directa (IED)</w:t>
      </w:r>
      <w:r w:rsidR="2869739E" w:rsidRPr="006E3EB1">
        <w:rPr>
          <w:rFonts w:ascii="Artifex CF Extra Light" w:hAnsi="Artifex CF Extra Light" w:cs="Times New Roman"/>
          <w:color w:val="1F4E79" w:themeColor="accent1" w:themeShade="80"/>
          <w:spacing w:val="10"/>
          <w:sz w:val="18"/>
          <w:szCs w:val="18"/>
          <w:lang w:val="es-DO"/>
        </w:rPr>
        <w:t xml:space="preserve"> al país.</w:t>
      </w:r>
      <w:r w:rsidRPr="006E3EB1">
        <w:rPr>
          <w:rFonts w:ascii="Artifex CF Extra Light" w:hAnsi="Artifex CF Extra Light" w:cs="Times New Roman"/>
          <w:color w:val="1F4E79" w:themeColor="accent1" w:themeShade="80"/>
          <w:spacing w:val="10"/>
          <w:sz w:val="18"/>
          <w:szCs w:val="18"/>
          <w:lang w:val="es-DO"/>
        </w:rPr>
        <w:t xml:space="preserve"> </w:t>
      </w:r>
      <w:r w:rsidR="51C17FFE" w:rsidRPr="006E3EB1">
        <w:rPr>
          <w:rFonts w:ascii="Artifex CF Extra Light" w:hAnsi="Artifex CF Extra Light" w:cs="Times New Roman"/>
          <w:color w:val="1F4E79" w:themeColor="accent1" w:themeShade="80"/>
          <w:spacing w:val="10"/>
          <w:sz w:val="18"/>
          <w:szCs w:val="18"/>
          <w:lang w:val="es-DO"/>
        </w:rPr>
        <w:t>Es</w:t>
      </w:r>
      <w:r w:rsidRPr="006E3EB1">
        <w:rPr>
          <w:rFonts w:ascii="Artifex CF Extra Light" w:hAnsi="Artifex CF Extra Light" w:cs="Times New Roman"/>
          <w:color w:val="1F4E79" w:themeColor="accent1" w:themeShade="80"/>
          <w:spacing w:val="10"/>
          <w:sz w:val="18"/>
          <w:szCs w:val="18"/>
          <w:lang w:val="es-DO"/>
        </w:rPr>
        <w:t xml:space="preserve"> una entidad con carácter estatal, autonomía administrativa y financiera, patrimonio propio y personalidad jurídica.</w:t>
      </w:r>
    </w:p>
    <w:p w14:paraId="7E0804B9" w14:textId="4C88132D" w:rsidR="00A34C26" w:rsidRPr="006E3EB1" w:rsidRDefault="00013112" w:rsidP="00864966">
      <w:pPr>
        <w:spacing w:before="380" w:after="120" w:line="456" w:lineRule="auto"/>
        <w:ind w:firstLine="284"/>
        <w:mirrorIndents/>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Además de la Ley No. 98-03</w:t>
      </w:r>
      <w:r w:rsidR="3638FE33" w:rsidRPr="006E3EB1">
        <w:rPr>
          <w:rFonts w:ascii="Artifex CF Extra Light" w:hAnsi="Artifex CF Extra Light" w:cs="Times New Roman"/>
          <w:color w:val="1F4E79" w:themeColor="accent1" w:themeShade="80"/>
          <w:spacing w:val="10"/>
          <w:sz w:val="18"/>
          <w:szCs w:val="18"/>
          <w:lang w:val="es-DO"/>
        </w:rPr>
        <w:t>,</w:t>
      </w:r>
      <w:r w:rsidRPr="006E3EB1">
        <w:rPr>
          <w:rFonts w:ascii="Artifex CF Extra Light" w:hAnsi="Artifex CF Extra Light" w:cs="Times New Roman"/>
          <w:color w:val="1F4E79" w:themeColor="accent1" w:themeShade="80"/>
          <w:spacing w:val="10"/>
          <w:sz w:val="18"/>
          <w:szCs w:val="18"/>
          <w:lang w:val="es-DO"/>
        </w:rPr>
        <w:t xml:space="preserve"> que crea el Centro de Exportación e Inversión de la República Dominicana (</w:t>
      </w:r>
      <w:r w:rsidR="669F9025" w:rsidRPr="006E3EB1">
        <w:rPr>
          <w:rFonts w:ascii="Artifex CF Extra Light" w:hAnsi="Artifex CF Extra Light" w:cs="Times New Roman"/>
          <w:color w:val="1F4E79" w:themeColor="accent1" w:themeShade="80"/>
          <w:spacing w:val="10"/>
          <w:sz w:val="18"/>
          <w:szCs w:val="18"/>
          <w:lang w:val="es-DO"/>
        </w:rPr>
        <w:t>ProDominicana</w:t>
      </w:r>
      <w:r w:rsidRPr="006E3EB1">
        <w:rPr>
          <w:rFonts w:ascii="Artifex CF Extra Light" w:hAnsi="Artifex CF Extra Light" w:cs="Times New Roman"/>
          <w:color w:val="1F4E79" w:themeColor="accent1" w:themeShade="80"/>
          <w:spacing w:val="10"/>
          <w:sz w:val="18"/>
          <w:szCs w:val="18"/>
          <w:lang w:val="es-DO"/>
        </w:rPr>
        <w:t>)</w:t>
      </w:r>
      <w:r w:rsidR="4D09830E" w:rsidRPr="006E3EB1">
        <w:rPr>
          <w:rFonts w:ascii="Artifex CF Extra Light" w:hAnsi="Artifex CF Extra Light" w:cs="Times New Roman"/>
          <w:color w:val="1F4E79" w:themeColor="accent1" w:themeShade="80"/>
          <w:spacing w:val="10"/>
          <w:sz w:val="18"/>
          <w:szCs w:val="18"/>
          <w:lang w:val="es-DO"/>
        </w:rPr>
        <w:t>,</w:t>
      </w:r>
      <w:r w:rsidRPr="006E3EB1">
        <w:rPr>
          <w:rFonts w:ascii="Artifex CF Extra Light" w:hAnsi="Artifex CF Extra Light" w:cs="Times New Roman"/>
          <w:color w:val="1F4E79" w:themeColor="accent1" w:themeShade="80"/>
          <w:spacing w:val="10"/>
          <w:sz w:val="18"/>
          <w:szCs w:val="18"/>
          <w:lang w:val="es-DO"/>
        </w:rPr>
        <w:t xml:space="preserve"> se contemplan las siguientes</w:t>
      </w:r>
      <w:r w:rsidR="00757B01" w:rsidRPr="006E3EB1">
        <w:rPr>
          <w:rFonts w:ascii="Artifex CF Extra Light" w:hAnsi="Artifex CF Extra Light" w:cs="Times New Roman"/>
          <w:color w:val="1F4E79" w:themeColor="accent1" w:themeShade="80"/>
          <w:spacing w:val="10"/>
          <w:sz w:val="18"/>
          <w:szCs w:val="18"/>
          <w:lang w:val="es-DO"/>
        </w:rPr>
        <w:t xml:space="preserve"> </w:t>
      </w:r>
      <w:r w:rsidRPr="006E3EB1">
        <w:rPr>
          <w:rFonts w:ascii="Artifex CF Extra Light" w:hAnsi="Artifex CF Extra Light" w:cs="Times New Roman"/>
          <w:color w:val="1F4E79" w:themeColor="accent1" w:themeShade="80"/>
          <w:spacing w:val="10"/>
          <w:sz w:val="18"/>
          <w:szCs w:val="18"/>
          <w:lang w:val="es-DO"/>
        </w:rPr>
        <w:t xml:space="preserve">disposiciones legales que dieron origen a la existencia y mantenimiento </w:t>
      </w:r>
      <w:r w:rsidR="00757B01" w:rsidRPr="006E3EB1">
        <w:rPr>
          <w:rFonts w:ascii="Artifex CF Extra Light" w:hAnsi="Artifex CF Extra Light" w:cs="Times New Roman"/>
          <w:color w:val="1F4E79" w:themeColor="accent1" w:themeShade="80"/>
          <w:spacing w:val="10"/>
          <w:sz w:val="18"/>
          <w:szCs w:val="18"/>
          <w:lang w:val="es-DO"/>
        </w:rPr>
        <w:t>de este</w:t>
      </w:r>
      <w:r w:rsidRPr="006E3EB1">
        <w:rPr>
          <w:rFonts w:ascii="Artifex CF Extra Light" w:hAnsi="Artifex CF Extra Light" w:cs="Times New Roman"/>
          <w:color w:val="1F4E79" w:themeColor="accent1" w:themeShade="80"/>
          <w:spacing w:val="10"/>
          <w:sz w:val="18"/>
          <w:szCs w:val="18"/>
          <w:lang w:val="es-DO"/>
        </w:rPr>
        <w:t>:</w:t>
      </w:r>
    </w:p>
    <w:p w14:paraId="568B48C3"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Ley No. 137, del 21 de mayo de 1971, que crea el Centro Dominicano de Promoción de Exportaciones (CEDOPEX).</w:t>
      </w:r>
      <w:r w:rsidRPr="006E3EB1">
        <w:rPr>
          <w:rFonts w:ascii="Calibri" w:hAnsi="Calibri" w:cs="Calibri"/>
          <w:color w:val="1F4E79" w:themeColor="accent1" w:themeShade="80"/>
          <w:spacing w:val="10"/>
          <w:sz w:val="18"/>
          <w:szCs w:val="18"/>
          <w:lang w:val="es-DO"/>
        </w:rPr>
        <w:t> </w:t>
      </w:r>
    </w:p>
    <w:p w14:paraId="38733F66"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Ley No. 69, del 16 de noviembre del 1979, que crea los incentivos a las exportaciones.</w:t>
      </w:r>
      <w:r w:rsidRPr="006E3EB1">
        <w:rPr>
          <w:rFonts w:ascii="Calibri" w:hAnsi="Calibri" w:cs="Calibri"/>
          <w:color w:val="1F4E79" w:themeColor="accent1" w:themeShade="80"/>
          <w:spacing w:val="10"/>
          <w:sz w:val="18"/>
          <w:szCs w:val="18"/>
          <w:lang w:val="es-DO"/>
        </w:rPr>
        <w:t> </w:t>
      </w:r>
    </w:p>
    <w:p w14:paraId="38540EBC"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Ley No. 8-90, del 15 de enero del 1990, que da el poder al Consejo de Nacional de Zonas Francas de Exportación para regular y supervisar las operaciones de Zonas Francas en la República Dominicana.</w:t>
      </w:r>
      <w:r w:rsidRPr="006E3EB1">
        <w:rPr>
          <w:rFonts w:ascii="Calibri" w:hAnsi="Calibri" w:cs="Calibri"/>
          <w:color w:val="1F4E79" w:themeColor="accent1" w:themeShade="80"/>
          <w:spacing w:val="10"/>
          <w:sz w:val="18"/>
          <w:szCs w:val="18"/>
          <w:lang w:val="es-DO"/>
        </w:rPr>
        <w:t> </w:t>
      </w:r>
    </w:p>
    <w:p w14:paraId="0BC6249B"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Ley No. 16-92, del 29 de mayo de 1992, que aprueba el Código de Trabajo de la República Dominicana.</w:t>
      </w:r>
      <w:r w:rsidRPr="006E3EB1">
        <w:rPr>
          <w:rFonts w:ascii="Calibri" w:hAnsi="Calibri" w:cs="Calibri"/>
          <w:color w:val="1F4E79" w:themeColor="accent1" w:themeShade="80"/>
          <w:spacing w:val="10"/>
          <w:sz w:val="18"/>
          <w:szCs w:val="18"/>
          <w:lang w:val="es-DO"/>
        </w:rPr>
        <w:t> </w:t>
      </w:r>
    </w:p>
    <w:p w14:paraId="4B770DC6"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Ley No. 16-95, del 8 de noviembre de 1995; sobre Inversión Extranjera en la República Dominicana</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y su reglamento de Aplicación No. 214-04 de fecha 11 de marzo 2004.</w:t>
      </w:r>
      <w:r w:rsidRPr="006E3EB1">
        <w:rPr>
          <w:rFonts w:ascii="Calibri" w:hAnsi="Calibri" w:cs="Calibri"/>
          <w:color w:val="1F4E79" w:themeColor="accent1" w:themeShade="80"/>
          <w:spacing w:val="10"/>
          <w:sz w:val="18"/>
          <w:szCs w:val="18"/>
          <w:lang w:val="es-DO"/>
        </w:rPr>
        <w:t> </w:t>
      </w:r>
    </w:p>
    <w:p w14:paraId="31583900"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lastRenderedPageBreak/>
        <w:t>Ley No. 84-99, del 6 de agosto de 1999; sobre Reactivación y Fomento de las Exportaciones</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y su Reglamento de Aplicaci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 No. 213-00 de fecha 22 de mayo 2000.</w:t>
      </w:r>
      <w:r w:rsidRPr="006E3EB1">
        <w:rPr>
          <w:rFonts w:ascii="Calibri" w:hAnsi="Calibri" w:cs="Calibri"/>
          <w:color w:val="1F4E79" w:themeColor="accent1" w:themeShade="80"/>
          <w:spacing w:val="10"/>
          <w:sz w:val="18"/>
          <w:szCs w:val="18"/>
          <w:lang w:val="es-DO"/>
        </w:rPr>
        <w:t> </w:t>
      </w:r>
    </w:p>
    <w:p w14:paraId="208F8733"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Ley No. 98-03, del 17 de junio del 2003, que crea la fusión del Centro Dominicano de Promoción a las Exportaciones (CEDOPEX) y la Oficina para la Promoción de la Inversiones de la República Dominicana (OPI-RD).</w:t>
      </w:r>
      <w:r w:rsidRPr="006E3EB1">
        <w:rPr>
          <w:rFonts w:ascii="Calibri" w:hAnsi="Calibri" w:cs="Calibri"/>
          <w:color w:val="1F4E79" w:themeColor="accent1" w:themeShade="80"/>
          <w:spacing w:val="10"/>
          <w:sz w:val="18"/>
          <w:szCs w:val="18"/>
          <w:lang w:val="es-DO"/>
        </w:rPr>
        <w:t> </w:t>
      </w:r>
    </w:p>
    <w:p w14:paraId="3D426CF8"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Ley No. 110-13 del 06 de agosto del año</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2013 para</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el Comercio y la</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Exportación</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de Desperdicios de Metales Ferrosos y no Ferrosos, Chatarras y Desechos de Cobre, Aluminio</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y sus</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Aleaciones y</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su Reglamento de Aplicaci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No. 164-14 de</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fecha 26 de mayo</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del a</w:t>
      </w:r>
      <w:r w:rsidRPr="006E3EB1">
        <w:rPr>
          <w:rFonts w:ascii="Artifex CF Extra Light" w:hAnsi="Artifex CF Extra Light" w:cs="Artifex CF Extra Light"/>
          <w:color w:val="1F4E79" w:themeColor="accent1" w:themeShade="80"/>
          <w:spacing w:val="10"/>
          <w:sz w:val="18"/>
          <w:szCs w:val="18"/>
          <w:lang w:val="es-DO"/>
        </w:rPr>
        <w:t>ñ</w:t>
      </w:r>
      <w:r w:rsidRPr="006E3EB1">
        <w:rPr>
          <w:rFonts w:ascii="Artifex CF Extra Light" w:hAnsi="Artifex CF Extra Light" w:cs="Times New Roman"/>
          <w:color w:val="1F4E79" w:themeColor="accent1" w:themeShade="80"/>
          <w:spacing w:val="10"/>
          <w:sz w:val="18"/>
          <w:szCs w:val="18"/>
          <w:lang w:val="es-DO"/>
        </w:rPr>
        <w:t>o 2014, que regula la actividad de Comercio y la Exportaci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 de Desperdicios de Metales, Ferrosos y no Ferrosos, Chatarras, Desechos de Cobre, Aluminio y sus Aleaciones.</w:t>
      </w:r>
      <w:r w:rsidRPr="006E3EB1">
        <w:rPr>
          <w:rFonts w:ascii="Calibri" w:hAnsi="Calibri" w:cs="Calibri"/>
          <w:color w:val="1F4E79" w:themeColor="accent1" w:themeShade="80"/>
          <w:spacing w:val="10"/>
          <w:sz w:val="18"/>
          <w:szCs w:val="18"/>
          <w:lang w:val="es-DO"/>
        </w:rPr>
        <w:t> </w:t>
      </w:r>
    </w:p>
    <w:p w14:paraId="385B3DD6"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Decreto No. 2288, del 23 de mayo de 1992, que autoriza expedir a nombre del Gobierno Dominicano, el Certificado de Origen requerido para permitir entrada de productos nacionales a otros países.</w:t>
      </w:r>
      <w:r w:rsidRPr="006E3EB1">
        <w:rPr>
          <w:rFonts w:ascii="Calibri" w:hAnsi="Calibri" w:cs="Calibri"/>
          <w:color w:val="1F4E79" w:themeColor="accent1" w:themeShade="80"/>
          <w:spacing w:val="10"/>
          <w:sz w:val="18"/>
          <w:szCs w:val="18"/>
          <w:lang w:val="es-DO"/>
        </w:rPr>
        <w:t>  </w:t>
      </w:r>
    </w:p>
    <w:p w14:paraId="1F60091F"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Decreto No. 646-97, del 27 de febrero de 1997, que crea la Oficina para la Promoción de la Inversión Extranjera de la República Dominicana (OPI-RD).</w:t>
      </w:r>
      <w:r w:rsidRPr="006E3EB1">
        <w:rPr>
          <w:rFonts w:ascii="Calibri" w:hAnsi="Calibri" w:cs="Calibri"/>
          <w:color w:val="1F4E79" w:themeColor="accent1" w:themeShade="80"/>
          <w:spacing w:val="10"/>
          <w:sz w:val="18"/>
          <w:szCs w:val="18"/>
          <w:lang w:val="es-DO"/>
        </w:rPr>
        <w:t> </w:t>
      </w:r>
    </w:p>
    <w:p w14:paraId="424A9D96"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Decreto No. 248-98, del 9 de julio del 1998, que crea el Sistema Integrado de Ventanilla Única de Comercio Exterior (SIVUCEX).</w:t>
      </w:r>
      <w:r w:rsidRPr="006E3EB1">
        <w:rPr>
          <w:rFonts w:ascii="Calibri" w:hAnsi="Calibri" w:cs="Calibri"/>
          <w:color w:val="1F4E79" w:themeColor="accent1" w:themeShade="80"/>
          <w:spacing w:val="10"/>
          <w:sz w:val="18"/>
          <w:szCs w:val="18"/>
          <w:lang w:val="es-DO"/>
        </w:rPr>
        <w:t> </w:t>
      </w:r>
    </w:p>
    <w:p w14:paraId="438C6D97" w14:textId="77777777"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Decreto No. 1091-01, del 3 de noviembre del 2001, que crea e integra el Consejo Nacional de Competitividad (CNC).</w:t>
      </w:r>
      <w:r w:rsidRPr="006E3EB1">
        <w:rPr>
          <w:rFonts w:ascii="Calibri" w:hAnsi="Calibri" w:cs="Calibri"/>
          <w:color w:val="1F4E79" w:themeColor="accent1" w:themeShade="80"/>
          <w:spacing w:val="10"/>
          <w:sz w:val="18"/>
          <w:szCs w:val="18"/>
          <w:lang w:val="es-DO"/>
        </w:rPr>
        <w:t> </w:t>
      </w:r>
    </w:p>
    <w:p w14:paraId="7D551B7C" w14:textId="43CA8A4D"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 xml:space="preserve">Decreto No. 1108-01, del 14 de diciembre del 2001, que establece a favor de actividad exportadora, el reembolso del impuesto de Transferencia de Bienes Industrializados y Servicios de (ITBIS), y del Impuesto Selectivo de Consumo, </w:t>
      </w:r>
      <w:r w:rsidRPr="006E3EB1">
        <w:rPr>
          <w:rFonts w:ascii="Artifex CF Extra Light" w:hAnsi="Artifex CF Extra Light" w:cs="Times New Roman"/>
          <w:color w:val="1F4E79" w:themeColor="accent1" w:themeShade="80"/>
          <w:spacing w:val="10"/>
          <w:sz w:val="18"/>
          <w:szCs w:val="18"/>
          <w:lang w:val="es-DO"/>
        </w:rPr>
        <w:lastRenderedPageBreak/>
        <w:t>pagado al adquirir materias primas y bienes intermedios que hayan sido incorporados a productos de exportación.</w:t>
      </w:r>
    </w:p>
    <w:p w14:paraId="450C57E3" w14:textId="51FBCBE9"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Decreto No. 626-12, del 10 de noviembre del 2012, que crea la Ventanilla Única de Inversión (VUI).</w:t>
      </w:r>
    </w:p>
    <w:p w14:paraId="0594726A" w14:textId="6A3D6FED" w:rsidR="004D10CC"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Decreto No. 950-01</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Reglamento</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para la aplicaci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 de los</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art</w:t>
      </w:r>
      <w:r w:rsidRPr="006E3EB1">
        <w:rPr>
          <w:rFonts w:ascii="Artifex CF Extra Light" w:hAnsi="Artifex CF Extra Light" w:cs="Artifex CF Extra Light"/>
          <w:color w:val="1F4E79" w:themeColor="accent1" w:themeShade="80"/>
          <w:spacing w:val="10"/>
          <w:sz w:val="18"/>
          <w:szCs w:val="18"/>
          <w:lang w:val="es-DO"/>
        </w:rPr>
        <w:t>í</w:t>
      </w:r>
      <w:r w:rsidRPr="006E3EB1">
        <w:rPr>
          <w:rFonts w:ascii="Artifex CF Extra Light" w:hAnsi="Artifex CF Extra Light" w:cs="Times New Roman"/>
          <w:color w:val="1F4E79" w:themeColor="accent1" w:themeShade="80"/>
          <w:spacing w:val="10"/>
          <w:sz w:val="18"/>
          <w:szCs w:val="18"/>
          <w:lang w:val="es-DO"/>
        </w:rPr>
        <w:t>culos</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5,6 y 7 de la Ley No. 95 de</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Migraci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de fecha 24 de abril de 1939, que crea el Permiso de Residencia a</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trav</w:t>
      </w:r>
      <w:r w:rsidRPr="006E3EB1">
        <w:rPr>
          <w:rFonts w:ascii="Artifex CF Extra Light" w:hAnsi="Artifex CF Extra Light" w:cs="Artifex CF Extra Light"/>
          <w:color w:val="1F4E79" w:themeColor="accent1" w:themeShade="80"/>
          <w:spacing w:val="10"/>
          <w:sz w:val="18"/>
          <w:szCs w:val="18"/>
          <w:lang w:val="es-DO"/>
        </w:rPr>
        <w:t>é</w:t>
      </w:r>
      <w:r w:rsidRPr="006E3EB1">
        <w:rPr>
          <w:rFonts w:ascii="Artifex CF Extra Light" w:hAnsi="Artifex CF Extra Light" w:cs="Times New Roman"/>
          <w:color w:val="1F4E79" w:themeColor="accent1" w:themeShade="80"/>
          <w:spacing w:val="10"/>
          <w:sz w:val="18"/>
          <w:szCs w:val="18"/>
          <w:lang w:val="es-DO"/>
        </w:rPr>
        <w:t>s</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de la</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Inversi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w:t>
      </w:r>
    </w:p>
    <w:p w14:paraId="7D7E1D78" w14:textId="77777777" w:rsidR="001E301F"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Decreto No. 275-17, del 25 de agosto 2017, que establece la creación de</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ProDominicana, el cual servir</w:t>
      </w:r>
      <w:r w:rsidRPr="006E3EB1">
        <w:rPr>
          <w:rFonts w:ascii="Artifex CF Extra Light" w:hAnsi="Artifex CF Extra Light" w:cs="Artifex CF Extra Light"/>
          <w:color w:val="1F4E79" w:themeColor="accent1" w:themeShade="80"/>
          <w:spacing w:val="10"/>
          <w:sz w:val="18"/>
          <w:szCs w:val="18"/>
          <w:lang w:val="es-DO"/>
        </w:rPr>
        <w:t>á</w:t>
      </w:r>
      <w:r w:rsidRPr="006E3EB1">
        <w:rPr>
          <w:rFonts w:ascii="Artifex CF Extra Light" w:hAnsi="Artifex CF Extra Light" w:cs="Times New Roman"/>
          <w:color w:val="1F4E79" w:themeColor="accent1" w:themeShade="80"/>
          <w:spacing w:val="10"/>
          <w:sz w:val="18"/>
          <w:szCs w:val="18"/>
          <w:lang w:val="es-DO"/>
        </w:rPr>
        <w:t xml:space="preserve"> como mecanismo y signo distintivo para el fomento de las exportaciones y la atracci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 de inversi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 extranjera directa a la República Dominicana.</w:t>
      </w:r>
      <w:r w:rsidRPr="006E3EB1">
        <w:rPr>
          <w:rFonts w:ascii="Calibri" w:hAnsi="Calibri" w:cs="Calibri"/>
          <w:color w:val="1F4E79" w:themeColor="accent1" w:themeShade="80"/>
          <w:spacing w:val="10"/>
          <w:sz w:val="18"/>
          <w:szCs w:val="18"/>
          <w:lang w:val="es-DO"/>
        </w:rPr>
        <w:t> </w:t>
      </w:r>
    </w:p>
    <w:p w14:paraId="0453EAE5" w14:textId="77777777" w:rsidR="00D5705A" w:rsidRPr="006E3EB1" w:rsidRDefault="004D10CC" w:rsidP="005977CF">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color w:val="1F4E79" w:themeColor="accent1" w:themeShade="80"/>
          <w:spacing w:val="10"/>
          <w:sz w:val="18"/>
          <w:szCs w:val="18"/>
          <w:lang w:val="es-DO"/>
        </w:rPr>
      </w:pPr>
      <w:r w:rsidRPr="006E3EB1">
        <w:rPr>
          <w:rFonts w:ascii="Artifex CF Extra Light" w:hAnsi="Artifex CF Extra Light" w:cs="Times New Roman"/>
          <w:color w:val="1F4E79" w:themeColor="accent1" w:themeShade="80"/>
          <w:spacing w:val="10"/>
          <w:sz w:val="18"/>
          <w:szCs w:val="18"/>
          <w:lang w:val="es-DO"/>
        </w:rPr>
        <w:t>Decreto No. 466-20, de fecha 11 de septiembre del 2020, donde se designa a</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ProDominicana</w:t>
      </w:r>
      <w:r w:rsidRPr="006E3EB1">
        <w:rPr>
          <w:rFonts w:ascii="Calibri" w:hAnsi="Calibri" w:cs="Calibri"/>
          <w:color w:val="1F4E79" w:themeColor="accent1" w:themeShade="80"/>
          <w:spacing w:val="10"/>
          <w:sz w:val="18"/>
          <w:szCs w:val="18"/>
          <w:lang w:val="es-DO"/>
        </w:rPr>
        <w:t> </w:t>
      </w:r>
      <w:r w:rsidRPr="006E3EB1">
        <w:rPr>
          <w:rFonts w:ascii="Artifex CF Extra Light" w:hAnsi="Artifex CF Extra Light" w:cs="Times New Roman"/>
          <w:color w:val="1F4E79" w:themeColor="accent1" w:themeShade="80"/>
          <w:spacing w:val="10"/>
          <w:sz w:val="18"/>
          <w:szCs w:val="18"/>
          <w:lang w:val="es-DO"/>
        </w:rPr>
        <w:t>como Secretario General de la comisi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 multisectorial para la implementaci</w:t>
      </w:r>
      <w:r w:rsidRPr="006E3EB1">
        <w:rPr>
          <w:rFonts w:ascii="Artifex CF Extra Light" w:hAnsi="Artifex CF Extra Light" w:cs="Artifex CF Extra Light"/>
          <w:color w:val="1F4E79" w:themeColor="accent1" w:themeShade="80"/>
          <w:spacing w:val="10"/>
          <w:sz w:val="18"/>
          <w:szCs w:val="18"/>
          <w:lang w:val="es-DO"/>
        </w:rPr>
        <w:t>ó</w:t>
      </w:r>
      <w:r w:rsidRPr="006E3EB1">
        <w:rPr>
          <w:rFonts w:ascii="Artifex CF Extra Light" w:hAnsi="Artifex CF Extra Light" w:cs="Times New Roman"/>
          <w:color w:val="1F4E79" w:themeColor="accent1" w:themeShade="80"/>
          <w:spacing w:val="10"/>
          <w:sz w:val="18"/>
          <w:szCs w:val="18"/>
          <w:lang w:val="es-DO"/>
        </w:rPr>
        <w:t>n de Marca</w:t>
      </w:r>
      <w:r w:rsidR="001E301F" w:rsidRPr="006E3EB1">
        <w:rPr>
          <w:rFonts w:ascii="Artifex CF Extra Light" w:hAnsi="Artifex CF Extra Light" w:cs="Times New Roman"/>
          <w:color w:val="1F4E79" w:themeColor="accent1" w:themeShade="80"/>
          <w:spacing w:val="10"/>
          <w:sz w:val="18"/>
          <w:szCs w:val="18"/>
          <w:lang w:val="es-DO"/>
        </w:rPr>
        <w:t xml:space="preserve"> </w:t>
      </w:r>
      <w:r w:rsidRPr="006E3EB1">
        <w:rPr>
          <w:rFonts w:ascii="Artifex CF Extra Light" w:hAnsi="Artifex CF Extra Light" w:cs="Times New Roman"/>
          <w:color w:val="1F4E79" w:themeColor="accent1" w:themeShade="80"/>
          <w:spacing w:val="10"/>
          <w:sz w:val="18"/>
          <w:szCs w:val="18"/>
          <w:lang w:val="es-DO"/>
        </w:rPr>
        <w:t>País</w:t>
      </w:r>
      <w:bookmarkStart w:id="18" w:name="_Toc54949057"/>
      <w:bookmarkStart w:id="19" w:name="_Toc58332440"/>
      <w:bookmarkEnd w:id="7"/>
      <w:r w:rsidR="00B52F9B" w:rsidRPr="006E3EB1">
        <w:rPr>
          <w:rFonts w:ascii="Artifex CF Extra Light" w:hAnsi="Artifex CF Extra Light" w:cs="Times New Roman"/>
          <w:color w:val="1F4E79" w:themeColor="accent1" w:themeShade="80"/>
          <w:spacing w:val="10"/>
          <w:sz w:val="18"/>
          <w:szCs w:val="18"/>
          <w:lang w:val="es-DO"/>
        </w:rPr>
        <w:t>.</w:t>
      </w:r>
    </w:p>
    <w:p w14:paraId="007BB272" w14:textId="4795A189" w:rsidR="00E31B57" w:rsidRPr="00324A19" w:rsidRDefault="00E31B57" w:rsidP="00864966">
      <w:pPr>
        <w:spacing w:before="380" w:after="120" w:line="456" w:lineRule="auto"/>
        <w:ind w:firstLine="284"/>
        <w:jc w:val="both"/>
        <w:rPr>
          <w:rFonts w:ascii="Artifex CF Extra Light" w:hAnsi="Artifex CF Extra Light" w:cs="Times New Roman"/>
          <w:color w:val="1F4E79" w:themeColor="accent1" w:themeShade="80"/>
          <w:sz w:val="18"/>
          <w:szCs w:val="18"/>
          <w:lang w:val="es-ES"/>
        </w:rPr>
        <w:sectPr w:rsidR="00E31B57" w:rsidRPr="00324A19" w:rsidSect="00723343">
          <w:pgSz w:w="12240" w:h="15840" w:code="1"/>
          <w:pgMar w:top="1440" w:right="2160" w:bottom="1440" w:left="2160" w:header="708" w:footer="708" w:gutter="0"/>
          <w:cols w:space="708"/>
          <w:docGrid w:linePitch="360"/>
        </w:sectPr>
      </w:pPr>
    </w:p>
    <w:p w14:paraId="77340A9A" w14:textId="06FC1FD6" w:rsidR="00D67EBC" w:rsidRPr="00702674" w:rsidRDefault="00D67EBC" w:rsidP="00C975BB">
      <w:pPr>
        <w:pStyle w:val="Prrafodelista"/>
        <w:keepNext/>
        <w:keepLines/>
        <w:numPr>
          <w:ilvl w:val="0"/>
          <w:numId w:val="5"/>
        </w:numPr>
        <w:spacing w:after="120" w:line="456" w:lineRule="auto"/>
        <w:ind w:left="0" w:firstLine="284"/>
        <w:contextualSpacing w:val="0"/>
        <w:jc w:val="center"/>
        <w:outlineLvl w:val="0"/>
        <w:rPr>
          <w:rFonts w:ascii="Artifex CF Light" w:eastAsia="Times New Roman" w:hAnsi="Artifex CF Light" w:cs="Times New Roman"/>
          <w:color w:val="1F4E79" w:themeColor="accent1" w:themeShade="80"/>
          <w:spacing w:val="30"/>
          <w:sz w:val="26"/>
          <w:szCs w:val="32"/>
          <w:lang w:val="es-DO" w:eastAsia="es-DO"/>
        </w:rPr>
      </w:pPr>
      <w:bookmarkStart w:id="20" w:name="_Toc59528087"/>
      <w:r w:rsidRPr="00702674">
        <w:rPr>
          <w:noProof/>
          <w:color w:val="1F4E79" w:themeColor="accent1" w:themeShade="80"/>
          <w:spacing w:val="30"/>
        </w:rPr>
        <w:lastRenderedPageBreak/>
        <mc:AlternateContent>
          <mc:Choice Requires="wps">
            <w:drawing>
              <wp:anchor distT="0" distB="0" distL="114300" distR="114300" simplePos="0" relativeHeight="251663360" behindDoc="0" locked="0" layoutInCell="1" allowOverlap="1" wp14:anchorId="410B9F53" wp14:editId="2D99B629">
                <wp:simplePos x="0" y="0"/>
                <wp:positionH relativeFrom="margin">
                  <wp:posOffset>2285365</wp:posOffset>
                </wp:positionH>
                <wp:positionV relativeFrom="paragraph">
                  <wp:posOffset>332077</wp:posOffset>
                </wp:positionV>
                <wp:extent cx="464820" cy="0"/>
                <wp:effectExtent l="0" t="19050" r="30480" b="19050"/>
                <wp:wrapNone/>
                <wp:docPr id="23" name="Conector recto 23"/>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AC1DD8" id="Conector recto 2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26.15pt" to="216.5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" strokecolor="red" strokeweight="2.5pt">
                <v:stroke joinstyle="miter"/>
                <w10:wrap anchorx="margin"/>
              </v:line>
            </w:pict>
          </mc:Fallback>
        </mc:AlternateContent>
      </w:r>
      <w:r w:rsidR="00F95111" w:rsidRPr="00702674">
        <w:rPr>
          <w:rFonts w:ascii="Artifex CF Light" w:eastAsia="Times New Roman" w:hAnsi="Artifex CF Light" w:cs="Times New Roman"/>
          <w:color w:val="1F4E79" w:themeColor="accent1" w:themeShade="80"/>
          <w:spacing w:val="30"/>
          <w:sz w:val="26"/>
          <w:szCs w:val="32"/>
          <w:lang w:val="es-DO" w:eastAsia="es-DO"/>
        </w:rPr>
        <w:t>RESULTADOS DE LA GESTIÓN DEL AÑO</w:t>
      </w:r>
      <w:bookmarkEnd w:id="18"/>
      <w:bookmarkEnd w:id="19"/>
      <w:bookmarkEnd w:id="20"/>
    </w:p>
    <w:p w14:paraId="49A93456" w14:textId="2288B03A" w:rsidR="00F05189" w:rsidRPr="00A6352F" w:rsidRDefault="00F95111" w:rsidP="007B3B38">
      <w:pPr>
        <w:pStyle w:val="Prrafodelista"/>
        <w:numPr>
          <w:ilvl w:val="0"/>
          <w:numId w:val="34"/>
        </w:numPr>
        <w:spacing w:before="380" w:after="120" w:line="456" w:lineRule="auto"/>
        <w:ind w:left="284" w:hanging="284"/>
        <w:contextualSpacing w:val="0"/>
        <w:jc w:val="center"/>
        <w:outlineLvl w:val="1"/>
        <w:rPr>
          <w:rFonts w:ascii="Artifex CF Extra Light" w:hAnsi="Artifex CF Extra Light" w:cs="Times New Roman"/>
          <w:b/>
          <w:bCs/>
          <w:color w:val="1F4E79" w:themeColor="accent1" w:themeShade="80"/>
          <w:spacing w:val="10"/>
          <w:sz w:val="18"/>
          <w:szCs w:val="18"/>
          <w:lang w:val="es-DO"/>
        </w:rPr>
      </w:pPr>
      <w:bookmarkStart w:id="21" w:name="_Toc54949058"/>
      <w:bookmarkStart w:id="22" w:name="_Toc58332441"/>
      <w:bookmarkStart w:id="23" w:name="_Toc59528088"/>
      <w:r w:rsidRPr="00A6352F">
        <w:rPr>
          <w:rFonts w:ascii="Artifex CF Extra Light" w:hAnsi="Artifex CF Extra Light" w:cs="Times New Roman"/>
          <w:b/>
          <w:bCs/>
          <w:color w:val="1F4E79" w:themeColor="accent1" w:themeShade="80"/>
          <w:spacing w:val="10"/>
          <w:sz w:val="18"/>
          <w:szCs w:val="18"/>
          <w:lang w:val="es-DO"/>
        </w:rPr>
        <w:t>METAS INSTITUCIONALES DE IMPACTO A LA CIUDADANÍA</w:t>
      </w:r>
      <w:bookmarkEnd w:id="21"/>
      <w:bookmarkEnd w:id="22"/>
      <w:bookmarkEnd w:id="23"/>
    </w:p>
    <w:p w14:paraId="0DA5F10B" w14:textId="168556FD" w:rsidR="008A395B" w:rsidRPr="007B3B38" w:rsidRDefault="1534B13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tablero de </w:t>
      </w:r>
      <w:r w:rsidR="4390CD52" w:rsidRPr="007B3B38">
        <w:rPr>
          <w:rFonts w:ascii="Artifex CF Extra Light" w:hAnsi="Artifex CF Extra Light" w:cs="Times New Roman"/>
          <w:color w:val="1F4E79" w:themeColor="accent1" w:themeShade="80"/>
          <w:spacing w:val="10"/>
          <w:sz w:val="18"/>
          <w:szCs w:val="18"/>
          <w:lang w:val="es-DO"/>
        </w:rPr>
        <w:t xml:space="preserve">objetivos </w:t>
      </w:r>
      <w:r w:rsidRPr="007B3B38">
        <w:rPr>
          <w:rFonts w:ascii="Artifex CF Extra Light" w:hAnsi="Artifex CF Extra Light" w:cs="Times New Roman"/>
          <w:color w:val="1F4E79" w:themeColor="accent1" w:themeShade="80"/>
          <w:spacing w:val="10"/>
          <w:sz w:val="18"/>
          <w:szCs w:val="18"/>
          <w:lang w:val="es-DO"/>
        </w:rPr>
        <w:t xml:space="preserve">y </w:t>
      </w:r>
      <w:r w:rsidR="4390CD52" w:rsidRPr="007B3B38">
        <w:rPr>
          <w:rFonts w:ascii="Artifex CF Extra Light" w:hAnsi="Artifex CF Extra Light" w:cs="Times New Roman"/>
          <w:color w:val="1F4E79" w:themeColor="accent1" w:themeShade="80"/>
          <w:spacing w:val="10"/>
          <w:sz w:val="18"/>
          <w:szCs w:val="18"/>
          <w:lang w:val="es-DO"/>
        </w:rPr>
        <w:t>metas</w:t>
      </w:r>
      <w:r w:rsidRPr="007B3B38">
        <w:rPr>
          <w:rFonts w:ascii="Artifex CF Extra Light" w:hAnsi="Artifex CF Extra Light" w:cs="Times New Roman"/>
          <w:color w:val="1F4E79" w:themeColor="accent1" w:themeShade="80"/>
          <w:spacing w:val="10"/>
          <w:sz w:val="18"/>
          <w:szCs w:val="18"/>
          <w:lang w:val="es-DO"/>
        </w:rPr>
        <w:t xml:space="preserve"> de ProDominicana, viene estructurado en efecto cascada desde: la Estrategia Nacional de D</w:t>
      </w:r>
      <w:r w:rsidR="51668683" w:rsidRPr="007B3B38">
        <w:rPr>
          <w:rFonts w:ascii="Artifex CF Extra Light" w:hAnsi="Artifex CF Extra Light" w:cs="Times New Roman"/>
          <w:color w:val="1F4E79" w:themeColor="accent1" w:themeShade="80"/>
          <w:spacing w:val="10"/>
          <w:sz w:val="18"/>
          <w:szCs w:val="18"/>
          <w:lang w:val="es-DO"/>
        </w:rPr>
        <w:t>e</w:t>
      </w:r>
      <w:r w:rsidR="5CB8CCB2" w:rsidRPr="007B3B38">
        <w:rPr>
          <w:rFonts w:ascii="Artifex CF Extra Light" w:hAnsi="Artifex CF Extra Light" w:cs="Times New Roman"/>
          <w:color w:val="1F4E79" w:themeColor="accent1" w:themeShade="80"/>
          <w:spacing w:val="10"/>
          <w:sz w:val="18"/>
          <w:szCs w:val="18"/>
          <w:lang w:val="es-DO"/>
        </w:rPr>
        <w:t>sarrollo (END) 2030</w:t>
      </w:r>
      <w:r w:rsidR="19F05169" w:rsidRPr="007B3B38">
        <w:rPr>
          <w:rFonts w:ascii="Artifex CF Extra Light" w:hAnsi="Artifex CF Extra Light" w:cs="Times New Roman"/>
          <w:color w:val="1F4E79" w:themeColor="accent1" w:themeShade="80"/>
          <w:spacing w:val="10"/>
          <w:sz w:val="18"/>
          <w:szCs w:val="18"/>
          <w:lang w:val="es-DO"/>
        </w:rPr>
        <w:t>;</w:t>
      </w:r>
      <w:r w:rsidR="5CB8CCB2" w:rsidRPr="007B3B38">
        <w:rPr>
          <w:rFonts w:ascii="Artifex CF Extra Light" w:hAnsi="Artifex CF Extra Light" w:cs="Times New Roman"/>
          <w:color w:val="1F4E79" w:themeColor="accent1" w:themeShade="80"/>
          <w:spacing w:val="10"/>
          <w:sz w:val="18"/>
          <w:szCs w:val="18"/>
          <w:lang w:val="es-DO"/>
        </w:rPr>
        <w:t xml:space="preserve"> el Plan Nacional Plurianual del Sector Púb</w:t>
      </w:r>
      <w:r w:rsidR="6859D82A" w:rsidRPr="007B3B38">
        <w:rPr>
          <w:rFonts w:ascii="Artifex CF Extra Light" w:hAnsi="Artifex CF Extra Light" w:cs="Times New Roman"/>
          <w:color w:val="1F4E79" w:themeColor="accent1" w:themeShade="80"/>
          <w:spacing w:val="10"/>
          <w:sz w:val="18"/>
          <w:szCs w:val="18"/>
          <w:lang w:val="es-DO"/>
        </w:rPr>
        <w:t>lico (PNPSP) y el Plan Estratégico Institucional (PEI)</w:t>
      </w:r>
      <w:r w:rsidR="1459E10E" w:rsidRPr="007B3B38">
        <w:rPr>
          <w:rFonts w:ascii="Artifex CF Extra Light" w:hAnsi="Artifex CF Extra Light" w:cs="Times New Roman"/>
          <w:color w:val="1F4E79" w:themeColor="accent1" w:themeShade="80"/>
          <w:spacing w:val="10"/>
          <w:sz w:val="18"/>
          <w:szCs w:val="18"/>
          <w:lang w:val="es-DO"/>
        </w:rPr>
        <w:t>. A estos se le agregan componentes de Planes Sectoriales, como son el Plan Nacional de Fomento a las Exportaciones (2020-2030</w:t>
      </w:r>
      <w:r w:rsidR="55C1ABF6" w:rsidRPr="007B3B38">
        <w:rPr>
          <w:rFonts w:ascii="Artifex CF Extra Light" w:hAnsi="Artifex CF Extra Light" w:cs="Times New Roman"/>
          <w:color w:val="1F4E79" w:themeColor="accent1" w:themeShade="80"/>
          <w:spacing w:val="10"/>
          <w:sz w:val="18"/>
          <w:szCs w:val="18"/>
          <w:lang w:val="es-DO"/>
        </w:rPr>
        <w:t>)</w:t>
      </w:r>
      <w:r w:rsidR="66FD57F8" w:rsidRPr="007B3B38">
        <w:rPr>
          <w:rFonts w:ascii="Artifex CF Extra Light" w:hAnsi="Artifex CF Extra Light" w:cs="Times New Roman"/>
          <w:color w:val="1F4E79" w:themeColor="accent1" w:themeShade="80"/>
          <w:spacing w:val="10"/>
          <w:sz w:val="18"/>
          <w:szCs w:val="18"/>
          <w:lang w:val="es-DO"/>
        </w:rPr>
        <w:t>; Plan de Promoción Comercial;</w:t>
      </w:r>
      <w:r w:rsidR="1459E10E" w:rsidRPr="007B3B38">
        <w:rPr>
          <w:rFonts w:ascii="Artifex CF Extra Light" w:hAnsi="Artifex CF Extra Light" w:cs="Times New Roman"/>
          <w:color w:val="1F4E79" w:themeColor="accent1" w:themeShade="80"/>
          <w:spacing w:val="10"/>
          <w:sz w:val="18"/>
          <w:szCs w:val="18"/>
          <w:lang w:val="es-DO"/>
        </w:rPr>
        <w:t xml:space="preserve"> as</w:t>
      </w:r>
      <w:r w:rsidR="0AC397A7" w:rsidRPr="007B3B38">
        <w:rPr>
          <w:rFonts w:ascii="Artifex CF Extra Light" w:hAnsi="Artifex CF Extra Light" w:cs="Times New Roman"/>
          <w:color w:val="1F4E79" w:themeColor="accent1" w:themeShade="80"/>
          <w:spacing w:val="10"/>
          <w:sz w:val="18"/>
          <w:szCs w:val="18"/>
          <w:lang w:val="es-DO"/>
        </w:rPr>
        <w:t xml:space="preserve">í como lineamientos generales del Programa de Gobierno, resultando así metas anuales, </w:t>
      </w:r>
      <w:r w:rsidR="2C2AF956" w:rsidRPr="007B3B38">
        <w:rPr>
          <w:rFonts w:ascii="Artifex CF Extra Light" w:hAnsi="Artifex CF Extra Light" w:cs="Times New Roman"/>
          <w:color w:val="1F4E79" w:themeColor="accent1" w:themeShade="80"/>
          <w:spacing w:val="10"/>
          <w:sz w:val="18"/>
          <w:szCs w:val="18"/>
          <w:lang w:val="es-DO"/>
        </w:rPr>
        <w:t xml:space="preserve">que son </w:t>
      </w:r>
      <w:r w:rsidR="0AC397A7" w:rsidRPr="007B3B38">
        <w:rPr>
          <w:rFonts w:ascii="Artifex CF Extra Light" w:hAnsi="Artifex CF Extra Light" w:cs="Times New Roman"/>
          <w:color w:val="1F4E79" w:themeColor="accent1" w:themeShade="80"/>
          <w:spacing w:val="10"/>
          <w:sz w:val="18"/>
          <w:szCs w:val="18"/>
          <w:lang w:val="es-DO"/>
        </w:rPr>
        <w:t>monitoreadas desde nuestro Plan Operativo Anual</w:t>
      </w:r>
      <w:r w:rsidR="738BDE79" w:rsidRPr="007B3B38">
        <w:rPr>
          <w:rFonts w:ascii="Artifex CF Extra Light" w:hAnsi="Artifex CF Extra Light" w:cs="Times New Roman"/>
          <w:color w:val="1F4E79" w:themeColor="accent1" w:themeShade="80"/>
          <w:spacing w:val="10"/>
          <w:sz w:val="18"/>
          <w:szCs w:val="18"/>
          <w:lang w:val="es-DO"/>
        </w:rPr>
        <w:t xml:space="preserve"> (POA)</w:t>
      </w:r>
      <w:r w:rsidR="20984E9A" w:rsidRPr="007B3B38">
        <w:rPr>
          <w:rFonts w:ascii="Artifex CF Extra Light" w:hAnsi="Artifex CF Extra Light" w:cs="Times New Roman"/>
          <w:color w:val="1F4E79" w:themeColor="accent1" w:themeShade="80"/>
          <w:spacing w:val="10"/>
          <w:sz w:val="18"/>
          <w:szCs w:val="18"/>
          <w:lang w:val="es-DO"/>
        </w:rPr>
        <w:t>, el cual constituye la herramienta que consolida el accionar de ProDominicana mediante el conjunto de actividades a ser ejecutadas por las áreas funcionales, con el objetivo de medir el nivel de ejecución de las metas programadas y conocer el desempeño de la gestión institucional.</w:t>
      </w:r>
    </w:p>
    <w:p w14:paraId="47AAAAB8" w14:textId="3B98602E" w:rsidR="009B7701" w:rsidRPr="00702674" w:rsidRDefault="00A6352F" w:rsidP="004A38BA">
      <w:pPr>
        <w:spacing w:before="380" w:after="120" w:line="456" w:lineRule="auto"/>
        <w:ind w:firstLine="284"/>
        <w:rPr>
          <w:rFonts w:ascii="Artifex CF Extra Light" w:hAnsi="Artifex CF Extra Light" w:cs="Times New Roman"/>
          <w:b/>
          <w:bCs/>
          <w:color w:val="1F4E79" w:themeColor="accent1" w:themeShade="80"/>
          <w:spacing w:val="10"/>
          <w:sz w:val="18"/>
          <w:szCs w:val="18"/>
          <w:lang w:val="es-DO"/>
        </w:rPr>
      </w:pPr>
      <w:r w:rsidRPr="00702674">
        <w:rPr>
          <w:rFonts w:ascii="Artifex CF Extra Light" w:hAnsi="Artifex CF Extra Light" w:cs="Times New Roman"/>
          <w:b/>
          <w:bCs/>
          <w:color w:val="1F4E79" w:themeColor="accent1" w:themeShade="80"/>
          <w:spacing w:val="10"/>
          <w:sz w:val="18"/>
          <w:szCs w:val="18"/>
          <w:lang w:val="es-DO"/>
        </w:rPr>
        <w:t>PROMOCIÓN DE LAS EXPORTACIONES</w:t>
      </w:r>
    </w:p>
    <w:p w14:paraId="006F620A" w14:textId="5CE4D60B" w:rsidR="00B03567" w:rsidRPr="007B3B38" w:rsidRDefault="00B03567"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Como resultados de los ejercicios </w:t>
      </w:r>
      <w:r w:rsidR="00F7253F" w:rsidRPr="007B3B38">
        <w:rPr>
          <w:rFonts w:ascii="Artifex CF Extra Light" w:hAnsi="Artifex CF Extra Light" w:cs="Times New Roman"/>
          <w:color w:val="1F4E79" w:themeColor="accent1" w:themeShade="80"/>
          <w:spacing w:val="10"/>
          <w:sz w:val="18"/>
          <w:szCs w:val="18"/>
          <w:lang w:val="es-DO"/>
        </w:rPr>
        <w:t xml:space="preserve">de promoción de exportaciones, </w:t>
      </w:r>
      <w:r w:rsidR="00154091" w:rsidRPr="007B3B38">
        <w:rPr>
          <w:rFonts w:ascii="Artifex CF Extra Light" w:hAnsi="Artifex CF Extra Light" w:cs="Times New Roman"/>
          <w:color w:val="1F4E79" w:themeColor="accent1" w:themeShade="80"/>
          <w:spacing w:val="10"/>
          <w:sz w:val="18"/>
          <w:szCs w:val="18"/>
          <w:lang w:val="es-DO"/>
        </w:rPr>
        <w:t>ProDominicana debe</w:t>
      </w:r>
      <w:r w:rsidR="00294B20" w:rsidRPr="007B3B38">
        <w:rPr>
          <w:rFonts w:ascii="Artifex CF Extra Light" w:hAnsi="Artifex CF Extra Light" w:cs="Times New Roman"/>
          <w:color w:val="1F4E79" w:themeColor="accent1" w:themeShade="80"/>
          <w:spacing w:val="10"/>
          <w:sz w:val="18"/>
          <w:szCs w:val="18"/>
          <w:lang w:val="es-DO"/>
        </w:rPr>
        <w:t>: contribuir al incremento de las exportaciones de bienes y servicios, contribuir efectivamente a la creación de empleos e incrementar el número de exportadores, potenciales exportadores y la sociedad en general capacitados en temas de comercio exterior.</w:t>
      </w:r>
    </w:p>
    <w:p w14:paraId="40B36605" w14:textId="3A2E2155" w:rsidR="003D3E2E" w:rsidRPr="007B3B38" w:rsidRDefault="00BA69A3"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el año 2020</w:t>
      </w:r>
      <w:r w:rsidR="00DD6F1E" w:rsidRPr="007B3B38">
        <w:rPr>
          <w:rFonts w:ascii="Artifex CF Extra Light" w:hAnsi="Artifex CF Extra Light" w:cs="Times New Roman"/>
          <w:color w:val="1F4E79" w:themeColor="accent1" w:themeShade="80"/>
          <w:spacing w:val="10"/>
          <w:sz w:val="18"/>
          <w:szCs w:val="18"/>
          <w:lang w:val="es-DO"/>
        </w:rPr>
        <w:t>,</w:t>
      </w:r>
      <w:r w:rsidRPr="007B3B38">
        <w:rPr>
          <w:rFonts w:ascii="Artifex CF Extra Light" w:hAnsi="Artifex CF Extra Light" w:cs="Times New Roman"/>
          <w:color w:val="1F4E79" w:themeColor="accent1" w:themeShade="80"/>
          <w:spacing w:val="10"/>
          <w:sz w:val="18"/>
          <w:szCs w:val="18"/>
          <w:lang w:val="es-DO"/>
        </w:rPr>
        <w:t xml:space="preserve"> la gestión de ProDominicana </w:t>
      </w:r>
      <w:r w:rsidR="00C06982" w:rsidRPr="007B3B38">
        <w:rPr>
          <w:rFonts w:ascii="Artifex CF Extra Light" w:hAnsi="Artifex CF Extra Light" w:cs="Times New Roman"/>
          <w:color w:val="1F4E79" w:themeColor="accent1" w:themeShade="80"/>
          <w:spacing w:val="10"/>
          <w:sz w:val="18"/>
          <w:szCs w:val="18"/>
          <w:lang w:val="es-DO"/>
        </w:rPr>
        <w:t xml:space="preserve">ha resultado en un monto de exportación de </w:t>
      </w:r>
      <w:r w:rsidR="005C19DF" w:rsidRPr="007B3B38">
        <w:rPr>
          <w:rFonts w:ascii="Artifex CF Extra Light" w:hAnsi="Artifex CF Extra Light" w:cs="Times New Roman"/>
          <w:color w:val="1F4E79" w:themeColor="accent1" w:themeShade="80"/>
          <w:spacing w:val="10"/>
          <w:sz w:val="18"/>
          <w:szCs w:val="18"/>
          <w:lang w:val="es-DO"/>
        </w:rPr>
        <w:t xml:space="preserve">aproximadamente </w:t>
      </w:r>
      <w:r w:rsidR="00546852" w:rsidRPr="007B3B38">
        <w:rPr>
          <w:rFonts w:ascii="Artifex CF Extra Light" w:hAnsi="Artifex CF Extra Light" w:cs="Times New Roman"/>
          <w:color w:val="1F4E79" w:themeColor="accent1" w:themeShade="80"/>
          <w:spacing w:val="10"/>
          <w:sz w:val="18"/>
          <w:szCs w:val="18"/>
          <w:lang w:val="es-DO"/>
        </w:rPr>
        <w:t>US$</w:t>
      </w:r>
      <w:r w:rsidR="00BE386B" w:rsidRPr="007B3B38">
        <w:rPr>
          <w:rFonts w:ascii="Artifex CF Extra Light" w:hAnsi="Artifex CF Extra Light" w:cs="Times New Roman"/>
          <w:color w:val="1F4E79" w:themeColor="accent1" w:themeShade="80"/>
          <w:spacing w:val="10"/>
          <w:sz w:val="18"/>
          <w:szCs w:val="18"/>
          <w:lang w:val="es-DO"/>
        </w:rPr>
        <w:t>1,000 millones</w:t>
      </w:r>
      <w:r w:rsidR="00DB54BE" w:rsidRPr="007B3B38">
        <w:rPr>
          <w:rFonts w:ascii="Artifex CF Extra Light" w:hAnsi="Artifex CF Extra Light" w:cs="Times New Roman"/>
          <w:color w:val="1F4E79" w:themeColor="accent1" w:themeShade="80"/>
          <w:spacing w:val="10"/>
          <w:sz w:val="18"/>
          <w:szCs w:val="18"/>
          <w:lang w:val="es-DO"/>
        </w:rPr>
        <w:t xml:space="preserve">, </w:t>
      </w:r>
      <w:r w:rsidR="00A12D85" w:rsidRPr="007B3B38">
        <w:rPr>
          <w:rFonts w:ascii="Artifex CF Extra Light" w:hAnsi="Artifex CF Extra Light" w:cs="Times New Roman"/>
          <w:color w:val="1F4E79" w:themeColor="accent1" w:themeShade="80"/>
          <w:spacing w:val="10"/>
          <w:sz w:val="18"/>
          <w:szCs w:val="18"/>
          <w:lang w:val="es-DO"/>
        </w:rPr>
        <w:t xml:space="preserve">con una generación de empleos formales de aproximadamente </w:t>
      </w:r>
      <w:r w:rsidR="0067166E" w:rsidRPr="007B3B38">
        <w:rPr>
          <w:rFonts w:ascii="Artifex CF Extra Light" w:hAnsi="Artifex CF Extra Light" w:cs="Times New Roman"/>
          <w:color w:val="1F4E79" w:themeColor="accent1" w:themeShade="80"/>
          <w:spacing w:val="10"/>
          <w:sz w:val="18"/>
          <w:szCs w:val="18"/>
          <w:lang w:val="es-DO"/>
        </w:rPr>
        <w:t>-</w:t>
      </w:r>
      <w:r w:rsidR="0067166E" w:rsidRPr="007B3B38">
        <w:rPr>
          <w:rFonts w:ascii="Artifex CF Extra Light" w:hAnsi="Artifex CF Extra Light" w:cs="Times New Roman"/>
          <w:color w:val="1F4E79" w:themeColor="accent1" w:themeShade="80"/>
          <w:spacing w:val="10"/>
          <w:sz w:val="18"/>
          <w:szCs w:val="18"/>
          <w:lang w:val="es-DO"/>
        </w:rPr>
        <w:footnoteReference w:id="3"/>
      </w:r>
      <w:r w:rsidR="00DD6F1E" w:rsidRPr="007B3B38">
        <w:rPr>
          <w:rFonts w:ascii="Artifex CF Extra Light" w:hAnsi="Artifex CF Extra Light" w:cs="Times New Roman"/>
          <w:color w:val="1F4E79" w:themeColor="accent1" w:themeShade="80"/>
          <w:spacing w:val="10"/>
          <w:sz w:val="18"/>
          <w:szCs w:val="18"/>
          <w:lang w:val="es-DO"/>
        </w:rPr>
        <w:t xml:space="preserve"> empleos</w:t>
      </w:r>
      <w:r w:rsidR="003268BD" w:rsidRPr="007B3B38">
        <w:rPr>
          <w:rFonts w:ascii="Artifex CF Extra Light" w:hAnsi="Artifex CF Extra Light" w:cs="Times New Roman"/>
          <w:color w:val="1F4E79" w:themeColor="accent1" w:themeShade="80"/>
          <w:spacing w:val="10"/>
          <w:sz w:val="18"/>
          <w:szCs w:val="18"/>
          <w:lang w:val="es-DO"/>
        </w:rPr>
        <w:t xml:space="preserve">, así mismo, el número de exportadores </w:t>
      </w:r>
      <w:r w:rsidR="003268BD" w:rsidRPr="007B3B38">
        <w:rPr>
          <w:rFonts w:ascii="Artifex CF Extra Light" w:hAnsi="Artifex CF Extra Light" w:cs="Times New Roman"/>
          <w:color w:val="1F4E79" w:themeColor="accent1" w:themeShade="80"/>
          <w:spacing w:val="10"/>
          <w:sz w:val="18"/>
          <w:szCs w:val="18"/>
          <w:lang w:val="es-DO"/>
        </w:rPr>
        <w:lastRenderedPageBreak/>
        <w:t xml:space="preserve">capacitados fue de </w:t>
      </w:r>
      <w:r w:rsidR="00A578DF" w:rsidRPr="007B3B38">
        <w:rPr>
          <w:rFonts w:ascii="Artifex CF Extra Light" w:hAnsi="Artifex CF Extra Light" w:cs="Times New Roman"/>
          <w:color w:val="1F4E79" w:themeColor="accent1" w:themeShade="80"/>
          <w:spacing w:val="10"/>
          <w:sz w:val="18"/>
          <w:szCs w:val="18"/>
          <w:lang w:val="es-DO"/>
        </w:rPr>
        <w:t>255</w:t>
      </w:r>
      <w:r w:rsidR="003268BD" w:rsidRPr="007B3B38">
        <w:rPr>
          <w:rFonts w:ascii="Artifex CF Extra Light" w:hAnsi="Artifex CF Extra Light" w:cs="Times New Roman"/>
          <w:color w:val="1F4E79" w:themeColor="accent1" w:themeShade="80"/>
          <w:spacing w:val="10"/>
          <w:sz w:val="18"/>
          <w:szCs w:val="18"/>
          <w:lang w:val="es-DO"/>
        </w:rPr>
        <w:t xml:space="preserve">, los potenciales exportadores capacitados fueron </w:t>
      </w:r>
      <w:r w:rsidR="00A578DF" w:rsidRPr="007B3B38">
        <w:rPr>
          <w:rFonts w:ascii="Artifex CF Extra Light" w:hAnsi="Artifex CF Extra Light" w:cs="Times New Roman"/>
          <w:color w:val="1F4E79" w:themeColor="accent1" w:themeShade="80"/>
          <w:spacing w:val="10"/>
          <w:sz w:val="18"/>
          <w:szCs w:val="18"/>
          <w:lang w:val="es-DO"/>
        </w:rPr>
        <w:t>60</w:t>
      </w:r>
      <w:r w:rsidR="003268BD" w:rsidRPr="007B3B38">
        <w:rPr>
          <w:rFonts w:ascii="Artifex CF Extra Light" w:hAnsi="Artifex CF Extra Light" w:cs="Times New Roman"/>
          <w:color w:val="1F4E79" w:themeColor="accent1" w:themeShade="80"/>
          <w:spacing w:val="10"/>
          <w:sz w:val="18"/>
          <w:szCs w:val="18"/>
          <w:lang w:val="es-DO"/>
        </w:rPr>
        <w:t xml:space="preserve"> y otras personas interesadas en comercio exterior capacitadas fueron </w:t>
      </w:r>
      <w:r w:rsidR="00A578DF" w:rsidRPr="007B3B38">
        <w:rPr>
          <w:rFonts w:ascii="Artifex CF Extra Light" w:hAnsi="Artifex CF Extra Light" w:cs="Times New Roman"/>
          <w:color w:val="1F4E79" w:themeColor="accent1" w:themeShade="80"/>
          <w:spacing w:val="10"/>
          <w:sz w:val="18"/>
          <w:szCs w:val="18"/>
          <w:lang w:val="es-DO"/>
        </w:rPr>
        <w:t>3000</w:t>
      </w:r>
      <w:r w:rsidR="003268BD" w:rsidRPr="007B3B38">
        <w:rPr>
          <w:rFonts w:ascii="Artifex CF Extra Light" w:hAnsi="Artifex CF Extra Light" w:cs="Times New Roman"/>
          <w:color w:val="1F4E79" w:themeColor="accent1" w:themeShade="80"/>
          <w:spacing w:val="10"/>
          <w:sz w:val="18"/>
          <w:szCs w:val="18"/>
          <w:lang w:val="es-DO"/>
        </w:rPr>
        <w:t xml:space="preserve"> (ver</w:t>
      </w:r>
      <w:r w:rsidR="00E852A0" w:rsidRPr="007B3B38">
        <w:rPr>
          <w:rFonts w:ascii="Artifex CF Extra Light" w:hAnsi="Artifex CF Extra Light" w:cs="Times New Roman"/>
          <w:color w:val="1F4E79" w:themeColor="accent1" w:themeShade="80"/>
          <w:spacing w:val="10"/>
          <w:sz w:val="18"/>
          <w:szCs w:val="18"/>
          <w:lang w:val="es-DO"/>
        </w:rPr>
        <w:t xml:space="preserve"> más detalles en los</w:t>
      </w:r>
      <w:r w:rsidR="003268BD" w:rsidRPr="007B3B38">
        <w:rPr>
          <w:rFonts w:ascii="Artifex CF Extra Light" w:hAnsi="Artifex CF Extra Light" w:cs="Times New Roman"/>
          <w:color w:val="1F4E79" w:themeColor="accent1" w:themeShade="80"/>
          <w:spacing w:val="10"/>
          <w:sz w:val="18"/>
          <w:szCs w:val="18"/>
          <w:lang w:val="es-DO"/>
        </w:rPr>
        <w:t xml:space="preserve"> anexos 1 y 2).</w:t>
      </w:r>
    </w:p>
    <w:p w14:paraId="2540DD3A" w14:textId="15A8EC4E" w:rsidR="4206B905" w:rsidRPr="00702674" w:rsidRDefault="00A6352F" w:rsidP="004A38BA">
      <w:pPr>
        <w:spacing w:before="380" w:after="120" w:line="456" w:lineRule="auto"/>
        <w:ind w:firstLine="284"/>
        <w:rPr>
          <w:rFonts w:ascii="Artifex CF Extra Light" w:hAnsi="Artifex CF Extra Light" w:cs="Times New Roman"/>
          <w:b/>
          <w:bCs/>
          <w:color w:val="1F4E79" w:themeColor="accent1" w:themeShade="80"/>
          <w:spacing w:val="10"/>
          <w:sz w:val="18"/>
          <w:szCs w:val="18"/>
          <w:lang w:val="es-DO"/>
        </w:rPr>
      </w:pPr>
      <w:r w:rsidRPr="00702674">
        <w:rPr>
          <w:rFonts w:ascii="Artifex CF Extra Light" w:hAnsi="Artifex CF Extra Light" w:cs="Times New Roman"/>
          <w:b/>
          <w:bCs/>
          <w:color w:val="1F4E79" w:themeColor="accent1" w:themeShade="80"/>
          <w:spacing w:val="10"/>
          <w:sz w:val="18"/>
          <w:szCs w:val="18"/>
          <w:lang w:val="es-DO"/>
        </w:rPr>
        <w:t>ATRACCIÓN DE INVERSIÓN EXTRANJERA DIRECTA</w:t>
      </w:r>
    </w:p>
    <w:p w14:paraId="66772235" w14:textId="227259CF" w:rsidR="00C44DDC" w:rsidRPr="007B3B38" w:rsidRDefault="00C44DD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Como resultados de los ejercicios de atracción de IED, ProDominicana debe: contribuir al incremento del flujo de la Inversión Extranjera Directa (IED), contribuir efectivamente a la creación de empleos y contribuir con el incremento de la cantidad de proyectos de IED.</w:t>
      </w:r>
    </w:p>
    <w:p w14:paraId="61EC9AF5" w14:textId="206A67B8" w:rsidR="009D47C1" w:rsidRPr="007B3B38" w:rsidRDefault="000C147F"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w:t>
      </w:r>
      <w:r w:rsidR="77D9D02D" w:rsidRPr="007B3B38">
        <w:rPr>
          <w:rFonts w:ascii="Artifex CF Extra Light" w:hAnsi="Artifex CF Extra Light" w:cs="Times New Roman"/>
          <w:color w:val="1F4E79" w:themeColor="accent1" w:themeShade="80"/>
          <w:spacing w:val="10"/>
          <w:sz w:val="18"/>
          <w:szCs w:val="18"/>
          <w:lang w:val="es-DO"/>
        </w:rPr>
        <w:t xml:space="preserve"> el 2020, a pesar de ser un año en que la economía mundial sufrió duramente el impacto negativo de la Pandemia Covid-19, </w:t>
      </w:r>
      <w:r w:rsidR="006D465A" w:rsidRPr="007B3B38">
        <w:rPr>
          <w:rFonts w:ascii="Artifex CF Extra Light" w:hAnsi="Artifex CF Extra Light" w:cs="Times New Roman"/>
          <w:color w:val="1F4E79" w:themeColor="accent1" w:themeShade="80"/>
          <w:spacing w:val="10"/>
          <w:sz w:val="18"/>
          <w:szCs w:val="18"/>
          <w:lang w:val="es-DO"/>
        </w:rPr>
        <w:t xml:space="preserve">la gestión de ProDominicana </w:t>
      </w:r>
      <w:r w:rsidR="008D0A86" w:rsidRPr="007B3B38">
        <w:rPr>
          <w:rFonts w:ascii="Artifex CF Extra Light" w:hAnsi="Artifex CF Extra Light" w:cs="Times New Roman"/>
          <w:color w:val="1F4E79" w:themeColor="accent1" w:themeShade="80"/>
          <w:spacing w:val="10"/>
          <w:sz w:val="18"/>
          <w:szCs w:val="18"/>
          <w:lang w:val="es-DO"/>
        </w:rPr>
        <w:t xml:space="preserve">resulto en un monto de </w:t>
      </w:r>
      <w:r w:rsidR="009D47C1" w:rsidRPr="007B3B38">
        <w:rPr>
          <w:rFonts w:ascii="Artifex CF Extra Light" w:hAnsi="Artifex CF Extra Light" w:cs="Times New Roman"/>
          <w:color w:val="1F4E79" w:themeColor="accent1" w:themeShade="80"/>
          <w:spacing w:val="10"/>
          <w:sz w:val="18"/>
          <w:szCs w:val="18"/>
          <w:lang w:val="es-DO"/>
        </w:rPr>
        <w:t>inversión</w:t>
      </w:r>
      <w:r w:rsidR="00D828F3" w:rsidRPr="007B3B38">
        <w:rPr>
          <w:rFonts w:ascii="Artifex CF Extra Light" w:hAnsi="Artifex CF Extra Light" w:cs="Times New Roman"/>
          <w:color w:val="1F4E79" w:themeColor="accent1" w:themeShade="80"/>
          <w:spacing w:val="10"/>
          <w:sz w:val="18"/>
          <w:szCs w:val="18"/>
          <w:lang w:val="es-DO"/>
        </w:rPr>
        <w:t xml:space="preserve"> aproximado de</w:t>
      </w:r>
      <w:r w:rsidR="009D47C1" w:rsidRPr="007B3B38">
        <w:rPr>
          <w:rFonts w:ascii="Artifex CF Extra Light" w:hAnsi="Artifex CF Extra Light" w:cs="Times New Roman"/>
          <w:color w:val="1F4E79" w:themeColor="accent1" w:themeShade="80"/>
          <w:spacing w:val="10"/>
          <w:sz w:val="18"/>
          <w:szCs w:val="18"/>
          <w:lang w:val="es-DO"/>
        </w:rPr>
        <w:t xml:space="preserve"> US$1,169,070</w:t>
      </w:r>
      <w:r w:rsidR="003E0330" w:rsidRPr="007B3B38">
        <w:rPr>
          <w:rFonts w:ascii="Artifex CF Extra Light" w:hAnsi="Artifex CF Extra Light" w:cs="Times New Roman"/>
          <w:color w:val="1F4E79" w:themeColor="accent1" w:themeShade="80"/>
          <w:spacing w:val="10"/>
          <w:sz w:val="18"/>
          <w:szCs w:val="18"/>
          <w:lang w:val="es-DO"/>
        </w:rPr>
        <w:t>,000</w:t>
      </w:r>
      <w:r w:rsidR="003C47E0" w:rsidRPr="007B3B38">
        <w:rPr>
          <w:rFonts w:ascii="Artifex CF Extra Light" w:hAnsi="Artifex CF Extra Light" w:cs="Times New Roman"/>
          <w:color w:val="1F4E79" w:themeColor="accent1" w:themeShade="80"/>
          <w:spacing w:val="10"/>
          <w:sz w:val="18"/>
          <w:szCs w:val="18"/>
          <w:lang w:val="es-DO"/>
        </w:rPr>
        <w:t xml:space="preserve">, </w:t>
      </w:r>
      <w:r w:rsidR="00B22918" w:rsidRPr="007B3B38">
        <w:rPr>
          <w:rFonts w:ascii="Artifex CF Extra Light" w:hAnsi="Artifex CF Extra Light" w:cs="Times New Roman"/>
          <w:color w:val="1F4E79" w:themeColor="accent1" w:themeShade="80"/>
          <w:spacing w:val="10"/>
          <w:sz w:val="18"/>
          <w:szCs w:val="18"/>
          <w:lang w:val="es-DO"/>
        </w:rPr>
        <w:t>con una generación de empleos directos e indirectos de</w:t>
      </w:r>
      <w:r w:rsidR="0067166E" w:rsidRPr="007B3B38">
        <w:rPr>
          <w:rFonts w:ascii="Artifex CF Extra Light" w:hAnsi="Artifex CF Extra Light" w:cs="Times New Roman"/>
          <w:color w:val="1F4E79" w:themeColor="accent1" w:themeShade="80"/>
          <w:spacing w:val="10"/>
          <w:sz w:val="18"/>
          <w:szCs w:val="18"/>
          <w:lang w:val="es-DO"/>
        </w:rPr>
        <w:t xml:space="preserve"> aproximadamente</w:t>
      </w:r>
      <w:r w:rsidR="00B22918" w:rsidRPr="007B3B38">
        <w:rPr>
          <w:rFonts w:ascii="Artifex CF Extra Light" w:hAnsi="Artifex CF Extra Light" w:cs="Times New Roman"/>
          <w:color w:val="1F4E79" w:themeColor="accent1" w:themeShade="80"/>
          <w:spacing w:val="10"/>
          <w:sz w:val="18"/>
          <w:szCs w:val="18"/>
          <w:lang w:val="es-DO"/>
        </w:rPr>
        <w:t xml:space="preserve"> 5,663 </w:t>
      </w:r>
      <w:r w:rsidR="47837532" w:rsidRPr="007B3B38">
        <w:rPr>
          <w:rFonts w:ascii="Artifex CF Extra Light" w:hAnsi="Artifex CF Extra Light" w:cs="Times New Roman"/>
          <w:color w:val="1F4E79" w:themeColor="accent1" w:themeShade="80"/>
          <w:spacing w:val="10"/>
          <w:sz w:val="18"/>
          <w:szCs w:val="18"/>
          <w:lang w:val="es-DO"/>
        </w:rPr>
        <w:t>empleos</w:t>
      </w:r>
      <w:r w:rsidR="280CCAB7" w:rsidRPr="007B3B38">
        <w:rPr>
          <w:rFonts w:ascii="Artifex CF Extra Light" w:hAnsi="Artifex CF Extra Light" w:cs="Times New Roman"/>
          <w:color w:val="1F4E79" w:themeColor="accent1" w:themeShade="80"/>
          <w:spacing w:val="10"/>
          <w:sz w:val="18"/>
          <w:szCs w:val="18"/>
          <w:lang w:val="es-DO"/>
        </w:rPr>
        <w:t xml:space="preserve"> asociados a IED</w:t>
      </w:r>
      <w:r w:rsidR="42C7B005" w:rsidRPr="007B3B38">
        <w:rPr>
          <w:rFonts w:ascii="Artifex CF Extra Light" w:hAnsi="Artifex CF Extra Light" w:cs="Times New Roman"/>
          <w:color w:val="1F4E79" w:themeColor="accent1" w:themeShade="80"/>
          <w:spacing w:val="10"/>
          <w:sz w:val="18"/>
          <w:szCs w:val="18"/>
          <w:lang w:val="es-DO"/>
        </w:rPr>
        <w:t xml:space="preserve">, </w:t>
      </w:r>
      <w:r w:rsidR="000717BF" w:rsidRPr="007B3B38">
        <w:rPr>
          <w:rFonts w:ascii="Artifex CF Extra Light" w:hAnsi="Artifex CF Extra Light" w:cs="Times New Roman"/>
          <w:color w:val="1F4E79" w:themeColor="accent1" w:themeShade="80"/>
          <w:spacing w:val="10"/>
          <w:sz w:val="18"/>
          <w:szCs w:val="18"/>
          <w:lang w:val="es-DO"/>
        </w:rPr>
        <w:t xml:space="preserve">así mismo, </w:t>
      </w:r>
      <w:r w:rsidR="00B22918" w:rsidRPr="007B3B38">
        <w:rPr>
          <w:rFonts w:ascii="Artifex CF Extra Light" w:hAnsi="Artifex CF Extra Light" w:cs="Times New Roman"/>
          <w:color w:val="1F4E79" w:themeColor="accent1" w:themeShade="80"/>
          <w:spacing w:val="10"/>
          <w:sz w:val="18"/>
          <w:szCs w:val="18"/>
          <w:lang w:val="es-DO"/>
        </w:rPr>
        <w:t xml:space="preserve">la cantidad de proyectos de </w:t>
      </w:r>
      <w:r w:rsidR="006511B8" w:rsidRPr="007B3B38">
        <w:rPr>
          <w:rFonts w:ascii="Artifex CF Extra Light" w:hAnsi="Artifex CF Extra Light" w:cs="Times New Roman"/>
          <w:color w:val="1F4E79" w:themeColor="accent1" w:themeShade="80"/>
          <w:spacing w:val="10"/>
          <w:sz w:val="18"/>
          <w:szCs w:val="18"/>
          <w:lang w:val="es-DO"/>
        </w:rPr>
        <w:t>inversión</w:t>
      </w:r>
      <w:r w:rsidR="00B22918" w:rsidRPr="007B3B38">
        <w:rPr>
          <w:rFonts w:ascii="Artifex CF Extra Light" w:hAnsi="Artifex CF Extra Light" w:cs="Times New Roman"/>
          <w:color w:val="1F4E79" w:themeColor="accent1" w:themeShade="80"/>
          <w:spacing w:val="10"/>
          <w:sz w:val="18"/>
          <w:szCs w:val="18"/>
          <w:lang w:val="es-DO"/>
        </w:rPr>
        <w:t xml:space="preserve"> </w:t>
      </w:r>
      <w:r w:rsidR="006511B8" w:rsidRPr="007B3B38">
        <w:rPr>
          <w:rFonts w:ascii="Artifex CF Extra Light" w:hAnsi="Artifex CF Extra Light" w:cs="Times New Roman"/>
          <w:color w:val="1F4E79" w:themeColor="accent1" w:themeShade="80"/>
          <w:spacing w:val="10"/>
          <w:sz w:val="18"/>
          <w:szCs w:val="18"/>
          <w:lang w:val="es-DO"/>
        </w:rPr>
        <w:t xml:space="preserve">que se instalaron o se expandieron en el 2020 fue de 15 proyectos </w:t>
      </w:r>
      <w:r w:rsidR="004E7870" w:rsidRPr="007B3B38">
        <w:rPr>
          <w:rFonts w:ascii="Artifex CF Extra Light" w:hAnsi="Artifex CF Extra Light" w:cs="Times New Roman"/>
          <w:color w:val="1F4E79" w:themeColor="accent1" w:themeShade="80"/>
          <w:spacing w:val="10"/>
          <w:sz w:val="18"/>
          <w:szCs w:val="18"/>
          <w:lang w:val="es-DO"/>
        </w:rPr>
        <w:t>(ver</w:t>
      </w:r>
      <w:r w:rsidR="000717BF" w:rsidRPr="007B3B38">
        <w:rPr>
          <w:rFonts w:ascii="Artifex CF Extra Light" w:hAnsi="Artifex CF Extra Light" w:cs="Times New Roman"/>
          <w:color w:val="1F4E79" w:themeColor="accent1" w:themeShade="80"/>
          <w:spacing w:val="10"/>
          <w:sz w:val="18"/>
          <w:szCs w:val="18"/>
          <w:lang w:val="es-DO"/>
        </w:rPr>
        <w:t xml:space="preserve"> más detalles en</w:t>
      </w:r>
      <w:r w:rsidR="004E7870" w:rsidRPr="007B3B38">
        <w:rPr>
          <w:rFonts w:ascii="Artifex CF Extra Light" w:hAnsi="Artifex CF Extra Light" w:cs="Times New Roman"/>
          <w:color w:val="1F4E79" w:themeColor="accent1" w:themeShade="80"/>
          <w:spacing w:val="10"/>
          <w:sz w:val="18"/>
          <w:szCs w:val="18"/>
          <w:lang w:val="es-DO"/>
        </w:rPr>
        <w:t xml:space="preserve"> anexo 3).</w:t>
      </w:r>
    </w:p>
    <w:p w14:paraId="1FDF5D7B" w14:textId="0AE71F0A" w:rsidR="0036177F" w:rsidRPr="007B3B38" w:rsidRDefault="52C023A7" w:rsidP="007B3B38">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Por otro lado, la gestión institucional se mide en base a las iniciativas de</w:t>
      </w:r>
      <w:r w:rsidR="280D842F" w:rsidRPr="007B3B38">
        <w:rPr>
          <w:rFonts w:ascii="Artifex CF Extra Light" w:hAnsi="Artifex CF Extra Light" w:cs="Times New Roman"/>
          <w:color w:val="1F4E79" w:themeColor="accent1" w:themeShade="80"/>
          <w:spacing w:val="10"/>
          <w:sz w:val="18"/>
          <w:szCs w:val="18"/>
          <w:lang w:val="es-DO"/>
        </w:rPr>
        <w:t>l P</w:t>
      </w:r>
      <w:r w:rsidR="58258625" w:rsidRPr="007B3B38">
        <w:rPr>
          <w:rFonts w:ascii="Artifex CF Extra Light" w:hAnsi="Artifex CF Extra Light" w:cs="Times New Roman"/>
          <w:color w:val="1F4E79" w:themeColor="accent1" w:themeShade="80"/>
          <w:spacing w:val="10"/>
          <w:sz w:val="18"/>
          <w:szCs w:val="18"/>
          <w:lang w:val="es-DO"/>
        </w:rPr>
        <w:t>lan Operativo</w:t>
      </w:r>
      <w:r w:rsidR="00511728" w:rsidRPr="007B3B38">
        <w:rPr>
          <w:rFonts w:ascii="Artifex CF Extra Light" w:hAnsi="Artifex CF Extra Light" w:cs="Times New Roman"/>
          <w:color w:val="1F4E79" w:themeColor="accent1" w:themeShade="80"/>
          <w:spacing w:val="10"/>
          <w:sz w:val="18"/>
          <w:szCs w:val="18"/>
          <w:lang w:val="es-DO"/>
        </w:rPr>
        <w:t xml:space="preserve"> que impactan a la ciudadanía</w:t>
      </w:r>
      <w:r w:rsidR="41C0E60F" w:rsidRPr="007B3B38">
        <w:rPr>
          <w:rFonts w:ascii="Artifex CF Extra Light" w:hAnsi="Artifex CF Extra Light" w:cs="Times New Roman"/>
          <w:color w:val="1F4E79" w:themeColor="accent1" w:themeShade="80"/>
          <w:spacing w:val="10"/>
          <w:sz w:val="18"/>
          <w:szCs w:val="18"/>
          <w:lang w:val="es-DO"/>
        </w:rPr>
        <w:t>, las cuales han</w:t>
      </w:r>
      <w:r w:rsidR="00511728" w:rsidRPr="007B3B38">
        <w:rPr>
          <w:rFonts w:ascii="Artifex CF Extra Light" w:hAnsi="Artifex CF Extra Light" w:cs="Times New Roman"/>
          <w:color w:val="1F4E79" w:themeColor="accent1" w:themeShade="80"/>
          <w:spacing w:val="10"/>
          <w:sz w:val="18"/>
          <w:szCs w:val="18"/>
          <w:lang w:val="es-DO"/>
        </w:rPr>
        <w:t xml:space="preserve"> </w:t>
      </w:r>
      <w:r w:rsidR="41C0E60F" w:rsidRPr="007B3B38">
        <w:rPr>
          <w:rFonts w:ascii="Artifex CF Extra Light" w:hAnsi="Artifex CF Extra Light" w:cs="Times New Roman"/>
          <w:color w:val="1F4E79" w:themeColor="accent1" w:themeShade="80"/>
          <w:spacing w:val="10"/>
          <w:sz w:val="18"/>
          <w:szCs w:val="18"/>
          <w:lang w:val="es-DO"/>
        </w:rPr>
        <w:t>sido agrupadas en cuatro (4) Ejes que provienen de nuestro Plan Estratégico. Estos</w:t>
      </w:r>
      <w:r w:rsidR="6CAFE838" w:rsidRPr="007B3B38">
        <w:rPr>
          <w:rFonts w:ascii="Artifex CF Extra Light" w:hAnsi="Artifex CF Extra Light" w:cs="Times New Roman"/>
          <w:color w:val="1F4E79" w:themeColor="accent1" w:themeShade="80"/>
          <w:spacing w:val="10"/>
          <w:sz w:val="18"/>
          <w:szCs w:val="18"/>
          <w:lang w:val="es-DO"/>
        </w:rPr>
        <w:t xml:space="preserve"> </w:t>
      </w:r>
      <w:r w:rsidR="00511728" w:rsidRPr="007B3B38">
        <w:rPr>
          <w:rFonts w:ascii="Artifex CF Extra Light" w:hAnsi="Artifex CF Extra Light" w:cs="Times New Roman"/>
          <w:color w:val="1F4E79" w:themeColor="accent1" w:themeShade="80"/>
          <w:spacing w:val="10"/>
          <w:sz w:val="18"/>
          <w:szCs w:val="18"/>
          <w:lang w:val="es-DO"/>
        </w:rPr>
        <w:t>son:</w:t>
      </w:r>
      <w:r w:rsidR="00E20AEC" w:rsidRPr="007B3B38">
        <w:rPr>
          <w:rFonts w:ascii="Artifex CF Extra Light" w:hAnsi="Artifex CF Extra Light" w:cs="Times New Roman"/>
          <w:color w:val="1F4E79" w:themeColor="accent1" w:themeShade="80"/>
          <w:spacing w:val="10"/>
          <w:sz w:val="18"/>
          <w:szCs w:val="18"/>
          <w:lang w:val="es-DO"/>
        </w:rPr>
        <w:t xml:space="preserve"> </w:t>
      </w:r>
      <w:r w:rsidR="006A4A6B" w:rsidRPr="007B3B38">
        <w:rPr>
          <w:rFonts w:ascii="Artifex CF Extra Light" w:hAnsi="Artifex CF Extra Light" w:cs="Times New Roman"/>
          <w:color w:val="1F4E79" w:themeColor="accent1" w:themeShade="80"/>
          <w:spacing w:val="10"/>
          <w:sz w:val="18"/>
          <w:szCs w:val="18"/>
          <w:lang w:val="es-DO"/>
        </w:rPr>
        <w:t>Fortalecimiento Institucional</w:t>
      </w:r>
      <w:r w:rsidR="29F5717D" w:rsidRPr="007B3B38">
        <w:rPr>
          <w:rFonts w:ascii="Artifex CF Extra Light" w:hAnsi="Artifex CF Extra Light" w:cs="Times New Roman"/>
          <w:color w:val="1F4E79" w:themeColor="accent1" w:themeShade="80"/>
          <w:spacing w:val="10"/>
          <w:sz w:val="18"/>
          <w:szCs w:val="18"/>
          <w:lang w:val="es-DO"/>
        </w:rPr>
        <w:t>;</w:t>
      </w:r>
      <w:r w:rsidR="003B53BC" w:rsidRPr="007B3B38">
        <w:rPr>
          <w:rFonts w:ascii="Artifex CF Extra Light" w:hAnsi="Artifex CF Extra Light" w:cs="Times New Roman"/>
          <w:color w:val="1F4E79" w:themeColor="accent1" w:themeShade="80"/>
          <w:spacing w:val="10"/>
          <w:sz w:val="18"/>
          <w:szCs w:val="18"/>
          <w:lang w:val="es-DO"/>
        </w:rPr>
        <w:t xml:space="preserve"> Inversión para el desarrollo</w:t>
      </w:r>
      <w:r w:rsidR="7FEAC132" w:rsidRPr="007B3B38">
        <w:rPr>
          <w:rFonts w:ascii="Artifex CF Extra Light" w:hAnsi="Artifex CF Extra Light" w:cs="Times New Roman"/>
          <w:color w:val="1F4E79" w:themeColor="accent1" w:themeShade="80"/>
          <w:spacing w:val="10"/>
          <w:sz w:val="18"/>
          <w:szCs w:val="18"/>
          <w:lang w:val="es-DO"/>
        </w:rPr>
        <w:t>;</w:t>
      </w:r>
      <w:r w:rsidR="003B53BC" w:rsidRPr="007B3B38">
        <w:rPr>
          <w:rFonts w:ascii="Artifex CF Extra Light" w:hAnsi="Artifex CF Extra Light" w:cs="Times New Roman"/>
          <w:color w:val="1F4E79" w:themeColor="accent1" w:themeShade="80"/>
          <w:spacing w:val="10"/>
          <w:sz w:val="18"/>
          <w:szCs w:val="18"/>
          <w:lang w:val="es-DO"/>
        </w:rPr>
        <w:t xml:space="preserve"> Exportar para crecer</w:t>
      </w:r>
      <w:r w:rsidR="00096C2B" w:rsidRPr="007B3B38">
        <w:rPr>
          <w:rFonts w:ascii="Artifex CF Extra Light" w:hAnsi="Artifex CF Extra Light" w:cs="Times New Roman"/>
          <w:color w:val="1F4E79" w:themeColor="accent1" w:themeShade="80"/>
          <w:spacing w:val="10"/>
          <w:sz w:val="18"/>
          <w:szCs w:val="18"/>
          <w:lang w:val="es-DO"/>
        </w:rPr>
        <w:t xml:space="preserve"> y </w:t>
      </w:r>
      <w:r w:rsidR="00E43879" w:rsidRPr="007B3B38">
        <w:rPr>
          <w:rFonts w:ascii="Artifex CF Extra Light" w:hAnsi="Artifex CF Extra Light" w:cs="Times New Roman"/>
          <w:color w:val="1F4E79" w:themeColor="accent1" w:themeShade="80"/>
          <w:spacing w:val="10"/>
          <w:sz w:val="18"/>
          <w:szCs w:val="18"/>
          <w:lang w:val="es-DO"/>
        </w:rPr>
        <w:t xml:space="preserve">Marca </w:t>
      </w:r>
      <w:r w:rsidR="00E63854" w:rsidRPr="007B3B38">
        <w:rPr>
          <w:rFonts w:ascii="Artifex CF Extra Light" w:hAnsi="Artifex CF Extra Light" w:cs="Times New Roman"/>
          <w:color w:val="1F4E79" w:themeColor="accent1" w:themeShade="80"/>
          <w:spacing w:val="10"/>
          <w:sz w:val="18"/>
          <w:szCs w:val="18"/>
          <w:lang w:val="es-DO"/>
        </w:rPr>
        <w:t>País</w:t>
      </w:r>
      <w:r w:rsidR="4B781A1F" w:rsidRPr="007B3B38">
        <w:rPr>
          <w:rFonts w:ascii="Artifex CF Extra Light" w:hAnsi="Artifex CF Extra Light" w:cs="Times New Roman"/>
          <w:color w:val="1F4E79" w:themeColor="accent1" w:themeShade="80"/>
          <w:spacing w:val="10"/>
          <w:sz w:val="18"/>
          <w:szCs w:val="18"/>
          <w:lang w:val="es-DO"/>
        </w:rPr>
        <w:t>.</w:t>
      </w:r>
      <w:r w:rsidR="00E63854" w:rsidRPr="007B3B38">
        <w:rPr>
          <w:rFonts w:ascii="Artifex CF Extra Light" w:hAnsi="Artifex CF Extra Light" w:cs="Times New Roman"/>
          <w:color w:val="1F4E79" w:themeColor="accent1" w:themeShade="80"/>
          <w:spacing w:val="10"/>
          <w:sz w:val="18"/>
          <w:szCs w:val="18"/>
          <w:lang w:val="es-DO"/>
        </w:rPr>
        <w:t xml:space="preserve"> </w:t>
      </w:r>
      <w:r w:rsidR="77FD0133" w:rsidRPr="007B3B38">
        <w:rPr>
          <w:rFonts w:ascii="Artifex CF Extra Light" w:hAnsi="Artifex CF Extra Light" w:cs="Times New Roman"/>
          <w:color w:val="1F4E79" w:themeColor="accent1" w:themeShade="80"/>
          <w:spacing w:val="10"/>
          <w:sz w:val="18"/>
          <w:szCs w:val="18"/>
          <w:lang w:val="es-DO"/>
        </w:rPr>
        <w:t>E</w:t>
      </w:r>
      <w:r w:rsidR="00E63854" w:rsidRPr="007B3B38">
        <w:rPr>
          <w:rFonts w:ascii="Artifex CF Extra Light" w:hAnsi="Artifex CF Extra Light" w:cs="Times New Roman"/>
          <w:color w:val="1F4E79" w:themeColor="accent1" w:themeShade="80"/>
          <w:spacing w:val="10"/>
          <w:sz w:val="18"/>
          <w:szCs w:val="18"/>
          <w:lang w:val="es-DO"/>
        </w:rPr>
        <w:t>ste último eje se ha in</w:t>
      </w:r>
      <w:r w:rsidR="00060589" w:rsidRPr="007B3B38">
        <w:rPr>
          <w:rFonts w:ascii="Artifex CF Extra Light" w:hAnsi="Artifex CF Extra Light" w:cs="Times New Roman"/>
          <w:color w:val="1F4E79" w:themeColor="accent1" w:themeShade="80"/>
          <w:spacing w:val="10"/>
          <w:sz w:val="18"/>
          <w:szCs w:val="18"/>
          <w:lang w:val="es-DO"/>
        </w:rPr>
        <w:t xml:space="preserve">cluido </w:t>
      </w:r>
      <w:r w:rsidR="00135622" w:rsidRPr="007B3B38">
        <w:rPr>
          <w:rFonts w:ascii="Artifex CF Extra Light" w:hAnsi="Artifex CF Extra Light" w:cs="Times New Roman"/>
          <w:color w:val="1F4E79" w:themeColor="accent1" w:themeShade="80"/>
          <w:spacing w:val="10"/>
          <w:sz w:val="18"/>
          <w:szCs w:val="18"/>
          <w:lang w:val="es-DO"/>
        </w:rPr>
        <w:t xml:space="preserve">en cumplimiento del </w:t>
      </w:r>
      <w:r w:rsidR="0AE1BEA3" w:rsidRPr="007B3B38">
        <w:rPr>
          <w:rFonts w:ascii="Artifex CF Extra Light" w:hAnsi="Artifex CF Extra Light" w:cs="Times New Roman"/>
          <w:color w:val="1F4E79" w:themeColor="accent1" w:themeShade="80"/>
          <w:spacing w:val="10"/>
          <w:sz w:val="18"/>
          <w:szCs w:val="18"/>
          <w:lang w:val="es-DO"/>
        </w:rPr>
        <w:t>D</w:t>
      </w:r>
      <w:r w:rsidR="008B15F8" w:rsidRPr="007B3B38">
        <w:rPr>
          <w:rFonts w:ascii="Artifex CF Extra Light" w:hAnsi="Artifex CF Extra Light" w:cs="Times New Roman"/>
          <w:color w:val="1F4E79" w:themeColor="accent1" w:themeShade="80"/>
          <w:spacing w:val="10"/>
          <w:sz w:val="18"/>
          <w:szCs w:val="18"/>
          <w:lang w:val="es-DO"/>
        </w:rPr>
        <w:t xml:space="preserve">ecreto </w:t>
      </w:r>
      <w:r w:rsidR="5129CDF6" w:rsidRPr="007B3B38">
        <w:rPr>
          <w:rFonts w:ascii="Artifex CF Extra Light" w:hAnsi="Artifex CF Extra Light" w:cs="Times New Roman"/>
          <w:color w:val="1F4E79" w:themeColor="accent1" w:themeShade="80"/>
          <w:spacing w:val="10"/>
          <w:sz w:val="18"/>
          <w:szCs w:val="18"/>
          <w:lang w:val="es-DO"/>
        </w:rPr>
        <w:t xml:space="preserve">No. 466-20, </w:t>
      </w:r>
      <w:r w:rsidR="008B15F8" w:rsidRPr="007B3B38">
        <w:rPr>
          <w:rFonts w:ascii="Artifex CF Extra Light" w:hAnsi="Artifex CF Extra Light" w:cs="Times New Roman"/>
          <w:color w:val="1F4E79" w:themeColor="accent1" w:themeShade="80"/>
          <w:spacing w:val="10"/>
          <w:sz w:val="18"/>
          <w:szCs w:val="18"/>
          <w:lang w:val="es-DO"/>
        </w:rPr>
        <w:t xml:space="preserve">que designa a ProDominicana </w:t>
      </w:r>
      <w:r w:rsidR="00060589" w:rsidRPr="007B3B38">
        <w:rPr>
          <w:rFonts w:ascii="Artifex CF Extra Light" w:hAnsi="Artifex CF Extra Light" w:cs="Times New Roman"/>
          <w:color w:val="1F4E79" w:themeColor="accent1" w:themeShade="80"/>
          <w:spacing w:val="10"/>
          <w:sz w:val="18"/>
          <w:szCs w:val="18"/>
          <w:lang w:val="es-DO"/>
        </w:rPr>
        <w:t xml:space="preserve">como Secretario General de </w:t>
      </w:r>
      <w:r w:rsidR="00DA20BD" w:rsidRPr="007B3B38">
        <w:rPr>
          <w:rFonts w:ascii="Artifex CF Extra Light" w:hAnsi="Artifex CF Extra Light" w:cs="Times New Roman"/>
          <w:color w:val="1F4E79" w:themeColor="accent1" w:themeShade="80"/>
          <w:spacing w:val="10"/>
          <w:sz w:val="18"/>
          <w:szCs w:val="18"/>
          <w:lang w:val="es-DO"/>
        </w:rPr>
        <w:t xml:space="preserve">la </w:t>
      </w:r>
      <w:r w:rsidR="7B3F32FC" w:rsidRPr="007B3B38">
        <w:rPr>
          <w:rFonts w:ascii="Artifex CF Extra Light" w:hAnsi="Artifex CF Extra Light" w:cs="Times New Roman"/>
          <w:color w:val="1F4E79" w:themeColor="accent1" w:themeShade="80"/>
          <w:spacing w:val="10"/>
          <w:sz w:val="18"/>
          <w:szCs w:val="18"/>
          <w:lang w:val="es-DO"/>
        </w:rPr>
        <w:t>C</w:t>
      </w:r>
      <w:r w:rsidR="00DA20BD" w:rsidRPr="007B3B38">
        <w:rPr>
          <w:rFonts w:ascii="Artifex CF Extra Light" w:hAnsi="Artifex CF Extra Light" w:cs="Times New Roman"/>
          <w:color w:val="1F4E79" w:themeColor="accent1" w:themeShade="80"/>
          <w:spacing w:val="10"/>
          <w:sz w:val="18"/>
          <w:szCs w:val="18"/>
          <w:lang w:val="es-DO"/>
        </w:rPr>
        <w:t xml:space="preserve">omisión </w:t>
      </w:r>
      <w:r w:rsidR="41DF5B70" w:rsidRPr="007B3B38">
        <w:rPr>
          <w:rFonts w:ascii="Artifex CF Extra Light" w:hAnsi="Artifex CF Extra Light" w:cs="Times New Roman"/>
          <w:color w:val="1F4E79" w:themeColor="accent1" w:themeShade="80"/>
          <w:spacing w:val="10"/>
          <w:sz w:val="18"/>
          <w:szCs w:val="18"/>
          <w:lang w:val="es-DO"/>
        </w:rPr>
        <w:t>M</w:t>
      </w:r>
      <w:r w:rsidR="00DA20BD" w:rsidRPr="007B3B38">
        <w:rPr>
          <w:rFonts w:ascii="Artifex CF Extra Light" w:hAnsi="Artifex CF Extra Light" w:cs="Times New Roman"/>
          <w:color w:val="1F4E79" w:themeColor="accent1" w:themeShade="80"/>
          <w:spacing w:val="10"/>
          <w:sz w:val="18"/>
          <w:szCs w:val="18"/>
          <w:lang w:val="es-DO"/>
        </w:rPr>
        <w:t xml:space="preserve">ultisectorial para el desarrollo de la marca país. </w:t>
      </w:r>
    </w:p>
    <w:p w14:paraId="3E2E2214" w14:textId="1812AF64" w:rsidR="00071B6F" w:rsidRPr="00702674" w:rsidRDefault="003201E5" w:rsidP="004A38BA">
      <w:pPr>
        <w:pStyle w:val="Prrafodelista"/>
        <w:numPr>
          <w:ilvl w:val="0"/>
          <w:numId w:val="6"/>
        </w:numPr>
        <w:spacing w:before="380" w:after="120" w:line="456" w:lineRule="auto"/>
        <w:ind w:left="0" w:firstLine="284"/>
        <w:contextualSpacing w:val="0"/>
        <w:jc w:val="center"/>
        <w:rPr>
          <w:rFonts w:ascii="Artifex CF Extra Light" w:hAnsi="Artifex CF Extra Light" w:cs="Times New Roman"/>
          <w:b/>
          <w:bCs/>
          <w:color w:val="1F4E79" w:themeColor="accent1" w:themeShade="80"/>
          <w:spacing w:val="10"/>
          <w:sz w:val="18"/>
          <w:szCs w:val="18"/>
          <w:lang w:val="es-DO"/>
        </w:rPr>
      </w:pPr>
      <w:r w:rsidRPr="00702674">
        <w:rPr>
          <w:rFonts w:ascii="Artifex CF Extra Light" w:hAnsi="Artifex CF Extra Light" w:cs="Times New Roman"/>
          <w:b/>
          <w:bCs/>
          <w:color w:val="1F4E79" w:themeColor="accent1" w:themeShade="80"/>
          <w:spacing w:val="10"/>
          <w:sz w:val="18"/>
          <w:szCs w:val="18"/>
          <w:lang w:val="es-DO"/>
        </w:rPr>
        <w:lastRenderedPageBreak/>
        <w:t>FORTALECIMIENTO INSTITUCIONAL</w:t>
      </w:r>
    </w:p>
    <w:p w14:paraId="7C7FE9F6" w14:textId="73CBD73B" w:rsidR="00E06D6C" w:rsidRPr="007B3B38" w:rsidRDefault="0066207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Eje transversal que busca la optimización de los productos, servicios, procesos y recursos</w:t>
      </w:r>
      <w:r w:rsidR="00BA20E2" w:rsidRPr="007B3B38">
        <w:rPr>
          <w:rFonts w:ascii="Artifex CF Extra Light" w:hAnsi="Artifex CF Extra Light" w:cs="Times New Roman"/>
          <w:color w:val="1F4E79" w:themeColor="accent1" w:themeShade="80"/>
          <w:spacing w:val="10"/>
          <w:sz w:val="18"/>
          <w:szCs w:val="18"/>
          <w:lang w:val="es-DO"/>
        </w:rPr>
        <w:t xml:space="preserve"> </w:t>
      </w:r>
      <w:r w:rsidRPr="007B3B38">
        <w:rPr>
          <w:rFonts w:ascii="Artifex CF Extra Light" w:hAnsi="Artifex CF Extra Light" w:cs="Times New Roman"/>
          <w:color w:val="1F4E79" w:themeColor="accent1" w:themeShade="80"/>
          <w:spacing w:val="10"/>
          <w:sz w:val="18"/>
          <w:szCs w:val="18"/>
          <w:lang w:val="es-DO"/>
        </w:rPr>
        <w:t>de la</w:t>
      </w:r>
      <w:r w:rsidR="00BA20E2" w:rsidRPr="007B3B38">
        <w:rPr>
          <w:rFonts w:ascii="Artifex CF Extra Light" w:hAnsi="Artifex CF Extra Light" w:cs="Times New Roman"/>
          <w:color w:val="1F4E79" w:themeColor="accent1" w:themeShade="80"/>
          <w:spacing w:val="10"/>
          <w:sz w:val="18"/>
          <w:szCs w:val="18"/>
          <w:lang w:val="es-DO"/>
        </w:rPr>
        <w:t xml:space="preserve"> </w:t>
      </w:r>
      <w:r w:rsidRPr="007B3B38">
        <w:rPr>
          <w:rFonts w:ascii="Artifex CF Extra Light" w:hAnsi="Artifex CF Extra Light" w:cs="Times New Roman"/>
          <w:color w:val="1F4E79" w:themeColor="accent1" w:themeShade="80"/>
          <w:spacing w:val="10"/>
          <w:sz w:val="18"/>
          <w:szCs w:val="18"/>
          <w:lang w:val="es-DO"/>
        </w:rPr>
        <w:t>institución, así como el desarrollo del capital humano con un enfoque en las</w:t>
      </w:r>
      <w:r w:rsidR="00BA20E2" w:rsidRPr="007B3B38">
        <w:rPr>
          <w:rFonts w:ascii="Artifex CF Extra Light" w:hAnsi="Artifex CF Extra Light" w:cs="Times New Roman"/>
          <w:color w:val="1F4E79" w:themeColor="accent1" w:themeShade="80"/>
          <w:spacing w:val="10"/>
          <w:sz w:val="18"/>
          <w:szCs w:val="18"/>
          <w:lang w:val="es-DO"/>
        </w:rPr>
        <w:t xml:space="preserve"> </w:t>
      </w:r>
      <w:r w:rsidRPr="007B3B38">
        <w:rPr>
          <w:rFonts w:ascii="Artifex CF Extra Light" w:hAnsi="Artifex CF Extra Light" w:cs="Times New Roman"/>
          <w:color w:val="1F4E79" w:themeColor="accent1" w:themeShade="80"/>
          <w:spacing w:val="10"/>
          <w:sz w:val="18"/>
          <w:szCs w:val="18"/>
          <w:lang w:val="es-DO"/>
        </w:rPr>
        <w:t>necesidades del cliente.</w:t>
      </w:r>
      <w:r w:rsidR="00425A9A" w:rsidRPr="007B3B38">
        <w:rPr>
          <w:rFonts w:ascii="Artifex CF Extra Light" w:hAnsi="Artifex CF Extra Light" w:cs="Times New Roman"/>
          <w:color w:val="1F4E79" w:themeColor="accent1" w:themeShade="80"/>
          <w:spacing w:val="10"/>
          <w:sz w:val="18"/>
          <w:szCs w:val="18"/>
          <w:lang w:val="es-DO"/>
        </w:rPr>
        <w:t xml:space="preserve"> </w:t>
      </w:r>
      <w:r w:rsidR="00E06D6C" w:rsidRPr="007B3B38">
        <w:rPr>
          <w:rFonts w:ascii="Artifex CF Extra Light" w:hAnsi="Artifex CF Extra Light" w:cs="Times New Roman"/>
          <w:color w:val="1F4E79" w:themeColor="accent1" w:themeShade="80"/>
          <w:spacing w:val="10"/>
          <w:sz w:val="18"/>
          <w:szCs w:val="18"/>
          <w:lang w:val="es-DO"/>
        </w:rPr>
        <w:t xml:space="preserve">Las acciones desarrolladas en el año 2020 </w:t>
      </w:r>
      <w:r w:rsidR="00452E7B" w:rsidRPr="007B3B38">
        <w:rPr>
          <w:rFonts w:ascii="Artifex CF Extra Light" w:hAnsi="Artifex CF Extra Light" w:cs="Times New Roman"/>
          <w:color w:val="1F4E79" w:themeColor="accent1" w:themeShade="80"/>
          <w:spacing w:val="10"/>
          <w:sz w:val="18"/>
          <w:szCs w:val="18"/>
          <w:lang w:val="es-DO"/>
        </w:rPr>
        <w:t xml:space="preserve">en torno al fortalecimiento institucional </w:t>
      </w:r>
      <w:r w:rsidR="00996773" w:rsidRPr="007B3B38">
        <w:rPr>
          <w:rFonts w:ascii="Artifex CF Extra Light" w:hAnsi="Artifex CF Extra Light" w:cs="Times New Roman"/>
          <w:color w:val="1F4E79" w:themeColor="accent1" w:themeShade="80"/>
          <w:spacing w:val="10"/>
          <w:sz w:val="18"/>
          <w:szCs w:val="18"/>
          <w:lang w:val="es-DO"/>
        </w:rPr>
        <w:t>fueron:</w:t>
      </w:r>
    </w:p>
    <w:p w14:paraId="79E98A38" w14:textId="45D2901F" w:rsidR="00EF12B5" w:rsidRPr="00702674" w:rsidRDefault="00C90222" w:rsidP="004A38BA">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bCs/>
          <w:color w:val="1F4E79" w:themeColor="accent1" w:themeShade="80"/>
          <w:spacing w:val="10"/>
          <w:sz w:val="18"/>
          <w:szCs w:val="18"/>
          <w:lang w:val="es-DO"/>
        </w:rPr>
      </w:pPr>
      <w:bookmarkStart w:id="24" w:name="_Toc58332483"/>
      <w:r w:rsidRPr="00702674">
        <w:rPr>
          <w:rFonts w:ascii="Artifex CF Extra Light" w:hAnsi="Artifex CF Extra Light" w:cs="Times New Roman"/>
          <w:b/>
          <w:bCs/>
          <w:color w:val="1F4E79" w:themeColor="accent1" w:themeShade="80"/>
          <w:spacing w:val="10"/>
          <w:sz w:val="18"/>
          <w:szCs w:val="18"/>
          <w:lang w:val="es-DO"/>
        </w:rPr>
        <w:t>FORTALECIMIENTO DE LAS PLATAFORMAS DE INTERACCI</w:t>
      </w:r>
      <w:r w:rsidRPr="00702674">
        <w:rPr>
          <w:rFonts w:ascii="Artifex CF Extra Light" w:hAnsi="Artifex CF Extra Light" w:cs="Times New Roman" w:hint="eastAsia"/>
          <w:b/>
          <w:bCs/>
          <w:color w:val="1F4E79" w:themeColor="accent1" w:themeShade="80"/>
          <w:spacing w:val="10"/>
          <w:sz w:val="18"/>
          <w:szCs w:val="18"/>
          <w:lang w:val="es-DO"/>
        </w:rPr>
        <w:t>Ó</w:t>
      </w:r>
      <w:r w:rsidRPr="00702674">
        <w:rPr>
          <w:rFonts w:ascii="Artifex CF Extra Light" w:hAnsi="Artifex CF Extra Light" w:cs="Times New Roman"/>
          <w:b/>
          <w:bCs/>
          <w:color w:val="1F4E79" w:themeColor="accent1" w:themeShade="80"/>
          <w:spacing w:val="10"/>
          <w:sz w:val="18"/>
          <w:szCs w:val="18"/>
          <w:lang w:val="es-DO"/>
        </w:rPr>
        <w:t>N CON EL CLIENTE A TRAV</w:t>
      </w:r>
      <w:r w:rsidRPr="00702674">
        <w:rPr>
          <w:rFonts w:ascii="Artifex CF Extra Light" w:hAnsi="Artifex CF Extra Light" w:cs="Times New Roman" w:hint="eastAsia"/>
          <w:b/>
          <w:bCs/>
          <w:color w:val="1F4E79" w:themeColor="accent1" w:themeShade="80"/>
          <w:spacing w:val="10"/>
          <w:sz w:val="18"/>
          <w:szCs w:val="18"/>
          <w:lang w:val="es-DO"/>
        </w:rPr>
        <w:t>É</w:t>
      </w:r>
      <w:r w:rsidRPr="00702674">
        <w:rPr>
          <w:rFonts w:ascii="Artifex CF Extra Light" w:hAnsi="Artifex CF Extra Light" w:cs="Times New Roman"/>
          <w:b/>
          <w:bCs/>
          <w:color w:val="1F4E79" w:themeColor="accent1" w:themeShade="80"/>
          <w:spacing w:val="10"/>
          <w:sz w:val="18"/>
          <w:szCs w:val="18"/>
          <w:lang w:val="es-DO"/>
        </w:rPr>
        <w:t>S DE LA INNOVACI</w:t>
      </w:r>
      <w:r w:rsidRPr="00702674">
        <w:rPr>
          <w:rFonts w:ascii="Artifex CF Extra Light" w:hAnsi="Artifex CF Extra Light" w:cs="Times New Roman" w:hint="eastAsia"/>
          <w:b/>
          <w:bCs/>
          <w:color w:val="1F4E79" w:themeColor="accent1" w:themeShade="80"/>
          <w:spacing w:val="10"/>
          <w:sz w:val="18"/>
          <w:szCs w:val="18"/>
          <w:lang w:val="es-DO"/>
        </w:rPr>
        <w:t>Ó</w:t>
      </w:r>
      <w:r w:rsidRPr="00702674">
        <w:rPr>
          <w:rFonts w:ascii="Artifex CF Extra Light" w:hAnsi="Artifex CF Extra Light" w:cs="Times New Roman"/>
          <w:b/>
          <w:bCs/>
          <w:color w:val="1F4E79" w:themeColor="accent1" w:themeShade="80"/>
          <w:spacing w:val="10"/>
          <w:sz w:val="18"/>
          <w:szCs w:val="18"/>
          <w:lang w:val="es-DO"/>
        </w:rPr>
        <w:t>N</w:t>
      </w:r>
      <w:bookmarkEnd w:id="24"/>
    </w:p>
    <w:p w14:paraId="0F6871CB" w14:textId="1E632807" w:rsidR="00EF12B5" w:rsidRPr="00F475D6" w:rsidRDefault="00EF12B5" w:rsidP="00702674">
      <w:pPr>
        <w:pStyle w:val="Prrafodelista"/>
        <w:numPr>
          <w:ilvl w:val="2"/>
          <w:numId w:val="6"/>
        </w:numPr>
        <w:spacing w:before="380" w:after="120" w:line="456" w:lineRule="auto"/>
        <w:ind w:left="284" w:hanging="284"/>
        <w:jc w:val="center"/>
        <w:rPr>
          <w:rFonts w:ascii="Artifex CF Extra Light" w:hAnsi="Artifex CF Extra Light" w:cs="Times New Roman"/>
          <w:b/>
          <w:bCs/>
          <w:color w:val="1F4E79" w:themeColor="accent1" w:themeShade="80"/>
          <w:spacing w:val="10"/>
          <w:sz w:val="20"/>
          <w:szCs w:val="20"/>
          <w:lang w:val="es-DO"/>
        </w:rPr>
      </w:pPr>
      <w:bookmarkStart w:id="25" w:name="_Toc58332484"/>
      <w:r w:rsidRPr="00F475D6">
        <w:rPr>
          <w:rFonts w:ascii="Artifex CF Extra Light" w:hAnsi="Artifex CF Extra Light" w:cs="Times New Roman"/>
          <w:b/>
          <w:bCs/>
          <w:color w:val="1F4E79" w:themeColor="accent1" w:themeShade="80"/>
          <w:spacing w:val="10"/>
          <w:sz w:val="20"/>
          <w:szCs w:val="20"/>
          <w:lang w:val="es-DO"/>
        </w:rPr>
        <w:t>Desarrollar la Ventanilla Única de Inversión (VUI)</w:t>
      </w:r>
      <w:bookmarkEnd w:id="25"/>
    </w:p>
    <w:p w14:paraId="5F60F8C5" w14:textId="3D870F3B" w:rsidR="00EF12B5" w:rsidRPr="007B3B38" w:rsidRDefault="51575775"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proyecto consiste en habilitar una plataforma electrónica, gestionada desde </w:t>
      </w:r>
      <w:r w:rsidR="71505D5C" w:rsidRPr="007B3B38">
        <w:rPr>
          <w:rFonts w:ascii="Artifex CF Extra Light" w:hAnsi="Artifex CF Extra Light" w:cs="Times New Roman"/>
          <w:color w:val="1F4E79" w:themeColor="accent1" w:themeShade="80"/>
          <w:spacing w:val="10"/>
          <w:sz w:val="18"/>
          <w:szCs w:val="18"/>
          <w:lang w:val="es-DO"/>
        </w:rPr>
        <w:t>ProDominicana</w:t>
      </w:r>
      <w:r w:rsidRPr="007B3B38">
        <w:rPr>
          <w:rFonts w:ascii="Artifex CF Extra Light" w:hAnsi="Artifex CF Extra Light" w:cs="Times New Roman"/>
          <w:color w:val="1F4E79" w:themeColor="accent1" w:themeShade="80"/>
          <w:spacing w:val="10"/>
          <w:sz w:val="18"/>
          <w:szCs w:val="18"/>
          <w:lang w:val="es-DO"/>
        </w:rPr>
        <w:t xml:space="preserve">, </w:t>
      </w:r>
      <w:r w:rsidR="58376B3F" w:rsidRPr="007B3B38">
        <w:rPr>
          <w:rFonts w:ascii="Artifex CF Extra Light" w:hAnsi="Artifex CF Extra Light" w:cs="Times New Roman"/>
          <w:color w:val="1F4E79" w:themeColor="accent1" w:themeShade="80"/>
          <w:spacing w:val="10"/>
          <w:sz w:val="18"/>
          <w:szCs w:val="18"/>
          <w:lang w:val="es-DO"/>
        </w:rPr>
        <w:t>donde las</w:t>
      </w:r>
      <w:r w:rsidR="58376B3F" w:rsidRPr="007B3B38">
        <w:rPr>
          <w:rFonts w:ascii="Calibri" w:hAnsi="Calibri" w:cs="Calibri"/>
          <w:color w:val="1F4E79" w:themeColor="accent1" w:themeShade="80"/>
          <w:spacing w:val="10"/>
          <w:sz w:val="18"/>
          <w:szCs w:val="18"/>
          <w:lang w:val="es-DO"/>
        </w:rPr>
        <w:t> </w:t>
      </w:r>
      <w:r w:rsidR="58376B3F" w:rsidRPr="007B3B38">
        <w:rPr>
          <w:rFonts w:ascii="Artifex CF Extra Light" w:hAnsi="Artifex CF Extra Light" w:cs="Times New Roman"/>
          <w:color w:val="1F4E79" w:themeColor="accent1" w:themeShade="80"/>
          <w:spacing w:val="10"/>
          <w:sz w:val="18"/>
          <w:szCs w:val="18"/>
          <w:lang w:val="es-DO"/>
        </w:rPr>
        <w:t>dependencias y entidades trabajan de forma articulada para eficientizar los procesos tanto de inversión nacional como extranjera, según lo establece el Decreto No. 626-12.</w:t>
      </w:r>
    </w:p>
    <w:p w14:paraId="7D49558E" w14:textId="536638C3" w:rsidR="00EF12B5" w:rsidRPr="007B3B38" w:rsidRDefault="02625438"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una primera Fase, l</w:t>
      </w:r>
      <w:r w:rsidR="51575775" w:rsidRPr="007B3B38">
        <w:rPr>
          <w:rFonts w:ascii="Artifex CF Extra Light" w:hAnsi="Artifex CF Extra Light" w:cs="Times New Roman"/>
          <w:color w:val="1F4E79" w:themeColor="accent1" w:themeShade="80"/>
          <w:spacing w:val="10"/>
          <w:sz w:val="18"/>
          <w:szCs w:val="18"/>
          <w:lang w:val="es-DO"/>
        </w:rPr>
        <w:t>a</w:t>
      </w:r>
      <w:r w:rsidR="00EF12B5" w:rsidRPr="007B3B38">
        <w:rPr>
          <w:rFonts w:ascii="Artifex CF Extra Light" w:hAnsi="Artifex CF Extra Light" w:cs="Times New Roman"/>
          <w:color w:val="1F4E79" w:themeColor="accent1" w:themeShade="80"/>
          <w:spacing w:val="10"/>
          <w:sz w:val="18"/>
          <w:szCs w:val="18"/>
          <w:lang w:val="es-DO"/>
        </w:rPr>
        <w:t xml:space="preserve"> Ventanilla Única de Inversión (VUI) será un Portal Transaccional mediante el cual se prestará servicio al inversionista</w:t>
      </w:r>
      <w:r w:rsidR="13DB0F36" w:rsidRPr="007B3B38">
        <w:rPr>
          <w:rFonts w:ascii="Artifex CF Extra Light" w:hAnsi="Artifex CF Extra Light" w:cs="Times New Roman"/>
          <w:color w:val="1F4E79" w:themeColor="accent1" w:themeShade="80"/>
          <w:spacing w:val="10"/>
          <w:sz w:val="18"/>
          <w:szCs w:val="18"/>
          <w:lang w:val="es-DO"/>
        </w:rPr>
        <w:t>,</w:t>
      </w:r>
      <w:r w:rsidR="00EF12B5" w:rsidRPr="007B3B38">
        <w:rPr>
          <w:rFonts w:ascii="Artifex CF Extra Light" w:hAnsi="Artifex CF Extra Light" w:cs="Times New Roman"/>
          <w:color w:val="1F4E79" w:themeColor="accent1" w:themeShade="80"/>
          <w:spacing w:val="10"/>
          <w:sz w:val="18"/>
          <w:szCs w:val="18"/>
          <w:lang w:val="es-DO"/>
        </w:rPr>
        <w:t xml:space="preserve"> </w:t>
      </w:r>
      <w:r w:rsidR="23BF012B" w:rsidRPr="007B3B38">
        <w:rPr>
          <w:rFonts w:ascii="Artifex CF Extra Light" w:hAnsi="Artifex CF Extra Light" w:cs="Times New Roman"/>
          <w:color w:val="1F4E79" w:themeColor="accent1" w:themeShade="80"/>
          <w:spacing w:val="10"/>
          <w:sz w:val="18"/>
          <w:szCs w:val="18"/>
          <w:lang w:val="es-DO"/>
        </w:rPr>
        <w:t xml:space="preserve">el cual </w:t>
      </w:r>
      <w:r w:rsidR="45570C1A" w:rsidRPr="007B3B38">
        <w:rPr>
          <w:rFonts w:ascii="Artifex CF Extra Light" w:hAnsi="Artifex CF Extra Light" w:cs="Times New Roman"/>
          <w:color w:val="1F4E79" w:themeColor="accent1" w:themeShade="80"/>
          <w:spacing w:val="10"/>
          <w:sz w:val="18"/>
          <w:szCs w:val="18"/>
          <w:lang w:val="es-DO"/>
        </w:rPr>
        <w:t>podrá</w:t>
      </w:r>
      <w:r w:rsidR="23BF012B" w:rsidRPr="007B3B38">
        <w:rPr>
          <w:rFonts w:ascii="Artifex CF Extra Light" w:hAnsi="Artifex CF Extra Light" w:cs="Times New Roman"/>
          <w:color w:val="1F4E79" w:themeColor="accent1" w:themeShade="80"/>
          <w:spacing w:val="10"/>
          <w:sz w:val="18"/>
          <w:szCs w:val="18"/>
          <w:lang w:val="es-DO"/>
        </w:rPr>
        <w:t xml:space="preserve"> iniciar el proceso </w:t>
      </w:r>
      <w:r w:rsidR="7C801797" w:rsidRPr="007B3B38">
        <w:rPr>
          <w:rFonts w:ascii="Artifex CF Extra Light" w:hAnsi="Artifex CF Extra Light" w:cs="Times New Roman"/>
          <w:color w:val="1F4E79" w:themeColor="accent1" w:themeShade="80"/>
          <w:spacing w:val="10"/>
          <w:sz w:val="18"/>
          <w:szCs w:val="18"/>
          <w:lang w:val="es-DO"/>
        </w:rPr>
        <w:t>con</w:t>
      </w:r>
      <w:r w:rsidR="00EF12B5" w:rsidRPr="007B3B38">
        <w:rPr>
          <w:rFonts w:ascii="Artifex CF Extra Light" w:hAnsi="Artifex CF Extra Light" w:cs="Times New Roman"/>
          <w:color w:val="1F4E79" w:themeColor="accent1" w:themeShade="80"/>
          <w:spacing w:val="10"/>
          <w:sz w:val="18"/>
          <w:szCs w:val="18"/>
          <w:lang w:val="es-DO"/>
        </w:rPr>
        <w:t xml:space="preserve"> la solicitud de información</w:t>
      </w:r>
      <w:r w:rsidR="640A5A81" w:rsidRPr="007B3B38">
        <w:rPr>
          <w:rFonts w:ascii="Artifex CF Extra Light" w:hAnsi="Artifex CF Extra Light" w:cs="Times New Roman"/>
          <w:color w:val="1F4E79" w:themeColor="accent1" w:themeShade="80"/>
          <w:spacing w:val="10"/>
          <w:sz w:val="18"/>
          <w:szCs w:val="18"/>
          <w:lang w:val="es-DO"/>
        </w:rPr>
        <w:t>, cargar</w:t>
      </w:r>
      <w:r w:rsidR="00EF12B5" w:rsidRPr="007B3B38">
        <w:rPr>
          <w:rFonts w:ascii="Artifex CF Extra Light" w:hAnsi="Artifex CF Extra Light" w:cs="Times New Roman"/>
          <w:color w:val="1F4E79" w:themeColor="accent1" w:themeShade="80"/>
          <w:spacing w:val="10"/>
          <w:sz w:val="18"/>
          <w:szCs w:val="18"/>
          <w:lang w:val="es-DO"/>
        </w:rPr>
        <w:t xml:space="preserve"> documentos</w:t>
      </w:r>
      <w:r w:rsidR="51575775" w:rsidRPr="007B3B38">
        <w:rPr>
          <w:rFonts w:ascii="Artifex CF Extra Light" w:hAnsi="Artifex CF Extra Light" w:cs="Times New Roman"/>
          <w:color w:val="1F4E79" w:themeColor="accent1" w:themeShade="80"/>
          <w:spacing w:val="10"/>
          <w:sz w:val="18"/>
          <w:szCs w:val="18"/>
          <w:lang w:val="es-DO"/>
        </w:rPr>
        <w:t xml:space="preserve">, </w:t>
      </w:r>
      <w:r w:rsidR="00EF12B5" w:rsidRPr="007B3B38">
        <w:rPr>
          <w:rFonts w:ascii="Artifex CF Extra Light" w:hAnsi="Artifex CF Extra Light" w:cs="Times New Roman"/>
          <w:color w:val="1F4E79" w:themeColor="accent1" w:themeShade="80"/>
          <w:spacing w:val="10"/>
          <w:sz w:val="18"/>
          <w:szCs w:val="18"/>
          <w:lang w:val="es-DO"/>
        </w:rPr>
        <w:t>pag</w:t>
      </w:r>
      <w:r w:rsidR="121B8065" w:rsidRPr="007B3B38">
        <w:rPr>
          <w:rFonts w:ascii="Artifex CF Extra Light" w:hAnsi="Artifex CF Extra Light" w:cs="Times New Roman"/>
          <w:color w:val="1F4E79" w:themeColor="accent1" w:themeShade="80"/>
          <w:spacing w:val="10"/>
          <w:sz w:val="18"/>
          <w:szCs w:val="18"/>
          <w:lang w:val="es-DO"/>
        </w:rPr>
        <w:t>ar</w:t>
      </w:r>
      <w:r w:rsidR="00EF12B5" w:rsidRPr="007B3B38">
        <w:rPr>
          <w:rFonts w:ascii="Artifex CF Extra Light" w:hAnsi="Artifex CF Extra Light" w:cs="Times New Roman"/>
          <w:color w:val="1F4E79" w:themeColor="accent1" w:themeShade="80"/>
          <w:spacing w:val="10"/>
          <w:sz w:val="18"/>
          <w:szCs w:val="18"/>
          <w:lang w:val="es-DO"/>
        </w:rPr>
        <w:t xml:space="preserve"> impuestos y demás cargos asociados a los servicios brindados, a </w:t>
      </w:r>
      <w:r w:rsidR="1BA36910" w:rsidRPr="007B3B38">
        <w:rPr>
          <w:rFonts w:ascii="Artifex CF Extra Light" w:hAnsi="Artifex CF Extra Light" w:cs="Times New Roman"/>
          <w:color w:val="1F4E79" w:themeColor="accent1" w:themeShade="80"/>
          <w:spacing w:val="10"/>
          <w:sz w:val="18"/>
          <w:szCs w:val="18"/>
          <w:lang w:val="es-DO"/>
        </w:rPr>
        <w:t>la</w:t>
      </w:r>
      <w:r w:rsidR="00EF12B5" w:rsidRPr="007B3B38">
        <w:rPr>
          <w:rFonts w:ascii="Artifex CF Extra Light" w:hAnsi="Artifex CF Extra Light" w:cs="Times New Roman"/>
          <w:color w:val="1F4E79" w:themeColor="accent1" w:themeShade="80"/>
          <w:spacing w:val="10"/>
          <w:sz w:val="18"/>
          <w:szCs w:val="18"/>
          <w:lang w:val="es-DO"/>
        </w:rPr>
        <w:t xml:space="preserve"> vez </w:t>
      </w:r>
      <w:r w:rsidR="100E05D7" w:rsidRPr="007B3B38">
        <w:rPr>
          <w:rFonts w:ascii="Artifex CF Extra Light" w:hAnsi="Artifex CF Extra Light" w:cs="Times New Roman"/>
          <w:color w:val="1F4E79" w:themeColor="accent1" w:themeShade="80"/>
          <w:spacing w:val="10"/>
          <w:sz w:val="18"/>
          <w:szCs w:val="18"/>
          <w:lang w:val="es-DO"/>
        </w:rPr>
        <w:t>que</w:t>
      </w:r>
      <w:r w:rsidR="00EF12B5" w:rsidRPr="007B3B38">
        <w:rPr>
          <w:rFonts w:ascii="Artifex CF Extra Light" w:hAnsi="Artifex CF Extra Light" w:cs="Times New Roman"/>
          <w:color w:val="1F4E79" w:themeColor="accent1" w:themeShade="80"/>
          <w:spacing w:val="10"/>
          <w:sz w:val="18"/>
          <w:szCs w:val="18"/>
          <w:lang w:val="es-DO"/>
        </w:rPr>
        <w:t xml:space="preserve"> permitirá al usuario monitorear el proceso y estatus de su solicitud, significando esto, un ahorro de tiempo y costo al inversionista. </w:t>
      </w:r>
    </w:p>
    <w:p w14:paraId="19B29E45" w14:textId="43D37E92" w:rsidR="00EF12B5" w:rsidRPr="007B3B38" w:rsidRDefault="00EF12B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Este proyecto se encuentra actualmente en proceso de desarrollo, con un porcentaje de avance de un 22%. Las acciones relevantes ejecutadas </w:t>
      </w:r>
      <w:r w:rsidR="08BAB182" w:rsidRPr="007B3B38">
        <w:rPr>
          <w:rFonts w:ascii="Artifex CF Extra Light" w:hAnsi="Artifex CF Extra Light" w:cs="Times New Roman"/>
          <w:color w:val="1F4E79" w:themeColor="accent1" w:themeShade="80"/>
          <w:spacing w:val="10"/>
          <w:sz w:val="18"/>
          <w:szCs w:val="18"/>
          <w:lang w:val="es-DO"/>
        </w:rPr>
        <w:t>durante el año 2020 fueron</w:t>
      </w:r>
      <w:r w:rsidRPr="007B3B38">
        <w:rPr>
          <w:rFonts w:ascii="Artifex CF Extra Light" w:hAnsi="Artifex CF Extra Light" w:cs="Times New Roman"/>
          <w:color w:val="1F4E79" w:themeColor="accent1" w:themeShade="80"/>
          <w:spacing w:val="10"/>
          <w:sz w:val="18"/>
          <w:szCs w:val="18"/>
          <w:lang w:val="es-DO"/>
        </w:rPr>
        <w:t xml:space="preserve">: </w:t>
      </w:r>
    </w:p>
    <w:p w14:paraId="1BF03116" w14:textId="77777777" w:rsidR="00D677EB"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Levantamiento preliminar de los trámites vinculados a los diversos sectores de inversión establecidos en el Decreto No. 626-12. </w:t>
      </w:r>
    </w:p>
    <w:p w14:paraId="5B3C9793" w14:textId="77777777" w:rsidR="00D677EB"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lastRenderedPageBreak/>
        <w:t xml:space="preserve">Priorización de sectores para implementación de la solución, así como de instituciones vinculadas (Cine, Energía Eólica, Energía Fotovoltaica, y Turismo). </w:t>
      </w:r>
    </w:p>
    <w:p w14:paraId="3387EC8D" w14:textId="651B31F2" w:rsidR="00D677EB"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Investigación de gestión Ventanilla Única según prácticas internacionales. </w:t>
      </w:r>
    </w:p>
    <w:p w14:paraId="5EFCF4AA" w14:textId="7A02577E" w:rsidR="00D677EB"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Diseño de procesos de gestión interna para operatividad de la VUI. </w:t>
      </w:r>
    </w:p>
    <w:p w14:paraId="348A30A1" w14:textId="78BC36C4" w:rsidR="00D677EB"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Elaboración borrador acuerdo interinstitucional para actores involucrados. </w:t>
      </w:r>
    </w:p>
    <w:p w14:paraId="26FFE7E2" w14:textId="2E238103" w:rsidR="00D677EB"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Acercamiento con el PNUD para visualización de solución informática. </w:t>
      </w:r>
    </w:p>
    <w:p w14:paraId="39A943D3" w14:textId="77777777" w:rsidR="00D677EB" w:rsidRPr="007B3B38" w:rsidRDefault="00EF12B5" w:rsidP="00864966">
      <w:pPr>
        <w:pStyle w:val="Prrafodelista"/>
        <w:spacing w:before="380" w:after="120" w:line="456" w:lineRule="auto"/>
        <w:ind w:left="0" w:firstLine="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Los próximos pasos que ejecutar son: </w:t>
      </w:r>
    </w:p>
    <w:p w14:paraId="06D367C8" w14:textId="42BF4E40" w:rsidR="00D677EB"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Gestión de fondos para habilitación de herramienta. </w:t>
      </w:r>
    </w:p>
    <w:p w14:paraId="5089EC34" w14:textId="781BF4C8"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Desarrollo de la herramienta. </w:t>
      </w:r>
    </w:p>
    <w:p w14:paraId="22CCEEC7" w14:textId="2BE89AB4"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Reactivación Comisión Presidencial, y firma de acuerdo con las instituciones involucradas. </w:t>
      </w:r>
    </w:p>
    <w:p w14:paraId="03A41F5B" w14:textId="533943D1" w:rsidR="00EF12B5" w:rsidRPr="007B3B38" w:rsidRDefault="00EF12B5" w:rsidP="00403735">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Conformación equipo operativo para gestión de la Ventanilla Única de Inversión.</w:t>
      </w:r>
    </w:p>
    <w:p w14:paraId="4A53A8D2" w14:textId="2820E5C4" w:rsidR="00EF12B5" w:rsidRPr="00F475D6" w:rsidRDefault="004A38BA" w:rsidP="0040373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bCs/>
          <w:color w:val="1F4E79" w:themeColor="accent1" w:themeShade="80"/>
          <w:spacing w:val="10"/>
          <w:sz w:val="20"/>
          <w:szCs w:val="20"/>
          <w:lang w:val="es-DO"/>
        </w:rPr>
      </w:pPr>
      <w:bookmarkStart w:id="26" w:name="_Toc58332485"/>
      <w:r w:rsidRPr="00F475D6">
        <w:rPr>
          <w:rFonts w:ascii="Artifex CF Extra Light" w:hAnsi="Artifex CF Extra Light" w:cs="Times New Roman"/>
          <w:b/>
          <w:bCs/>
          <w:color w:val="1F4E79" w:themeColor="accent1" w:themeShade="80"/>
          <w:spacing w:val="10"/>
          <w:sz w:val="20"/>
          <w:szCs w:val="20"/>
          <w:lang w:val="es-DO"/>
        </w:rPr>
        <w:t>Optimización</w:t>
      </w:r>
      <w:r w:rsidR="00EF12B5" w:rsidRPr="00F475D6">
        <w:rPr>
          <w:rFonts w:ascii="Artifex CF Extra Light" w:hAnsi="Artifex CF Extra Light" w:cs="Times New Roman"/>
          <w:b/>
          <w:bCs/>
          <w:color w:val="1F4E79" w:themeColor="accent1" w:themeShade="80"/>
          <w:spacing w:val="10"/>
          <w:sz w:val="20"/>
          <w:szCs w:val="20"/>
          <w:lang w:val="es-DO"/>
        </w:rPr>
        <w:t xml:space="preserve"> Plataforma de Comercio Online ProDominicana Connect</w:t>
      </w:r>
      <w:bookmarkEnd w:id="26"/>
    </w:p>
    <w:p w14:paraId="072665D3" w14:textId="189732F0" w:rsidR="00EF12B5" w:rsidRPr="007B3B38" w:rsidRDefault="00EF12B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ProDominicana</w:t>
      </w:r>
      <w:r w:rsidR="00E21F3A" w:rsidRPr="007B3B38">
        <w:rPr>
          <w:rFonts w:ascii="Artifex CF Extra Light" w:eastAsia="Arial" w:hAnsi="Artifex CF Extra Light" w:cs="Times New Roman"/>
          <w:color w:val="1F4E79" w:themeColor="accent1" w:themeShade="80"/>
          <w:spacing w:val="10"/>
          <w:sz w:val="18"/>
          <w:szCs w:val="18"/>
          <w:lang w:val="es-DO"/>
        </w:rPr>
        <w:t xml:space="preserve"> </w:t>
      </w:r>
      <w:r w:rsidRPr="007B3B38">
        <w:rPr>
          <w:rFonts w:ascii="Artifex CF Extra Light" w:eastAsia="Arial" w:hAnsi="Artifex CF Extra Light" w:cs="Times New Roman"/>
          <w:color w:val="1F4E79" w:themeColor="accent1" w:themeShade="80"/>
          <w:spacing w:val="10"/>
          <w:sz w:val="18"/>
          <w:szCs w:val="18"/>
          <w:lang w:val="es-DO"/>
        </w:rPr>
        <w:t>Connect es una plataforma de negocios B2B, en la cual compradores internacionales pueden hacer enlace y reuniones de negocios virtuales con exportadores locales</w:t>
      </w:r>
      <w:r w:rsidR="742B58F8" w:rsidRPr="007B3B38">
        <w:rPr>
          <w:rFonts w:ascii="Artifex CF Extra Light" w:eastAsia="Arial" w:hAnsi="Artifex CF Extra Light" w:cs="Times New Roman"/>
          <w:color w:val="1F4E79" w:themeColor="accent1" w:themeShade="80"/>
          <w:spacing w:val="10"/>
          <w:sz w:val="18"/>
          <w:szCs w:val="18"/>
          <w:lang w:val="es-DO"/>
        </w:rPr>
        <w:t>,</w:t>
      </w:r>
      <w:r w:rsidRPr="007B3B38">
        <w:rPr>
          <w:rFonts w:ascii="Artifex CF Extra Light" w:eastAsia="Arial" w:hAnsi="Artifex CF Extra Light" w:cs="Times New Roman"/>
          <w:color w:val="1F4E79" w:themeColor="accent1" w:themeShade="80"/>
          <w:spacing w:val="10"/>
          <w:sz w:val="18"/>
          <w:szCs w:val="18"/>
          <w:lang w:val="es-DO"/>
        </w:rPr>
        <w:t xml:space="preserve"> de forma segura y confiable, ofreciendo lo mejor de nuestra tierra en un solo lugar.</w:t>
      </w:r>
    </w:p>
    <w:p w14:paraId="18E926B5" w14:textId="66C831D7" w:rsidR="3256C0C4" w:rsidRPr="007B3B38" w:rsidRDefault="3256C0C4" w:rsidP="00864966">
      <w:pPr>
        <w:spacing w:before="380" w:after="120" w:line="456" w:lineRule="auto"/>
        <w:ind w:firstLine="284"/>
        <w:jc w:val="both"/>
        <w:rPr>
          <w:rFonts w:ascii="Artifex CF Extra Light" w:eastAsia="Arial"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Los logros con herramienta se muestran a continuación:</w:t>
      </w:r>
    </w:p>
    <w:p w14:paraId="6AABDB6F" w14:textId="500A14F3" w:rsidR="3256C0C4" w:rsidRPr="007B3B38" w:rsidRDefault="00B7746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lastRenderedPageBreak/>
        <w:t>678</w:t>
      </w:r>
      <w:r w:rsidR="3256C0C4" w:rsidRPr="007B3B38">
        <w:rPr>
          <w:rFonts w:ascii="Artifex CF Extra Light" w:hAnsi="Artifex CF Extra Light" w:cs="Times New Roman"/>
          <w:color w:val="1F4E79" w:themeColor="accent1" w:themeShade="80"/>
          <w:spacing w:val="10"/>
          <w:sz w:val="18"/>
          <w:szCs w:val="18"/>
          <w:lang w:val="es-DO"/>
        </w:rPr>
        <w:t xml:space="preserve"> </w:t>
      </w:r>
      <w:r w:rsidRPr="007B3B38">
        <w:rPr>
          <w:rFonts w:ascii="Artifex CF Extra Light" w:hAnsi="Artifex CF Extra Light" w:cs="Times New Roman"/>
          <w:color w:val="1F4E79" w:themeColor="accent1" w:themeShade="80"/>
          <w:spacing w:val="10"/>
          <w:sz w:val="18"/>
          <w:szCs w:val="18"/>
          <w:lang w:val="es-DO"/>
        </w:rPr>
        <w:t>e</w:t>
      </w:r>
      <w:r w:rsidR="3256C0C4" w:rsidRPr="007B3B38">
        <w:rPr>
          <w:rFonts w:ascii="Artifex CF Extra Light" w:hAnsi="Artifex CF Extra Light" w:cs="Times New Roman"/>
          <w:color w:val="1F4E79" w:themeColor="accent1" w:themeShade="80"/>
          <w:spacing w:val="10"/>
          <w:sz w:val="18"/>
          <w:szCs w:val="18"/>
          <w:lang w:val="es-DO"/>
        </w:rPr>
        <w:t>xportadores Registrados</w:t>
      </w:r>
      <w:r w:rsidR="000236B3" w:rsidRPr="007B3B38">
        <w:rPr>
          <w:rFonts w:ascii="Artifex CF Extra Light" w:hAnsi="Artifex CF Extra Light" w:cs="Times New Roman"/>
          <w:color w:val="1F4E79" w:themeColor="accent1" w:themeShade="80"/>
          <w:spacing w:val="10"/>
          <w:sz w:val="18"/>
          <w:szCs w:val="18"/>
          <w:lang w:val="es-DO"/>
        </w:rPr>
        <w:t>,</w:t>
      </w:r>
    </w:p>
    <w:p w14:paraId="47899965" w14:textId="02E1BFE0" w:rsidR="000236B3" w:rsidRPr="007B3B38" w:rsidRDefault="000236B3"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265 c</w:t>
      </w:r>
      <w:r w:rsidR="3256C0C4" w:rsidRPr="007B3B38">
        <w:rPr>
          <w:rFonts w:ascii="Artifex CF Extra Light" w:hAnsi="Artifex CF Extra Light" w:cs="Times New Roman"/>
          <w:color w:val="1F4E79" w:themeColor="accent1" w:themeShade="80"/>
          <w:spacing w:val="10"/>
          <w:sz w:val="18"/>
          <w:szCs w:val="18"/>
          <w:lang w:val="es-DO"/>
        </w:rPr>
        <w:t>ompradores Internacionales Registrados</w:t>
      </w:r>
      <w:r w:rsidRPr="007B3B38">
        <w:rPr>
          <w:rFonts w:ascii="Artifex CF Extra Light" w:hAnsi="Artifex CF Extra Light" w:cs="Times New Roman"/>
          <w:color w:val="1F4E79" w:themeColor="accent1" w:themeShade="80"/>
          <w:spacing w:val="10"/>
          <w:sz w:val="18"/>
          <w:szCs w:val="18"/>
          <w:lang w:val="es-DO"/>
        </w:rPr>
        <w:t>,</w:t>
      </w:r>
    </w:p>
    <w:p w14:paraId="1C777D82" w14:textId="2A3A06C9" w:rsidR="3256C0C4" w:rsidRPr="007B3B38" w:rsidRDefault="000236B3"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267 r</w:t>
      </w:r>
      <w:r w:rsidR="3256C0C4" w:rsidRPr="007B3B38">
        <w:rPr>
          <w:rFonts w:ascii="Artifex CF Extra Light" w:hAnsi="Artifex CF Extra Light" w:cs="Times New Roman"/>
          <w:color w:val="1F4E79" w:themeColor="accent1" w:themeShade="80"/>
          <w:spacing w:val="10"/>
          <w:sz w:val="18"/>
          <w:szCs w:val="18"/>
          <w:lang w:val="es-DO"/>
        </w:rPr>
        <w:t>euniones de negocios realizadas a través de la plataforma.</w:t>
      </w:r>
    </w:p>
    <w:p w14:paraId="6BD601F6" w14:textId="3BB4CBC8" w:rsidR="5B3136CF" w:rsidRPr="007B3B38" w:rsidRDefault="5B3136CF" w:rsidP="00864966">
      <w:pPr>
        <w:spacing w:before="380" w:after="120" w:line="456" w:lineRule="auto"/>
        <w:ind w:firstLine="284"/>
        <w:jc w:val="both"/>
        <w:rPr>
          <w:rFonts w:ascii="Artifex CF Extra Light" w:eastAsia="Arial"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Otro gran logro fue la realización de</w:t>
      </w:r>
      <w:r w:rsidR="48B319DB" w:rsidRPr="007B3B38">
        <w:rPr>
          <w:rFonts w:ascii="Artifex CF Extra Light" w:eastAsia="Arial" w:hAnsi="Artifex CF Extra Light" w:cs="Times New Roman"/>
          <w:color w:val="1F4E79" w:themeColor="accent1" w:themeShade="80"/>
          <w:spacing w:val="10"/>
          <w:sz w:val="18"/>
          <w:szCs w:val="18"/>
          <w:lang w:val="es-DO"/>
        </w:rPr>
        <w:t xml:space="preserve"> la primera Feria Virtual Multisectorial, ConnectDR2020, llevada a cabo en el mes de agosto</w:t>
      </w:r>
      <w:r w:rsidR="0D289291" w:rsidRPr="007B3B38">
        <w:rPr>
          <w:rFonts w:ascii="Artifex CF Extra Light" w:eastAsia="Arial" w:hAnsi="Artifex CF Extra Light" w:cs="Times New Roman"/>
          <w:color w:val="1F4E79" w:themeColor="accent1" w:themeShade="80"/>
          <w:spacing w:val="10"/>
          <w:sz w:val="18"/>
          <w:szCs w:val="18"/>
          <w:lang w:val="es-DO"/>
        </w:rPr>
        <w:t>/</w:t>
      </w:r>
      <w:r w:rsidR="48B319DB" w:rsidRPr="007B3B38">
        <w:rPr>
          <w:rFonts w:ascii="Artifex CF Extra Light" w:eastAsia="Arial" w:hAnsi="Artifex CF Extra Light" w:cs="Times New Roman"/>
          <w:color w:val="1F4E79" w:themeColor="accent1" w:themeShade="80"/>
          <w:spacing w:val="10"/>
          <w:sz w:val="18"/>
          <w:szCs w:val="18"/>
          <w:lang w:val="es-DO"/>
        </w:rPr>
        <w:t>2020, a través de la plataforma.</w:t>
      </w:r>
    </w:p>
    <w:p w14:paraId="671D05C0" w14:textId="7DC22E68" w:rsidR="00EF12B5" w:rsidRPr="00F475D6" w:rsidRDefault="0B977588" w:rsidP="00702674">
      <w:pPr>
        <w:pStyle w:val="Prrafodelista"/>
        <w:numPr>
          <w:ilvl w:val="2"/>
          <w:numId w:val="6"/>
        </w:numPr>
        <w:spacing w:before="380" w:after="120" w:line="456" w:lineRule="auto"/>
        <w:ind w:left="284" w:hanging="284"/>
        <w:jc w:val="center"/>
        <w:rPr>
          <w:rFonts w:ascii="Artifex CF Extra Light" w:hAnsi="Artifex CF Extra Light" w:cs="Times New Roman"/>
          <w:b/>
          <w:bCs/>
          <w:color w:val="1F4E79" w:themeColor="accent1" w:themeShade="80"/>
          <w:spacing w:val="10"/>
          <w:sz w:val="20"/>
          <w:szCs w:val="20"/>
          <w:lang w:val="es-DO"/>
        </w:rPr>
      </w:pPr>
      <w:bookmarkStart w:id="27" w:name="_Toc58332486"/>
      <w:r w:rsidRPr="00F475D6">
        <w:rPr>
          <w:rFonts w:ascii="Artifex CF Extra Light" w:hAnsi="Artifex CF Extra Light" w:cs="Times New Roman"/>
          <w:b/>
          <w:bCs/>
          <w:color w:val="1F4E79" w:themeColor="accent1" w:themeShade="80"/>
          <w:spacing w:val="10"/>
          <w:sz w:val="20"/>
          <w:szCs w:val="20"/>
          <w:lang w:val="es-DO"/>
        </w:rPr>
        <w:t>Mejoras al</w:t>
      </w:r>
      <w:r w:rsidR="00EF12B5" w:rsidRPr="00F475D6">
        <w:rPr>
          <w:rFonts w:ascii="Artifex CF Extra Light" w:hAnsi="Artifex CF Extra Light" w:cs="Times New Roman"/>
          <w:b/>
          <w:bCs/>
          <w:color w:val="1F4E79" w:themeColor="accent1" w:themeShade="80"/>
          <w:spacing w:val="10"/>
          <w:sz w:val="20"/>
          <w:szCs w:val="20"/>
          <w:lang w:val="es-DO"/>
        </w:rPr>
        <w:t xml:space="preserve"> Portal Web P</w:t>
      </w:r>
      <w:bookmarkStart w:id="28" w:name="_Toc58332487"/>
      <w:bookmarkEnd w:id="27"/>
      <w:r w:rsidR="004A21BC" w:rsidRPr="00F475D6">
        <w:rPr>
          <w:rFonts w:ascii="Artifex CF Extra Light" w:hAnsi="Artifex CF Extra Light" w:cs="Times New Roman"/>
          <w:b/>
          <w:bCs/>
          <w:color w:val="1F4E79" w:themeColor="accent1" w:themeShade="80"/>
          <w:spacing w:val="10"/>
          <w:sz w:val="20"/>
          <w:szCs w:val="20"/>
          <w:lang w:val="es-DO"/>
        </w:rPr>
        <w:t>roDominicana</w:t>
      </w:r>
    </w:p>
    <w:p w14:paraId="2AC624D9" w14:textId="198304DC" w:rsidR="00EF12B5" w:rsidRPr="007B3B38" w:rsidRDefault="00EF12B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DO"/>
        </w:rPr>
        <w:t xml:space="preserve">A raíz de la pandemia, </w:t>
      </w:r>
      <w:r w:rsidR="02488BBF" w:rsidRPr="007B3B38">
        <w:rPr>
          <w:rFonts w:ascii="Artifex CF Extra Light" w:hAnsi="Artifex CF Extra Light" w:cs="Times New Roman"/>
          <w:color w:val="1F4E79" w:themeColor="accent1" w:themeShade="80"/>
          <w:spacing w:val="10"/>
          <w:sz w:val="18"/>
          <w:szCs w:val="18"/>
          <w:lang w:val="es-DO"/>
        </w:rPr>
        <w:t xml:space="preserve">en Marzo/2020, </w:t>
      </w:r>
      <w:r w:rsidR="1C45307A" w:rsidRPr="007B3B38">
        <w:rPr>
          <w:rFonts w:ascii="Artifex CF Extra Light" w:hAnsi="Artifex CF Extra Light" w:cs="Times New Roman"/>
          <w:color w:val="1F4E79" w:themeColor="accent1" w:themeShade="80"/>
          <w:spacing w:val="10"/>
          <w:sz w:val="18"/>
          <w:szCs w:val="18"/>
          <w:lang w:val="es-DO"/>
        </w:rPr>
        <w:t>dentro del Portal Web institucional,</w:t>
      </w:r>
      <w:r w:rsidR="26D4EBB5" w:rsidRPr="007B3B38">
        <w:rPr>
          <w:rFonts w:ascii="Artifex CF Extra Light" w:hAnsi="Artifex CF Extra Light" w:cs="Times New Roman"/>
          <w:color w:val="1F4E79" w:themeColor="accent1" w:themeShade="80"/>
          <w:spacing w:val="10"/>
          <w:sz w:val="18"/>
          <w:szCs w:val="18"/>
          <w:lang w:val="es-DO"/>
        </w:rPr>
        <w:t xml:space="preserve"> ProDominicana desarrolló un Subportal dedicado exclusivamente al Covid-19,</w:t>
      </w:r>
      <w:r w:rsidR="1C45307A" w:rsidRPr="007B3B38">
        <w:rPr>
          <w:rFonts w:ascii="Artifex CF Extra Light" w:hAnsi="Artifex CF Extra Light" w:cs="Times New Roman"/>
          <w:color w:val="1F4E79" w:themeColor="accent1" w:themeShade="80"/>
          <w:spacing w:val="10"/>
          <w:sz w:val="18"/>
          <w:szCs w:val="18"/>
          <w:lang w:val="es-DO"/>
        </w:rPr>
        <w:t xml:space="preserve"> a los fines de informar a sus clientes </w:t>
      </w:r>
      <w:r w:rsidR="3561CEF0" w:rsidRPr="007B3B38">
        <w:rPr>
          <w:rFonts w:ascii="Artifex CF Extra Light" w:hAnsi="Artifex CF Extra Light" w:cs="Times New Roman"/>
          <w:color w:val="1F4E79" w:themeColor="accent1" w:themeShade="80"/>
          <w:spacing w:val="10"/>
          <w:sz w:val="18"/>
          <w:szCs w:val="18"/>
          <w:lang w:val="es-DO"/>
        </w:rPr>
        <w:t>-</w:t>
      </w:r>
      <w:r w:rsidR="1C45307A" w:rsidRPr="007B3B38">
        <w:rPr>
          <w:rFonts w:ascii="Artifex CF Extra Light" w:hAnsi="Artifex CF Extra Light" w:cs="Times New Roman"/>
          <w:color w:val="1F4E79" w:themeColor="accent1" w:themeShade="80"/>
          <w:spacing w:val="10"/>
          <w:sz w:val="18"/>
          <w:szCs w:val="18"/>
          <w:lang w:val="es-DO"/>
        </w:rPr>
        <w:t>y sociedad en general</w:t>
      </w:r>
      <w:r w:rsidR="07834056" w:rsidRPr="007B3B38">
        <w:rPr>
          <w:rFonts w:ascii="Artifex CF Extra Light" w:hAnsi="Artifex CF Extra Light" w:cs="Times New Roman"/>
          <w:color w:val="1F4E79" w:themeColor="accent1" w:themeShade="80"/>
          <w:spacing w:val="10"/>
          <w:sz w:val="18"/>
          <w:szCs w:val="18"/>
          <w:lang w:val="es-DO"/>
        </w:rPr>
        <w:t>-</w:t>
      </w:r>
      <w:r w:rsidR="1C45307A" w:rsidRPr="007B3B38">
        <w:rPr>
          <w:rFonts w:ascii="Artifex CF Extra Light" w:hAnsi="Artifex CF Extra Light" w:cs="Times New Roman"/>
          <w:color w:val="1F4E79" w:themeColor="accent1" w:themeShade="80"/>
          <w:spacing w:val="10"/>
          <w:sz w:val="18"/>
          <w:szCs w:val="18"/>
          <w:lang w:val="es-DO"/>
        </w:rPr>
        <w:t xml:space="preserve"> </w:t>
      </w:r>
      <w:r w:rsidRPr="007B3B38">
        <w:rPr>
          <w:rFonts w:ascii="Artifex CF Extra Light" w:hAnsi="Artifex CF Extra Light" w:cs="Times New Roman"/>
          <w:color w:val="1F4E79" w:themeColor="accent1" w:themeShade="80"/>
          <w:spacing w:val="10"/>
          <w:sz w:val="18"/>
          <w:szCs w:val="18"/>
          <w:lang w:val="es-DO"/>
        </w:rPr>
        <w:t xml:space="preserve">sobre el impacto de </w:t>
      </w:r>
      <w:r w:rsidR="34DD9CCE" w:rsidRPr="007B3B38">
        <w:rPr>
          <w:rFonts w:ascii="Artifex CF Extra Light" w:hAnsi="Artifex CF Extra Light" w:cs="Times New Roman"/>
          <w:color w:val="1F4E79" w:themeColor="accent1" w:themeShade="80"/>
          <w:spacing w:val="10"/>
          <w:sz w:val="18"/>
          <w:szCs w:val="18"/>
          <w:lang w:val="es-DO"/>
        </w:rPr>
        <w:t xml:space="preserve">la </w:t>
      </w:r>
      <w:r w:rsidRPr="007B3B38">
        <w:rPr>
          <w:rFonts w:ascii="Artifex CF Extra Light" w:hAnsi="Artifex CF Extra Light" w:cs="Times New Roman"/>
          <w:color w:val="1F4E79" w:themeColor="accent1" w:themeShade="80"/>
          <w:spacing w:val="10"/>
          <w:sz w:val="18"/>
          <w:szCs w:val="18"/>
          <w:lang w:val="es-DO"/>
        </w:rPr>
        <w:t>pandemia en el comercio internacional</w:t>
      </w:r>
      <w:r w:rsidR="77A52FCE" w:rsidRPr="007B3B38">
        <w:rPr>
          <w:rFonts w:ascii="Artifex CF Extra Light" w:hAnsi="Artifex CF Extra Light" w:cs="Times New Roman"/>
          <w:color w:val="1F4E79" w:themeColor="accent1" w:themeShade="80"/>
          <w:spacing w:val="10"/>
          <w:sz w:val="18"/>
          <w:szCs w:val="18"/>
          <w:lang w:val="es-DO"/>
        </w:rPr>
        <w:t>, vías para recibir apoyo de ProDominicana durante el período de cierre total.</w:t>
      </w:r>
      <w:r w:rsidRPr="007B3B38">
        <w:rPr>
          <w:rFonts w:ascii="Artifex CF Extra Light" w:hAnsi="Artifex CF Extra Light" w:cs="Times New Roman"/>
          <w:color w:val="1F4E79" w:themeColor="accent1" w:themeShade="80"/>
          <w:spacing w:val="10"/>
          <w:sz w:val="18"/>
          <w:szCs w:val="18"/>
          <w:lang w:val="es-DO"/>
        </w:rPr>
        <w:t xml:space="preserve"> y poner a disposición de sus clientes todos sus servicios de manera online.</w:t>
      </w:r>
    </w:p>
    <w:p w14:paraId="2E741C6C" w14:textId="474320A8" w:rsidR="00EF12B5" w:rsidRPr="007B3B38" w:rsidRDefault="5E0EBDDB"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DO"/>
        </w:rPr>
        <w:t xml:space="preserve">Esto le valió a </w:t>
      </w:r>
      <w:r w:rsidR="00EF12B5" w:rsidRPr="007B3B38">
        <w:rPr>
          <w:rFonts w:ascii="Artifex CF Extra Light" w:hAnsi="Artifex CF Extra Light" w:cs="Times New Roman"/>
          <w:color w:val="1F4E79" w:themeColor="accent1" w:themeShade="80"/>
          <w:spacing w:val="10"/>
          <w:sz w:val="18"/>
          <w:szCs w:val="18"/>
          <w:lang w:val="es-DO"/>
        </w:rPr>
        <w:t xml:space="preserve">ProDominicana un </w:t>
      </w:r>
      <w:r w:rsidR="00EF12B5" w:rsidRPr="007B3B38">
        <w:rPr>
          <w:rFonts w:ascii="Artifex CF Extra Light" w:hAnsi="Artifex CF Extra Light" w:cs="Times New Roman"/>
          <w:color w:val="1F4E79" w:themeColor="accent1" w:themeShade="80"/>
          <w:spacing w:val="10"/>
          <w:sz w:val="18"/>
          <w:szCs w:val="18"/>
          <w:lang w:val="es-ES"/>
        </w:rPr>
        <w:t>reconocimiento de la UNCTAD, destacando que las agencias de promoción de inversiones de la RD y Brasil lideraron en el continente americano en la calidad de los servicios e informaciones brindadas a sus clientes en tiempos de COVID.</w:t>
      </w:r>
    </w:p>
    <w:p w14:paraId="6FE3958D" w14:textId="3AC86A95" w:rsidR="00EF12B5" w:rsidRPr="007B3B38" w:rsidRDefault="00EF12B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 xml:space="preserve">Por otro lado, como parte de las mejoras continuas que se ofrecen en estos medios digitales, se nos otorgó la certificación NORTIC A2, Norma para el Desarrollo y Gestión de los Medios Web del Estado Dominicano </w:t>
      </w:r>
      <w:r w:rsidR="00961309" w:rsidRPr="007B3B38">
        <w:rPr>
          <w:rFonts w:ascii="Artifex CF Extra Light" w:hAnsi="Artifex CF Extra Light" w:cs="Times New Roman"/>
          <w:color w:val="1F4E79" w:themeColor="accent1" w:themeShade="80"/>
          <w:spacing w:val="10"/>
          <w:sz w:val="18"/>
          <w:szCs w:val="18"/>
          <w:lang w:val="es-ES"/>
        </w:rPr>
        <w:t>(</w:t>
      </w:r>
      <w:r w:rsidR="00F55556" w:rsidRPr="007B3B38">
        <w:rPr>
          <w:rFonts w:ascii="Artifex CF Extra Light" w:hAnsi="Artifex CF Extra Light" w:cs="Times New Roman"/>
          <w:color w:val="1F4E79" w:themeColor="accent1" w:themeShade="80"/>
          <w:spacing w:val="10"/>
          <w:sz w:val="18"/>
          <w:szCs w:val="18"/>
          <w:lang w:val="es-ES"/>
        </w:rPr>
        <w:t>V</w:t>
      </w:r>
      <w:r w:rsidR="00956EB8" w:rsidRPr="007B3B38">
        <w:rPr>
          <w:rFonts w:ascii="Artifex CF Extra Light" w:hAnsi="Artifex CF Extra Light" w:cs="Times New Roman"/>
          <w:color w:val="1F4E79" w:themeColor="accent1" w:themeShade="80"/>
          <w:spacing w:val="10"/>
          <w:sz w:val="18"/>
          <w:szCs w:val="18"/>
          <w:lang w:val="es-ES"/>
        </w:rPr>
        <w:t>er</w:t>
      </w:r>
      <w:r w:rsidR="00F55556" w:rsidRPr="007B3B38">
        <w:rPr>
          <w:rFonts w:ascii="Artifex CF Extra Light" w:hAnsi="Artifex CF Extra Light" w:cs="Times New Roman"/>
          <w:color w:val="1F4E79" w:themeColor="accent1" w:themeShade="80"/>
          <w:spacing w:val="10"/>
          <w:sz w:val="18"/>
          <w:szCs w:val="18"/>
          <w:lang w:val="es-ES"/>
        </w:rPr>
        <w:t xml:space="preserve"> cap</w:t>
      </w:r>
      <w:r w:rsidR="008F0EA0" w:rsidRPr="007B3B38">
        <w:rPr>
          <w:rFonts w:ascii="Artifex CF Extra Light" w:hAnsi="Artifex CF Extra Light" w:cs="Times New Roman"/>
          <w:color w:val="1F4E79" w:themeColor="accent1" w:themeShade="80"/>
          <w:spacing w:val="10"/>
          <w:sz w:val="18"/>
          <w:szCs w:val="18"/>
          <w:lang w:val="es-ES"/>
        </w:rPr>
        <w:t>í</w:t>
      </w:r>
      <w:r w:rsidR="00F55556" w:rsidRPr="007B3B38">
        <w:rPr>
          <w:rFonts w:ascii="Artifex CF Extra Light" w:hAnsi="Artifex CF Extra Light" w:cs="Times New Roman"/>
          <w:color w:val="1F4E79" w:themeColor="accent1" w:themeShade="80"/>
          <w:spacing w:val="10"/>
          <w:sz w:val="18"/>
          <w:szCs w:val="18"/>
          <w:lang w:val="es-ES"/>
        </w:rPr>
        <w:t>tulo V</w:t>
      </w:r>
      <w:r w:rsidRPr="007B3B38">
        <w:rPr>
          <w:rFonts w:ascii="Artifex CF Extra Light" w:hAnsi="Artifex CF Extra Light" w:cs="Times New Roman"/>
          <w:color w:val="1F4E79" w:themeColor="accent1" w:themeShade="80"/>
          <w:spacing w:val="10"/>
          <w:sz w:val="18"/>
          <w:szCs w:val="18"/>
          <w:lang w:val="es-ES"/>
        </w:rPr>
        <w:t>).</w:t>
      </w:r>
    </w:p>
    <w:p w14:paraId="08ED3C49" w14:textId="77777777" w:rsidR="00EF12B5" w:rsidRPr="00F475D6" w:rsidRDefault="00EF12B5" w:rsidP="00702674">
      <w:pPr>
        <w:pStyle w:val="Prrafodelista"/>
        <w:numPr>
          <w:ilvl w:val="2"/>
          <w:numId w:val="6"/>
        </w:numPr>
        <w:spacing w:before="380" w:after="120" w:line="456" w:lineRule="auto"/>
        <w:ind w:left="284" w:hanging="284"/>
        <w:jc w:val="center"/>
        <w:rPr>
          <w:rFonts w:ascii="Artifex CF Extra Light" w:hAnsi="Artifex CF Extra Light" w:cs="Times New Roman"/>
          <w:b/>
          <w:bCs/>
          <w:color w:val="1F4E79" w:themeColor="accent1" w:themeShade="80"/>
          <w:spacing w:val="10"/>
          <w:sz w:val="20"/>
          <w:szCs w:val="20"/>
          <w:lang w:val="es-DO"/>
        </w:rPr>
      </w:pPr>
      <w:r w:rsidRPr="00F475D6">
        <w:rPr>
          <w:rFonts w:ascii="Artifex CF Extra Light" w:hAnsi="Artifex CF Extra Light" w:cs="Times New Roman"/>
          <w:b/>
          <w:bCs/>
          <w:color w:val="1F4E79" w:themeColor="accent1" w:themeShade="80"/>
          <w:spacing w:val="10"/>
          <w:sz w:val="20"/>
          <w:szCs w:val="20"/>
          <w:lang w:val="es-DO"/>
        </w:rPr>
        <w:t>Mejorar la experiencia de capacitaciones virtuales</w:t>
      </w:r>
      <w:bookmarkStart w:id="29" w:name="_Toc58332488"/>
      <w:bookmarkEnd w:id="28"/>
    </w:p>
    <w:p w14:paraId="102E6BF4" w14:textId="4249AFA0" w:rsidR="00EF12B5" w:rsidRPr="007B3B38" w:rsidRDefault="00EF12B5" w:rsidP="00864966">
      <w:pPr>
        <w:spacing w:before="380" w:after="120" w:line="456" w:lineRule="auto"/>
        <w:ind w:firstLine="284"/>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ProDominicana Capacita es </w:t>
      </w:r>
      <w:r w:rsidR="2A7E651E" w:rsidRPr="007B3B38">
        <w:rPr>
          <w:rFonts w:ascii="Artifex CF Extra Light" w:eastAsia="Calibri" w:hAnsi="Artifex CF Extra Light" w:cs="Times New Roman"/>
          <w:color w:val="1F4E79" w:themeColor="accent1" w:themeShade="80"/>
          <w:spacing w:val="10"/>
          <w:sz w:val="18"/>
          <w:szCs w:val="18"/>
          <w:lang w:val="es-DO"/>
        </w:rPr>
        <w:t xml:space="preserve">la </w:t>
      </w:r>
      <w:r w:rsidRPr="007B3B38">
        <w:rPr>
          <w:rFonts w:ascii="Artifex CF Extra Light" w:eastAsia="Calibri" w:hAnsi="Artifex CF Extra Light" w:cs="Times New Roman"/>
          <w:color w:val="1F4E79" w:themeColor="accent1" w:themeShade="80"/>
          <w:spacing w:val="10"/>
          <w:sz w:val="18"/>
          <w:szCs w:val="18"/>
          <w:lang w:val="es-DO"/>
        </w:rPr>
        <w:t xml:space="preserve">plataforma </w:t>
      </w:r>
      <w:r w:rsidR="6074FDF8" w:rsidRPr="007B3B38">
        <w:rPr>
          <w:rFonts w:ascii="Artifex CF Extra Light" w:eastAsia="Calibri" w:hAnsi="Artifex CF Extra Light" w:cs="Times New Roman"/>
          <w:color w:val="1F4E79" w:themeColor="accent1" w:themeShade="80"/>
          <w:spacing w:val="10"/>
          <w:sz w:val="18"/>
          <w:szCs w:val="18"/>
          <w:lang w:val="es-DO"/>
        </w:rPr>
        <w:t>de e-Learning</w:t>
      </w:r>
      <w:r w:rsidR="42A6D0E8" w:rsidRPr="007B3B38">
        <w:rPr>
          <w:rFonts w:ascii="Artifex CF Extra Light" w:eastAsia="Calibri" w:hAnsi="Artifex CF Extra Light" w:cs="Times New Roman"/>
          <w:color w:val="1F4E79" w:themeColor="accent1" w:themeShade="80"/>
          <w:spacing w:val="10"/>
          <w:sz w:val="18"/>
          <w:szCs w:val="18"/>
          <w:lang w:val="es-DO"/>
        </w:rPr>
        <w:t xml:space="preserve"> de ProDominicana</w:t>
      </w:r>
      <w:r w:rsidRPr="007B3B38">
        <w:rPr>
          <w:rFonts w:ascii="Artifex CF Extra Light" w:eastAsia="Calibri" w:hAnsi="Artifex CF Extra Light" w:cs="Times New Roman"/>
          <w:color w:val="1F4E79" w:themeColor="accent1" w:themeShade="80"/>
          <w:spacing w:val="10"/>
          <w:sz w:val="18"/>
          <w:szCs w:val="18"/>
          <w:lang w:val="es-DO"/>
        </w:rPr>
        <w:t xml:space="preserve">, donde los interesados </w:t>
      </w:r>
      <w:r w:rsidR="278EBFFD" w:rsidRPr="007B3B38">
        <w:rPr>
          <w:rFonts w:ascii="Artifex CF Extra Light" w:eastAsia="Calibri" w:hAnsi="Artifex CF Extra Light" w:cs="Times New Roman"/>
          <w:color w:val="1F4E79" w:themeColor="accent1" w:themeShade="80"/>
          <w:spacing w:val="10"/>
          <w:sz w:val="18"/>
          <w:szCs w:val="18"/>
          <w:lang w:val="es-DO"/>
        </w:rPr>
        <w:t xml:space="preserve">en formarse en </w:t>
      </w:r>
      <w:r w:rsidR="325F89C5" w:rsidRPr="007B3B38">
        <w:rPr>
          <w:rFonts w:ascii="Artifex CF Extra Light" w:eastAsia="Calibri" w:hAnsi="Artifex CF Extra Light" w:cs="Times New Roman"/>
          <w:color w:val="1F4E79" w:themeColor="accent1" w:themeShade="80"/>
          <w:spacing w:val="10"/>
          <w:sz w:val="18"/>
          <w:szCs w:val="18"/>
          <w:lang w:val="es-DO"/>
        </w:rPr>
        <w:t>C</w:t>
      </w:r>
      <w:r w:rsidR="1C93E145" w:rsidRPr="007B3B38">
        <w:rPr>
          <w:rFonts w:ascii="Artifex CF Extra Light" w:eastAsia="Calibri" w:hAnsi="Artifex CF Extra Light" w:cs="Times New Roman"/>
          <w:color w:val="1F4E79" w:themeColor="accent1" w:themeShade="80"/>
          <w:spacing w:val="10"/>
          <w:sz w:val="18"/>
          <w:szCs w:val="18"/>
          <w:lang w:val="es-DO"/>
        </w:rPr>
        <w:t>o</w:t>
      </w:r>
      <w:r w:rsidR="325F89C5" w:rsidRPr="007B3B38">
        <w:rPr>
          <w:rFonts w:ascii="Artifex CF Extra Light" w:eastAsia="Calibri" w:hAnsi="Artifex CF Extra Light" w:cs="Times New Roman"/>
          <w:color w:val="1F4E79" w:themeColor="accent1" w:themeShade="80"/>
          <w:spacing w:val="10"/>
          <w:sz w:val="18"/>
          <w:szCs w:val="18"/>
          <w:lang w:val="es-DO"/>
        </w:rPr>
        <w:t>mercio</w:t>
      </w:r>
      <w:r w:rsidR="278EBFFD" w:rsidRPr="007B3B38">
        <w:rPr>
          <w:rFonts w:ascii="Artifex CF Extra Light" w:eastAsia="Calibri" w:hAnsi="Artifex CF Extra Light" w:cs="Times New Roman"/>
          <w:color w:val="1F4E79" w:themeColor="accent1" w:themeShade="80"/>
          <w:spacing w:val="10"/>
          <w:sz w:val="18"/>
          <w:szCs w:val="18"/>
          <w:lang w:val="es-DO"/>
        </w:rPr>
        <w:t xml:space="preserve"> Internacional </w:t>
      </w:r>
      <w:r w:rsidR="03454FB9" w:rsidRPr="007B3B38">
        <w:rPr>
          <w:rFonts w:ascii="Artifex CF Extra Light" w:eastAsia="Calibri" w:hAnsi="Artifex CF Extra Light" w:cs="Times New Roman"/>
          <w:color w:val="1F4E79" w:themeColor="accent1" w:themeShade="80"/>
          <w:spacing w:val="10"/>
          <w:sz w:val="18"/>
          <w:szCs w:val="18"/>
          <w:lang w:val="es-DO"/>
        </w:rPr>
        <w:t xml:space="preserve">pueden </w:t>
      </w:r>
      <w:r w:rsidRPr="007B3B38">
        <w:rPr>
          <w:rFonts w:ascii="Artifex CF Extra Light" w:eastAsia="Calibri" w:hAnsi="Artifex CF Extra Light" w:cs="Times New Roman"/>
          <w:color w:val="1F4E79" w:themeColor="accent1" w:themeShade="80"/>
          <w:spacing w:val="10"/>
          <w:sz w:val="18"/>
          <w:szCs w:val="18"/>
          <w:lang w:val="es-DO"/>
        </w:rPr>
        <w:t xml:space="preserve">acceder y conocer la </w:t>
      </w:r>
      <w:r w:rsidRPr="007B3B38">
        <w:rPr>
          <w:rFonts w:ascii="Artifex CF Extra Light" w:eastAsia="Calibri" w:hAnsi="Artifex CF Extra Light" w:cs="Times New Roman"/>
          <w:color w:val="1F4E79" w:themeColor="accent1" w:themeShade="80"/>
          <w:spacing w:val="10"/>
          <w:sz w:val="18"/>
          <w:szCs w:val="18"/>
          <w:lang w:val="es-DO"/>
        </w:rPr>
        <w:lastRenderedPageBreak/>
        <w:t xml:space="preserve">oferta formativa de la Institución, </w:t>
      </w:r>
      <w:r w:rsidR="5ED74223" w:rsidRPr="007B3B38">
        <w:rPr>
          <w:rFonts w:ascii="Artifex CF Extra Light" w:eastAsia="Calibri" w:hAnsi="Artifex CF Extra Light" w:cs="Times New Roman"/>
          <w:color w:val="1F4E79" w:themeColor="accent1" w:themeShade="80"/>
          <w:spacing w:val="10"/>
          <w:sz w:val="18"/>
          <w:szCs w:val="18"/>
          <w:lang w:val="es-DO"/>
        </w:rPr>
        <w:t>a la vez</w:t>
      </w:r>
      <w:r w:rsidRPr="007B3B38">
        <w:rPr>
          <w:rFonts w:ascii="Artifex CF Extra Light" w:eastAsia="Calibri" w:hAnsi="Artifex CF Extra Light" w:cs="Times New Roman"/>
          <w:color w:val="1F4E79" w:themeColor="accent1" w:themeShade="80"/>
          <w:spacing w:val="10"/>
          <w:sz w:val="18"/>
          <w:szCs w:val="18"/>
          <w:lang w:val="es-DO"/>
        </w:rPr>
        <w:t xml:space="preserve"> que </w:t>
      </w:r>
      <w:r w:rsidR="5ED74223" w:rsidRPr="007B3B38">
        <w:rPr>
          <w:rFonts w:ascii="Artifex CF Extra Light" w:eastAsia="Calibri" w:hAnsi="Artifex CF Extra Light" w:cs="Times New Roman"/>
          <w:color w:val="1F4E79" w:themeColor="accent1" w:themeShade="80"/>
          <w:spacing w:val="10"/>
          <w:sz w:val="18"/>
          <w:szCs w:val="18"/>
          <w:lang w:val="es-DO"/>
        </w:rPr>
        <w:t>pueden tomar</w:t>
      </w:r>
      <w:r w:rsidR="23DADAD8" w:rsidRPr="007B3B38">
        <w:rPr>
          <w:rFonts w:ascii="Artifex CF Extra Light" w:eastAsia="Calibri" w:hAnsi="Artifex CF Extra Light" w:cs="Times New Roman"/>
          <w:color w:val="1F4E79" w:themeColor="accent1" w:themeShade="80"/>
          <w:spacing w:val="10"/>
          <w:sz w:val="18"/>
          <w:szCs w:val="18"/>
          <w:lang w:val="es-DO"/>
        </w:rPr>
        <w:t xml:space="preserve"> de </w:t>
      </w:r>
      <w:r w:rsidR="5ED74223" w:rsidRPr="007B3B38">
        <w:rPr>
          <w:rFonts w:ascii="Artifex CF Extra Light" w:eastAsia="Calibri" w:hAnsi="Artifex CF Extra Light" w:cs="Times New Roman"/>
          <w:color w:val="1F4E79" w:themeColor="accent1" w:themeShade="80"/>
          <w:spacing w:val="10"/>
          <w:sz w:val="18"/>
          <w:szCs w:val="18"/>
          <w:lang w:val="es-DO"/>
        </w:rPr>
        <w:t xml:space="preserve">manera online </w:t>
      </w:r>
      <w:r w:rsidRPr="007B3B38">
        <w:rPr>
          <w:rFonts w:ascii="Artifex CF Extra Light" w:eastAsia="Calibri" w:hAnsi="Artifex CF Extra Light" w:cs="Times New Roman"/>
          <w:color w:val="1F4E79" w:themeColor="accent1" w:themeShade="80"/>
          <w:spacing w:val="10"/>
          <w:sz w:val="18"/>
          <w:szCs w:val="18"/>
          <w:lang w:val="es-DO"/>
        </w:rPr>
        <w:t>cursos didácticos.</w:t>
      </w:r>
    </w:p>
    <w:p w14:paraId="5FF0224A" w14:textId="4249AFA0" w:rsidR="00EF12B5" w:rsidRPr="007B3B38" w:rsidRDefault="00EF12B5" w:rsidP="00864966">
      <w:pPr>
        <w:spacing w:before="380" w:after="120" w:line="456" w:lineRule="auto"/>
        <w:ind w:firstLine="284"/>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Como parte de las optimizaciones realizadas a la herramienta se encuentra</w:t>
      </w:r>
      <w:r w:rsidR="608F1537" w:rsidRPr="007B3B38">
        <w:rPr>
          <w:rFonts w:ascii="Artifex CF Extra Light" w:eastAsia="Calibri" w:hAnsi="Artifex CF Extra Light" w:cs="Times New Roman"/>
          <w:color w:val="1F4E79" w:themeColor="accent1" w:themeShade="80"/>
          <w:spacing w:val="10"/>
          <w:sz w:val="18"/>
          <w:szCs w:val="18"/>
          <w:lang w:val="es-DO"/>
        </w:rPr>
        <w:t xml:space="preserve"> el </w:t>
      </w:r>
      <w:r w:rsidR="5DD8DF9A" w:rsidRPr="007B3B38">
        <w:rPr>
          <w:rFonts w:ascii="Artifex CF Extra Light" w:eastAsia="Calibri" w:hAnsi="Artifex CF Extra Light" w:cs="Times New Roman"/>
          <w:color w:val="1F4E79" w:themeColor="accent1" w:themeShade="80"/>
          <w:spacing w:val="10"/>
          <w:sz w:val="18"/>
          <w:szCs w:val="18"/>
          <w:lang w:val="es-DO"/>
        </w:rPr>
        <w:t>rediseñó</w:t>
      </w:r>
      <w:r w:rsidR="608F1537" w:rsidRPr="007B3B38">
        <w:rPr>
          <w:rFonts w:ascii="Artifex CF Extra Light" w:eastAsia="Calibri" w:hAnsi="Artifex CF Extra Light" w:cs="Times New Roman"/>
          <w:color w:val="1F4E79" w:themeColor="accent1" w:themeShade="80"/>
          <w:spacing w:val="10"/>
          <w:sz w:val="18"/>
          <w:szCs w:val="18"/>
          <w:lang w:val="es-DO"/>
        </w:rPr>
        <w:t xml:space="preserve"> del Layout, </w:t>
      </w:r>
      <w:r w:rsidR="7A1E864D" w:rsidRPr="007B3B38">
        <w:rPr>
          <w:rFonts w:ascii="Artifex CF Extra Light" w:eastAsia="Calibri" w:hAnsi="Artifex CF Extra Light" w:cs="Times New Roman"/>
          <w:color w:val="1F4E79" w:themeColor="accent1" w:themeShade="80"/>
          <w:spacing w:val="10"/>
          <w:sz w:val="18"/>
          <w:szCs w:val="18"/>
          <w:lang w:val="es-DO"/>
        </w:rPr>
        <w:t>adaptándolo</w:t>
      </w:r>
      <w:r w:rsidR="608F1537" w:rsidRPr="007B3B38">
        <w:rPr>
          <w:rFonts w:ascii="Artifex CF Extra Light" w:eastAsia="Calibri" w:hAnsi="Artifex CF Extra Light" w:cs="Times New Roman"/>
          <w:color w:val="1F4E79" w:themeColor="accent1" w:themeShade="80"/>
          <w:spacing w:val="10"/>
          <w:sz w:val="18"/>
          <w:szCs w:val="18"/>
          <w:lang w:val="es-DO"/>
        </w:rPr>
        <w:t xml:space="preserve"> a</w:t>
      </w:r>
      <w:r w:rsidRPr="007B3B38">
        <w:rPr>
          <w:rFonts w:ascii="Artifex CF Extra Light" w:eastAsia="Calibri" w:hAnsi="Artifex CF Extra Light" w:cs="Times New Roman"/>
          <w:color w:val="1F4E79" w:themeColor="accent1" w:themeShade="80"/>
          <w:spacing w:val="10"/>
          <w:sz w:val="18"/>
          <w:szCs w:val="18"/>
          <w:lang w:val="es-DO"/>
        </w:rPr>
        <w:t xml:space="preserve"> un </w:t>
      </w:r>
      <w:r w:rsidR="608F1537" w:rsidRPr="007B3B38">
        <w:rPr>
          <w:rFonts w:ascii="Artifex CF Extra Light" w:eastAsia="Calibri" w:hAnsi="Artifex CF Extra Light" w:cs="Times New Roman"/>
          <w:color w:val="1F4E79" w:themeColor="accent1" w:themeShade="80"/>
          <w:spacing w:val="10"/>
          <w:sz w:val="18"/>
          <w:szCs w:val="18"/>
          <w:lang w:val="es-DO"/>
        </w:rPr>
        <w:t>ambiente</w:t>
      </w:r>
      <w:r w:rsidRPr="007B3B38">
        <w:rPr>
          <w:rFonts w:ascii="Artifex CF Extra Light" w:eastAsia="Calibri" w:hAnsi="Artifex CF Extra Light" w:cs="Times New Roman"/>
          <w:color w:val="1F4E79" w:themeColor="accent1" w:themeShade="80"/>
          <w:spacing w:val="10"/>
          <w:sz w:val="18"/>
          <w:szCs w:val="18"/>
          <w:lang w:val="es-DO"/>
        </w:rPr>
        <w:t xml:space="preserve"> amigable y homogéneo</w:t>
      </w:r>
      <w:r w:rsidR="66EAF6DF" w:rsidRPr="007B3B38">
        <w:rPr>
          <w:rFonts w:ascii="Artifex CF Extra Light" w:eastAsia="Calibri" w:hAnsi="Artifex CF Extra Light" w:cs="Times New Roman"/>
          <w:color w:val="1F4E79" w:themeColor="accent1" w:themeShade="80"/>
          <w:spacing w:val="10"/>
          <w:sz w:val="18"/>
          <w:szCs w:val="18"/>
          <w:lang w:val="es-DO"/>
        </w:rPr>
        <w:t>; la</w:t>
      </w:r>
      <w:r w:rsidR="00BF3681" w:rsidRPr="007B3B38">
        <w:rPr>
          <w:rFonts w:ascii="Artifex CF Extra Light" w:eastAsia="Calibri" w:hAnsi="Artifex CF Extra Light" w:cs="Times New Roman"/>
          <w:color w:val="1F4E79" w:themeColor="accent1" w:themeShade="80"/>
          <w:spacing w:val="10"/>
          <w:sz w:val="18"/>
          <w:szCs w:val="18"/>
          <w:lang w:val="es-DO"/>
        </w:rPr>
        <w:t xml:space="preserve"> </w:t>
      </w:r>
      <w:r w:rsidRPr="007B3B38">
        <w:rPr>
          <w:rFonts w:ascii="Artifex CF Extra Light" w:eastAsia="Calibri" w:hAnsi="Artifex CF Extra Light" w:cs="Times New Roman"/>
          <w:color w:val="1F4E79" w:themeColor="accent1" w:themeShade="80"/>
          <w:spacing w:val="10"/>
          <w:sz w:val="18"/>
          <w:szCs w:val="18"/>
          <w:lang w:val="es-DO"/>
        </w:rPr>
        <w:t>colocación contenidos interactivos y audiovisuales en el desarrollo de los cursos</w:t>
      </w:r>
      <w:r w:rsidR="5286641E" w:rsidRPr="007B3B38">
        <w:rPr>
          <w:rFonts w:ascii="Artifex CF Extra Light" w:eastAsia="Calibri" w:hAnsi="Artifex CF Extra Light" w:cs="Times New Roman"/>
          <w:color w:val="1F4E79" w:themeColor="accent1" w:themeShade="80"/>
          <w:spacing w:val="10"/>
          <w:sz w:val="18"/>
          <w:szCs w:val="18"/>
          <w:lang w:val="es-DO"/>
        </w:rPr>
        <w:t>; la incorporación de cursos internacionales de interés, integrados desde otras plataformas similares; y mejo</w:t>
      </w:r>
      <w:r w:rsidR="3C4CB172" w:rsidRPr="007B3B38">
        <w:rPr>
          <w:rFonts w:ascii="Artifex CF Extra Light" w:eastAsia="Calibri" w:hAnsi="Artifex CF Extra Light" w:cs="Times New Roman"/>
          <w:color w:val="1F4E79" w:themeColor="accent1" w:themeShade="80"/>
          <w:spacing w:val="10"/>
          <w:sz w:val="18"/>
          <w:szCs w:val="18"/>
          <w:lang w:val="es-DO"/>
        </w:rPr>
        <w:t>ras a lo interno, permitiendo una mejor eficiencia en la administración</w:t>
      </w:r>
      <w:r w:rsidRPr="007B3B38">
        <w:rPr>
          <w:rFonts w:ascii="Artifex CF Extra Light" w:eastAsia="Calibri" w:hAnsi="Artifex CF Extra Light" w:cs="Times New Roman"/>
          <w:color w:val="1F4E79" w:themeColor="accent1" w:themeShade="80"/>
          <w:spacing w:val="10"/>
          <w:sz w:val="18"/>
          <w:szCs w:val="18"/>
          <w:lang w:val="es-DO"/>
        </w:rPr>
        <w:t xml:space="preserve"> de </w:t>
      </w:r>
      <w:r w:rsidR="3C4CB172" w:rsidRPr="007B3B38">
        <w:rPr>
          <w:rFonts w:ascii="Artifex CF Extra Light" w:eastAsia="Calibri" w:hAnsi="Artifex CF Extra Light" w:cs="Times New Roman"/>
          <w:color w:val="1F4E79" w:themeColor="accent1" w:themeShade="80"/>
          <w:spacing w:val="10"/>
          <w:sz w:val="18"/>
          <w:szCs w:val="18"/>
          <w:lang w:val="es-DO"/>
        </w:rPr>
        <w:t>esta plataforma</w:t>
      </w:r>
      <w:r w:rsidRPr="007B3B38">
        <w:rPr>
          <w:rFonts w:ascii="Artifex CF Extra Light" w:eastAsia="Calibri" w:hAnsi="Artifex CF Extra Light" w:cs="Times New Roman"/>
          <w:color w:val="1F4E79" w:themeColor="accent1" w:themeShade="80"/>
          <w:spacing w:val="10"/>
          <w:sz w:val="18"/>
          <w:szCs w:val="18"/>
          <w:lang w:val="es-DO"/>
        </w:rPr>
        <w:t>.</w:t>
      </w:r>
    </w:p>
    <w:p w14:paraId="22F1FF32" w14:textId="1E7D0E33" w:rsidR="00F3205C" w:rsidRPr="007B3B38" w:rsidRDefault="00F3205C" w:rsidP="00864966">
      <w:pPr>
        <w:spacing w:before="380" w:after="120" w:line="456" w:lineRule="auto"/>
        <w:ind w:firstLine="284"/>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Los resultados obtenidos con esta plataforma de detallan</w:t>
      </w:r>
      <w:r w:rsidR="00D16E7B" w:rsidRPr="007B3B38">
        <w:rPr>
          <w:rFonts w:ascii="Artifex CF Extra Light" w:eastAsia="Calibri" w:hAnsi="Artifex CF Extra Light" w:cs="Times New Roman"/>
          <w:color w:val="1F4E79" w:themeColor="accent1" w:themeShade="80"/>
          <w:spacing w:val="10"/>
          <w:sz w:val="18"/>
          <w:szCs w:val="18"/>
          <w:lang w:val="es-DO"/>
        </w:rPr>
        <w:t xml:space="preserve"> más adelante </w:t>
      </w:r>
      <w:r w:rsidRPr="007B3B38">
        <w:rPr>
          <w:rFonts w:ascii="Artifex CF Extra Light" w:eastAsia="Calibri" w:hAnsi="Artifex CF Extra Light" w:cs="Times New Roman"/>
          <w:color w:val="1F4E79" w:themeColor="accent1" w:themeShade="80"/>
          <w:spacing w:val="10"/>
          <w:sz w:val="18"/>
          <w:szCs w:val="18"/>
          <w:lang w:val="es-DO"/>
        </w:rPr>
        <w:t>en e</w:t>
      </w:r>
      <w:r w:rsidR="00D16E7B" w:rsidRPr="007B3B38">
        <w:rPr>
          <w:rFonts w:ascii="Artifex CF Extra Light" w:eastAsia="Calibri" w:hAnsi="Artifex CF Extra Light" w:cs="Times New Roman"/>
          <w:color w:val="1F4E79" w:themeColor="accent1" w:themeShade="80"/>
          <w:spacing w:val="10"/>
          <w:sz w:val="18"/>
          <w:szCs w:val="18"/>
          <w:lang w:val="es-DO"/>
        </w:rPr>
        <w:t>l eje exportar para crecer.</w:t>
      </w:r>
    </w:p>
    <w:p w14:paraId="1A6068FF" w14:textId="4249AFA0" w:rsidR="00EF12B5" w:rsidRPr="00F475D6" w:rsidRDefault="00EF12B5" w:rsidP="00702674">
      <w:pPr>
        <w:pStyle w:val="Prrafodelista"/>
        <w:numPr>
          <w:ilvl w:val="2"/>
          <w:numId w:val="6"/>
        </w:numPr>
        <w:spacing w:before="380" w:after="120" w:line="456" w:lineRule="auto"/>
        <w:ind w:left="284" w:hanging="284"/>
        <w:jc w:val="center"/>
        <w:rPr>
          <w:rFonts w:ascii="Artifex CF Extra Light" w:hAnsi="Artifex CF Extra Light" w:cs="Times New Roman"/>
          <w:b/>
          <w:bCs/>
          <w:color w:val="1F4E79" w:themeColor="accent1" w:themeShade="80"/>
          <w:spacing w:val="10"/>
          <w:sz w:val="20"/>
          <w:szCs w:val="20"/>
          <w:lang w:val="es-DO"/>
        </w:rPr>
      </w:pPr>
      <w:r w:rsidRPr="00F475D6">
        <w:rPr>
          <w:rFonts w:ascii="Artifex CF Extra Light" w:hAnsi="Artifex CF Extra Light" w:cs="Times New Roman"/>
          <w:b/>
          <w:bCs/>
          <w:color w:val="1F4E79" w:themeColor="accent1" w:themeShade="80"/>
          <w:spacing w:val="10"/>
          <w:sz w:val="20"/>
          <w:szCs w:val="20"/>
          <w:lang w:val="es-DO"/>
        </w:rPr>
        <w:t>Lanzar plataforma de inteligencia comercial</w:t>
      </w:r>
      <w:bookmarkEnd w:id="29"/>
    </w:p>
    <w:p w14:paraId="381761BD" w14:textId="4249AFA0" w:rsidR="00EF12B5" w:rsidRPr="007B3B38" w:rsidRDefault="00DB1E27"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Una</w:t>
      </w:r>
      <w:r w:rsidR="00EF12B5" w:rsidRPr="007B3B38">
        <w:rPr>
          <w:rFonts w:ascii="Artifex CF Extra Light" w:eastAsia="Calibri" w:hAnsi="Artifex CF Extra Light" w:cs="Times New Roman"/>
          <w:color w:val="1F4E79" w:themeColor="accent1" w:themeShade="80"/>
          <w:spacing w:val="10"/>
          <w:sz w:val="18"/>
          <w:szCs w:val="18"/>
          <w:lang w:val="es-DO"/>
        </w:rPr>
        <w:t xml:space="preserve"> de </w:t>
      </w:r>
      <w:r w:rsidR="04A818B9" w:rsidRPr="007B3B38">
        <w:rPr>
          <w:rFonts w:ascii="Artifex CF Extra Light" w:eastAsia="Calibri" w:hAnsi="Artifex CF Extra Light" w:cs="Times New Roman"/>
          <w:color w:val="1F4E79" w:themeColor="accent1" w:themeShade="80"/>
          <w:spacing w:val="10"/>
          <w:sz w:val="18"/>
          <w:szCs w:val="18"/>
          <w:lang w:val="es-DO"/>
        </w:rPr>
        <w:t>l</w:t>
      </w:r>
      <w:r w:rsidR="50400698" w:rsidRPr="007B3B38">
        <w:rPr>
          <w:rFonts w:ascii="Artifex CF Extra Light" w:eastAsia="Calibri" w:hAnsi="Artifex CF Extra Light" w:cs="Times New Roman"/>
          <w:color w:val="1F4E79" w:themeColor="accent1" w:themeShade="80"/>
          <w:spacing w:val="10"/>
          <w:sz w:val="18"/>
          <w:szCs w:val="18"/>
          <w:lang w:val="es-DO"/>
        </w:rPr>
        <w:t xml:space="preserve">as iniciativas </w:t>
      </w:r>
      <w:r w:rsidR="00EF12B5" w:rsidRPr="007B3B38">
        <w:rPr>
          <w:rFonts w:ascii="Artifex CF Extra Light" w:eastAsia="Calibri" w:hAnsi="Artifex CF Extra Light" w:cs="Times New Roman"/>
          <w:color w:val="1F4E79" w:themeColor="accent1" w:themeShade="80"/>
          <w:spacing w:val="10"/>
          <w:sz w:val="18"/>
          <w:szCs w:val="18"/>
          <w:lang w:val="es-DO"/>
        </w:rPr>
        <w:t>prior</w:t>
      </w:r>
      <w:r w:rsidR="78D00596" w:rsidRPr="007B3B38">
        <w:rPr>
          <w:rFonts w:ascii="Artifex CF Extra Light" w:eastAsia="Calibri" w:hAnsi="Artifex CF Extra Light" w:cs="Times New Roman"/>
          <w:color w:val="1F4E79" w:themeColor="accent1" w:themeShade="80"/>
          <w:spacing w:val="10"/>
          <w:sz w:val="18"/>
          <w:szCs w:val="18"/>
          <w:lang w:val="es-DO"/>
        </w:rPr>
        <w:t xml:space="preserve">itarias </w:t>
      </w:r>
      <w:r w:rsidR="7982A980" w:rsidRPr="007B3B38">
        <w:rPr>
          <w:rFonts w:ascii="Artifex CF Extra Light" w:eastAsia="Calibri" w:hAnsi="Artifex CF Extra Light" w:cs="Times New Roman"/>
          <w:color w:val="1F4E79" w:themeColor="accent1" w:themeShade="80"/>
          <w:spacing w:val="10"/>
          <w:sz w:val="18"/>
          <w:szCs w:val="18"/>
          <w:lang w:val="es-DO"/>
        </w:rPr>
        <w:t>dentro de las ejecutorias 2020, es</w:t>
      </w:r>
      <w:r w:rsidR="00EF12B5" w:rsidRPr="007B3B38">
        <w:rPr>
          <w:rFonts w:ascii="Artifex CF Extra Light" w:eastAsia="Calibri" w:hAnsi="Artifex CF Extra Light" w:cs="Times New Roman"/>
          <w:color w:val="1F4E79" w:themeColor="accent1" w:themeShade="80"/>
          <w:spacing w:val="10"/>
          <w:sz w:val="18"/>
          <w:szCs w:val="18"/>
          <w:lang w:val="es-DO"/>
        </w:rPr>
        <w:t xml:space="preserve"> el establecimiento de una plataforma de Inteligencia Comercial que </w:t>
      </w:r>
      <w:r w:rsidR="5BD65D54" w:rsidRPr="007B3B38">
        <w:rPr>
          <w:rFonts w:ascii="Artifex CF Extra Light" w:eastAsia="Calibri" w:hAnsi="Artifex CF Extra Light" w:cs="Times New Roman"/>
          <w:color w:val="1F4E79" w:themeColor="accent1" w:themeShade="80"/>
          <w:spacing w:val="10"/>
          <w:sz w:val="18"/>
          <w:szCs w:val="18"/>
          <w:lang w:val="es-DO"/>
        </w:rPr>
        <w:t xml:space="preserve">centralice la información y </w:t>
      </w:r>
      <w:r w:rsidR="00BE3A93" w:rsidRPr="007B3B38">
        <w:rPr>
          <w:rFonts w:ascii="Artifex CF Extra Light" w:eastAsia="Calibri" w:hAnsi="Artifex CF Extra Light" w:cs="Times New Roman"/>
          <w:color w:val="1F4E79" w:themeColor="accent1" w:themeShade="80"/>
          <w:spacing w:val="10"/>
          <w:sz w:val="18"/>
          <w:szCs w:val="18"/>
          <w:lang w:val="es-DO"/>
        </w:rPr>
        <w:t>estadísticas</w:t>
      </w:r>
      <w:r w:rsidR="5BD65D54" w:rsidRPr="007B3B38">
        <w:rPr>
          <w:rFonts w:ascii="Artifex CF Extra Light" w:eastAsia="Calibri" w:hAnsi="Artifex CF Extra Light" w:cs="Times New Roman"/>
          <w:color w:val="1F4E79" w:themeColor="accent1" w:themeShade="80"/>
          <w:spacing w:val="10"/>
          <w:sz w:val="18"/>
          <w:szCs w:val="18"/>
          <w:lang w:val="es-DO"/>
        </w:rPr>
        <w:t xml:space="preserve"> sobre las exportaciones dominicanas, y las inversiones en el país.</w:t>
      </w:r>
    </w:p>
    <w:p w14:paraId="06BFE8F6" w14:textId="54D63606" w:rsidR="003268BD" w:rsidRPr="007B3B38" w:rsidRDefault="00EF12B5" w:rsidP="00864966">
      <w:pPr>
        <w:spacing w:before="380" w:after="120" w:line="456" w:lineRule="auto"/>
        <w:ind w:firstLine="284"/>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Este proyecto abarcó desde el diseño y habilitación de un mecanismo para </w:t>
      </w:r>
      <w:r w:rsidR="0F53B474" w:rsidRPr="007B3B38">
        <w:rPr>
          <w:rFonts w:ascii="Artifex CF Extra Light" w:eastAsia="Calibri" w:hAnsi="Artifex CF Extra Light" w:cs="Times New Roman"/>
          <w:color w:val="1F4E79" w:themeColor="accent1" w:themeShade="80"/>
          <w:spacing w:val="10"/>
          <w:sz w:val="18"/>
          <w:szCs w:val="18"/>
          <w:lang w:val="es-DO"/>
        </w:rPr>
        <w:t>la gestión estadística y la</w:t>
      </w:r>
      <w:r w:rsidRPr="007B3B38">
        <w:rPr>
          <w:rFonts w:ascii="Artifex CF Extra Light" w:eastAsia="Calibri" w:hAnsi="Artifex CF Extra Light" w:cs="Times New Roman"/>
          <w:color w:val="1F4E79" w:themeColor="accent1" w:themeShade="80"/>
          <w:spacing w:val="10"/>
          <w:sz w:val="18"/>
          <w:szCs w:val="18"/>
          <w:lang w:val="es-DO"/>
        </w:rPr>
        <w:t xml:space="preserve"> mejora </w:t>
      </w:r>
      <w:r w:rsidR="2F5952AD" w:rsidRPr="007B3B38">
        <w:rPr>
          <w:rFonts w:ascii="Artifex CF Extra Light" w:eastAsia="Calibri" w:hAnsi="Artifex CF Extra Light" w:cs="Times New Roman"/>
          <w:color w:val="1F4E79" w:themeColor="accent1" w:themeShade="80"/>
          <w:spacing w:val="10"/>
          <w:sz w:val="18"/>
          <w:szCs w:val="18"/>
          <w:lang w:val="es-DO"/>
        </w:rPr>
        <w:t>d</w:t>
      </w:r>
      <w:r w:rsidRPr="007B3B38">
        <w:rPr>
          <w:rFonts w:ascii="Artifex CF Extra Light" w:eastAsia="Calibri" w:hAnsi="Artifex CF Extra Light" w:cs="Times New Roman"/>
          <w:color w:val="1F4E79" w:themeColor="accent1" w:themeShade="80"/>
          <w:spacing w:val="10"/>
          <w:sz w:val="18"/>
          <w:szCs w:val="18"/>
          <w:lang w:val="es-DO"/>
        </w:rPr>
        <w:t xml:space="preserve">el proceso de generación de información de Inteligencia dentro de ProDominicana, como base para la toma de decisiones estratégicas y la propuesta de políticas públicas </w:t>
      </w:r>
      <w:r w:rsidR="3C066141" w:rsidRPr="007B3B38">
        <w:rPr>
          <w:rFonts w:ascii="Artifex CF Extra Light" w:eastAsia="Calibri" w:hAnsi="Artifex CF Extra Light" w:cs="Times New Roman"/>
          <w:color w:val="1F4E79" w:themeColor="accent1" w:themeShade="80"/>
          <w:spacing w:val="10"/>
          <w:sz w:val="18"/>
          <w:szCs w:val="18"/>
          <w:lang w:val="es-DO"/>
        </w:rPr>
        <w:t>en apoyo a la misión institucional</w:t>
      </w:r>
      <w:r w:rsidRPr="007B3B38">
        <w:rPr>
          <w:rFonts w:ascii="Artifex CF Extra Light" w:eastAsia="Calibri" w:hAnsi="Artifex CF Extra Light" w:cs="Times New Roman"/>
          <w:color w:val="1F4E79" w:themeColor="accent1" w:themeShade="80"/>
          <w:spacing w:val="10"/>
          <w:sz w:val="18"/>
          <w:szCs w:val="18"/>
          <w:lang w:val="es-DO"/>
        </w:rPr>
        <w:t xml:space="preserve">. </w:t>
      </w:r>
    </w:p>
    <w:p w14:paraId="078FAADC" w14:textId="59109CB9" w:rsidR="00CC284F" w:rsidRPr="007B3B38" w:rsidRDefault="00DB3626" w:rsidP="00864966">
      <w:pPr>
        <w:spacing w:before="380" w:after="120" w:line="456" w:lineRule="auto"/>
        <w:ind w:firstLine="284"/>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Esta plataforma </w:t>
      </w:r>
      <w:r w:rsidR="003C1ABE" w:rsidRPr="007B3B38">
        <w:rPr>
          <w:rFonts w:ascii="Artifex CF Extra Light" w:eastAsia="Calibri" w:hAnsi="Artifex CF Extra Light" w:cs="Times New Roman"/>
          <w:color w:val="1F4E79" w:themeColor="accent1" w:themeShade="80"/>
          <w:spacing w:val="10"/>
          <w:sz w:val="18"/>
          <w:szCs w:val="18"/>
          <w:lang w:val="es-DO"/>
        </w:rPr>
        <w:t>tiene un promedio de 347 visitas al mes.</w:t>
      </w:r>
    </w:p>
    <w:p w14:paraId="26B0A23D" w14:textId="4249AFA0" w:rsidR="00EF12B5" w:rsidRPr="00F475D6" w:rsidRDefault="00EF12B5" w:rsidP="00702674">
      <w:pPr>
        <w:pStyle w:val="Prrafodelista"/>
        <w:numPr>
          <w:ilvl w:val="2"/>
          <w:numId w:val="6"/>
        </w:numPr>
        <w:spacing w:before="380" w:after="120" w:line="456" w:lineRule="auto"/>
        <w:ind w:left="284" w:hanging="284"/>
        <w:jc w:val="center"/>
        <w:rPr>
          <w:rFonts w:ascii="Artifex CF Extra Light" w:hAnsi="Artifex CF Extra Light" w:cs="Times New Roman"/>
          <w:b/>
          <w:bCs/>
          <w:color w:val="1F4E79" w:themeColor="accent1" w:themeShade="80"/>
          <w:spacing w:val="10"/>
          <w:sz w:val="20"/>
          <w:szCs w:val="20"/>
          <w:lang w:val="es-DO"/>
        </w:rPr>
      </w:pPr>
      <w:bookmarkStart w:id="30" w:name="_Toc58332489"/>
      <w:r w:rsidRPr="00F475D6">
        <w:rPr>
          <w:rFonts w:ascii="Artifex CF Extra Light" w:hAnsi="Artifex CF Extra Light" w:cs="Times New Roman"/>
          <w:b/>
          <w:bCs/>
          <w:color w:val="1F4E79" w:themeColor="accent1" w:themeShade="80"/>
          <w:spacing w:val="10"/>
          <w:sz w:val="20"/>
          <w:szCs w:val="20"/>
          <w:lang w:val="es-DO"/>
        </w:rPr>
        <w:t>Programa CRECE para MiPymes de Exportación</w:t>
      </w:r>
      <w:bookmarkEnd w:id="30"/>
    </w:p>
    <w:p w14:paraId="0A9E9073" w14:textId="10A3574F" w:rsidR="00EF12B5" w:rsidRPr="007B3B38" w:rsidRDefault="00EF12B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C</w:t>
      </w:r>
      <w:r w:rsidR="00BF3681" w:rsidRPr="007B3B38">
        <w:rPr>
          <w:rFonts w:ascii="Artifex CF Extra Light" w:eastAsia="Arial" w:hAnsi="Artifex CF Extra Light" w:cs="Times New Roman"/>
          <w:color w:val="1F4E79" w:themeColor="accent1" w:themeShade="80"/>
          <w:spacing w:val="10"/>
          <w:sz w:val="18"/>
          <w:szCs w:val="18"/>
          <w:lang w:val="es-DO"/>
        </w:rPr>
        <w:t>RECE</w:t>
      </w:r>
      <w:r w:rsidRPr="007B3B38">
        <w:rPr>
          <w:rFonts w:ascii="Artifex CF Extra Light" w:eastAsia="Arial" w:hAnsi="Artifex CF Extra Light" w:cs="Times New Roman"/>
          <w:color w:val="1F4E79" w:themeColor="accent1" w:themeShade="80"/>
          <w:spacing w:val="10"/>
          <w:sz w:val="18"/>
          <w:szCs w:val="18"/>
          <w:lang w:val="es-DO"/>
        </w:rPr>
        <w:t xml:space="preserve"> es un Programa de apoyo </w:t>
      </w:r>
      <w:r w:rsidR="06FEF5D5" w:rsidRPr="007B3B38">
        <w:rPr>
          <w:rFonts w:ascii="Artifex CF Extra Light" w:eastAsia="Arial" w:hAnsi="Artifex CF Extra Light" w:cs="Times New Roman"/>
          <w:color w:val="1F4E79" w:themeColor="accent1" w:themeShade="80"/>
          <w:spacing w:val="10"/>
          <w:sz w:val="18"/>
          <w:szCs w:val="18"/>
          <w:lang w:val="es-DO"/>
        </w:rPr>
        <w:t xml:space="preserve">a las </w:t>
      </w:r>
      <w:r w:rsidR="00C40819" w:rsidRPr="007B3B38">
        <w:rPr>
          <w:rFonts w:ascii="Artifex CF Extra Light" w:eastAsia="Arial" w:hAnsi="Artifex CF Extra Light" w:cs="Times New Roman"/>
          <w:color w:val="1F4E79" w:themeColor="accent1" w:themeShade="80"/>
          <w:spacing w:val="10"/>
          <w:sz w:val="18"/>
          <w:szCs w:val="18"/>
          <w:lang w:val="es-DO"/>
        </w:rPr>
        <w:t>MiPymes</w:t>
      </w:r>
      <w:r w:rsidR="06FEF5D5" w:rsidRPr="007B3B38">
        <w:rPr>
          <w:rFonts w:ascii="Artifex CF Extra Light" w:eastAsia="Arial" w:hAnsi="Artifex CF Extra Light" w:cs="Times New Roman"/>
          <w:color w:val="1F4E79" w:themeColor="accent1" w:themeShade="80"/>
          <w:spacing w:val="10"/>
          <w:sz w:val="18"/>
          <w:szCs w:val="18"/>
          <w:lang w:val="es-DO"/>
        </w:rPr>
        <w:t xml:space="preserve">, que surgió durante el encierro nacional durante la Pandemia. Su objetivo es apoyar a estas empresas para </w:t>
      </w:r>
      <w:r w:rsidRPr="007B3B38">
        <w:rPr>
          <w:rFonts w:ascii="Artifex CF Extra Light" w:eastAsia="Arial" w:hAnsi="Artifex CF Extra Light" w:cs="Times New Roman"/>
          <w:color w:val="1F4E79" w:themeColor="accent1" w:themeShade="80"/>
          <w:spacing w:val="10"/>
          <w:sz w:val="18"/>
          <w:szCs w:val="18"/>
          <w:lang w:val="es-DO"/>
        </w:rPr>
        <w:t xml:space="preserve">la </w:t>
      </w:r>
      <w:r w:rsidRPr="007B3B38">
        <w:rPr>
          <w:rFonts w:ascii="Artifex CF Extra Light" w:eastAsia="Arial" w:hAnsi="Artifex CF Extra Light" w:cs="Times New Roman"/>
          <w:color w:val="1F4E79" w:themeColor="accent1" w:themeShade="80"/>
          <w:spacing w:val="10"/>
          <w:sz w:val="18"/>
          <w:szCs w:val="18"/>
          <w:lang w:val="es-DO"/>
        </w:rPr>
        <w:lastRenderedPageBreak/>
        <w:t xml:space="preserve">reinserción </w:t>
      </w:r>
      <w:r w:rsidR="6AC3D01F" w:rsidRPr="007B3B38">
        <w:rPr>
          <w:rFonts w:ascii="Artifex CF Extra Light" w:eastAsia="Arial" w:hAnsi="Artifex CF Extra Light" w:cs="Times New Roman"/>
          <w:color w:val="1F4E79" w:themeColor="accent1" w:themeShade="80"/>
          <w:spacing w:val="10"/>
          <w:sz w:val="18"/>
          <w:szCs w:val="18"/>
          <w:lang w:val="es-DO"/>
        </w:rPr>
        <w:t>en el mercado internacional, y mitigar de esta forma el impacto negativo de la pandemia en el comercio</w:t>
      </w:r>
      <w:r w:rsidRPr="007B3B38">
        <w:rPr>
          <w:rFonts w:ascii="Artifex CF Extra Light" w:eastAsia="Arial" w:hAnsi="Artifex CF Extra Light" w:cs="Times New Roman"/>
          <w:color w:val="1F4E79" w:themeColor="accent1" w:themeShade="80"/>
          <w:spacing w:val="10"/>
          <w:sz w:val="18"/>
          <w:szCs w:val="18"/>
          <w:lang w:val="es-DO"/>
        </w:rPr>
        <w:t xml:space="preserve">. </w:t>
      </w:r>
    </w:p>
    <w:p w14:paraId="1C4BEECE" w14:textId="60FFC167" w:rsidR="00EF12B5" w:rsidRPr="007B3B38" w:rsidRDefault="00EF12B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 xml:space="preserve">El mismo </w:t>
      </w:r>
      <w:r w:rsidR="5FA6F6C9" w:rsidRPr="007B3B38">
        <w:rPr>
          <w:rFonts w:ascii="Artifex CF Extra Light" w:eastAsia="Arial" w:hAnsi="Artifex CF Extra Light" w:cs="Times New Roman"/>
          <w:color w:val="1F4E79" w:themeColor="accent1" w:themeShade="80"/>
          <w:spacing w:val="10"/>
          <w:sz w:val="18"/>
          <w:szCs w:val="18"/>
          <w:lang w:val="es-DO"/>
        </w:rPr>
        <w:t xml:space="preserve">se desarrolla bajo dos componentes: Fortalecimiento de la capacidad tecnológica de estas empresas, para si </w:t>
      </w:r>
      <w:r w:rsidR="00DB1E27" w:rsidRPr="007B3B38">
        <w:rPr>
          <w:rFonts w:ascii="Artifex CF Extra Light" w:eastAsia="Arial" w:hAnsi="Artifex CF Extra Light" w:cs="Times New Roman"/>
          <w:color w:val="1F4E79" w:themeColor="accent1" w:themeShade="80"/>
          <w:spacing w:val="10"/>
          <w:sz w:val="18"/>
          <w:szCs w:val="18"/>
          <w:lang w:val="es-DO"/>
        </w:rPr>
        <w:t>reinserción</w:t>
      </w:r>
      <w:r w:rsidR="5FA6F6C9" w:rsidRPr="007B3B38">
        <w:rPr>
          <w:rFonts w:ascii="Artifex CF Extra Light" w:eastAsia="Arial" w:hAnsi="Artifex CF Extra Light" w:cs="Times New Roman"/>
          <w:color w:val="1F4E79" w:themeColor="accent1" w:themeShade="80"/>
          <w:spacing w:val="10"/>
          <w:sz w:val="18"/>
          <w:szCs w:val="18"/>
          <w:lang w:val="es-DO"/>
        </w:rPr>
        <w:t xml:space="preserve"> en el comercio digital; y la </w:t>
      </w:r>
      <w:r w:rsidR="00DB1E27" w:rsidRPr="007B3B38">
        <w:rPr>
          <w:rFonts w:ascii="Artifex CF Extra Light" w:eastAsia="Arial" w:hAnsi="Artifex CF Extra Light" w:cs="Times New Roman"/>
          <w:color w:val="1F4E79" w:themeColor="accent1" w:themeShade="80"/>
          <w:spacing w:val="10"/>
          <w:sz w:val="18"/>
          <w:szCs w:val="18"/>
          <w:lang w:val="es-DO"/>
        </w:rPr>
        <w:t>dotación</w:t>
      </w:r>
      <w:r w:rsidR="5FA6F6C9" w:rsidRPr="007B3B38">
        <w:rPr>
          <w:rFonts w:ascii="Artifex CF Extra Light" w:eastAsia="Arial" w:hAnsi="Artifex CF Extra Light" w:cs="Times New Roman"/>
          <w:color w:val="1F4E79" w:themeColor="accent1" w:themeShade="80"/>
          <w:spacing w:val="10"/>
          <w:sz w:val="18"/>
          <w:szCs w:val="18"/>
          <w:lang w:val="es-DO"/>
        </w:rPr>
        <w:t xml:space="preserve"> de Kits de </w:t>
      </w:r>
      <w:r w:rsidRPr="007B3B38">
        <w:rPr>
          <w:rFonts w:ascii="Artifex CF Extra Light" w:eastAsia="Arial" w:hAnsi="Artifex CF Extra Light" w:cs="Times New Roman"/>
          <w:color w:val="1F4E79" w:themeColor="accent1" w:themeShade="80"/>
          <w:spacing w:val="10"/>
          <w:sz w:val="18"/>
          <w:szCs w:val="18"/>
          <w:lang w:val="es-DO"/>
        </w:rPr>
        <w:t>seguridad sanitaria</w:t>
      </w:r>
      <w:r w:rsidR="2438F4F9" w:rsidRPr="007B3B38">
        <w:rPr>
          <w:rFonts w:ascii="Artifex CF Extra Light" w:eastAsia="Arial" w:hAnsi="Artifex CF Extra Light" w:cs="Times New Roman"/>
          <w:color w:val="1F4E79" w:themeColor="accent1" w:themeShade="80"/>
          <w:spacing w:val="10"/>
          <w:sz w:val="18"/>
          <w:szCs w:val="18"/>
          <w:lang w:val="es-DO"/>
        </w:rPr>
        <w:t>, a los fines de reducir los riesgos de contagio durante el desenvolvimiento de sus labores diarias</w:t>
      </w:r>
      <w:r w:rsidRPr="007B3B38">
        <w:rPr>
          <w:rFonts w:ascii="Artifex CF Extra Light" w:eastAsia="Arial" w:hAnsi="Artifex CF Extra Light" w:cs="Times New Roman"/>
          <w:color w:val="1F4E79" w:themeColor="accent1" w:themeShade="80"/>
          <w:spacing w:val="10"/>
          <w:sz w:val="18"/>
          <w:szCs w:val="18"/>
          <w:lang w:val="es-DO"/>
        </w:rPr>
        <w:t>.</w:t>
      </w:r>
      <w:r w:rsidR="4CDC3E95" w:rsidRPr="007B3B38">
        <w:rPr>
          <w:rFonts w:ascii="Artifex CF Extra Light" w:eastAsia="Arial" w:hAnsi="Artifex CF Extra Light" w:cs="Times New Roman"/>
          <w:color w:val="1F4E79" w:themeColor="accent1" w:themeShade="80"/>
          <w:spacing w:val="10"/>
          <w:sz w:val="18"/>
          <w:szCs w:val="18"/>
          <w:lang w:val="es-DO"/>
        </w:rPr>
        <w:t xml:space="preserve"> </w:t>
      </w:r>
    </w:p>
    <w:p w14:paraId="539D1837" w14:textId="05A82A95" w:rsidR="00EF12B5" w:rsidRPr="007B3B38" w:rsidRDefault="4CDC3E95" w:rsidP="00864966">
      <w:pPr>
        <w:spacing w:before="380" w:after="120" w:line="456" w:lineRule="auto"/>
        <w:ind w:firstLine="284"/>
        <w:jc w:val="both"/>
        <w:rPr>
          <w:rFonts w:ascii="Artifex CF Extra Light" w:eastAsia="Arial"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 xml:space="preserve">Los </w:t>
      </w:r>
      <w:r w:rsidR="00EF12B5" w:rsidRPr="007B3B38">
        <w:rPr>
          <w:rFonts w:ascii="Artifex CF Extra Light" w:eastAsia="Arial" w:hAnsi="Artifex CF Extra Light" w:cs="Times New Roman"/>
          <w:color w:val="1F4E79" w:themeColor="accent1" w:themeShade="80"/>
          <w:spacing w:val="10"/>
          <w:sz w:val="18"/>
          <w:szCs w:val="18"/>
          <w:lang w:val="es-DO"/>
        </w:rPr>
        <w:t xml:space="preserve">resultados de este proyecto </w:t>
      </w:r>
      <w:r w:rsidRPr="007B3B38">
        <w:rPr>
          <w:rFonts w:ascii="Artifex CF Extra Light" w:eastAsia="Arial" w:hAnsi="Artifex CF Extra Light" w:cs="Times New Roman"/>
          <w:color w:val="1F4E79" w:themeColor="accent1" w:themeShade="80"/>
          <w:spacing w:val="10"/>
          <w:sz w:val="18"/>
          <w:szCs w:val="18"/>
          <w:lang w:val="es-DO"/>
        </w:rPr>
        <w:t>son</w:t>
      </w:r>
      <w:r w:rsidR="00EF12B5" w:rsidRPr="007B3B38">
        <w:rPr>
          <w:rFonts w:ascii="Artifex CF Extra Light" w:eastAsia="Arial" w:hAnsi="Artifex CF Extra Light" w:cs="Times New Roman"/>
          <w:color w:val="1F4E79" w:themeColor="accent1" w:themeShade="80"/>
          <w:spacing w:val="10"/>
          <w:sz w:val="18"/>
          <w:szCs w:val="18"/>
          <w:lang w:val="es-DO"/>
        </w:rPr>
        <w:t>:</w:t>
      </w:r>
    </w:p>
    <w:p w14:paraId="4CB6C57B" w14:textId="6E7EFB6B"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40 MiPymes con potencial exportador beneficiadas con Kits tecnológicos.</w:t>
      </w:r>
    </w:p>
    <w:p w14:paraId="1AC2CECF" w14:textId="6A60EA51"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100 empresas beneficiadas con la fumigación</w:t>
      </w:r>
      <w:r w:rsidR="7B6DB09C" w:rsidRPr="007B3B38">
        <w:rPr>
          <w:rFonts w:ascii="Artifex CF Extra Light" w:hAnsi="Artifex CF Extra Light" w:cs="Times New Roman"/>
          <w:color w:val="1F4E79" w:themeColor="accent1" w:themeShade="80"/>
          <w:spacing w:val="10"/>
          <w:sz w:val="18"/>
          <w:szCs w:val="18"/>
          <w:lang w:val="es-DO"/>
        </w:rPr>
        <w:t xml:space="preserve"> y desinfección</w:t>
      </w:r>
      <w:r w:rsidRPr="007B3B38">
        <w:rPr>
          <w:rFonts w:ascii="Artifex CF Extra Light" w:hAnsi="Artifex CF Extra Light" w:cs="Times New Roman"/>
          <w:color w:val="1F4E79" w:themeColor="accent1" w:themeShade="80"/>
          <w:spacing w:val="10"/>
          <w:sz w:val="18"/>
          <w:szCs w:val="18"/>
          <w:lang w:val="es-DO"/>
        </w:rPr>
        <w:t xml:space="preserve">. </w:t>
      </w:r>
    </w:p>
    <w:p w14:paraId="4DAA29AC" w14:textId="0DAEEAD1"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92 MiPymes beneficiadas con la entrega de kits sanitarios</w:t>
      </w:r>
      <w:r w:rsidR="7B786558" w:rsidRPr="007B3B38">
        <w:rPr>
          <w:rFonts w:ascii="Artifex CF Extra Light" w:hAnsi="Artifex CF Extra Light" w:cs="Times New Roman"/>
          <w:color w:val="1F4E79" w:themeColor="accent1" w:themeShade="80"/>
          <w:spacing w:val="10"/>
          <w:sz w:val="18"/>
          <w:szCs w:val="18"/>
          <w:lang w:val="es-DO"/>
        </w:rPr>
        <w:t xml:space="preserve"> (mascarillas, guantes, alcohol, gel desinfectante, </w:t>
      </w:r>
      <w:r w:rsidR="00CC4CCA" w:rsidRPr="007B3B38">
        <w:rPr>
          <w:rFonts w:ascii="Artifex CF Extra Light" w:hAnsi="Artifex CF Extra Light" w:cs="Times New Roman"/>
          <w:color w:val="1F4E79" w:themeColor="accent1" w:themeShade="80"/>
          <w:spacing w:val="10"/>
          <w:sz w:val="18"/>
          <w:szCs w:val="18"/>
          <w:lang w:val="es-DO"/>
        </w:rPr>
        <w:t>viseras</w:t>
      </w:r>
      <w:r w:rsidR="7B786558" w:rsidRPr="007B3B38">
        <w:rPr>
          <w:rFonts w:ascii="Artifex CF Extra Light" w:hAnsi="Artifex CF Extra Light" w:cs="Times New Roman"/>
          <w:color w:val="1F4E79" w:themeColor="accent1" w:themeShade="80"/>
          <w:spacing w:val="10"/>
          <w:sz w:val="18"/>
          <w:szCs w:val="18"/>
          <w:lang w:val="es-DO"/>
        </w:rPr>
        <w:t xml:space="preserve"> protectoras), con cobertura estimada para tr</w:t>
      </w:r>
      <w:r w:rsidR="0E89EB77" w:rsidRPr="007B3B38">
        <w:rPr>
          <w:rFonts w:ascii="Artifex CF Extra Light" w:hAnsi="Artifex CF Extra Light" w:cs="Times New Roman"/>
          <w:color w:val="1F4E79" w:themeColor="accent1" w:themeShade="80"/>
          <w:spacing w:val="10"/>
          <w:sz w:val="18"/>
          <w:szCs w:val="18"/>
          <w:lang w:val="es-DO"/>
        </w:rPr>
        <w:t>es meses (</w:t>
      </w:r>
      <w:r w:rsidR="00DB3B56" w:rsidRPr="007B3B38">
        <w:rPr>
          <w:rFonts w:ascii="Artifex CF Extra Light" w:hAnsi="Artifex CF Extra Light" w:cs="Times New Roman"/>
          <w:color w:val="1F4E79" w:themeColor="accent1" w:themeShade="80"/>
          <w:spacing w:val="10"/>
          <w:sz w:val="18"/>
          <w:szCs w:val="18"/>
          <w:lang w:val="es-DO"/>
        </w:rPr>
        <w:t>de acuerdo con</w:t>
      </w:r>
      <w:r w:rsidR="0E89EB77" w:rsidRPr="007B3B38">
        <w:rPr>
          <w:rFonts w:ascii="Artifex CF Extra Light" w:hAnsi="Artifex CF Extra Light" w:cs="Times New Roman"/>
          <w:color w:val="1F4E79" w:themeColor="accent1" w:themeShade="80"/>
          <w:spacing w:val="10"/>
          <w:sz w:val="18"/>
          <w:szCs w:val="18"/>
          <w:lang w:val="es-DO"/>
        </w:rPr>
        <w:t xml:space="preserve"> la cantidad de empleados de cada empresa.</w:t>
      </w:r>
    </w:p>
    <w:p w14:paraId="030E1EB9" w14:textId="7C42FD5E"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736 unidades de kits entregados.</w:t>
      </w:r>
    </w:p>
    <w:p w14:paraId="4FBD5E39" w14:textId="77777777" w:rsidR="00EF12B5" w:rsidRPr="00F475D6" w:rsidRDefault="00EF12B5" w:rsidP="00702674">
      <w:pPr>
        <w:pStyle w:val="Prrafodelista"/>
        <w:numPr>
          <w:ilvl w:val="2"/>
          <w:numId w:val="6"/>
        </w:numPr>
        <w:spacing w:before="380" w:after="120" w:line="456" w:lineRule="auto"/>
        <w:ind w:left="284" w:hanging="284"/>
        <w:jc w:val="center"/>
        <w:rPr>
          <w:rFonts w:ascii="Artifex CF Extra Light" w:hAnsi="Artifex CF Extra Light" w:cs="Times New Roman"/>
          <w:b/>
          <w:bCs/>
          <w:color w:val="1F4E79" w:themeColor="accent1" w:themeShade="80"/>
          <w:spacing w:val="10"/>
          <w:sz w:val="20"/>
          <w:szCs w:val="20"/>
          <w:lang w:val="es-DO"/>
        </w:rPr>
      </w:pPr>
      <w:bookmarkStart w:id="31" w:name="_Toc58332490"/>
      <w:r w:rsidRPr="00F475D6">
        <w:rPr>
          <w:rFonts w:ascii="Artifex CF Extra Light" w:hAnsi="Artifex CF Extra Light" w:cs="Times New Roman"/>
          <w:b/>
          <w:bCs/>
          <w:color w:val="1F4E79" w:themeColor="accent1" w:themeShade="80"/>
          <w:spacing w:val="10"/>
          <w:sz w:val="20"/>
          <w:szCs w:val="20"/>
          <w:lang w:val="es-DO"/>
        </w:rPr>
        <w:t>Habilitar la Línea de Apoyo al Exportador</w:t>
      </w:r>
      <w:bookmarkEnd w:id="31"/>
    </w:p>
    <w:p w14:paraId="2ED48155" w14:textId="36BD255B" w:rsidR="00EF12B5" w:rsidRPr="007B3B38" w:rsidRDefault="1A7CCFAC" w:rsidP="00864966">
      <w:pPr>
        <w:spacing w:before="380" w:after="120" w:line="456" w:lineRule="auto"/>
        <w:ind w:firstLine="284"/>
        <w:jc w:val="both"/>
        <w:rPr>
          <w:rFonts w:ascii="Artifex CF Extra Light" w:eastAsia="Arial"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Con esta</w:t>
      </w:r>
      <w:r w:rsidR="00EF12B5" w:rsidRPr="007B3B38">
        <w:rPr>
          <w:rFonts w:ascii="Artifex CF Extra Light" w:eastAsia="Arial" w:hAnsi="Artifex CF Extra Light" w:cs="Times New Roman"/>
          <w:color w:val="1F4E79" w:themeColor="accent1" w:themeShade="80"/>
          <w:spacing w:val="10"/>
          <w:sz w:val="18"/>
          <w:szCs w:val="18"/>
          <w:lang w:val="es-DO"/>
        </w:rPr>
        <w:t xml:space="preserve"> iniciativa </w:t>
      </w:r>
      <w:r w:rsidR="4CDE6EBC" w:rsidRPr="007B3B38">
        <w:rPr>
          <w:rFonts w:ascii="Artifex CF Extra Light" w:eastAsia="Arial" w:hAnsi="Artifex CF Extra Light" w:cs="Times New Roman"/>
          <w:color w:val="1F4E79" w:themeColor="accent1" w:themeShade="80"/>
          <w:spacing w:val="10"/>
          <w:sz w:val="18"/>
          <w:szCs w:val="18"/>
          <w:lang w:val="es-DO"/>
        </w:rPr>
        <w:t>s</w:t>
      </w:r>
      <w:r w:rsidR="00EF12B5" w:rsidRPr="007B3B38">
        <w:rPr>
          <w:rFonts w:ascii="Artifex CF Extra Light" w:eastAsia="Arial" w:hAnsi="Artifex CF Extra Light" w:cs="Times New Roman"/>
          <w:color w:val="1F4E79" w:themeColor="accent1" w:themeShade="80"/>
          <w:spacing w:val="10"/>
          <w:sz w:val="18"/>
          <w:szCs w:val="18"/>
          <w:lang w:val="es-DO"/>
        </w:rPr>
        <w:t xml:space="preserve">e busca proporcionar a los exportadores de una vía </w:t>
      </w:r>
      <w:r w:rsidR="76D8B5C5" w:rsidRPr="007B3B38">
        <w:rPr>
          <w:rFonts w:ascii="Artifex CF Extra Light" w:eastAsia="Arial" w:hAnsi="Artifex CF Extra Light" w:cs="Times New Roman"/>
          <w:color w:val="1F4E79" w:themeColor="accent1" w:themeShade="80"/>
          <w:spacing w:val="10"/>
          <w:sz w:val="18"/>
          <w:szCs w:val="18"/>
          <w:lang w:val="es-DO"/>
        </w:rPr>
        <w:t xml:space="preserve">única </w:t>
      </w:r>
      <w:r w:rsidR="00EF12B5" w:rsidRPr="007B3B38">
        <w:rPr>
          <w:rFonts w:ascii="Artifex CF Extra Light" w:eastAsia="Arial" w:hAnsi="Artifex CF Extra Light" w:cs="Times New Roman"/>
          <w:color w:val="1F4E79" w:themeColor="accent1" w:themeShade="80"/>
          <w:spacing w:val="10"/>
          <w:sz w:val="18"/>
          <w:szCs w:val="18"/>
          <w:lang w:val="es-DO"/>
        </w:rPr>
        <w:t xml:space="preserve">de contacto </w:t>
      </w:r>
      <w:r w:rsidR="3F13E45E" w:rsidRPr="007B3B38">
        <w:rPr>
          <w:rFonts w:ascii="Artifex CF Extra Light" w:eastAsia="Arial" w:hAnsi="Artifex CF Extra Light" w:cs="Times New Roman"/>
          <w:color w:val="1F4E79" w:themeColor="accent1" w:themeShade="80"/>
          <w:spacing w:val="10"/>
          <w:sz w:val="18"/>
          <w:szCs w:val="18"/>
          <w:lang w:val="es-DO"/>
        </w:rPr>
        <w:t>para</w:t>
      </w:r>
      <w:r w:rsidR="00EF12B5" w:rsidRPr="007B3B38">
        <w:rPr>
          <w:rFonts w:ascii="Artifex CF Extra Light" w:eastAsia="Arial" w:hAnsi="Artifex CF Extra Light" w:cs="Times New Roman"/>
          <w:color w:val="1F4E79" w:themeColor="accent1" w:themeShade="80"/>
          <w:spacing w:val="10"/>
          <w:sz w:val="18"/>
          <w:szCs w:val="18"/>
          <w:lang w:val="es-DO"/>
        </w:rPr>
        <w:t xml:space="preserve"> presentar sus inconvenientes durante el proceso logístico de exportación</w:t>
      </w:r>
      <w:r w:rsidR="798B4386" w:rsidRPr="007B3B38">
        <w:rPr>
          <w:rFonts w:ascii="Artifex CF Extra Light" w:eastAsia="Arial" w:hAnsi="Artifex CF Extra Light" w:cs="Times New Roman"/>
          <w:color w:val="1F4E79" w:themeColor="accent1" w:themeShade="80"/>
          <w:spacing w:val="10"/>
          <w:sz w:val="18"/>
          <w:szCs w:val="18"/>
          <w:lang w:val="es-DO"/>
        </w:rPr>
        <w:t>,</w:t>
      </w:r>
      <w:r w:rsidR="00EF12B5" w:rsidRPr="007B3B38">
        <w:rPr>
          <w:rFonts w:ascii="Artifex CF Extra Light" w:eastAsia="Arial" w:hAnsi="Artifex CF Extra Light" w:cs="Times New Roman"/>
          <w:color w:val="1F4E79" w:themeColor="accent1" w:themeShade="80"/>
          <w:spacing w:val="10"/>
          <w:sz w:val="18"/>
          <w:szCs w:val="18"/>
          <w:lang w:val="es-DO"/>
        </w:rPr>
        <w:t xml:space="preserve"> </w:t>
      </w:r>
      <w:r w:rsidR="6B95D4CA" w:rsidRPr="007B3B38">
        <w:rPr>
          <w:rFonts w:ascii="Artifex CF Extra Light" w:eastAsia="Arial" w:hAnsi="Artifex CF Extra Light" w:cs="Times New Roman"/>
          <w:color w:val="1F4E79" w:themeColor="accent1" w:themeShade="80"/>
          <w:spacing w:val="10"/>
          <w:sz w:val="18"/>
          <w:szCs w:val="18"/>
          <w:lang w:val="es-DO"/>
        </w:rPr>
        <w:t>a los fines de brindarles una</w:t>
      </w:r>
      <w:r w:rsidR="00EF12B5" w:rsidRPr="007B3B38">
        <w:rPr>
          <w:rFonts w:ascii="Artifex CF Extra Light" w:eastAsia="Arial" w:hAnsi="Artifex CF Extra Light" w:cs="Times New Roman"/>
          <w:color w:val="1F4E79" w:themeColor="accent1" w:themeShade="80"/>
          <w:spacing w:val="10"/>
          <w:sz w:val="18"/>
          <w:szCs w:val="18"/>
          <w:lang w:val="es-DO"/>
        </w:rPr>
        <w:t xml:space="preserve"> solución inmediata.</w:t>
      </w:r>
    </w:p>
    <w:p w14:paraId="30085097" w14:textId="6A289237" w:rsidR="00EF12B5" w:rsidRPr="007B3B38" w:rsidRDefault="04DA99C0"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Lo anterior</w:t>
      </w:r>
      <w:r w:rsidR="7A48BFAA" w:rsidRPr="007B3B38">
        <w:rPr>
          <w:rFonts w:ascii="Artifex CF Extra Light" w:eastAsia="Arial" w:hAnsi="Artifex CF Extra Light" w:cs="Times New Roman"/>
          <w:color w:val="1F4E79" w:themeColor="accent1" w:themeShade="80"/>
          <w:spacing w:val="10"/>
          <w:sz w:val="18"/>
          <w:szCs w:val="18"/>
          <w:lang w:val="es-DO"/>
        </w:rPr>
        <w:t xml:space="preserve">, </w:t>
      </w:r>
      <w:r w:rsidR="695436CE" w:rsidRPr="007B3B38">
        <w:rPr>
          <w:rFonts w:ascii="Artifex CF Extra Light" w:eastAsia="Arial" w:hAnsi="Artifex CF Extra Light" w:cs="Times New Roman"/>
          <w:color w:val="1F4E79" w:themeColor="accent1" w:themeShade="80"/>
          <w:spacing w:val="10"/>
          <w:sz w:val="18"/>
          <w:szCs w:val="18"/>
          <w:lang w:val="es-DO"/>
        </w:rPr>
        <w:t xml:space="preserve">logrado </w:t>
      </w:r>
      <w:r w:rsidR="7A48BFAA" w:rsidRPr="007B3B38">
        <w:rPr>
          <w:rFonts w:ascii="Artifex CF Extra Light" w:eastAsia="Arial" w:hAnsi="Artifex CF Extra Light" w:cs="Times New Roman"/>
          <w:color w:val="1F4E79" w:themeColor="accent1" w:themeShade="80"/>
          <w:spacing w:val="10"/>
          <w:sz w:val="18"/>
          <w:szCs w:val="18"/>
          <w:lang w:val="es-DO"/>
        </w:rPr>
        <w:t xml:space="preserve">a partir de acuerdos </w:t>
      </w:r>
      <w:r w:rsidR="00EF12B5" w:rsidRPr="007B3B38">
        <w:rPr>
          <w:rFonts w:ascii="Artifex CF Extra Light" w:eastAsia="Arial" w:hAnsi="Artifex CF Extra Light" w:cs="Times New Roman"/>
          <w:color w:val="1F4E79" w:themeColor="accent1" w:themeShade="80"/>
          <w:spacing w:val="10"/>
          <w:sz w:val="18"/>
          <w:szCs w:val="18"/>
          <w:lang w:val="es-DO"/>
        </w:rPr>
        <w:t>interinstitucionales,</w:t>
      </w:r>
      <w:r w:rsidR="489BF4AB" w:rsidRPr="007B3B38">
        <w:rPr>
          <w:rFonts w:ascii="Artifex CF Extra Light" w:eastAsia="Arial" w:hAnsi="Artifex CF Extra Light" w:cs="Times New Roman"/>
          <w:color w:val="1F4E79" w:themeColor="accent1" w:themeShade="80"/>
          <w:spacing w:val="10"/>
          <w:sz w:val="18"/>
          <w:szCs w:val="18"/>
          <w:lang w:val="es-DO"/>
        </w:rPr>
        <w:t xml:space="preserve"> donde se</w:t>
      </w:r>
      <w:r w:rsidR="6AB75FC8" w:rsidRPr="007B3B38">
        <w:rPr>
          <w:rFonts w:ascii="Artifex CF Extra Light" w:eastAsia="Arial" w:hAnsi="Artifex CF Extra Light" w:cs="Times New Roman"/>
          <w:color w:val="1F4E79" w:themeColor="accent1" w:themeShade="80"/>
          <w:spacing w:val="10"/>
          <w:sz w:val="18"/>
          <w:szCs w:val="18"/>
          <w:lang w:val="es-DO"/>
        </w:rPr>
        <w:t xml:space="preserve"> estableci</w:t>
      </w:r>
      <w:r w:rsidR="7902869D" w:rsidRPr="007B3B38">
        <w:rPr>
          <w:rFonts w:ascii="Artifex CF Extra Light" w:eastAsia="Arial" w:hAnsi="Artifex CF Extra Light" w:cs="Times New Roman"/>
          <w:color w:val="1F4E79" w:themeColor="accent1" w:themeShade="80"/>
          <w:spacing w:val="10"/>
          <w:sz w:val="18"/>
          <w:szCs w:val="18"/>
          <w:lang w:val="es-DO"/>
        </w:rPr>
        <w:t xml:space="preserve">eron </w:t>
      </w:r>
      <w:r w:rsidR="6AB75FC8" w:rsidRPr="007B3B38">
        <w:rPr>
          <w:rFonts w:ascii="Artifex CF Extra Light" w:eastAsia="Arial" w:hAnsi="Artifex CF Extra Light" w:cs="Times New Roman"/>
          <w:color w:val="1F4E79" w:themeColor="accent1" w:themeShade="80"/>
          <w:spacing w:val="10"/>
          <w:sz w:val="18"/>
          <w:szCs w:val="18"/>
          <w:lang w:val="es-DO"/>
        </w:rPr>
        <w:t xml:space="preserve">los canales de comunicación </w:t>
      </w:r>
      <w:r w:rsidR="0ADF558A" w:rsidRPr="007B3B38">
        <w:rPr>
          <w:rFonts w:ascii="Artifex CF Extra Light" w:eastAsia="Arial" w:hAnsi="Artifex CF Extra Light" w:cs="Times New Roman"/>
          <w:color w:val="1F4E79" w:themeColor="accent1" w:themeShade="80"/>
          <w:spacing w:val="10"/>
          <w:sz w:val="18"/>
          <w:szCs w:val="18"/>
          <w:lang w:val="es-DO"/>
        </w:rPr>
        <w:t xml:space="preserve">que permitan dar solución inmediata a las </w:t>
      </w:r>
      <w:r w:rsidR="00EF12B5" w:rsidRPr="007B3B38">
        <w:rPr>
          <w:rFonts w:ascii="Artifex CF Extra Light" w:eastAsia="Arial" w:hAnsi="Artifex CF Extra Light" w:cs="Times New Roman"/>
          <w:color w:val="1F4E79" w:themeColor="accent1" w:themeShade="80"/>
          <w:spacing w:val="10"/>
          <w:sz w:val="18"/>
          <w:szCs w:val="18"/>
          <w:lang w:val="es-DO"/>
        </w:rPr>
        <w:t>trabas</w:t>
      </w:r>
      <w:r w:rsidR="51F9178E" w:rsidRPr="007B3B38">
        <w:rPr>
          <w:rFonts w:ascii="Artifex CF Extra Light" w:eastAsia="Arial" w:hAnsi="Artifex CF Extra Light" w:cs="Times New Roman"/>
          <w:color w:val="1F4E79" w:themeColor="accent1" w:themeShade="80"/>
          <w:spacing w:val="10"/>
          <w:sz w:val="18"/>
          <w:szCs w:val="18"/>
          <w:lang w:val="es-DO"/>
        </w:rPr>
        <w:t xml:space="preserve"> presentadas por los exportadores</w:t>
      </w:r>
      <w:r w:rsidR="00EF12B5" w:rsidRPr="007B3B38">
        <w:rPr>
          <w:rFonts w:ascii="Artifex CF Extra Light" w:eastAsia="Arial" w:hAnsi="Artifex CF Extra Light" w:cs="Times New Roman"/>
          <w:color w:val="1F4E79" w:themeColor="accent1" w:themeShade="80"/>
          <w:spacing w:val="10"/>
          <w:sz w:val="18"/>
          <w:szCs w:val="18"/>
          <w:lang w:val="es-DO"/>
        </w:rPr>
        <w:t xml:space="preserve">, </w:t>
      </w:r>
      <w:r w:rsidR="7C67DBC6" w:rsidRPr="007B3B38">
        <w:rPr>
          <w:rFonts w:ascii="Artifex CF Extra Light" w:eastAsia="Arial" w:hAnsi="Artifex CF Extra Light" w:cs="Times New Roman"/>
          <w:color w:val="1F4E79" w:themeColor="accent1" w:themeShade="80"/>
          <w:spacing w:val="10"/>
          <w:sz w:val="18"/>
          <w:szCs w:val="18"/>
          <w:lang w:val="es-DO"/>
        </w:rPr>
        <w:t xml:space="preserve">y </w:t>
      </w:r>
      <w:r w:rsidR="00EF12B5" w:rsidRPr="007B3B38">
        <w:rPr>
          <w:rFonts w:ascii="Artifex CF Extra Light" w:eastAsia="Arial" w:hAnsi="Artifex CF Extra Light" w:cs="Times New Roman"/>
          <w:color w:val="1F4E79" w:themeColor="accent1" w:themeShade="80"/>
          <w:spacing w:val="10"/>
          <w:sz w:val="18"/>
          <w:szCs w:val="18"/>
          <w:lang w:val="es-DO"/>
        </w:rPr>
        <w:t xml:space="preserve">mitigando así el riesgo de que este pierda la capacidad de completar el negocio programado, y con esto la generación de pérdidas económicas. </w:t>
      </w:r>
    </w:p>
    <w:p w14:paraId="36BBC3D4" w14:textId="227259CF" w:rsidR="00EF12B5" w:rsidRPr="007B3B38" w:rsidRDefault="00EF12B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lastRenderedPageBreak/>
        <w:t xml:space="preserve">Este proyecto se ha lanzado </w:t>
      </w:r>
      <w:r w:rsidR="49157211" w:rsidRPr="007B3B38">
        <w:rPr>
          <w:rFonts w:ascii="Artifex CF Extra Light" w:eastAsia="Arial" w:hAnsi="Artifex CF Extra Light" w:cs="Times New Roman"/>
          <w:color w:val="1F4E79" w:themeColor="accent1" w:themeShade="80"/>
          <w:spacing w:val="10"/>
          <w:sz w:val="18"/>
          <w:szCs w:val="18"/>
          <w:lang w:val="es-DO"/>
        </w:rPr>
        <w:t xml:space="preserve">inicialmente </w:t>
      </w:r>
      <w:r w:rsidRPr="007B3B38">
        <w:rPr>
          <w:rFonts w:ascii="Artifex CF Extra Light" w:eastAsia="Arial" w:hAnsi="Artifex CF Extra Light" w:cs="Times New Roman"/>
          <w:color w:val="1F4E79" w:themeColor="accent1" w:themeShade="80"/>
          <w:spacing w:val="10"/>
          <w:sz w:val="18"/>
          <w:szCs w:val="18"/>
          <w:lang w:val="es-DO"/>
        </w:rPr>
        <w:t xml:space="preserve">en coordinación con las </w:t>
      </w:r>
      <w:r w:rsidR="0C140CBC" w:rsidRPr="007B3B38">
        <w:rPr>
          <w:rFonts w:ascii="Artifex CF Extra Light" w:eastAsia="Arial" w:hAnsi="Artifex CF Extra Light" w:cs="Times New Roman"/>
          <w:color w:val="1F4E79" w:themeColor="accent1" w:themeShade="80"/>
          <w:spacing w:val="10"/>
          <w:sz w:val="18"/>
          <w:szCs w:val="18"/>
          <w:lang w:val="es-DO"/>
        </w:rPr>
        <w:t xml:space="preserve">siguientes </w:t>
      </w:r>
      <w:r w:rsidRPr="007B3B38">
        <w:rPr>
          <w:rFonts w:ascii="Artifex CF Extra Light" w:eastAsia="Arial" w:hAnsi="Artifex CF Extra Light" w:cs="Times New Roman"/>
          <w:color w:val="1F4E79" w:themeColor="accent1" w:themeShade="80"/>
          <w:spacing w:val="10"/>
          <w:sz w:val="18"/>
          <w:szCs w:val="18"/>
          <w:lang w:val="es-DO"/>
        </w:rPr>
        <w:t xml:space="preserve">instituciones: </w:t>
      </w:r>
    </w:p>
    <w:p w14:paraId="5C5472DB" w14:textId="77777777"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Dirección General de Aduanas (DGA) </w:t>
      </w:r>
    </w:p>
    <w:p w14:paraId="2EC72968" w14:textId="77777777"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Dirección Nacional de Control de Drogas (DNCD) </w:t>
      </w:r>
    </w:p>
    <w:p w14:paraId="298C3933" w14:textId="77777777"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Ministerio de Agricultura </w:t>
      </w:r>
    </w:p>
    <w:p w14:paraId="037B18C5" w14:textId="77777777"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Ministerio de Defensa </w:t>
      </w:r>
    </w:p>
    <w:p w14:paraId="2471FCBC" w14:textId="77777777" w:rsidR="00EF12B5" w:rsidRPr="007B3B38" w:rsidRDefault="00EF12B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Ministerio de Salud Pública. </w:t>
      </w:r>
    </w:p>
    <w:p w14:paraId="43F9707E" w14:textId="456192BE" w:rsidR="00EF12B5" w:rsidRPr="007B3B38" w:rsidRDefault="00EF12B5" w:rsidP="00864966">
      <w:pPr>
        <w:spacing w:before="380" w:after="120" w:line="456" w:lineRule="auto"/>
        <w:ind w:firstLine="284"/>
        <w:jc w:val="both"/>
        <w:rPr>
          <w:rFonts w:ascii="Artifex CF Extra Light" w:eastAsia="Arial" w:hAnsi="Artifex CF Extra Light" w:cs="Times New Roman"/>
          <w:color w:val="1F4E79" w:themeColor="accent1" w:themeShade="80"/>
          <w:spacing w:val="10"/>
          <w:sz w:val="18"/>
          <w:szCs w:val="18"/>
          <w:lang w:val="es-DO"/>
        </w:rPr>
      </w:pPr>
      <w:r w:rsidRPr="007B3B38">
        <w:rPr>
          <w:rFonts w:ascii="Artifex CF Extra Light" w:eastAsia="Arial" w:hAnsi="Artifex CF Extra Light" w:cs="Times New Roman"/>
          <w:color w:val="1F4E79" w:themeColor="accent1" w:themeShade="80"/>
          <w:spacing w:val="10"/>
          <w:sz w:val="18"/>
          <w:szCs w:val="18"/>
          <w:lang w:val="es-DO"/>
        </w:rPr>
        <w:t>En cada una de estas instituciones ya se cuenta con un técnico institucional designado que está fungiendo como enlace para atender las solicitudes.</w:t>
      </w:r>
    </w:p>
    <w:p w14:paraId="54759E83" w14:textId="70C5EB8B" w:rsidR="00817804" w:rsidRPr="00F475D6" w:rsidRDefault="00817804" w:rsidP="00702674">
      <w:pPr>
        <w:pStyle w:val="Prrafodelista"/>
        <w:numPr>
          <w:ilvl w:val="2"/>
          <w:numId w:val="6"/>
        </w:numPr>
        <w:spacing w:before="380" w:after="120" w:line="456" w:lineRule="auto"/>
        <w:ind w:left="284" w:hanging="284"/>
        <w:jc w:val="center"/>
        <w:rPr>
          <w:rFonts w:ascii="Artifex CF Extra Light" w:hAnsi="Artifex CF Extra Light" w:cs="Times New Roman"/>
          <w:b/>
          <w:bCs/>
          <w:color w:val="1F4E79" w:themeColor="accent1" w:themeShade="80"/>
          <w:spacing w:val="10"/>
          <w:sz w:val="20"/>
          <w:szCs w:val="20"/>
          <w:lang w:val="es-DO"/>
        </w:rPr>
      </w:pPr>
      <w:r w:rsidRPr="00F475D6">
        <w:rPr>
          <w:rFonts w:ascii="Artifex CF Extra Light" w:hAnsi="Artifex CF Extra Light" w:cs="Times New Roman"/>
          <w:b/>
          <w:bCs/>
          <w:color w:val="1F4E79" w:themeColor="accent1" w:themeShade="80"/>
          <w:spacing w:val="10"/>
          <w:sz w:val="20"/>
          <w:szCs w:val="20"/>
          <w:lang w:val="es-DO"/>
        </w:rPr>
        <w:t>Plan de Formación en Comercio Internacional</w:t>
      </w:r>
      <w:r w:rsidR="11BE81DF" w:rsidRPr="00F475D6">
        <w:rPr>
          <w:rFonts w:ascii="Artifex CF Extra Light" w:hAnsi="Artifex CF Extra Light" w:cs="Times New Roman"/>
          <w:b/>
          <w:bCs/>
          <w:color w:val="1F4E79" w:themeColor="accent1" w:themeShade="80"/>
          <w:spacing w:val="10"/>
          <w:sz w:val="20"/>
          <w:szCs w:val="20"/>
          <w:lang w:val="es-DO"/>
        </w:rPr>
        <w:t xml:space="preserve"> (Capacitaciones al público)</w:t>
      </w:r>
    </w:p>
    <w:p w14:paraId="3F4EFB81" w14:textId="77777777" w:rsidR="00817804" w:rsidRPr="007B3B38" w:rsidRDefault="0081780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El Plan de Formación en Comercio Internacional de ProDominicana provee a los exportadores las competencias para el ejercicio exitoso de la actividad económica y productiva de la exportación, acorde con los requerimientos de los sectores productivos y las necesidades de los mercados internacionales. Está diseñado para que el exportador o emprendedor en comercio internacional adquiera los conocimientos, habilidades, destrezas y actitudes que se necesitan para adecuarse a los cambios y satisfacer la demanda de los consumidores alrededor del mundo con productos y servicios de alta calidad.</w:t>
      </w:r>
    </w:p>
    <w:p w14:paraId="18C8FD8F" w14:textId="45DAB870" w:rsidR="00817804" w:rsidRPr="007B3B38" w:rsidRDefault="3954A97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ProDominicana ha transformado su oferta de capacitación para asumir los retos que presenta enseñar con calidad en un entorno impactado por el COVID-19, migrándola a la virtualidad para formar a los exportadores en un ambiente sano y </w:t>
      </w:r>
      <w:r w:rsidRPr="007B3B38">
        <w:rPr>
          <w:rFonts w:ascii="Artifex CF Extra Light" w:hAnsi="Artifex CF Extra Light" w:cs="Times New Roman"/>
          <w:color w:val="1F4E79" w:themeColor="accent1" w:themeShade="80"/>
          <w:spacing w:val="10"/>
          <w:sz w:val="18"/>
          <w:szCs w:val="18"/>
          <w:lang w:val="es-DO"/>
        </w:rPr>
        <w:lastRenderedPageBreak/>
        <w:t>seguro. Se han creado los cursos en Modalidad Virtual y Semipresencial, utilizando la plataforma educativa “Capacita” para las interacciones y actividades de enseñanza, aprendizaje y evaluación, tanto sincrónicas como asincrónicas entre el instructor y los participantes.</w:t>
      </w:r>
    </w:p>
    <w:p w14:paraId="243C9950" w14:textId="6AD91B65" w:rsidR="00817804" w:rsidRPr="007B3B38" w:rsidRDefault="0081780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La oferta de formación abarca cada uno de los segmentos en que se encuentran nuestros clientes y ha sido diseñada para guiar la capacidad exportadora de las empresas y potenciales exportadoras, dotándolas de capacidades de gestión empresarial, para su incursión, desarrollo y consolidación en su proceso de internacionalización.</w:t>
      </w:r>
    </w:p>
    <w:p w14:paraId="43D25FEA" w14:textId="77777777" w:rsidR="00817804" w:rsidRPr="007B3B38" w:rsidRDefault="0081780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tal sentido, el mismo está compuesto por los programas siguientes:</w:t>
      </w:r>
    </w:p>
    <w:p w14:paraId="78B66347"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Programa Cultura Exportadora</w:t>
      </w:r>
    </w:p>
    <w:p w14:paraId="080BA1BE"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Programa Focalizado MiPymes con Potencial Exportador </w:t>
      </w:r>
    </w:p>
    <w:p w14:paraId="4148AEBF"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Programa Formación al Exportador</w:t>
      </w:r>
    </w:p>
    <w:p w14:paraId="1C649C1F"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Programa Comercio Internacional Para Comunicadores y Periodistas</w:t>
      </w:r>
    </w:p>
    <w:p w14:paraId="5AC616B8"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Programa de Formación de los Representantes Consulares y Comerciales (Coordinado con MIREX)</w:t>
      </w:r>
    </w:p>
    <w:p w14:paraId="7C62794A"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Oferta Continua Cursos Complementarios</w:t>
      </w:r>
    </w:p>
    <w:p w14:paraId="68D41406" w14:textId="7D70A3BD"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Oferta Cursos Abiertos en Línea (</w:t>
      </w:r>
      <w:r w:rsidR="00CC4CCA" w:rsidRPr="007B3B38">
        <w:rPr>
          <w:rFonts w:ascii="Artifex CF Extra Light" w:hAnsi="Artifex CF Extra Light" w:cs="Times New Roman"/>
          <w:color w:val="1F4E79" w:themeColor="accent1" w:themeShade="80"/>
          <w:spacing w:val="10"/>
          <w:sz w:val="18"/>
          <w:szCs w:val="18"/>
          <w:lang w:val="es-DO"/>
        </w:rPr>
        <w:t>MOOC</w:t>
      </w:r>
      <w:r w:rsidRPr="007B3B38">
        <w:rPr>
          <w:rFonts w:ascii="Artifex CF Extra Light" w:hAnsi="Artifex CF Extra Light" w:cs="Times New Roman"/>
          <w:color w:val="1F4E79" w:themeColor="accent1" w:themeShade="80"/>
          <w:spacing w:val="10"/>
          <w:sz w:val="18"/>
          <w:szCs w:val="18"/>
          <w:lang w:val="es-DO"/>
        </w:rPr>
        <w:t>)</w:t>
      </w:r>
    </w:p>
    <w:p w14:paraId="2B112C08" w14:textId="77777777" w:rsidR="00817804" w:rsidRPr="00F475D6" w:rsidRDefault="00817804" w:rsidP="00702674">
      <w:pPr>
        <w:pStyle w:val="Prrafodelista"/>
        <w:numPr>
          <w:ilvl w:val="2"/>
          <w:numId w:val="6"/>
        </w:numPr>
        <w:spacing w:before="380" w:after="120" w:line="456" w:lineRule="auto"/>
        <w:ind w:left="284" w:hanging="284"/>
        <w:jc w:val="center"/>
        <w:rPr>
          <w:rFonts w:ascii="Artifex CF Extra Light" w:hAnsi="Artifex CF Extra Light" w:cs="Times New Roman"/>
          <w:b/>
          <w:bCs/>
          <w:color w:val="1F4E79" w:themeColor="accent1" w:themeShade="80"/>
          <w:spacing w:val="10"/>
          <w:sz w:val="20"/>
          <w:szCs w:val="20"/>
          <w:lang w:val="es-DO"/>
        </w:rPr>
      </w:pPr>
      <w:bookmarkStart w:id="32" w:name="_Toc58332500"/>
      <w:r w:rsidRPr="00F475D6">
        <w:rPr>
          <w:rFonts w:ascii="Artifex CF Extra Light" w:hAnsi="Artifex CF Extra Light" w:cs="Times New Roman"/>
          <w:b/>
          <w:bCs/>
          <w:color w:val="1F4E79" w:themeColor="accent1" w:themeShade="80"/>
          <w:spacing w:val="10"/>
          <w:sz w:val="20"/>
          <w:szCs w:val="20"/>
          <w:lang w:val="es-DO"/>
        </w:rPr>
        <w:t>Lanzamiento ProDominicana</w:t>
      </w:r>
      <w:bookmarkEnd w:id="32"/>
    </w:p>
    <w:p w14:paraId="487EDB22" w14:textId="175CD680" w:rsidR="00817804" w:rsidRPr="007B3B38" w:rsidRDefault="0081780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6 de octubre se realizó en lanzamiento de ProDominicana, como resultado del proceso de rebranding del CEIRD. ProDominicana se lanza para cambiar la percepción </w:t>
      </w:r>
      <w:r w:rsidRPr="007B3B38">
        <w:rPr>
          <w:rFonts w:ascii="Artifex CF Extra Light" w:hAnsi="Artifex CF Extra Light" w:cs="Times New Roman"/>
          <w:color w:val="1F4E79" w:themeColor="accent1" w:themeShade="80"/>
          <w:spacing w:val="10"/>
          <w:sz w:val="18"/>
          <w:szCs w:val="18"/>
          <w:lang w:val="es-DO"/>
        </w:rPr>
        <w:lastRenderedPageBreak/>
        <w:t>de la institución y crear una nueva propuesta de valor para cumplir con su misión de promotor de las exportaciones e inversiones de la República Dominicana.</w:t>
      </w:r>
    </w:p>
    <w:p w14:paraId="55C4476A" w14:textId="5B1B97F3" w:rsidR="00817804" w:rsidRPr="007B3B38" w:rsidRDefault="09BA3951"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L</w:t>
      </w:r>
      <w:r w:rsidR="00817804" w:rsidRPr="007B3B38">
        <w:rPr>
          <w:rFonts w:ascii="Artifex CF Extra Light" w:hAnsi="Artifex CF Extra Light" w:cs="Times New Roman"/>
          <w:color w:val="1F4E79" w:themeColor="accent1" w:themeShade="80"/>
          <w:spacing w:val="10"/>
          <w:sz w:val="18"/>
          <w:szCs w:val="18"/>
          <w:lang w:val="es-DO"/>
        </w:rPr>
        <w:t xml:space="preserve">a nueva identidad visual </w:t>
      </w:r>
      <w:r w:rsidR="00CC4CCA" w:rsidRPr="007B3B38">
        <w:rPr>
          <w:rFonts w:ascii="Artifex CF Extra Light" w:hAnsi="Artifex CF Extra Light" w:cs="Times New Roman"/>
          <w:color w:val="1F4E79" w:themeColor="accent1" w:themeShade="80"/>
          <w:spacing w:val="10"/>
          <w:sz w:val="18"/>
          <w:szCs w:val="18"/>
          <w:lang w:val="es-DO"/>
        </w:rPr>
        <w:t>incluye</w:t>
      </w:r>
      <w:r w:rsidR="00817804" w:rsidRPr="007B3B38">
        <w:rPr>
          <w:rFonts w:ascii="Artifex CF Extra Light" w:hAnsi="Artifex CF Extra Light" w:cs="Times New Roman"/>
          <w:color w:val="1F4E79" w:themeColor="accent1" w:themeShade="80"/>
          <w:spacing w:val="10"/>
          <w:sz w:val="18"/>
          <w:szCs w:val="18"/>
          <w:lang w:val="es-DO"/>
        </w:rPr>
        <w:t xml:space="preserve"> una oferta actualizada y mejorada de </w:t>
      </w:r>
      <w:r w:rsidR="299B3658" w:rsidRPr="007B3B38">
        <w:rPr>
          <w:rFonts w:ascii="Artifex CF Extra Light" w:hAnsi="Artifex CF Extra Light" w:cs="Times New Roman"/>
          <w:color w:val="1F4E79" w:themeColor="accent1" w:themeShade="80"/>
          <w:spacing w:val="10"/>
          <w:sz w:val="18"/>
          <w:szCs w:val="18"/>
          <w:lang w:val="es-DO"/>
        </w:rPr>
        <w:t xml:space="preserve">los </w:t>
      </w:r>
      <w:r w:rsidR="00817804" w:rsidRPr="007B3B38">
        <w:rPr>
          <w:rFonts w:ascii="Artifex CF Extra Light" w:hAnsi="Artifex CF Extra Light" w:cs="Times New Roman"/>
          <w:color w:val="1F4E79" w:themeColor="accent1" w:themeShade="80"/>
          <w:spacing w:val="10"/>
          <w:sz w:val="18"/>
          <w:szCs w:val="18"/>
          <w:lang w:val="es-DO"/>
        </w:rPr>
        <w:t>servicios</w:t>
      </w:r>
      <w:r w:rsidR="6175612E" w:rsidRPr="007B3B38">
        <w:rPr>
          <w:rFonts w:ascii="Artifex CF Extra Light" w:hAnsi="Artifex CF Extra Light" w:cs="Times New Roman"/>
          <w:color w:val="1F4E79" w:themeColor="accent1" w:themeShade="80"/>
          <w:spacing w:val="10"/>
          <w:sz w:val="18"/>
          <w:szCs w:val="18"/>
          <w:lang w:val="es-DO"/>
        </w:rPr>
        <w:t xml:space="preserve"> institucionales</w:t>
      </w:r>
      <w:r w:rsidR="00817804" w:rsidRPr="007B3B38">
        <w:rPr>
          <w:rFonts w:ascii="Artifex CF Extra Light" w:hAnsi="Artifex CF Extra Light" w:cs="Times New Roman"/>
          <w:color w:val="1F4E79" w:themeColor="accent1" w:themeShade="80"/>
          <w:spacing w:val="10"/>
          <w:sz w:val="18"/>
          <w:szCs w:val="18"/>
          <w:lang w:val="es-DO"/>
        </w:rPr>
        <w:t>, a</w:t>
      </w:r>
      <w:r w:rsidR="628C290F" w:rsidRPr="007B3B38">
        <w:rPr>
          <w:rFonts w:ascii="Artifex CF Extra Light" w:hAnsi="Artifex CF Extra Light" w:cs="Times New Roman"/>
          <w:color w:val="1F4E79" w:themeColor="accent1" w:themeShade="80"/>
          <w:spacing w:val="10"/>
          <w:sz w:val="18"/>
          <w:szCs w:val="18"/>
          <w:lang w:val="es-DO"/>
        </w:rPr>
        <w:t>sí como un</w:t>
      </w:r>
      <w:r w:rsidR="00817804" w:rsidRPr="007B3B38">
        <w:rPr>
          <w:rFonts w:ascii="Artifex CF Extra Light" w:hAnsi="Artifex CF Extra Light" w:cs="Times New Roman"/>
          <w:color w:val="1F4E79" w:themeColor="accent1" w:themeShade="80"/>
          <w:spacing w:val="10"/>
          <w:sz w:val="18"/>
          <w:szCs w:val="18"/>
          <w:lang w:val="es-DO"/>
        </w:rPr>
        <w:t xml:space="preserve"> rebranding</w:t>
      </w:r>
      <w:r w:rsidR="28E8926E" w:rsidRPr="007B3B38">
        <w:rPr>
          <w:rFonts w:ascii="Artifex CF Extra Light" w:hAnsi="Artifex CF Extra Light" w:cs="Times New Roman"/>
          <w:color w:val="1F4E79" w:themeColor="accent1" w:themeShade="80"/>
          <w:spacing w:val="10"/>
          <w:sz w:val="18"/>
          <w:szCs w:val="18"/>
          <w:lang w:val="es-DO"/>
        </w:rPr>
        <w:t>, que</w:t>
      </w:r>
      <w:r w:rsidR="00817804" w:rsidRPr="007B3B38">
        <w:rPr>
          <w:rFonts w:ascii="Artifex CF Extra Light" w:hAnsi="Artifex CF Extra Light" w:cs="Times New Roman"/>
          <w:color w:val="1F4E79" w:themeColor="accent1" w:themeShade="80"/>
          <w:spacing w:val="10"/>
          <w:sz w:val="18"/>
          <w:szCs w:val="18"/>
          <w:lang w:val="es-DO"/>
        </w:rPr>
        <w:t xml:space="preserve"> incluye:</w:t>
      </w:r>
    </w:p>
    <w:p w14:paraId="65F483F9"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Identidad Visual de la Marca </w:t>
      </w:r>
    </w:p>
    <w:p w14:paraId="7077D8D2"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Propuesta de Valor de la Marca </w:t>
      </w:r>
    </w:p>
    <w:p w14:paraId="40C5E9AC" w14:textId="77777777" w:rsidR="00817804" w:rsidRPr="007B3B38" w:rsidRDefault="00817804"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Servicios y Productos que componen la Marca </w:t>
      </w:r>
    </w:p>
    <w:p w14:paraId="03A24F38" w14:textId="77777777" w:rsidR="00817804" w:rsidRPr="007B3B38" w:rsidRDefault="0081780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La nueva visión del ProDominicana busca posicionar a la institución como el aliado estratégico por excelencia de los exportadores dominicanos, potenciales exportadores, compradores internacionales e inversionistas extranjeros. </w:t>
      </w:r>
    </w:p>
    <w:p w14:paraId="4B474E53" w14:textId="010B9CC3" w:rsidR="009069C8" w:rsidRPr="007B3B38" w:rsidRDefault="0081780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Por otro lado, </w:t>
      </w:r>
      <w:r w:rsidR="5ADF599E" w:rsidRPr="007B3B38">
        <w:rPr>
          <w:rFonts w:ascii="Artifex CF Extra Light" w:hAnsi="Artifex CF Extra Light" w:cs="Times New Roman"/>
          <w:color w:val="1F4E79" w:themeColor="accent1" w:themeShade="80"/>
          <w:spacing w:val="10"/>
          <w:sz w:val="18"/>
          <w:szCs w:val="18"/>
          <w:lang w:val="es-DO"/>
        </w:rPr>
        <w:t xml:space="preserve">con este rebranding </w:t>
      </w:r>
      <w:r w:rsidRPr="007B3B38">
        <w:rPr>
          <w:rFonts w:ascii="Artifex CF Extra Light" w:hAnsi="Artifex CF Extra Light" w:cs="Times New Roman"/>
          <w:color w:val="1F4E79" w:themeColor="accent1" w:themeShade="80"/>
          <w:spacing w:val="10"/>
          <w:sz w:val="18"/>
          <w:szCs w:val="18"/>
          <w:lang w:val="es-DO"/>
        </w:rPr>
        <w:t>se da cumplimiento a lo establecido en el Decreto No. 275-17, como parte del proceso de implementación de la Estrategia Nacional de Promoción de las Exportaciones y Atracción de Inversiones.</w:t>
      </w:r>
    </w:p>
    <w:p w14:paraId="4E7C08E0" w14:textId="6A56AD63" w:rsidR="001B03B5" w:rsidRPr="007B3B38" w:rsidRDefault="00D75310"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b/>
          <w:color w:val="1F4E79" w:themeColor="accent1" w:themeShade="80"/>
          <w:spacing w:val="10"/>
          <w:sz w:val="18"/>
          <w:szCs w:val="18"/>
          <w:lang w:val="es-DO"/>
        </w:rPr>
        <w:t>Campaña de posicionamiento</w:t>
      </w:r>
      <w:r w:rsidR="6F00111F" w:rsidRPr="007B3B38">
        <w:rPr>
          <w:rFonts w:ascii="Artifex CF Extra Light" w:hAnsi="Artifex CF Extra Light" w:cs="Times New Roman"/>
          <w:b/>
          <w:color w:val="1F4E79" w:themeColor="accent1" w:themeShade="80"/>
          <w:spacing w:val="10"/>
          <w:sz w:val="18"/>
          <w:szCs w:val="18"/>
          <w:lang w:val="es-DO"/>
        </w:rPr>
        <w:t xml:space="preserve"> Pro</w:t>
      </w:r>
      <w:r w:rsidR="5F9CCCEE" w:rsidRPr="007B3B38">
        <w:rPr>
          <w:rFonts w:ascii="Artifex CF Extra Light" w:hAnsi="Artifex CF Extra Light" w:cs="Times New Roman"/>
          <w:b/>
          <w:color w:val="1F4E79" w:themeColor="accent1" w:themeShade="80"/>
          <w:spacing w:val="10"/>
          <w:sz w:val="18"/>
          <w:szCs w:val="18"/>
          <w:lang w:val="es-DO"/>
        </w:rPr>
        <w:t>D</w:t>
      </w:r>
      <w:r w:rsidR="6F00111F" w:rsidRPr="007B3B38">
        <w:rPr>
          <w:rFonts w:ascii="Artifex CF Extra Light" w:hAnsi="Artifex CF Extra Light" w:cs="Times New Roman"/>
          <w:b/>
          <w:color w:val="1F4E79" w:themeColor="accent1" w:themeShade="80"/>
          <w:spacing w:val="10"/>
          <w:sz w:val="18"/>
          <w:szCs w:val="18"/>
          <w:lang w:val="es-DO"/>
        </w:rPr>
        <w:t>ominicana</w:t>
      </w:r>
      <w:r w:rsidR="001B03B5" w:rsidRPr="007B3B38">
        <w:rPr>
          <w:rFonts w:ascii="Artifex CF Extra Light" w:hAnsi="Artifex CF Extra Light" w:cs="Times New Roman"/>
          <w:b/>
          <w:color w:val="1F4E79" w:themeColor="accent1" w:themeShade="80"/>
          <w:spacing w:val="10"/>
          <w:sz w:val="18"/>
          <w:szCs w:val="18"/>
          <w:lang w:val="es-ES"/>
        </w:rPr>
        <w:t xml:space="preserve">: </w:t>
      </w:r>
      <w:r w:rsidR="001B03B5" w:rsidRPr="007B3B38">
        <w:rPr>
          <w:rFonts w:ascii="Artifex CF Extra Light" w:hAnsi="Artifex CF Extra Light" w:cs="Times New Roman"/>
          <w:color w:val="1F4E79" w:themeColor="accent1" w:themeShade="80"/>
          <w:spacing w:val="10"/>
          <w:sz w:val="18"/>
          <w:szCs w:val="18"/>
          <w:lang w:val="es-ES"/>
        </w:rPr>
        <w:t xml:space="preserve">Dentro de las actividades de </w:t>
      </w:r>
      <w:r w:rsidR="43DEA8FD" w:rsidRPr="007B3B38">
        <w:rPr>
          <w:rFonts w:ascii="Artifex CF Extra Light" w:hAnsi="Artifex CF Extra Light" w:cs="Times New Roman"/>
          <w:color w:val="1F4E79" w:themeColor="accent1" w:themeShade="80"/>
          <w:spacing w:val="10"/>
          <w:sz w:val="18"/>
          <w:szCs w:val="18"/>
          <w:lang w:val="es-ES"/>
        </w:rPr>
        <w:t>posicionamiento</w:t>
      </w:r>
      <w:r w:rsidR="6000E0DC" w:rsidRPr="007B3B38">
        <w:rPr>
          <w:rFonts w:ascii="Artifex CF Extra Light" w:hAnsi="Artifex CF Extra Light" w:cs="Times New Roman"/>
          <w:color w:val="1F4E79" w:themeColor="accent1" w:themeShade="80"/>
          <w:spacing w:val="10"/>
          <w:sz w:val="18"/>
          <w:szCs w:val="18"/>
          <w:lang w:val="es-ES"/>
        </w:rPr>
        <w:t xml:space="preserve"> realizadas</w:t>
      </w:r>
      <w:r w:rsidR="001B03B5" w:rsidRPr="007B3B38">
        <w:rPr>
          <w:rFonts w:ascii="Artifex CF Extra Light" w:hAnsi="Artifex CF Extra Light" w:cs="Times New Roman"/>
          <w:color w:val="1F4E79" w:themeColor="accent1" w:themeShade="80"/>
          <w:spacing w:val="10"/>
          <w:sz w:val="18"/>
          <w:szCs w:val="18"/>
          <w:lang w:val="es-ES"/>
        </w:rPr>
        <w:t xml:space="preserve">, </w:t>
      </w:r>
      <w:r w:rsidR="480156CC" w:rsidRPr="007B3B38">
        <w:rPr>
          <w:rFonts w:ascii="Artifex CF Extra Light" w:hAnsi="Artifex CF Extra Light" w:cs="Times New Roman"/>
          <w:color w:val="1F4E79" w:themeColor="accent1" w:themeShade="80"/>
          <w:spacing w:val="10"/>
          <w:sz w:val="18"/>
          <w:szCs w:val="18"/>
          <w:lang w:val="es-ES"/>
        </w:rPr>
        <w:t>se encuentran:</w:t>
      </w:r>
    </w:p>
    <w:p w14:paraId="6EDDFB16" w14:textId="77777777" w:rsidR="007B3B38" w:rsidRDefault="480156CC"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Coloca</w:t>
      </w:r>
      <w:r w:rsidR="32A644E1" w:rsidRPr="007B3B38">
        <w:rPr>
          <w:rFonts w:ascii="Artifex CF Extra Light" w:hAnsi="Artifex CF Extra Light" w:cs="Times New Roman"/>
          <w:color w:val="1F4E79" w:themeColor="accent1" w:themeShade="80"/>
          <w:spacing w:val="10"/>
          <w:sz w:val="18"/>
          <w:szCs w:val="18"/>
          <w:lang w:val="es-DO"/>
        </w:rPr>
        <w:t>ció</w:t>
      </w:r>
      <w:r w:rsidRPr="007B3B38">
        <w:rPr>
          <w:rFonts w:ascii="Artifex CF Extra Light" w:hAnsi="Artifex CF Extra Light" w:cs="Times New Roman"/>
          <w:color w:val="1F4E79" w:themeColor="accent1" w:themeShade="80"/>
          <w:spacing w:val="10"/>
          <w:sz w:val="18"/>
          <w:szCs w:val="18"/>
          <w:lang w:val="es-DO"/>
        </w:rPr>
        <w:t xml:space="preserve">n </w:t>
      </w:r>
      <w:r w:rsidR="56C3DC2D" w:rsidRPr="007B3B38">
        <w:rPr>
          <w:rFonts w:ascii="Artifex CF Extra Light" w:hAnsi="Artifex CF Extra Light" w:cs="Times New Roman"/>
          <w:color w:val="1F4E79" w:themeColor="accent1" w:themeShade="80"/>
          <w:spacing w:val="10"/>
          <w:sz w:val="18"/>
          <w:szCs w:val="18"/>
          <w:lang w:val="es-DO"/>
        </w:rPr>
        <w:t>de</w:t>
      </w:r>
      <w:r w:rsidRPr="007B3B38">
        <w:rPr>
          <w:rFonts w:ascii="Artifex CF Extra Light" w:hAnsi="Artifex CF Extra Light" w:cs="Times New Roman"/>
          <w:color w:val="1F4E79" w:themeColor="accent1" w:themeShade="80"/>
          <w:spacing w:val="10"/>
          <w:sz w:val="18"/>
          <w:szCs w:val="18"/>
          <w:lang w:val="es-DO"/>
        </w:rPr>
        <w:t xml:space="preserve"> vallas en</w:t>
      </w:r>
      <w:r w:rsidR="17E5D078" w:rsidRPr="007B3B38">
        <w:rPr>
          <w:rFonts w:ascii="Artifex CF Extra Light" w:hAnsi="Artifex CF Extra Light" w:cs="Times New Roman"/>
          <w:color w:val="1F4E79" w:themeColor="accent1" w:themeShade="80"/>
          <w:spacing w:val="10"/>
          <w:sz w:val="18"/>
          <w:szCs w:val="18"/>
          <w:lang w:val="es-DO"/>
        </w:rPr>
        <w:t>:</w:t>
      </w:r>
    </w:p>
    <w:p w14:paraId="60A53826" w14:textId="77777777" w:rsidR="007B3B38" w:rsidRPr="007B3B38" w:rsidRDefault="17E5D078"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ES"/>
        </w:rPr>
        <w:t>A</w:t>
      </w:r>
      <w:r w:rsidR="001B03B5" w:rsidRPr="007B3B38">
        <w:rPr>
          <w:rFonts w:ascii="Artifex CF Extra Light" w:hAnsi="Artifex CF Extra Light" w:cs="Times New Roman"/>
          <w:color w:val="1F4E79" w:themeColor="accent1" w:themeShade="80"/>
          <w:spacing w:val="10"/>
          <w:sz w:val="18"/>
          <w:szCs w:val="18"/>
          <w:lang w:val="es-ES"/>
        </w:rPr>
        <w:t>eropuerto</w:t>
      </w:r>
      <w:r w:rsidR="1FF6D13A" w:rsidRPr="007B3B38">
        <w:rPr>
          <w:rFonts w:ascii="Artifex CF Extra Light" w:hAnsi="Artifex CF Extra Light" w:cs="Times New Roman"/>
          <w:color w:val="1F4E79" w:themeColor="accent1" w:themeShade="80"/>
          <w:spacing w:val="10"/>
          <w:sz w:val="18"/>
          <w:szCs w:val="18"/>
          <w:lang w:val="es-ES"/>
        </w:rPr>
        <w:t xml:space="preserve"> </w:t>
      </w:r>
      <w:r w:rsidR="001B03B5" w:rsidRPr="007B3B38">
        <w:rPr>
          <w:rFonts w:ascii="Artifex CF Extra Light" w:hAnsi="Artifex CF Extra Light" w:cs="Times New Roman"/>
          <w:color w:val="1F4E79" w:themeColor="accent1" w:themeShade="80"/>
          <w:spacing w:val="10"/>
          <w:sz w:val="18"/>
          <w:szCs w:val="18"/>
          <w:lang w:val="es-ES"/>
        </w:rPr>
        <w:t>Punta Cana</w:t>
      </w:r>
    </w:p>
    <w:p w14:paraId="7D950E45" w14:textId="79AF999E"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ES"/>
        </w:rPr>
        <w:t>Aeropuerto Internacional de las Américas.</w:t>
      </w:r>
    </w:p>
    <w:p w14:paraId="7760C50B" w14:textId="6F6FFB34" w:rsidR="001B03B5" w:rsidRPr="007B3B38" w:rsidRDefault="6DA57E07"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Colocación de v</w:t>
      </w:r>
      <w:r w:rsidR="001B03B5" w:rsidRPr="007B3B38">
        <w:rPr>
          <w:rFonts w:ascii="Artifex CF Extra Light" w:hAnsi="Artifex CF Extra Light" w:cs="Times New Roman"/>
          <w:color w:val="1F4E79" w:themeColor="accent1" w:themeShade="80"/>
          <w:spacing w:val="10"/>
          <w:sz w:val="18"/>
          <w:szCs w:val="18"/>
          <w:lang w:val="es-DO"/>
        </w:rPr>
        <w:t xml:space="preserve">allas ProDominicana por parte de las empresas JC Decaux, Sarmiento, Cartel y </w:t>
      </w:r>
      <w:r w:rsidR="18C85057" w:rsidRPr="007B3B38">
        <w:rPr>
          <w:rFonts w:ascii="Artifex CF Extra Light" w:hAnsi="Artifex CF Extra Light" w:cs="Times New Roman"/>
          <w:color w:val="1F4E79" w:themeColor="accent1" w:themeShade="80"/>
          <w:spacing w:val="10"/>
          <w:sz w:val="18"/>
          <w:szCs w:val="18"/>
          <w:lang w:val="es-DO"/>
        </w:rPr>
        <w:t>Colorín</w:t>
      </w:r>
      <w:r w:rsidR="001B03B5" w:rsidRPr="007B3B38">
        <w:rPr>
          <w:rFonts w:ascii="Artifex CF Extra Light" w:hAnsi="Artifex CF Extra Light" w:cs="Times New Roman"/>
          <w:color w:val="1F4E79" w:themeColor="accent1" w:themeShade="80"/>
          <w:spacing w:val="10"/>
          <w:sz w:val="18"/>
          <w:szCs w:val="18"/>
          <w:lang w:val="es-DO"/>
        </w:rPr>
        <w:t>, algunas bajo el apoyo del ADN.</w:t>
      </w:r>
    </w:p>
    <w:p w14:paraId="5CEFC313" w14:textId="7F20FDD0" w:rsidR="001B03B5" w:rsidRPr="007B3B38" w:rsidRDefault="69972A43"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lastRenderedPageBreak/>
        <w:t xml:space="preserve">Publicaciones en las redes de </w:t>
      </w:r>
      <w:r w:rsidR="001B03B5" w:rsidRPr="007B3B38">
        <w:rPr>
          <w:rFonts w:ascii="Artifex CF Extra Light" w:hAnsi="Artifex CF Extra Light" w:cs="Times New Roman"/>
          <w:color w:val="1F4E79" w:themeColor="accent1" w:themeShade="80"/>
          <w:spacing w:val="10"/>
          <w:sz w:val="18"/>
          <w:szCs w:val="18"/>
          <w:lang w:val="es-DO"/>
        </w:rPr>
        <w:t>instituciones públicas y privadas</w:t>
      </w:r>
      <w:r w:rsidR="384F829F" w:rsidRPr="007B3B38">
        <w:rPr>
          <w:rFonts w:ascii="Artifex CF Extra Light" w:hAnsi="Artifex CF Extra Light" w:cs="Times New Roman"/>
          <w:color w:val="1F4E79" w:themeColor="accent1" w:themeShade="80"/>
          <w:spacing w:val="10"/>
          <w:sz w:val="18"/>
          <w:szCs w:val="18"/>
          <w:lang w:val="es-DO"/>
        </w:rPr>
        <w:t>, quienes</w:t>
      </w:r>
      <w:r w:rsidR="001B03B5" w:rsidRPr="007B3B38">
        <w:rPr>
          <w:rFonts w:ascii="Artifex CF Extra Light" w:hAnsi="Artifex CF Extra Light" w:cs="Times New Roman"/>
          <w:color w:val="1F4E79" w:themeColor="accent1" w:themeShade="80"/>
          <w:spacing w:val="10"/>
          <w:sz w:val="18"/>
          <w:szCs w:val="18"/>
          <w:lang w:val="es-DO"/>
        </w:rPr>
        <w:t xml:space="preserve"> cedieron espacio</w:t>
      </w:r>
      <w:r w:rsidR="543C1858" w:rsidRPr="007B3B38">
        <w:rPr>
          <w:rFonts w:ascii="Artifex CF Extra Light" w:hAnsi="Artifex CF Extra Light" w:cs="Times New Roman"/>
          <w:color w:val="1F4E79" w:themeColor="accent1" w:themeShade="80"/>
          <w:spacing w:val="10"/>
          <w:sz w:val="18"/>
          <w:szCs w:val="18"/>
          <w:lang w:val="es-DO"/>
        </w:rPr>
        <w:t xml:space="preserve"> </w:t>
      </w:r>
      <w:r w:rsidR="001B03B5" w:rsidRPr="007B3B38">
        <w:rPr>
          <w:rFonts w:ascii="Artifex CF Extra Light" w:hAnsi="Artifex CF Extra Light" w:cs="Times New Roman"/>
          <w:color w:val="1F4E79" w:themeColor="accent1" w:themeShade="80"/>
          <w:spacing w:val="10"/>
          <w:sz w:val="18"/>
          <w:szCs w:val="18"/>
          <w:lang w:val="es-DO"/>
        </w:rPr>
        <w:t>para la promoción de la nueva identidad visual.</w:t>
      </w:r>
    </w:p>
    <w:p w14:paraId="732084FA" w14:textId="77777777" w:rsidR="00C06BD3" w:rsidRPr="007B3B38" w:rsidRDefault="45C49E95" w:rsidP="007B3B38">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w:t>
      </w:r>
      <w:r w:rsidR="001B03B5" w:rsidRPr="007B3B38">
        <w:rPr>
          <w:rFonts w:ascii="Artifex CF Extra Light" w:hAnsi="Artifex CF Extra Light" w:cs="Times New Roman"/>
          <w:color w:val="1F4E79" w:themeColor="accent1" w:themeShade="80"/>
          <w:spacing w:val="10"/>
          <w:sz w:val="18"/>
          <w:szCs w:val="18"/>
          <w:lang w:val="es-DO"/>
        </w:rPr>
        <w:t>articipación en medios de comunicación y foros</w:t>
      </w:r>
      <w:r w:rsidR="00FB237A" w:rsidRPr="007B3B38">
        <w:rPr>
          <w:rFonts w:ascii="Artifex CF Extra Light" w:hAnsi="Artifex CF Extra Light" w:cs="Times New Roman"/>
          <w:color w:val="1F4E79" w:themeColor="accent1" w:themeShade="80"/>
          <w:spacing w:val="10"/>
          <w:sz w:val="18"/>
          <w:szCs w:val="18"/>
          <w:lang w:val="es-DO"/>
        </w:rPr>
        <w:t>,</w:t>
      </w:r>
      <w:r w:rsidR="001B03B5" w:rsidRPr="007B3B38">
        <w:rPr>
          <w:rFonts w:ascii="Artifex CF Extra Light" w:hAnsi="Artifex CF Extra Light" w:cs="Times New Roman"/>
          <w:color w:val="1F4E79" w:themeColor="accent1" w:themeShade="80"/>
          <w:spacing w:val="10"/>
          <w:sz w:val="18"/>
          <w:szCs w:val="18"/>
          <w:lang w:val="es-DO"/>
        </w:rPr>
        <w:t xml:space="preserve"> </w:t>
      </w:r>
      <w:r w:rsidR="5FD26F14" w:rsidRPr="007B3B38">
        <w:rPr>
          <w:rFonts w:ascii="Artifex CF Extra Light" w:hAnsi="Artifex CF Extra Light" w:cs="Times New Roman"/>
          <w:color w:val="1F4E79" w:themeColor="accent1" w:themeShade="80"/>
          <w:spacing w:val="10"/>
          <w:sz w:val="18"/>
          <w:szCs w:val="18"/>
          <w:lang w:val="es-DO"/>
        </w:rPr>
        <w:t xml:space="preserve">donde </w:t>
      </w:r>
      <w:r w:rsidR="001B03B5" w:rsidRPr="007B3B38">
        <w:rPr>
          <w:rFonts w:ascii="Artifex CF Extra Light" w:hAnsi="Artifex CF Extra Light" w:cs="Times New Roman"/>
          <w:color w:val="1F4E79" w:themeColor="accent1" w:themeShade="80"/>
          <w:spacing w:val="10"/>
          <w:sz w:val="18"/>
          <w:szCs w:val="18"/>
          <w:lang w:val="es-DO"/>
        </w:rPr>
        <w:t>la Dirección Ejecutiva asistió a programas de televisión, radio, foros y encuentros periodísticos, entre los que se destacan:</w:t>
      </w:r>
    </w:p>
    <w:p w14:paraId="01FA7CD7" w14:textId="4C910959"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Cobertura de segmento de Hablan los Hechos con Gina Almonte del lanzamiento de ProDominicana y Plan Nacional de Fomento a las Exportaciones.</w:t>
      </w:r>
    </w:p>
    <w:p w14:paraId="099670DC" w14:textId="7797BF96"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El Zol de la tarde Consuelo Despradel, Ángel Acosta, Pedro Jiménez, Khalil Michel y Aníbal Herrera.</w:t>
      </w:r>
    </w:p>
    <w:p w14:paraId="5364D810" w14:textId="715FC119"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Programa Telematutino 11 con Ramón Núñez Ramírez y Jacqueline Morel</w:t>
      </w:r>
    </w:p>
    <w:p w14:paraId="5F81DA5E" w14:textId="576697FC"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Programa Enfoque Matinal.</w:t>
      </w:r>
    </w:p>
    <w:p w14:paraId="1D8A043F" w14:textId="43DC5165"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Programa Radial La Panorámica 94.1 de Fidelity con Federico Castillo.</w:t>
      </w:r>
    </w:p>
    <w:p w14:paraId="3D535A5C" w14:textId="7CA2532F"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Programa radial Mas Cerca con Anibelca Rosario.</w:t>
      </w:r>
    </w:p>
    <w:p w14:paraId="54859A44" w14:textId="118CD453"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Encuentro en el Listín Diario.</w:t>
      </w:r>
    </w:p>
    <w:p w14:paraId="45B34F2D" w14:textId="7265A13F" w:rsidR="64FB9BC1"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Noticiero SIN con Alicia Ortega.</w:t>
      </w:r>
    </w:p>
    <w:p w14:paraId="70D64344" w14:textId="0CF9FF55"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Capex Power Talk – ExpoCibao.</w:t>
      </w:r>
    </w:p>
    <w:p w14:paraId="1903A3C6" w14:textId="6C604A79"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Programa Contacto Directo con Anibelca Rosario y Pedro Jiménez.</w:t>
      </w:r>
    </w:p>
    <w:p w14:paraId="3F86298D" w14:textId="72E0BE84"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Despierta con CDN Julissa Céspedes, Katherine Hernández y Nelson Rodríguez</w:t>
      </w:r>
    </w:p>
    <w:p w14:paraId="450FE561" w14:textId="2D3B9008" w:rsidR="001B03B5" w:rsidRPr="006F2F51"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rPr>
      </w:pPr>
      <w:r w:rsidRPr="006F2F51">
        <w:rPr>
          <w:rFonts w:ascii="Artifex CF Extra Light" w:hAnsi="Artifex CF Extra Light" w:cs="Times New Roman"/>
          <w:color w:val="1F4E79" w:themeColor="accent1" w:themeShade="80"/>
          <w:spacing w:val="10"/>
          <w:sz w:val="18"/>
          <w:szCs w:val="18"/>
        </w:rPr>
        <w:t xml:space="preserve">Lenis </w:t>
      </w:r>
      <w:proofErr w:type="spellStart"/>
      <w:r w:rsidRPr="006F2F51">
        <w:rPr>
          <w:rFonts w:ascii="Artifex CF Extra Light" w:hAnsi="Artifex CF Extra Light" w:cs="Times New Roman"/>
          <w:color w:val="1F4E79" w:themeColor="accent1" w:themeShade="80"/>
          <w:spacing w:val="10"/>
          <w:sz w:val="18"/>
          <w:szCs w:val="18"/>
        </w:rPr>
        <w:t>Opiniones</w:t>
      </w:r>
      <w:proofErr w:type="spellEnd"/>
      <w:r w:rsidRPr="006F2F51">
        <w:rPr>
          <w:rFonts w:ascii="Artifex CF Extra Light" w:hAnsi="Artifex CF Extra Light" w:cs="Times New Roman"/>
          <w:color w:val="1F4E79" w:themeColor="accent1" w:themeShade="80"/>
          <w:spacing w:val="10"/>
          <w:sz w:val="18"/>
          <w:szCs w:val="18"/>
        </w:rPr>
        <w:t xml:space="preserve"> TV con Lenis García.</w:t>
      </w:r>
    </w:p>
    <w:p w14:paraId="7E0AAA16" w14:textId="740B6022"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lastRenderedPageBreak/>
        <w:t>Toque Final con Julio Martínez Pozo.</w:t>
      </w:r>
    </w:p>
    <w:p w14:paraId="01246228" w14:textId="70CA3155"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Encuentro Informal Julio Martínez Pozo y Mildred Charlot.</w:t>
      </w:r>
    </w:p>
    <w:p w14:paraId="3AD01310" w14:textId="2840227F"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La Peña OMG con Juan Alcalde.</w:t>
      </w:r>
    </w:p>
    <w:p w14:paraId="78249FA4" w14:textId="5FC087E5"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Panel Marca País.</w:t>
      </w:r>
    </w:p>
    <w:p w14:paraId="4F208926" w14:textId="530B60C5" w:rsidR="001B03B5" w:rsidRPr="006F2F51"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rPr>
      </w:pPr>
      <w:r w:rsidRPr="006F2F51">
        <w:rPr>
          <w:rFonts w:ascii="Artifex CF Extra Light" w:hAnsi="Artifex CF Extra Light" w:cs="Times New Roman"/>
          <w:color w:val="1F4E79" w:themeColor="accent1" w:themeShade="80"/>
          <w:spacing w:val="10"/>
          <w:sz w:val="18"/>
          <w:szCs w:val="18"/>
        </w:rPr>
        <w:t xml:space="preserve">Meet </w:t>
      </w:r>
      <w:proofErr w:type="gramStart"/>
      <w:r w:rsidRPr="006F2F51">
        <w:rPr>
          <w:rFonts w:ascii="Artifex CF Extra Light" w:hAnsi="Artifex CF Extra Light" w:cs="Times New Roman"/>
          <w:color w:val="1F4E79" w:themeColor="accent1" w:themeShade="80"/>
          <w:spacing w:val="10"/>
          <w:sz w:val="18"/>
          <w:szCs w:val="18"/>
        </w:rPr>
        <w:t>The</w:t>
      </w:r>
      <w:proofErr w:type="gramEnd"/>
      <w:r w:rsidRPr="006F2F51">
        <w:rPr>
          <w:rFonts w:ascii="Artifex CF Extra Light" w:hAnsi="Artifex CF Extra Light" w:cs="Times New Roman"/>
          <w:color w:val="1F4E79" w:themeColor="accent1" w:themeShade="80"/>
          <w:spacing w:val="10"/>
          <w:sz w:val="18"/>
          <w:szCs w:val="18"/>
        </w:rPr>
        <w:t xml:space="preserve"> Leaders de Global Shapers SD.</w:t>
      </w:r>
    </w:p>
    <w:p w14:paraId="25A396E5" w14:textId="4A771E5F"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Entrevista En Directo con Ramón Núñez.</w:t>
      </w:r>
    </w:p>
    <w:p w14:paraId="7943EC1D" w14:textId="0F8D16DE"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Entrevista Revista Contacto.</w:t>
      </w:r>
    </w:p>
    <w:p w14:paraId="590544B1" w14:textId="685A4FD8"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Entrevista Revista Cigarro Dominicano.</w:t>
      </w:r>
    </w:p>
    <w:p w14:paraId="7F459252" w14:textId="6A6F4CA8"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Publicación Revista Mercado edición octubre.</w:t>
      </w:r>
    </w:p>
    <w:p w14:paraId="68A48F56" w14:textId="0CB4010E"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Programa Esta Noche con Mariasela Álvarez.</w:t>
      </w:r>
    </w:p>
    <w:p w14:paraId="5B18B355" w14:textId="7C174946"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Programa Abriendo la Mañana con Anny Torivio Lorena Herasme.</w:t>
      </w:r>
    </w:p>
    <w:p w14:paraId="373C1DBD" w14:textId="78B7CED1" w:rsidR="001B03B5"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Panel Liderazgo Femenino en la Gestión Pública por Barna Bussiness School.</w:t>
      </w:r>
    </w:p>
    <w:p w14:paraId="4480FF0E" w14:textId="271377E5" w:rsidR="00FB237A" w:rsidRPr="007B3B38" w:rsidRDefault="001B03B5" w:rsidP="00F60923">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Entrevista Parloteando en el canal 32.</w:t>
      </w:r>
    </w:p>
    <w:p w14:paraId="4A40E8DF" w14:textId="77777777" w:rsidR="003D3E2E" w:rsidRPr="007B3B38" w:rsidRDefault="003D3E2E" w:rsidP="00864966">
      <w:pPr>
        <w:spacing w:before="380" w:after="120" w:line="456" w:lineRule="auto"/>
        <w:ind w:firstLine="284"/>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b/>
          <w:color w:val="1F4E79" w:themeColor="accent1" w:themeShade="80"/>
          <w:spacing w:val="10"/>
          <w:sz w:val="18"/>
          <w:szCs w:val="18"/>
          <w:lang w:val="es-DO"/>
        </w:rPr>
        <w:br w:type="page"/>
      </w:r>
    </w:p>
    <w:p w14:paraId="545685D4" w14:textId="0646F775" w:rsidR="009069C8" w:rsidRPr="00403735" w:rsidRDefault="00C90222" w:rsidP="00702674">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bCs/>
          <w:color w:val="1F4E79" w:themeColor="accent1" w:themeShade="80"/>
          <w:spacing w:val="10"/>
          <w:sz w:val="18"/>
          <w:szCs w:val="18"/>
          <w:lang w:val="es-DO"/>
        </w:rPr>
      </w:pPr>
      <w:r w:rsidRPr="00403735">
        <w:rPr>
          <w:rFonts w:ascii="Artifex CF Extra Light" w:hAnsi="Artifex CF Extra Light" w:cs="Times New Roman"/>
          <w:b/>
          <w:bCs/>
          <w:color w:val="1F4E79" w:themeColor="accent1" w:themeShade="80"/>
          <w:spacing w:val="10"/>
          <w:sz w:val="18"/>
          <w:szCs w:val="18"/>
          <w:lang w:val="es-DO"/>
        </w:rPr>
        <w:lastRenderedPageBreak/>
        <w:t>FORTALECIMIENTO DE LOS RECURSOS HUMANOS</w:t>
      </w:r>
    </w:p>
    <w:p w14:paraId="1658EBBD" w14:textId="304153A0" w:rsidR="009069C8" w:rsidRPr="00F475D6" w:rsidRDefault="009069C8" w:rsidP="00702674">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bCs/>
          <w:color w:val="1F4E79" w:themeColor="accent1" w:themeShade="80"/>
          <w:spacing w:val="10"/>
          <w:sz w:val="20"/>
          <w:szCs w:val="20"/>
          <w:lang w:val="es-DO"/>
        </w:rPr>
      </w:pPr>
      <w:r w:rsidRPr="00F475D6">
        <w:rPr>
          <w:rFonts w:ascii="Artifex CF Extra Light" w:hAnsi="Artifex CF Extra Light" w:cs="Times New Roman"/>
          <w:b/>
          <w:bCs/>
          <w:color w:val="1F4E79" w:themeColor="accent1" w:themeShade="80"/>
          <w:spacing w:val="10"/>
          <w:sz w:val="20"/>
          <w:szCs w:val="20"/>
          <w:lang w:val="es-DO"/>
        </w:rPr>
        <w:t>Desarrollar Plan de Capacitación para reducir brecha cargo-empleado</w:t>
      </w:r>
    </w:p>
    <w:p w14:paraId="6C585D57" w14:textId="680A3FF0" w:rsidR="009069C8" w:rsidRPr="007B3B38" w:rsidRDefault="719FA9F3" w:rsidP="00864966">
      <w:pPr>
        <w:spacing w:before="380" w:after="120" w:line="456" w:lineRule="auto"/>
        <w:ind w:firstLine="284"/>
        <w:jc w:val="both"/>
        <w:textAlignment w:val="baseline"/>
        <w:rPr>
          <w:rFonts w:ascii="Artifex CF Extra Light" w:eastAsia="Times New Roman" w:hAnsi="Artifex CF Extra Light" w:cs="Times New Roman"/>
          <w:color w:val="1F4E79" w:themeColor="accent1" w:themeShade="80"/>
          <w:spacing w:val="10"/>
          <w:sz w:val="18"/>
          <w:szCs w:val="18"/>
          <w:lang w:val="es-ES" w:eastAsia="es-ES" w:bidi="es-ES"/>
        </w:rPr>
      </w:pPr>
      <w:r w:rsidRPr="007B3B38">
        <w:rPr>
          <w:rFonts w:ascii="Artifex CF Extra Light" w:eastAsia="Times New Roman" w:hAnsi="Artifex CF Extra Light" w:cs="Times New Roman"/>
          <w:color w:val="1F4E79" w:themeColor="accent1" w:themeShade="80"/>
          <w:spacing w:val="10"/>
          <w:sz w:val="18"/>
          <w:szCs w:val="18"/>
          <w:lang w:val="es-ES" w:eastAsia="es-ES" w:bidi="es-ES"/>
        </w:rPr>
        <w:t>En cuanto al desarrollo interno</w:t>
      </w:r>
      <w:r w:rsidR="009069C8"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 de las capacidades del talento humano</w:t>
      </w:r>
      <w:r w:rsidR="13F5CB52" w:rsidRPr="007B3B38">
        <w:rPr>
          <w:rFonts w:ascii="Artifex CF Extra Light" w:eastAsia="Times New Roman" w:hAnsi="Artifex CF Extra Light" w:cs="Times New Roman"/>
          <w:color w:val="1F4E79" w:themeColor="accent1" w:themeShade="80"/>
          <w:spacing w:val="10"/>
          <w:sz w:val="18"/>
          <w:szCs w:val="18"/>
          <w:lang w:val="es-ES" w:eastAsia="es-ES" w:bidi="es-ES"/>
        </w:rPr>
        <w:t>, durante el año 2020 se desarrolló</w:t>
      </w:r>
      <w:r w:rsidR="009069C8"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 </w:t>
      </w:r>
      <w:r w:rsidR="398F3DD1"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un programa de capacitación a los colaboradores, que potencie sus habilidades, </w:t>
      </w:r>
      <w:r w:rsidR="6F39EA26" w:rsidRPr="007B3B38">
        <w:rPr>
          <w:rFonts w:ascii="Artifex CF Extra Light" w:eastAsia="Times New Roman" w:hAnsi="Artifex CF Extra Light" w:cs="Times New Roman"/>
          <w:color w:val="1F4E79" w:themeColor="accent1" w:themeShade="80"/>
          <w:spacing w:val="10"/>
          <w:sz w:val="18"/>
          <w:szCs w:val="18"/>
          <w:lang w:val="es-ES" w:eastAsia="es-ES" w:bidi="es-ES"/>
        </w:rPr>
        <w:t>traduciéndose</w:t>
      </w:r>
      <w:r w:rsidR="398F3DD1"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 esto en la mejora de</w:t>
      </w:r>
      <w:r w:rsidR="009069C8"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 la calidad de los servicios prestados</w:t>
      </w:r>
      <w:r w:rsidR="028E3C18"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 </w:t>
      </w:r>
      <w:r w:rsidR="30B64D10" w:rsidRPr="007B3B38">
        <w:rPr>
          <w:rFonts w:ascii="Artifex CF Extra Light" w:eastAsia="Times New Roman" w:hAnsi="Artifex CF Extra Light" w:cs="Times New Roman"/>
          <w:color w:val="1F4E79" w:themeColor="accent1" w:themeShade="80"/>
          <w:spacing w:val="10"/>
          <w:sz w:val="18"/>
          <w:szCs w:val="18"/>
          <w:lang w:val="es-ES" w:eastAsia="es-ES" w:bidi="es-ES"/>
        </w:rPr>
        <w:t>por la institución. Bajo este programa</w:t>
      </w:r>
      <w:r w:rsidR="009069C8"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 se impartieron las </w:t>
      </w:r>
      <w:r w:rsidR="083102CE"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siguientes </w:t>
      </w:r>
      <w:r w:rsidR="009069C8" w:rsidRPr="007B3B38">
        <w:rPr>
          <w:rFonts w:ascii="Artifex CF Extra Light" w:eastAsia="Times New Roman" w:hAnsi="Artifex CF Extra Light" w:cs="Times New Roman"/>
          <w:color w:val="1F4E79" w:themeColor="accent1" w:themeShade="80"/>
          <w:spacing w:val="10"/>
          <w:sz w:val="18"/>
          <w:szCs w:val="18"/>
          <w:lang w:val="es-ES" w:eastAsia="es-ES" w:bidi="es-ES"/>
        </w:rPr>
        <w:t xml:space="preserve">capacitaciones: </w:t>
      </w:r>
    </w:p>
    <w:p w14:paraId="1501CED7"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Marketing Digital </w:t>
      </w:r>
    </w:p>
    <w:p w14:paraId="0168C7E1"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Branding</w:t>
      </w:r>
    </w:p>
    <w:p w14:paraId="2BC8B7F0"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Curso Diseño 3D y Animación </w:t>
      </w:r>
    </w:p>
    <w:p w14:paraId="4E454AAE"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Inteligencia de Negocios con la Herramienta Power BI</w:t>
      </w:r>
    </w:p>
    <w:p w14:paraId="534EC80B"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Negociaciones Estratégicas</w:t>
      </w:r>
    </w:p>
    <w:p w14:paraId="105D3374"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Gerencia de Proyectos </w:t>
      </w:r>
    </w:p>
    <w:p w14:paraId="628B9A5E"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Introducción a las Técnicas Aduaneras  </w:t>
      </w:r>
    </w:p>
    <w:p w14:paraId="20ADEEF4"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Informática </w:t>
      </w:r>
    </w:p>
    <w:p w14:paraId="4BB4C235"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Tecnología de la Información </w:t>
      </w:r>
    </w:p>
    <w:p w14:paraId="708B549A" w14:textId="77777777"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Taller de Servicios Generales</w:t>
      </w:r>
    </w:p>
    <w:p w14:paraId="60DD5330" w14:textId="5448D041" w:rsidR="009069C8" w:rsidRPr="007B3B38"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lastRenderedPageBreak/>
        <w:t>Taller Relaciones Internacionales y Protocolo</w:t>
      </w:r>
    </w:p>
    <w:p w14:paraId="316BC508" w14:textId="1AF9CFE9" w:rsidR="0093650B" w:rsidRPr="003C7A12" w:rsidRDefault="009069C8" w:rsidP="003C7A12">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Masterclass</w:t>
      </w:r>
      <w:r w:rsidRPr="003C7A12">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sobre Desarrollo motivacional para altos ejecutivos: Potencializando la Marca ProDominicana</w:t>
      </w:r>
      <w:r w:rsidR="560ABA68" w:rsidRPr="007B3B38">
        <w:rPr>
          <w:rFonts w:ascii="Artifex CF Extra Light" w:hAnsi="Artifex CF Extra Light" w:cs="Times New Roman"/>
          <w:color w:val="1F4E79" w:themeColor="accent1" w:themeShade="80"/>
          <w:spacing w:val="10"/>
          <w:sz w:val="18"/>
          <w:szCs w:val="18"/>
          <w:lang w:val="es-DO"/>
        </w:rPr>
        <w:t xml:space="preserve">. </w:t>
      </w:r>
      <w:r w:rsidR="00EE40FE">
        <w:rPr>
          <w:rFonts w:ascii="Artifex CF Extra Light" w:hAnsi="Artifex CF Extra Light" w:cs="Times New Roman"/>
          <w:color w:val="1F4E79" w:themeColor="accent1" w:themeShade="80"/>
          <w:spacing w:val="10"/>
          <w:sz w:val="18"/>
          <w:szCs w:val="18"/>
          <w:lang w:val="es-DO"/>
        </w:rPr>
        <w:t>l</w:t>
      </w:r>
      <w:r w:rsidRPr="007B3B38">
        <w:rPr>
          <w:rFonts w:ascii="Artifex CF Extra Light" w:hAnsi="Artifex CF Extra Light" w:cs="Times New Roman"/>
          <w:color w:val="1F4E79" w:themeColor="accent1" w:themeShade="80"/>
          <w:spacing w:val="10"/>
          <w:sz w:val="18"/>
          <w:szCs w:val="18"/>
          <w:lang w:val="es-DO"/>
        </w:rPr>
        <w:t>as conferencias magistrales que integraron este Masterclass son las siguientes</w:t>
      </w:r>
      <w:r w:rsidR="003C7A12">
        <w:rPr>
          <w:rFonts w:ascii="Artifex CF Extra Light" w:hAnsi="Artifex CF Extra Light" w:cs="Times New Roman"/>
          <w:color w:val="1F4E79" w:themeColor="accent1" w:themeShade="80"/>
          <w:spacing w:val="10"/>
          <w:sz w:val="18"/>
          <w:szCs w:val="18"/>
          <w:lang w:val="es-DO"/>
        </w:rPr>
        <w:t>:</w:t>
      </w:r>
    </w:p>
    <w:p w14:paraId="587EE8F3" w14:textId="390343ED" w:rsidR="0093650B" w:rsidRPr="003C7A12" w:rsidRDefault="009069C8" w:rsidP="003C7A12">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3C7A12">
        <w:rPr>
          <w:rFonts w:ascii="Artifex CF Extra Light" w:hAnsi="Artifex CF Extra Light" w:cs="Times New Roman"/>
          <w:color w:val="1F4E79" w:themeColor="accent1" w:themeShade="80"/>
          <w:spacing w:val="10"/>
          <w:sz w:val="18"/>
          <w:szCs w:val="18"/>
          <w:lang w:val="es-ES"/>
        </w:rPr>
        <w:t>Inteligencia Emocional para Líderes</w:t>
      </w:r>
    </w:p>
    <w:p w14:paraId="3B2B8FBE" w14:textId="6355A4B1" w:rsidR="009069C8" w:rsidRPr="003C7A12" w:rsidRDefault="009069C8" w:rsidP="003C7A12">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3C7A12">
        <w:rPr>
          <w:rFonts w:ascii="Artifex CF Extra Light" w:hAnsi="Artifex CF Extra Light" w:cs="Times New Roman"/>
          <w:color w:val="1F4E79" w:themeColor="accent1" w:themeShade="80"/>
          <w:spacing w:val="10"/>
          <w:sz w:val="18"/>
          <w:szCs w:val="18"/>
          <w:lang w:val="es-ES"/>
        </w:rPr>
        <w:t>Técnicas esenciales de Vocería</w:t>
      </w:r>
    </w:p>
    <w:p w14:paraId="03D8BE8D" w14:textId="145687CD" w:rsidR="009069C8" w:rsidRPr="003C7A12" w:rsidRDefault="009069C8" w:rsidP="003C7A12">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3C7A12">
        <w:rPr>
          <w:rFonts w:ascii="Artifex CF Extra Light" w:hAnsi="Artifex CF Extra Light" w:cs="Times New Roman"/>
          <w:color w:val="1F4E79" w:themeColor="accent1" w:themeShade="80"/>
          <w:spacing w:val="10"/>
          <w:sz w:val="18"/>
          <w:szCs w:val="18"/>
          <w:lang w:val="es-ES"/>
        </w:rPr>
        <w:t>Imagen en Redes Sociales</w:t>
      </w:r>
    </w:p>
    <w:p w14:paraId="7A0B197E" w14:textId="02650320" w:rsidR="009069C8" w:rsidRPr="003C7A12" w:rsidRDefault="009069C8" w:rsidP="003C7A12">
      <w:pPr>
        <w:pStyle w:val="Prrafodelista"/>
        <w:numPr>
          <w:ilvl w:val="1"/>
          <w:numId w:val="13"/>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ES"/>
        </w:rPr>
      </w:pPr>
      <w:r w:rsidRPr="003C7A12">
        <w:rPr>
          <w:rFonts w:ascii="Artifex CF Extra Light" w:hAnsi="Artifex CF Extra Light" w:cs="Times New Roman"/>
          <w:color w:val="1F4E79" w:themeColor="accent1" w:themeShade="80"/>
          <w:spacing w:val="10"/>
          <w:sz w:val="18"/>
          <w:szCs w:val="18"/>
          <w:lang w:val="es-ES"/>
        </w:rPr>
        <w:t>Manejo de Conflictos y Felicidad Laboral</w:t>
      </w:r>
    </w:p>
    <w:p w14:paraId="4B397644" w14:textId="7455346B" w:rsidR="009069C8" w:rsidRPr="007B3B38" w:rsidRDefault="009069C8" w:rsidP="00864966">
      <w:pPr>
        <w:tabs>
          <w:tab w:val="left" w:pos="405"/>
          <w:tab w:val="left" w:pos="2025"/>
        </w:tabs>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Estas acciones han propiciado el desarrollo y crecimiento profesional de nuestros colaboradores, viéndose esto reflejado en los movimientos internos que se ejecutaron en el transcurso del año.   </w:t>
      </w:r>
    </w:p>
    <w:p w14:paraId="1CE74856" w14:textId="301AA3DE" w:rsidR="68A8B59C" w:rsidRPr="00F475D6" w:rsidRDefault="68A8B59C" w:rsidP="00864966">
      <w:pPr>
        <w:spacing w:before="380" w:after="120" w:line="456" w:lineRule="auto"/>
        <w:ind w:firstLine="284"/>
        <w:jc w:val="both"/>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t>Programa de Pasantías</w:t>
      </w:r>
    </w:p>
    <w:p w14:paraId="0AF03EEB" w14:textId="2EBFF2FA" w:rsidR="009069C8" w:rsidRPr="007B3B38" w:rsidRDefault="6282761A"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D</w:t>
      </w:r>
      <w:r w:rsidR="2BFC85C0" w:rsidRPr="007B3B38">
        <w:rPr>
          <w:rFonts w:ascii="Artifex CF Extra Light" w:hAnsi="Artifex CF Extra Light" w:cs="Times New Roman"/>
          <w:color w:val="1F4E79" w:themeColor="accent1" w:themeShade="80"/>
          <w:spacing w:val="10"/>
          <w:sz w:val="18"/>
          <w:szCs w:val="18"/>
          <w:lang w:val="es-DO"/>
        </w:rPr>
        <w:t>esarroll</w:t>
      </w:r>
      <w:r w:rsidR="1042851A" w:rsidRPr="007B3B38">
        <w:rPr>
          <w:rFonts w:ascii="Artifex CF Extra Light" w:hAnsi="Artifex CF Extra Light" w:cs="Times New Roman"/>
          <w:color w:val="1F4E79" w:themeColor="accent1" w:themeShade="80"/>
          <w:spacing w:val="10"/>
          <w:sz w:val="18"/>
          <w:szCs w:val="18"/>
          <w:lang w:val="es-DO"/>
        </w:rPr>
        <w:t>ado</w:t>
      </w:r>
      <w:r w:rsidR="2BFC85C0" w:rsidRPr="007B3B38">
        <w:rPr>
          <w:rFonts w:ascii="Artifex CF Extra Light" w:hAnsi="Artifex CF Extra Light" w:cs="Times New Roman"/>
          <w:color w:val="1F4E79" w:themeColor="accent1" w:themeShade="80"/>
          <w:spacing w:val="10"/>
          <w:sz w:val="18"/>
          <w:szCs w:val="18"/>
          <w:lang w:val="es-DO"/>
        </w:rPr>
        <w:t xml:space="preserve"> </w:t>
      </w:r>
      <w:r w:rsidR="6F594C4A" w:rsidRPr="007B3B38">
        <w:rPr>
          <w:rFonts w:ascii="Artifex CF Extra Light" w:hAnsi="Artifex CF Extra Light" w:cs="Times New Roman"/>
          <w:color w:val="1F4E79" w:themeColor="accent1" w:themeShade="80"/>
          <w:spacing w:val="10"/>
          <w:sz w:val="18"/>
          <w:szCs w:val="18"/>
          <w:lang w:val="es-DO"/>
        </w:rPr>
        <w:t xml:space="preserve">con el </w:t>
      </w:r>
      <w:r w:rsidR="009069C8" w:rsidRPr="007B3B38">
        <w:rPr>
          <w:rFonts w:ascii="Artifex CF Extra Light" w:hAnsi="Artifex CF Extra Light" w:cs="Times New Roman"/>
          <w:color w:val="1F4E79" w:themeColor="accent1" w:themeShade="80"/>
          <w:spacing w:val="10"/>
          <w:sz w:val="18"/>
          <w:szCs w:val="18"/>
          <w:lang w:val="es-DO"/>
        </w:rPr>
        <w:t>objetivo ofrecer la oportunidad a estudiantes universitarios de insertarse en los diferentes departamentos de la Institución para poner en práctica los conocimientos adquiridos. En este aspecto se solicitó a UNAPEC, ITLA, PUCMM y UNIBE, la presentación de candidatos para participar en el programa.</w:t>
      </w:r>
    </w:p>
    <w:p w14:paraId="65E3407E" w14:textId="113126E3" w:rsidR="00153210" w:rsidRPr="007B3B38" w:rsidRDefault="00153210"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Durante el 2020</w:t>
      </w:r>
      <w:r w:rsidR="008C1162" w:rsidRPr="007B3B38">
        <w:rPr>
          <w:rFonts w:ascii="Artifex CF Extra Light" w:hAnsi="Artifex CF Extra Light" w:cs="Times New Roman"/>
          <w:color w:val="1F4E79" w:themeColor="accent1" w:themeShade="80"/>
          <w:spacing w:val="10"/>
          <w:sz w:val="18"/>
          <w:szCs w:val="18"/>
          <w:lang w:val="es-DO"/>
        </w:rPr>
        <w:t xml:space="preserve">, </w:t>
      </w:r>
      <w:r w:rsidR="00B57BCF" w:rsidRPr="007B3B38">
        <w:rPr>
          <w:rFonts w:ascii="Artifex CF Extra Light" w:hAnsi="Artifex CF Extra Light" w:cs="Times New Roman"/>
          <w:color w:val="1F4E79" w:themeColor="accent1" w:themeShade="80"/>
          <w:spacing w:val="10"/>
          <w:sz w:val="18"/>
          <w:szCs w:val="18"/>
          <w:lang w:val="es-DO"/>
        </w:rPr>
        <w:t>cuatro (4)</w:t>
      </w:r>
      <w:r w:rsidR="008C1162" w:rsidRPr="007B3B38">
        <w:rPr>
          <w:rFonts w:ascii="Artifex CF Extra Light" w:hAnsi="Artifex CF Extra Light" w:cs="Times New Roman"/>
          <w:color w:val="1F4E79" w:themeColor="accent1" w:themeShade="80"/>
          <w:spacing w:val="10"/>
          <w:sz w:val="18"/>
          <w:szCs w:val="18"/>
          <w:lang w:val="es-DO"/>
        </w:rPr>
        <w:t xml:space="preserve"> pasantes culminaron un periodo de pasantías en ProDominicana</w:t>
      </w:r>
      <w:r w:rsidR="00005FB5" w:rsidRPr="007B3B38">
        <w:rPr>
          <w:rFonts w:ascii="Artifex CF Extra Light" w:hAnsi="Artifex CF Extra Light" w:cs="Times New Roman"/>
          <w:color w:val="1F4E79" w:themeColor="accent1" w:themeShade="80"/>
          <w:spacing w:val="10"/>
          <w:sz w:val="18"/>
          <w:szCs w:val="18"/>
          <w:lang w:val="es-DO"/>
        </w:rPr>
        <w:t>, uno</w:t>
      </w:r>
      <w:r w:rsidR="005037EB" w:rsidRPr="007B3B38">
        <w:rPr>
          <w:rFonts w:ascii="Artifex CF Extra Light" w:hAnsi="Artifex CF Extra Light" w:cs="Times New Roman"/>
          <w:color w:val="1F4E79" w:themeColor="accent1" w:themeShade="80"/>
          <w:spacing w:val="10"/>
          <w:sz w:val="18"/>
          <w:szCs w:val="18"/>
          <w:lang w:val="es-DO"/>
        </w:rPr>
        <w:t xml:space="preserve"> (1)</w:t>
      </w:r>
      <w:r w:rsidR="00005FB5" w:rsidRPr="007B3B38">
        <w:rPr>
          <w:rFonts w:ascii="Artifex CF Extra Light" w:hAnsi="Artifex CF Extra Light" w:cs="Times New Roman"/>
          <w:color w:val="1F4E79" w:themeColor="accent1" w:themeShade="80"/>
          <w:spacing w:val="10"/>
          <w:sz w:val="18"/>
          <w:szCs w:val="18"/>
          <w:lang w:val="es-DO"/>
        </w:rPr>
        <w:t xml:space="preserve"> de ellos en la </w:t>
      </w:r>
      <w:r w:rsidR="003246AA" w:rsidRPr="007B3B38">
        <w:rPr>
          <w:rFonts w:ascii="Artifex CF Extra Light" w:hAnsi="Artifex CF Extra Light" w:cs="Times New Roman"/>
          <w:color w:val="1F4E79" w:themeColor="accent1" w:themeShade="80"/>
          <w:spacing w:val="10"/>
          <w:sz w:val="18"/>
          <w:szCs w:val="18"/>
          <w:lang w:val="es-DO"/>
        </w:rPr>
        <w:t>g</w:t>
      </w:r>
      <w:r w:rsidR="00005FB5" w:rsidRPr="007B3B38">
        <w:rPr>
          <w:rFonts w:ascii="Artifex CF Extra Light" w:hAnsi="Artifex CF Extra Light" w:cs="Times New Roman"/>
          <w:color w:val="1F4E79" w:themeColor="accent1" w:themeShade="80"/>
          <w:spacing w:val="10"/>
          <w:sz w:val="18"/>
          <w:szCs w:val="18"/>
          <w:lang w:val="es-DO"/>
        </w:rPr>
        <w:t xml:space="preserve">erencia de </w:t>
      </w:r>
      <w:r w:rsidR="003246AA" w:rsidRPr="007B3B38">
        <w:rPr>
          <w:rFonts w:ascii="Artifex CF Extra Light" w:hAnsi="Artifex CF Extra Light" w:cs="Times New Roman"/>
          <w:color w:val="1F4E79" w:themeColor="accent1" w:themeShade="80"/>
          <w:spacing w:val="10"/>
          <w:sz w:val="18"/>
          <w:szCs w:val="18"/>
          <w:lang w:val="es-DO"/>
        </w:rPr>
        <w:t>e</w:t>
      </w:r>
      <w:r w:rsidR="00005FB5" w:rsidRPr="007B3B38">
        <w:rPr>
          <w:rFonts w:ascii="Artifex CF Extra Light" w:hAnsi="Artifex CF Extra Light" w:cs="Times New Roman"/>
          <w:color w:val="1F4E79" w:themeColor="accent1" w:themeShade="80"/>
          <w:spacing w:val="10"/>
          <w:sz w:val="18"/>
          <w:szCs w:val="18"/>
          <w:lang w:val="es-DO"/>
        </w:rPr>
        <w:t xml:space="preserve">studios </w:t>
      </w:r>
      <w:r w:rsidR="003246AA" w:rsidRPr="007B3B38">
        <w:rPr>
          <w:rFonts w:ascii="Artifex CF Extra Light" w:hAnsi="Artifex CF Extra Light" w:cs="Times New Roman"/>
          <w:color w:val="1F4E79" w:themeColor="accent1" w:themeShade="80"/>
          <w:spacing w:val="10"/>
          <w:sz w:val="18"/>
          <w:szCs w:val="18"/>
          <w:lang w:val="es-DO"/>
        </w:rPr>
        <w:t>e</w:t>
      </w:r>
      <w:r w:rsidR="00005FB5" w:rsidRPr="007B3B38">
        <w:rPr>
          <w:rFonts w:ascii="Artifex CF Extra Light" w:hAnsi="Artifex CF Extra Light" w:cs="Times New Roman"/>
          <w:color w:val="1F4E79" w:themeColor="accent1" w:themeShade="80"/>
          <w:spacing w:val="10"/>
          <w:sz w:val="18"/>
          <w:szCs w:val="18"/>
          <w:lang w:val="es-DO"/>
        </w:rPr>
        <w:t>conómicos y d</w:t>
      </w:r>
      <w:r w:rsidR="005037EB" w:rsidRPr="007B3B38">
        <w:rPr>
          <w:rFonts w:ascii="Artifex CF Extra Light" w:hAnsi="Artifex CF Extra Light" w:cs="Times New Roman"/>
          <w:color w:val="1F4E79" w:themeColor="accent1" w:themeShade="80"/>
          <w:spacing w:val="10"/>
          <w:sz w:val="18"/>
          <w:szCs w:val="18"/>
          <w:lang w:val="es-DO"/>
        </w:rPr>
        <w:t>o</w:t>
      </w:r>
      <w:r w:rsidR="00005FB5" w:rsidRPr="007B3B38">
        <w:rPr>
          <w:rFonts w:ascii="Artifex CF Extra Light" w:hAnsi="Artifex CF Extra Light" w:cs="Times New Roman"/>
          <w:color w:val="1F4E79" w:themeColor="accent1" w:themeShade="80"/>
          <w:spacing w:val="10"/>
          <w:sz w:val="18"/>
          <w:szCs w:val="18"/>
          <w:lang w:val="es-DO"/>
        </w:rPr>
        <w:t xml:space="preserve">s </w:t>
      </w:r>
      <w:r w:rsidR="005037EB" w:rsidRPr="007B3B38">
        <w:rPr>
          <w:rFonts w:ascii="Artifex CF Extra Light" w:hAnsi="Artifex CF Extra Light" w:cs="Times New Roman"/>
          <w:color w:val="1F4E79" w:themeColor="accent1" w:themeShade="80"/>
          <w:spacing w:val="10"/>
          <w:sz w:val="18"/>
          <w:szCs w:val="18"/>
          <w:lang w:val="es-DO"/>
        </w:rPr>
        <w:t>(</w:t>
      </w:r>
      <w:r w:rsidR="00B57BCF" w:rsidRPr="007B3B38">
        <w:rPr>
          <w:rFonts w:ascii="Artifex CF Extra Light" w:hAnsi="Artifex CF Extra Light" w:cs="Times New Roman"/>
          <w:color w:val="1F4E79" w:themeColor="accent1" w:themeShade="80"/>
          <w:spacing w:val="10"/>
          <w:sz w:val="18"/>
          <w:szCs w:val="18"/>
          <w:lang w:val="es-DO"/>
        </w:rPr>
        <w:t>3</w:t>
      </w:r>
      <w:r w:rsidR="005037EB" w:rsidRPr="007B3B38">
        <w:rPr>
          <w:rFonts w:ascii="Artifex CF Extra Light" w:hAnsi="Artifex CF Extra Light" w:cs="Times New Roman"/>
          <w:color w:val="1F4E79" w:themeColor="accent1" w:themeShade="80"/>
          <w:spacing w:val="10"/>
          <w:sz w:val="18"/>
          <w:szCs w:val="18"/>
          <w:lang w:val="es-DO"/>
        </w:rPr>
        <w:t xml:space="preserve">) </w:t>
      </w:r>
      <w:r w:rsidR="00005FB5" w:rsidRPr="007B3B38">
        <w:rPr>
          <w:rFonts w:ascii="Artifex CF Extra Light" w:hAnsi="Artifex CF Extra Light" w:cs="Times New Roman"/>
          <w:color w:val="1F4E79" w:themeColor="accent1" w:themeShade="80"/>
          <w:spacing w:val="10"/>
          <w:sz w:val="18"/>
          <w:szCs w:val="18"/>
          <w:lang w:val="es-DO"/>
        </w:rPr>
        <w:t>en la</w:t>
      </w:r>
      <w:r w:rsidR="005037EB" w:rsidRPr="007B3B38">
        <w:rPr>
          <w:rFonts w:ascii="Artifex CF Extra Light" w:hAnsi="Artifex CF Extra Light" w:cs="Times New Roman"/>
          <w:color w:val="1F4E79" w:themeColor="accent1" w:themeShade="80"/>
          <w:spacing w:val="10"/>
          <w:sz w:val="18"/>
          <w:szCs w:val="18"/>
          <w:lang w:val="es-DO"/>
        </w:rPr>
        <w:t xml:space="preserve"> gerencia de exportación.</w:t>
      </w:r>
    </w:p>
    <w:p w14:paraId="4AB36013" w14:textId="77777777" w:rsidR="00F475D6" w:rsidRDefault="00F475D6">
      <w:pPr>
        <w:rPr>
          <w:rFonts w:ascii="Artifex CF Extra Light" w:hAnsi="Artifex CF Extra Light" w:cs="Times New Roman"/>
          <w:b/>
          <w:color w:val="1F4E79" w:themeColor="accent1" w:themeShade="80"/>
          <w:spacing w:val="10"/>
          <w:sz w:val="20"/>
          <w:szCs w:val="20"/>
          <w:lang w:val="es-DO"/>
        </w:rPr>
      </w:pPr>
      <w:r>
        <w:rPr>
          <w:rFonts w:ascii="Artifex CF Extra Light" w:hAnsi="Artifex CF Extra Light" w:cs="Times New Roman"/>
          <w:b/>
          <w:color w:val="1F4E79" w:themeColor="accent1" w:themeShade="80"/>
          <w:spacing w:val="10"/>
          <w:sz w:val="20"/>
          <w:szCs w:val="20"/>
          <w:lang w:val="es-DO"/>
        </w:rPr>
        <w:br w:type="page"/>
      </w:r>
    </w:p>
    <w:p w14:paraId="658DED4F" w14:textId="2E995089" w:rsidR="009069C8" w:rsidRPr="00F475D6" w:rsidRDefault="4E312DF7" w:rsidP="00864966">
      <w:pPr>
        <w:spacing w:before="380" w:after="120" w:line="456" w:lineRule="auto"/>
        <w:ind w:firstLine="284"/>
        <w:jc w:val="both"/>
        <w:rPr>
          <w:rFonts w:ascii="Artifex CF Extra Light" w:hAnsi="Artifex CF Extra Light"/>
          <w:color w:val="1F4E79" w:themeColor="accent1" w:themeShade="80"/>
          <w:spacing w:val="10"/>
          <w:sz w:val="20"/>
          <w:szCs w:val="20"/>
          <w:lang w:val="es-ES"/>
        </w:rPr>
      </w:pPr>
      <w:r w:rsidRPr="00F475D6">
        <w:rPr>
          <w:rFonts w:ascii="Artifex CF Extra Light" w:hAnsi="Artifex CF Extra Light" w:cs="Times New Roman"/>
          <w:b/>
          <w:color w:val="1F4E79" w:themeColor="accent1" w:themeShade="80"/>
          <w:spacing w:val="10"/>
          <w:sz w:val="20"/>
          <w:szCs w:val="20"/>
          <w:lang w:val="es-DO"/>
        </w:rPr>
        <w:lastRenderedPageBreak/>
        <w:t>Plan de Alfabetización</w:t>
      </w:r>
    </w:p>
    <w:p w14:paraId="45112E6A" w14:textId="5AF13E04" w:rsidR="009069C8" w:rsidRPr="007B3B38" w:rsidRDefault="4E312DF7"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Con</w:t>
      </w:r>
      <w:r w:rsidR="009069C8" w:rsidRPr="007B3B38">
        <w:rPr>
          <w:rFonts w:ascii="Artifex CF Extra Light" w:hAnsi="Artifex CF Extra Light" w:cs="Times New Roman"/>
          <w:color w:val="1F4E79" w:themeColor="accent1" w:themeShade="80"/>
          <w:spacing w:val="10"/>
          <w:sz w:val="18"/>
          <w:szCs w:val="18"/>
          <w:lang w:val="es-DO"/>
        </w:rPr>
        <w:t xml:space="preserve"> el interés de contribuir con la reducción del índice de analfabetismo en el país, </w:t>
      </w:r>
      <w:r w:rsidR="66854152" w:rsidRPr="007B3B38">
        <w:rPr>
          <w:rFonts w:ascii="Artifex CF Extra Light" w:hAnsi="Artifex CF Extra Light" w:cs="Times New Roman"/>
          <w:color w:val="1F4E79" w:themeColor="accent1" w:themeShade="80"/>
          <w:spacing w:val="10"/>
          <w:sz w:val="18"/>
          <w:szCs w:val="18"/>
          <w:lang w:val="es-DO"/>
        </w:rPr>
        <w:t xml:space="preserve">se </w:t>
      </w:r>
      <w:r w:rsidR="5065504C" w:rsidRPr="007B3B38">
        <w:rPr>
          <w:rFonts w:ascii="Artifex CF Extra Light" w:hAnsi="Artifex CF Extra Light" w:cs="Times New Roman"/>
          <w:color w:val="1F4E79" w:themeColor="accent1" w:themeShade="80"/>
          <w:spacing w:val="10"/>
          <w:sz w:val="18"/>
          <w:szCs w:val="18"/>
          <w:lang w:val="es-DO"/>
        </w:rPr>
        <w:t>estructur</w:t>
      </w:r>
      <w:r w:rsidR="009069C8" w:rsidRPr="007B3B38">
        <w:rPr>
          <w:rFonts w:ascii="Artifex CF Extra Light" w:hAnsi="Artifex CF Extra Light" w:cs="Times New Roman"/>
          <w:color w:val="1F4E79" w:themeColor="accent1" w:themeShade="80"/>
          <w:spacing w:val="10"/>
          <w:sz w:val="18"/>
          <w:szCs w:val="18"/>
          <w:lang w:val="es-DO"/>
        </w:rPr>
        <w:t xml:space="preserve">ó </w:t>
      </w:r>
      <w:r w:rsidR="51C4926E" w:rsidRPr="007B3B38">
        <w:rPr>
          <w:rFonts w:ascii="Artifex CF Extra Light" w:hAnsi="Artifex CF Extra Light" w:cs="Times New Roman"/>
          <w:color w:val="1F4E79" w:themeColor="accent1" w:themeShade="80"/>
          <w:spacing w:val="10"/>
          <w:sz w:val="18"/>
          <w:szCs w:val="18"/>
          <w:lang w:val="es-DO"/>
        </w:rPr>
        <w:t>un</w:t>
      </w:r>
      <w:r w:rsidR="009069C8" w:rsidRPr="007B3B38">
        <w:rPr>
          <w:rFonts w:ascii="Artifex CF Extra Light" w:hAnsi="Artifex CF Extra Light" w:cs="Times New Roman"/>
          <w:color w:val="1F4E79" w:themeColor="accent1" w:themeShade="80"/>
          <w:spacing w:val="10"/>
          <w:sz w:val="18"/>
          <w:szCs w:val="18"/>
          <w:lang w:val="es-DO"/>
        </w:rPr>
        <w:t xml:space="preserve"> </w:t>
      </w:r>
      <w:r w:rsidR="0046602E" w:rsidRPr="007B3B38">
        <w:rPr>
          <w:rFonts w:ascii="Artifex CF Extra Light" w:hAnsi="Artifex CF Extra Light" w:cs="Times New Roman"/>
          <w:color w:val="1F4E79" w:themeColor="accent1" w:themeShade="80"/>
          <w:spacing w:val="10"/>
          <w:sz w:val="18"/>
          <w:szCs w:val="18"/>
          <w:lang w:val="es-DO"/>
        </w:rPr>
        <w:t>p</w:t>
      </w:r>
      <w:r w:rsidR="009069C8" w:rsidRPr="007B3B38">
        <w:rPr>
          <w:rFonts w:ascii="Artifex CF Extra Light" w:hAnsi="Artifex CF Extra Light" w:cs="Times New Roman"/>
          <w:color w:val="1F4E79" w:themeColor="accent1" w:themeShade="80"/>
          <w:spacing w:val="10"/>
          <w:sz w:val="18"/>
          <w:szCs w:val="18"/>
          <w:lang w:val="es-DO"/>
        </w:rPr>
        <w:t xml:space="preserve">lan de </w:t>
      </w:r>
      <w:r w:rsidR="0046602E" w:rsidRPr="007B3B38">
        <w:rPr>
          <w:rFonts w:ascii="Artifex CF Extra Light" w:hAnsi="Artifex CF Extra Light" w:cs="Times New Roman"/>
          <w:color w:val="1F4E79" w:themeColor="accent1" w:themeShade="80"/>
          <w:spacing w:val="10"/>
          <w:sz w:val="18"/>
          <w:szCs w:val="18"/>
          <w:lang w:val="es-DO"/>
        </w:rPr>
        <w:t>a</w:t>
      </w:r>
      <w:r w:rsidR="009069C8" w:rsidRPr="007B3B38">
        <w:rPr>
          <w:rFonts w:ascii="Artifex CF Extra Light" w:hAnsi="Artifex CF Extra Light" w:cs="Times New Roman"/>
          <w:color w:val="1F4E79" w:themeColor="accent1" w:themeShade="80"/>
          <w:spacing w:val="10"/>
          <w:sz w:val="18"/>
          <w:szCs w:val="18"/>
          <w:lang w:val="es-DO"/>
        </w:rPr>
        <w:t>lfabetización</w:t>
      </w:r>
      <w:r w:rsidR="36BB93BB" w:rsidRPr="007B3B38">
        <w:rPr>
          <w:rFonts w:ascii="Artifex CF Extra Light" w:hAnsi="Artifex CF Extra Light" w:cs="Times New Roman"/>
          <w:color w:val="1F4E79" w:themeColor="accent1" w:themeShade="80"/>
          <w:spacing w:val="10"/>
          <w:sz w:val="18"/>
          <w:szCs w:val="18"/>
          <w:lang w:val="es-DO"/>
        </w:rPr>
        <w:t xml:space="preserve"> que será desarrollado durante el próximo 2021</w:t>
      </w:r>
      <w:r w:rsidR="009069C8" w:rsidRPr="007B3B38">
        <w:rPr>
          <w:rFonts w:ascii="Artifex CF Extra Light" w:hAnsi="Artifex CF Extra Light" w:cs="Times New Roman"/>
          <w:color w:val="1F4E79" w:themeColor="accent1" w:themeShade="80"/>
          <w:spacing w:val="10"/>
          <w:sz w:val="18"/>
          <w:szCs w:val="18"/>
          <w:lang w:val="es-DO"/>
        </w:rPr>
        <w:t>.</w:t>
      </w:r>
    </w:p>
    <w:p w14:paraId="3F2E6CE1" w14:textId="77777777" w:rsidR="009069C8" w:rsidRPr="00F475D6" w:rsidRDefault="009069C8" w:rsidP="00702674">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t>Implementar programa de reconocimiento</w:t>
      </w:r>
    </w:p>
    <w:p w14:paraId="6761A7AB" w14:textId="35AC5E96" w:rsidR="009069C8" w:rsidRPr="007B3B38" w:rsidRDefault="5D930CA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Se formuló un</w:t>
      </w:r>
      <w:r w:rsidR="009069C8" w:rsidRPr="007B3B38">
        <w:rPr>
          <w:rFonts w:ascii="Artifex CF Extra Light" w:hAnsi="Artifex CF Extra Light" w:cs="Times New Roman"/>
          <w:color w:val="1F4E79" w:themeColor="accent1" w:themeShade="80"/>
          <w:spacing w:val="10"/>
          <w:sz w:val="18"/>
          <w:szCs w:val="18"/>
          <w:lang w:val="es-DO"/>
        </w:rPr>
        <w:t xml:space="preserve"> Programa de Reconocimiento, </w:t>
      </w:r>
      <w:r w:rsidR="0801D0DD" w:rsidRPr="007B3B38">
        <w:rPr>
          <w:rFonts w:ascii="Artifex CF Extra Light" w:hAnsi="Artifex CF Extra Light" w:cs="Times New Roman"/>
          <w:color w:val="1F4E79" w:themeColor="accent1" w:themeShade="80"/>
          <w:spacing w:val="10"/>
          <w:sz w:val="18"/>
          <w:szCs w:val="18"/>
          <w:lang w:val="es-DO"/>
        </w:rPr>
        <w:t>que busca</w:t>
      </w:r>
      <w:r w:rsidR="009069C8" w:rsidRPr="007B3B38">
        <w:rPr>
          <w:rFonts w:ascii="Artifex CF Extra Light" w:hAnsi="Artifex CF Extra Light" w:cs="Times New Roman"/>
          <w:color w:val="1F4E79" w:themeColor="accent1" w:themeShade="80"/>
          <w:spacing w:val="10"/>
          <w:sz w:val="18"/>
          <w:szCs w:val="18"/>
          <w:lang w:val="es-DO"/>
        </w:rPr>
        <w:t xml:space="preserve"> crear un clima laboral más </w:t>
      </w:r>
      <w:r w:rsidR="3CDACA81" w:rsidRPr="007B3B38">
        <w:rPr>
          <w:rFonts w:ascii="Artifex CF Extra Light" w:hAnsi="Artifex CF Extra Light" w:cs="Times New Roman"/>
          <w:color w:val="1F4E79" w:themeColor="accent1" w:themeShade="80"/>
          <w:spacing w:val="10"/>
          <w:sz w:val="18"/>
          <w:szCs w:val="18"/>
          <w:lang w:val="es-DO"/>
        </w:rPr>
        <w:t>acogedor</w:t>
      </w:r>
      <w:r w:rsidR="009069C8" w:rsidRPr="007B3B38">
        <w:rPr>
          <w:rFonts w:ascii="Artifex CF Extra Light" w:hAnsi="Artifex CF Extra Light" w:cs="Times New Roman"/>
          <w:color w:val="1F4E79" w:themeColor="accent1" w:themeShade="80"/>
          <w:spacing w:val="10"/>
          <w:sz w:val="18"/>
          <w:szCs w:val="18"/>
          <w:lang w:val="es-DO"/>
        </w:rPr>
        <w:t xml:space="preserve"> para los colaboradores de ProDominicana</w:t>
      </w:r>
      <w:r w:rsidR="7693CA9A" w:rsidRPr="007B3B38">
        <w:rPr>
          <w:rFonts w:ascii="Artifex CF Extra Light" w:hAnsi="Artifex CF Extra Light" w:cs="Times New Roman"/>
          <w:color w:val="1F4E79" w:themeColor="accent1" w:themeShade="80"/>
          <w:spacing w:val="10"/>
          <w:sz w:val="18"/>
          <w:szCs w:val="18"/>
          <w:lang w:val="es-DO"/>
        </w:rPr>
        <w:t>.</w:t>
      </w:r>
    </w:p>
    <w:p w14:paraId="56032089" w14:textId="6252D2FD" w:rsidR="009069C8" w:rsidRPr="007B3B38" w:rsidRDefault="4C93CF0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Dentro</w:t>
      </w:r>
      <w:r w:rsidR="009069C8" w:rsidRPr="007B3B38">
        <w:rPr>
          <w:rFonts w:ascii="Artifex CF Extra Light" w:hAnsi="Artifex CF Extra Light" w:cs="Times New Roman"/>
          <w:color w:val="1F4E79" w:themeColor="accent1" w:themeShade="80"/>
          <w:spacing w:val="10"/>
          <w:sz w:val="18"/>
          <w:szCs w:val="18"/>
          <w:lang w:val="es-DO"/>
        </w:rPr>
        <w:t xml:space="preserve"> del </w:t>
      </w:r>
      <w:r w:rsidR="7693CA9A" w:rsidRPr="007B3B38">
        <w:rPr>
          <w:rFonts w:ascii="Artifex CF Extra Light" w:hAnsi="Artifex CF Extra Light" w:cs="Times New Roman"/>
          <w:color w:val="1F4E79" w:themeColor="accent1" w:themeShade="80"/>
          <w:spacing w:val="10"/>
          <w:sz w:val="18"/>
          <w:szCs w:val="18"/>
          <w:lang w:val="es-DO"/>
        </w:rPr>
        <w:t>marco</w:t>
      </w:r>
      <w:r w:rsidR="009069C8" w:rsidRPr="007B3B38">
        <w:rPr>
          <w:rFonts w:ascii="Artifex CF Extra Light" w:hAnsi="Artifex CF Extra Light" w:cs="Times New Roman"/>
          <w:color w:val="1F4E79" w:themeColor="accent1" w:themeShade="80"/>
          <w:spacing w:val="10"/>
          <w:sz w:val="18"/>
          <w:szCs w:val="18"/>
          <w:lang w:val="es-DO"/>
        </w:rPr>
        <w:t xml:space="preserve"> de este programa</w:t>
      </w:r>
      <w:r w:rsidR="7693CA9A" w:rsidRPr="007B3B38">
        <w:rPr>
          <w:rFonts w:ascii="Artifex CF Extra Light" w:hAnsi="Artifex CF Extra Light" w:cs="Times New Roman"/>
          <w:color w:val="1F4E79" w:themeColor="accent1" w:themeShade="80"/>
          <w:spacing w:val="10"/>
          <w:sz w:val="18"/>
          <w:szCs w:val="18"/>
          <w:lang w:val="es-DO"/>
        </w:rPr>
        <w:t xml:space="preserve">, se </w:t>
      </w:r>
      <w:r w:rsidR="009069C8" w:rsidRPr="007B3B38">
        <w:rPr>
          <w:rFonts w:ascii="Artifex CF Extra Light" w:hAnsi="Artifex CF Extra Light" w:cs="Times New Roman"/>
          <w:color w:val="1F4E79" w:themeColor="accent1" w:themeShade="80"/>
          <w:spacing w:val="10"/>
          <w:sz w:val="18"/>
          <w:szCs w:val="18"/>
          <w:lang w:val="es-DO"/>
        </w:rPr>
        <w:t>entreg</w:t>
      </w:r>
      <w:r w:rsidR="21028ED3" w:rsidRPr="007B3B38">
        <w:rPr>
          <w:rFonts w:ascii="Artifex CF Extra Light" w:hAnsi="Artifex CF Extra Light" w:cs="Times New Roman"/>
          <w:color w:val="1F4E79" w:themeColor="accent1" w:themeShade="80"/>
          <w:spacing w:val="10"/>
          <w:sz w:val="18"/>
          <w:szCs w:val="18"/>
          <w:lang w:val="es-DO"/>
        </w:rPr>
        <w:t>ó en el mes</w:t>
      </w:r>
      <w:r w:rsidR="009069C8" w:rsidRPr="007B3B38">
        <w:rPr>
          <w:rFonts w:ascii="Artifex CF Extra Light" w:hAnsi="Artifex CF Extra Light" w:cs="Times New Roman"/>
          <w:color w:val="1F4E79" w:themeColor="accent1" w:themeShade="80"/>
          <w:spacing w:val="10"/>
          <w:sz w:val="18"/>
          <w:szCs w:val="18"/>
          <w:lang w:val="es-DO"/>
        </w:rPr>
        <w:t xml:space="preserve"> de </w:t>
      </w:r>
      <w:r w:rsidR="21028ED3" w:rsidRPr="007B3B38">
        <w:rPr>
          <w:rFonts w:ascii="Artifex CF Extra Light" w:hAnsi="Artifex CF Extra Light" w:cs="Times New Roman"/>
          <w:color w:val="1F4E79" w:themeColor="accent1" w:themeShade="80"/>
          <w:spacing w:val="10"/>
          <w:sz w:val="18"/>
          <w:szCs w:val="18"/>
          <w:lang w:val="es-DO"/>
        </w:rPr>
        <w:t>octubre</w:t>
      </w:r>
      <w:r w:rsidR="009069C8" w:rsidRPr="007B3B38">
        <w:rPr>
          <w:rFonts w:ascii="Artifex CF Extra Light" w:hAnsi="Artifex CF Extra Light" w:cs="Times New Roman"/>
          <w:color w:val="1F4E79" w:themeColor="accent1" w:themeShade="80"/>
          <w:spacing w:val="10"/>
          <w:sz w:val="18"/>
          <w:szCs w:val="18"/>
          <w:lang w:val="es-DO"/>
        </w:rPr>
        <w:t xml:space="preserve"> reconocimientos a colaboradores del staff ejecutivo por su desempeño extraordinario en lo referente al Plan Nacional de Fomento a las Exportaciones y al talento de la Dirección de Comunicación y Marketing, que trabajó con empeño y entrega en el cambio de imagen a ProDominicana</w:t>
      </w:r>
      <w:r w:rsidR="0000194B" w:rsidRPr="007B3B38">
        <w:rPr>
          <w:rFonts w:ascii="Artifex CF Extra Light" w:hAnsi="Artifex CF Extra Light" w:cs="Times New Roman"/>
          <w:color w:val="1F4E79" w:themeColor="accent1" w:themeShade="80"/>
          <w:spacing w:val="10"/>
          <w:sz w:val="18"/>
          <w:szCs w:val="18"/>
          <w:lang w:val="es-DO"/>
        </w:rPr>
        <w:t>.</w:t>
      </w:r>
    </w:p>
    <w:p w14:paraId="51040E6C"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De igual manera se presentó la postulación de seis (6) colaboradores de la Institución para el otorgamiento de la Medalla al Mérito, reconocimiento organizado por el Ministerio de Administración Pública (MAP).  </w:t>
      </w:r>
    </w:p>
    <w:p w14:paraId="289D4104" w14:textId="77777777" w:rsidR="003D3E2E" w:rsidRPr="007B3B38" w:rsidRDefault="003D3E2E" w:rsidP="00864966">
      <w:pPr>
        <w:spacing w:before="380" w:after="120" w:line="456" w:lineRule="auto"/>
        <w:ind w:firstLine="284"/>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b/>
          <w:color w:val="1F4E79" w:themeColor="accent1" w:themeShade="80"/>
          <w:spacing w:val="10"/>
          <w:sz w:val="18"/>
          <w:szCs w:val="18"/>
          <w:lang w:val="es-DO"/>
        </w:rPr>
        <w:br w:type="page"/>
      </w:r>
    </w:p>
    <w:p w14:paraId="23AA193B" w14:textId="77777777" w:rsidR="009069C8" w:rsidRPr="00F475D6" w:rsidRDefault="009069C8" w:rsidP="00702674">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lastRenderedPageBreak/>
        <w:t>Programa de Sucesión</w:t>
      </w:r>
    </w:p>
    <w:p w14:paraId="4F96B7A9" w14:textId="1CFEBD82" w:rsidR="009069C8" w:rsidRPr="007B3B38" w:rsidRDefault="00BE641B"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7B3B38">
        <w:rPr>
          <w:rFonts w:ascii="Artifex CF Extra Light" w:hAnsi="Artifex CF Extra Light"/>
          <w:color w:val="1F4E79" w:themeColor="accent1" w:themeShade="80"/>
          <w:spacing w:val="10"/>
          <w:sz w:val="18"/>
          <w:szCs w:val="18"/>
          <w:lang w:val="es-ES"/>
        </w:rPr>
        <w:t>ProDominicana</w:t>
      </w:r>
      <w:r w:rsidR="009069C8" w:rsidRPr="007B3B38">
        <w:rPr>
          <w:rFonts w:ascii="Artifex CF Extra Light" w:hAnsi="Artifex CF Extra Light"/>
          <w:color w:val="1F4E79" w:themeColor="accent1" w:themeShade="80"/>
          <w:spacing w:val="10"/>
          <w:sz w:val="18"/>
          <w:szCs w:val="18"/>
          <w:lang w:val="es-ES"/>
        </w:rPr>
        <w:t xml:space="preserve"> ha diseñado un modelo de sucesión para puestos claves basado en el enfoque de competencias, habilitando una herramienta que permita favorecer la retención y la motivación hacia el desarrollo del personal candidato a suceder puestos claves dentro de la institución.</w:t>
      </w:r>
    </w:p>
    <w:p w14:paraId="6410B651" w14:textId="77777777" w:rsidR="009069C8" w:rsidRPr="007B3B38" w:rsidRDefault="009069C8"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7B3B38">
        <w:rPr>
          <w:rFonts w:ascii="Artifex CF Extra Light" w:hAnsi="Artifex CF Extra Light"/>
          <w:color w:val="1F4E79" w:themeColor="accent1" w:themeShade="80"/>
          <w:spacing w:val="10"/>
          <w:sz w:val="18"/>
          <w:szCs w:val="18"/>
          <w:lang w:val="es-ES"/>
        </w:rPr>
        <w:t>Los beneficios de este programa son:</w:t>
      </w:r>
    </w:p>
    <w:p w14:paraId="702F3F27" w14:textId="77777777" w:rsidR="009069C8" w:rsidRPr="00524E29" w:rsidRDefault="009069C8" w:rsidP="00524E29">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524E29">
        <w:rPr>
          <w:rFonts w:ascii="Artifex CF Extra Light" w:hAnsi="Artifex CF Extra Light" w:cs="Times New Roman"/>
          <w:color w:val="1F4E79" w:themeColor="accent1" w:themeShade="80"/>
          <w:spacing w:val="10"/>
          <w:sz w:val="18"/>
          <w:szCs w:val="18"/>
          <w:lang w:val="es-DO"/>
        </w:rPr>
        <w:t>Identificar, motivar y retener el talento clave para el logro de los objetivos a largo plazo.</w:t>
      </w:r>
    </w:p>
    <w:p w14:paraId="5F96B36D" w14:textId="77777777" w:rsidR="009069C8" w:rsidRPr="00524E29" w:rsidRDefault="009069C8" w:rsidP="00524E29">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524E29">
        <w:rPr>
          <w:rFonts w:ascii="Artifex CF Extra Light" w:hAnsi="Artifex CF Extra Light" w:cs="Times New Roman"/>
          <w:color w:val="1F4E79" w:themeColor="accent1" w:themeShade="80"/>
          <w:spacing w:val="10"/>
          <w:sz w:val="18"/>
          <w:szCs w:val="18"/>
          <w:lang w:val="es-DO"/>
        </w:rPr>
        <w:t>Reducir los costos y el tiempo invertido en la búsqueda de ejecutivos para puestos claves.</w:t>
      </w:r>
    </w:p>
    <w:p w14:paraId="336E4AF8" w14:textId="77777777" w:rsidR="009069C8" w:rsidRPr="00524E29" w:rsidRDefault="009069C8" w:rsidP="00524E29">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524E29">
        <w:rPr>
          <w:rFonts w:ascii="Artifex CF Extra Light" w:hAnsi="Artifex CF Extra Light" w:cs="Times New Roman"/>
          <w:color w:val="1F4E79" w:themeColor="accent1" w:themeShade="80"/>
          <w:spacing w:val="10"/>
          <w:sz w:val="18"/>
          <w:szCs w:val="18"/>
          <w:lang w:val="es-DO"/>
        </w:rPr>
        <w:t>Preparar a la organización para enfrentar pérdidas repentinas de talento crítico.</w:t>
      </w:r>
    </w:p>
    <w:p w14:paraId="293ED4ED" w14:textId="77777777" w:rsidR="009069C8" w:rsidRPr="00524E29" w:rsidRDefault="009069C8" w:rsidP="00524E29">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524E29">
        <w:rPr>
          <w:rFonts w:ascii="Artifex CF Extra Light" w:hAnsi="Artifex CF Extra Light" w:cs="Times New Roman"/>
          <w:color w:val="1F4E79" w:themeColor="accent1" w:themeShade="80"/>
          <w:spacing w:val="10"/>
          <w:sz w:val="18"/>
          <w:szCs w:val="18"/>
          <w:lang w:val="es-DO"/>
        </w:rPr>
        <w:t>Permitir a los empleados satisfacer sus aspiraciones laborales con líneas de carrera.</w:t>
      </w:r>
    </w:p>
    <w:p w14:paraId="6A7B50DA" w14:textId="77777777" w:rsidR="009069C8" w:rsidRPr="00524E29" w:rsidRDefault="009069C8" w:rsidP="00524E29">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524E29">
        <w:rPr>
          <w:rFonts w:ascii="Artifex CF Extra Light" w:hAnsi="Artifex CF Extra Light" w:cs="Times New Roman"/>
          <w:color w:val="1F4E79" w:themeColor="accent1" w:themeShade="80"/>
          <w:spacing w:val="10"/>
          <w:sz w:val="18"/>
          <w:szCs w:val="18"/>
          <w:lang w:val="es-DO"/>
        </w:rPr>
        <w:t>Desarrollar personas más involucradas y con mayor conocimiento en la empresa, con capacidad de aportar nuevas ideas y formas de llevar en marcha el negocio en un largo plazo.</w:t>
      </w:r>
    </w:p>
    <w:p w14:paraId="17D9A359" w14:textId="77777777" w:rsidR="009069C8" w:rsidRPr="00524E29" w:rsidRDefault="009069C8" w:rsidP="00524E29">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524E29">
        <w:rPr>
          <w:rFonts w:ascii="Artifex CF Extra Light" w:hAnsi="Artifex CF Extra Light" w:cs="Times New Roman"/>
          <w:color w:val="1F4E79" w:themeColor="accent1" w:themeShade="80"/>
          <w:spacing w:val="10"/>
          <w:sz w:val="18"/>
          <w:szCs w:val="18"/>
          <w:lang w:val="es-DO"/>
        </w:rPr>
        <w:t>Constante revisión de los procedimientos, procesos, perfiles y facultades de puestos, mejorando así el desempeño de la organización.</w:t>
      </w:r>
    </w:p>
    <w:p w14:paraId="73F79C49" w14:textId="2A1E0375" w:rsidR="005B4AC4" w:rsidRPr="00524E29" w:rsidRDefault="009069C8" w:rsidP="00524E29">
      <w:pPr>
        <w:pStyle w:val="Prrafodelista"/>
        <w:numPr>
          <w:ilvl w:val="0"/>
          <w:numId w:val="13"/>
        </w:numPr>
        <w:spacing w:before="380" w:after="120" w:line="456" w:lineRule="auto"/>
        <w:ind w:hanging="284"/>
        <w:contextualSpacing w:val="0"/>
        <w:jc w:val="both"/>
        <w:rPr>
          <w:rFonts w:ascii="Artifex CF Extra Light" w:hAnsi="Artifex CF Extra Light" w:cs="Times New Roman"/>
          <w:color w:val="1F4E79" w:themeColor="accent1" w:themeShade="80"/>
          <w:spacing w:val="10"/>
          <w:sz w:val="18"/>
          <w:szCs w:val="18"/>
          <w:lang w:val="es-DO"/>
        </w:rPr>
      </w:pPr>
      <w:r w:rsidRPr="00524E29">
        <w:rPr>
          <w:rFonts w:ascii="Artifex CF Extra Light" w:hAnsi="Artifex CF Extra Light" w:cs="Times New Roman"/>
          <w:color w:val="1F4E79" w:themeColor="accent1" w:themeShade="80"/>
          <w:spacing w:val="10"/>
          <w:sz w:val="18"/>
          <w:szCs w:val="18"/>
          <w:lang w:val="es-DO"/>
        </w:rPr>
        <w:t>Mayor motivación de empleados y directivos claves, tanto en el cumplimiento de los objetivos de la organización como en su desarrollo y permanencia.</w:t>
      </w:r>
    </w:p>
    <w:p w14:paraId="5621797D" w14:textId="77777777" w:rsidR="00A52597" w:rsidRDefault="00A52597">
      <w:pPr>
        <w:rPr>
          <w:rFonts w:ascii="Artifex CF Extra Light" w:hAnsi="Artifex CF Extra Light" w:cs="Times New Roman"/>
          <w:b/>
          <w:color w:val="1F4E79" w:themeColor="accent1" w:themeShade="80"/>
          <w:spacing w:val="10"/>
          <w:sz w:val="18"/>
          <w:szCs w:val="18"/>
          <w:lang w:val="es-DO"/>
        </w:rPr>
      </w:pPr>
      <w:r>
        <w:rPr>
          <w:rFonts w:ascii="Artifex CF Extra Light" w:hAnsi="Artifex CF Extra Light" w:cs="Times New Roman"/>
          <w:b/>
          <w:color w:val="1F4E79" w:themeColor="accent1" w:themeShade="80"/>
          <w:spacing w:val="10"/>
          <w:sz w:val="18"/>
          <w:szCs w:val="18"/>
          <w:lang w:val="es-DO"/>
        </w:rPr>
        <w:br w:type="page"/>
      </w:r>
    </w:p>
    <w:p w14:paraId="5A1C4EBD" w14:textId="46EEE705" w:rsidR="000A163D" w:rsidRPr="007B3B38" w:rsidRDefault="000A163D" w:rsidP="00403735">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b/>
          <w:color w:val="1F4E79" w:themeColor="accent1" w:themeShade="80"/>
          <w:spacing w:val="10"/>
          <w:sz w:val="18"/>
          <w:szCs w:val="18"/>
          <w:lang w:val="es-DO"/>
        </w:rPr>
        <w:lastRenderedPageBreak/>
        <w:t>ACUERDOS INTERINSTITUCIONALES</w:t>
      </w:r>
    </w:p>
    <w:p w14:paraId="0B05A100" w14:textId="77777777" w:rsidR="000A163D" w:rsidRPr="007B3B38" w:rsidRDefault="000A163D" w:rsidP="00864966">
      <w:pPr>
        <w:spacing w:before="380" w:after="120" w:line="456" w:lineRule="auto"/>
        <w:ind w:firstLine="284"/>
        <w:jc w:val="both"/>
        <w:rPr>
          <w:rFonts w:ascii="Artifex CF Extra Light" w:eastAsiaTheme="minorEastAsia" w:hAnsi="Artifex CF Extra Light" w:cs="Times New Roman"/>
          <w:color w:val="1F4E79" w:themeColor="accent1" w:themeShade="80"/>
          <w:spacing w:val="10"/>
          <w:sz w:val="18"/>
          <w:szCs w:val="18"/>
          <w:lang w:val="es-ES"/>
        </w:rPr>
      </w:pPr>
      <w:r w:rsidRPr="007B3B38">
        <w:rPr>
          <w:rFonts w:ascii="Artifex CF Extra Light" w:eastAsiaTheme="minorEastAsia" w:hAnsi="Artifex CF Extra Light" w:cs="Times New Roman"/>
          <w:color w:val="1F4E79" w:themeColor="accent1" w:themeShade="80"/>
          <w:spacing w:val="10"/>
          <w:sz w:val="18"/>
          <w:szCs w:val="18"/>
          <w:lang w:val="es-ES"/>
        </w:rPr>
        <w:t xml:space="preserve">En el 2020 también se han firmado importantes acuerdos, que buscan potenciar las labores de ProDominicana. Entre estos, podemos citar: </w:t>
      </w:r>
    </w:p>
    <w:p w14:paraId="71FE2589" w14:textId="7C86B6F2" w:rsidR="000A163D" w:rsidRPr="00F475D6" w:rsidRDefault="000A163D" w:rsidP="00403735">
      <w:pPr>
        <w:pStyle w:val="Prrafodelista"/>
        <w:numPr>
          <w:ilvl w:val="2"/>
          <w:numId w:val="6"/>
        </w:numPr>
        <w:spacing w:before="380" w:after="120" w:line="456" w:lineRule="auto"/>
        <w:ind w:left="284" w:hanging="284"/>
        <w:contextualSpacing w:val="0"/>
        <w:jc w:val="center"/>
        <w:rPr>
          <w:rFonts w:ascii="Artifex CF Extra Light" w:eastAsiaTheme="minorEastAsia" w:hAnsi="Artifex CF Extra Light" w:cs="Times New Roman"/>
          <w:b/>
          <w:color w:val="1F4E79" w:themeColor="accent1" w:themeShade="80"/>
          <w:spacing w:val="10"/>
          <w:sz w:val="20"/>
          <w:szCs w:val="20"/>
          <w:lang w:val="es-ES"/>
        </w:rPr>
      </w:pPr>
      <w:r w:rsidRPr="00F475D6">
        <w:rPr>
          <w:rFonts w:ascii="Artifex CF Extra Light" w:eastAsiaTheme="minorEastAsia" w:hAnsi="Artifex CF Extra Light" w:cs="Times New Roman"/>
          <w:b/>
          <w:color w:val="1F4E79" w:themeColor="accent1" w:themeShade="80"/>
          <w:spacing w:val="10"/>
          <w:sz w:val="20"/>
          <w:szCs w:val="20"/>
          <w:lang w:val="es-ES"/>
        </w:rPr>
        <w:t>Acuerdo de cooperación para la implementación del proyecto de la marca país de la república dominicana.</w:t>
      </w:r>
    </w:p>
    <w:p w14:paraId="3DF2DCE0" w14:textId="77777777" w:rsidR="000A163D" w:rsidRPr="007B3B38" w:rsidRDefault="000A163D" w:rsidP="00864966">
      <w:pPr>
        <w:spacing w:before="380" w:after="120" w:line="456" w:lineRule="auto"/>
        <w:ind w:firstLine="284"/>
        <w:jc w:val="both"/>
        <w:rPr>
          <w:rFonts w:ascii="Artifex CF Extra Light" w:eastAsiaTheme="minorEastAsia" w:hAnsi="Artifex CF Extra Light" w:cs="Times New Roman"/>
          <w:color w:val="1F4E79" w:themeColor="accent1" w:themeShade="80"/>
          <w:spacing w:val="10"/>
          <w:sz w:val="18"/>
          <w:szCs w:val="18"/>
          <w:lang w:val="es-ES"/>
        </w:rPr>
      </w:pPr>
      <w:r w:rsidRPr="007B3B38">
        <w:rPr>
          <w:rFonts w:ascii="Artifex CF Extra Light" w:eastAsiaTheme="minorEastAsia" w:hAnsi="Artifex CF Extra Light" w:cs="Times New Roman"/>
          <w:color w:val="1F4E79" w:themeColor="accent1" w:themeShade="80"/>
          <w:spacing w:val="10"/>
          <w:sz w:val="18"/>
          <w:szCs w:val="18"/>
          <w:lang w:val="es-ES"/>
        </w:rPr>
        <w:t>El pasado 9 de septiembre se firmó el Acuerdo de Cooperación para la Implementación del Proyecto de la Marca País de la República Dominicana; Acuerdo interinstitucional entre el Ministerio de Turismo (MITUR); el Centro de Exportación e Inversión de la Republica Dominicana (ProDominicana); y representantes del Sector Privado. Las partes acuerdan aunar esfuerzos para consolidar y poner en marcha la ejecución de la estrategia de la Marca País de la República Dominicana, teniendo como principal objetivo la masificación y posicionamiento de la Marca País dentro y fuera de la Republica Dominicana y articulando el trabajo conjunto de los sectores público-privado en la consecución de los objetivos de la estrategia Marca País.</w:t>
      </w:r>
    </w:p>
    <w:p w14:paraId="29104AA1" w14:textId="0C505E6D" w:rsidR="000A163D" w:rsidRPr="00F475D6" w:rsidRDefault="000A163D" w:rsidP="00403735">
      <w:pPr>
        <w:pStyle w:val="Prrafodelista"/>
        <w:numPr>
          <w:ilvl w:val="2"/>
          <w:numId w:val="6"/>
        </w:numPr>
        <w:spacing w:before="380" w:after="120" w:line="456" w:lineRule="auto"/>
        <w:ind w:left="284" w:hanging="284"/>
        <w:contextualSpacing w:val="0"/>
        <w:jc w:val="center"/>
        <w:rPr>
          <w:rFonts w:ascii="Artifex CF Extra Light" w:eastAsiaTheme="minorEastAsia" w:hAnsi="Artifex CF Extra Light" w:cs="Times New Roman"/>
          <w:b/>
          <w:color w:val="1F4E79" w:themeColor="accent1" w:themeShade="80"/>
          <w:spacing w:val="10"/>
          <w:sz w:val="20"/>
          <w:szCs w:val="20"/>
          <w:lang w:val="es-ES"/>
        </w:rPr>
      </w:pPr>
      <w:r w:rsidRPr="00F475D6">
        <w:rPr>
          <w:rFonts w:ascii="Artifex CF Extra Light" w:eastAsiaTheme="minorEastAsia" w:hAnsi="Artifex CF Extra Light" w:cs="Times New Roman"/>
          <w:b/>
          <w:color w:val="1F4E79" w:themeColor="accent1" w:themeShade="80"/>
          <w:spacing w:val="10"/>
          <w:sz w:val="20"/>
          <w:szCs w:val="20"/>
          <w:lang w:val="es-ES"/>
        </w:rPr>
        <w:t>Extensión del contrato de subvención para la ejecución del "programa de fortalecimiento e internacionalización de pymes de la república dominicana.</w:t>
      </w:r>
    </w:p>
    <w:p w14:paraId="710BC060" w14:textId="77777777" w:rsidR="000A163D" w:rsidRPr="007B3B38" w:rsidRDefault="000A163D" w:rsidP="00864966">
      <w:pPr>
        <w:spacing w:before="380" w:after="120" w:line="456" w:lineRule="auto"/>
        <w:ind w:firstLine="284"/>
        <w:jc w:val="both"/>
        <w:rPr>
          <w:rFonts w:ascii="Artifex CF Extra Light" w:eastAsiaTheme="minorEastAsia" w:hAnsi="Artifex CF Extra Light" w:cs="Times New Roman"/>
          <w:color w:val="1F4E79" w:themeColor="accent1" w:themeShade="80"/>
          <w:spacing w:val="10"/>
          <w:sz w:val="18"/>
          <w:szCs w:val="18"/>
          <w:lang w:val="es-ES"/>
        </w:rPr>
      </w:pPr>
      <w:r w:rsidRPr="007B3B38">
        <w:rPr>
          <w:rFonts w:ascii="Artifex CF Extra Light" w:eastAsiaTheme="minorEastAsia" w:hAnsi="Artifex CF Extra Light" w:cs="Times New Roman"/>
          <w:color w:val="1F4E79" w:themeColor="accent1" w:themeShade="80"/>
          <w:spacing w:val="10"/>
          <w:sz w:val="18"/>
          <w:szCs w:val="18"/>
          <w:lang w:val="es-ES"/>
        </w:rPr>
        <w:t>El pasado 16 de septiembre se firmó la Adenda al contrato de Cooperación entre el Viceministerio de Cooperación Internacional del Ministerio de Economía, Planificación y Desarrollo (MEPYD) y Ordenador Nacional de los Fondos Europeos para el Desarrollo y el Centro de Exportación e Inversión de la Republica Dominicana (ProDominicana), para la ejecución del "Programa de Fortalecimiento e Internacionalización de Pymes de la República Dominicana”.</w:t>
      </w:r>
    </w:p>
    <w:p w14:paraId="0125F4AB" w14:textId="77777777" w:rsidR="00403735" w:rsidRDefault="00403735">
      <w:pPr>
        <w:rPr>
          <w:rFonts w:ascii="Artifex CF Extra Light" w:eastAsiaTheme="minorEastAsia" w:hAnsi="Artifex CF Extra Light" w:cs="Times New Roman"/>
          <w:b/>
          <w:color w:val="1F4E79" w:themeColor="accent1" w:themeShade="80"/>
          <w:spacing w:val="10"/>
          <w:sz w:val="18"/>
          <w:szCs w:val="18"/>
          <w:lang w:val="es-ES"/>
        </w:rPr>
      </w:pPr>
      <w:r>
        <w:rPr>
          <w:rFonts w:ascii="Artifex CF Extra Light" w:eastAsiaTheme="minorEastAsia" w:hAnsi="Artifex CF Extra Light" w:cs="Times New Roman"/>
          <w:b/>
          <w:color w:val="1F4E79" w:themeColor="accent1" w:themeShade="80"/>
          <w:spacing w:val="10"/>
          <w:sz w:val="18"/>
          <w:szCs w:val="18"/>
          <w:lang w:val="es-ES"/>
        </w:rPr>
        <w:br w:type="page"/>
      </w:r>
    </w:p>
    <w:p w14:paraId="6AE0246C" w14:textId="49A95B72" w:rsidR="000A163D" w:rsidRPr="00F475D6" w:rsidRDefault="000A163D" w:rsidP="00403735">
      <w:pPr>
        <w:pStyle w:val="Prrafodelista"/>
        <w:numPr>
          <w:ilvl w:val="2"/>
          <w:numId w:val="6"/>
        </w:numPr>
        <w:spacing w:before="380" w:after="120" w:line="456" w:lineRule="auto"/>
        <w:ind w:left="284" w:hanging="284"/>
        <w:contextualSpacing w:val="0"/>
        <w:jc w:val="center"/>
        <w:rPr>
          <w:rFonts w:ascii="Artifex CF Extra Light" w:eastAsiaTheme="minorEastAsia" w:hAnsi="Artifex CF Extra Light" w:cs="Times New Roman"/>
          <w:b/>
          <w:color w:val="1F4E79" w:themeColor="accent1" w:themeShade="80"/>
          <w:spacing w:val="10"/>
          <w:sz w:val="20"/>
          <w:szCs w:val="20"/>
          <w:lang w:val="es-ES"/>
        </w:rPr>
      </w:pPr>
      <w:r w:rsidRPr="00F475D6">
        <w:rPr>
          <w:rFonts w:ascii="Artifex CF Extra Light" w:eastAsiaTheme="minorEastAsia" w:hAnsi="Artifex CF Extra Light" w:cs="Times New Roman"/>
          <w:b/>
          <w:color w:val="1F4E79" w:themeColor="accent1" w:themeShade="80"/>
          <w:spacing w:val="10"/>
          <w:sz w:val="20"/>
          <w:szCs w:val="20"/>
          <w:lang w:val="es-ES"/>
        </w:rPr>
        <w:lastRenderedPageBreak/>
        <w:t>Consolidación de acuerdo con la agencia de promoción de exportaciones e inversiones de Brasil, APEX.</w:t>
      </w:r>
    </w:p>
    <w:p w14:paraId="33E245B0" w14:textId="77777777" w:rsidR="000A163D" w:rsidRPr="007B3B38" w:rsidRDefault="000A163D" w:rsidP="00864966">
      <w:pPr>
        <w:spacing w:before="380" w:after="120" w:line="456" w:lineRule="auto"/>
        <w:ind w:firstLine="284"/>
        <w:jc w:val="both"/>
        <w:rPr>
          <w:rFonts w:ascii="Artifex CF Extra Light" w:eastAsiaTheme="minorEastAsia" w:hAnsi="Artifex CF Extra Light" w:cs="Times New Roman"/>
          <w:color w:val="1F4E79" w:themeColor="accent1" w:themeShade="80"/>
          <w:spacing w:val="10"/>
          <w:sz w:val="18"/>
          <w:szCs w:val="18"/>
          <w:lang w:val="es-ES"/>
        </w:rPr>
      </w:pPr>
      <w:r w:rsidRPr="007B3B38">
        <w:rPr>
          <w:rFonts w:ascii="Artifex CF Extra Light" w:eastAsiaTheme="minorEastAsia" w:hAnsi="Artifex CF Extra Light" w:cs="Times New Roman"/>
          <w:color w:val="1F4E79" w:themeColor="accent1" w:themeShade="80"/>
          <w:spacing w:val="10"/>
          <w:sz w:val="18"/>
          <w:szCs w:val="18"/>
          <w:lang w:val="es-ES"/>
        </w:rPr>
        <w:t xml:space="preserve">A los fines de elaborar un trabajo en conjunto entre la Agencia de Promoción de Exportaciones e Inversión de Brasil, APEX, ProDominicana ha realizado un acuerdo de Protocolo de Intenciones sobre cooperación para la Promoción de Comercio Exterior y Atracción de Inversión Extranjera entre MIREX, ProDominicana, y APEX-Brasil, que servirá para mejorar el intercambio comercial entre ambos países. </w:t>
      </w:r>
    </w:p>
    <w:p w14:paraId="0A982D8F" w14:textId="7750CC05" w:rsidR="000A163D" w:rsidRPr="00F475D6" w:rsidRDefault="000A163D" w:rsidP="00403735">
      <w:pPr>
        <w:pStyle w:val="Prrafodelista"/>
        <w:numPr>
          <w:ilvl w:val="2"/>
          <w:numId w:val="6"/>
        </w:numPr>
        <w:spacing w:before="380" w:after="120" w:line="456" w:lineRule="auto"/>
        <w:ind w:left="284" w:hanging="284"/>
        <w:contextualSpacing w:val="0"/>
        <w:jc w:val="center"/>
        <w:rPr>
          <w:rFonts w:ascii="Artifex CF Extra Light" w:eastAsiaTheme="minorEastAsia" w:hAnsi="Artifex CF Extra Light" w:cs="Times New Roman"/>
          <w:b/>
          <w:color w:val="1F4E79" w:themeColor="accent1" w:themeShade="80"/>
          <w:spacing w:val="10"/>
          <w:sz w:val="20"/>
          <w:szCs w:val="20"/>
          <w:lang w:val="es-ES"/>
        </w:rPr>
      </w:pPr>
      <w:r w:rsidRPr="00F475D6">
        <w:rPr>
          <w:rFonts w:ascii="Artifex CF Extra Light" w:eastAsiaTheme="minorEastAsia" w:hAnsi="Artifex CF Extra Light" w:cs="Times New Roman"/>
          <w:b/>
          <w:color w:val="1F4E79" w:themeColor="accent1" w:themeShade="80"/>
          <w:spacing w:val="10"/>
          <w:sz w:val="20"/>
          <w:szCs w:val="20"/>
          <w:lang w:val="es-ES"/>
        </w:rPr>
        <w:t xml:space="preserve">Acuerdo con la dirección general de cine para el fomento de la industria cinematográfica. </w:t>
      </w:r>
    </w:p>
    <w:p w14:paraId="0B187868" w14:textId="77777777" w:rsidR="000A163D" w:rsidRPr="007B3B38" w:rsidRDefault="000A163D" w:rsidP="00864966">
      <w:pPr>
        <w:spacing w:before="380" w:after="120" w:line="456" w:lineRule="auto"/>
        <w:ind w:firstLine="284"/>
        <w:jc w:val="both"/>
        <w:rPr>
          <w:rFonts w:ascii="Artifex CF Extra Light" w:eastAsiaTheme="minorEastAsia" w:hAnsi="Artifex CF Extra Light" w:cs="Times New Roman"/>
          <w:color w:val="1F4E79" w:themeColor="accent1" w:themeShade="80"/>
          <w:spacing w:val="10"/>
          <w:sz w:val="18"/>
          <w:szCs w:val="18"/>
          <w:lang w:val="es-ES"/>
        </w:rPr>
      </w:pPr>
      <w:r w:rsidRPr="007B3B38">
        <w:rPr>
          <w:rFonts w:ascii="Artifex CF Extra Light" w:eastAsiaTheme="minorEastAsia" w:hAnsi="Artifex CF Extra Light" w:cs="Times New Roman"/>
          <w:color w:val="1F4E79" w:themeColor="accent1" w:themeShade="80"/>
          <w:spacing w:val="10"/>
          <w:sz w:val="18"/>
          <w:szCs w:val="18"/>
          <w:lang w:val="es-ES"/>
        </w:rPr>
        <w:t>El pasado 23 de noviembre se firmó la renovación de un acuerdo interinstitucional entre ProDominicana y la Dirección General de Cine con el propósito de realizar un plan de trabajo para promover la República Dominicana como destino de filmación y de inversión.</w:t>
      </w:r>
    </w:p>
    <w:p w14:paraId="44CFDCC3" w14:textId="1AEC7F05" w:rsidR="000A163D" w:rsidRPr="00F475D6" w:rsidRDefault="000A163D" w:rsidP="00403735">
      <w:pPr>
        <w:pStyle w:val="Prrafodelista"/>
        <w:numPr>
          <w:ilvl w:val="2"/>
          <w:numId w:val="6"/>
        </w:numPr>
        <w:spacing w:before="380" w:after="120" w:line="456" w:lineRule="auto"/>
        <w:ind w:left="284" w:hanging="284"/>
        <w:contextualSpacing w:val="0"/>
        <w:jc w:val="center"/>
        <w:rPr>
          <w:rFonts w:ascii="Artifex CF Extra Light" w:eastAsiaTheme="minorEastAsia" w:hAnsi="Artifex CF Extra Light" w:cs="Times New Roman"/>
          <w:b/>
          <w:color w:val="1F4E79" w:themeColor="accent1" w:themeShade="80"/>
          <w:spacing w:val="10"/>
          <w:sz w:val="20"/>
          <w:szCs w:val="20"/>
          <w:lang w:val="es-ES"/>
        </w:rPr>
      </w:pPr>
      <w:r w:rsidRPr="00F475D6">
        <w:rPr>
          <w:rFonts w:ascii="Artifex CF Extra Light" w:eastAsiaTheme="minorEastAsia" w:hAnsi="Artifex CF Extra Light" w:cs="Times New Roman"/>
          <w:b/>
          <w:color w:val="1F4E79" w:themeColor="accent1" w:themeShade="80"/>
          <w:spacing w:val="10"/>
          <w:sz w:val="20"/>
          <w:szCs w:val="20"/>
          <w:lang w:val="es-ES"/>
        </w:rPr>
        <w:t>Acuerdo Interinstitucional entre la Fundación Francina y ProDominicana.</w:t>
      </w:r>
    </w:p>
    <w:p w14:paraId="7554FA68" w14:textId="77777777" w:rsidR="000A163D" w:rsidRPr="007B3B38" w:rsidRDefault="000A163D"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La institución en su compromiso de trabajar en beneficio de</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la</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inclusi</w:t>
      </w:r>
      <w:r w:rsidRPr="007B3B38">
        <w:rPr>
          <w:rFonts w:ascii="Artifex CF Extra Light" w:hAnsi="Artifex CF Extra Light" w:cs="Artifex CF Extra Light"/>
          <w:color w:val="1F4E79" w:themeColor="accent1" w:themeShade="80"/>
          <w:spacing w:val="10"/>
          <w:sz w:val="18"/>
          <w:szCs w:val="18"/>
          <w:lang w:val="es-DO"/>
        </w:rPr>
        <w:t>ó</w:t>
      </w:r>
      <w:r w:rsidRPr="007B3B38">
        <w:rPr>
          <w:rFonts w:ascii="Artifex CF Extra Light" w:hAnsi="Artifex CF Extra Light" w:cs="Times New Roman"/>
          <w:color w:val="1F4E79" w:themeColor="accent1" w:themeShade="80"/>
          <w:spacing w:val="10"/>
          <w:sz w:val="18"/>
          <w:szCs w:val="18"/>
          <w:lang w:val="es-DO"/>
        </w:rPr>
        <w:t>n</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social firmó un acuerdo de colaboración con la Fundación Francina, INC., en procura dentro del marco de sus competencias</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la cooperaci</w:t>
      </w:r>
      <w:r w:rsidRPr="007B3B38">
        <w:rPr>
          <w:rFonts w:ascii="Artifex CF Extra Light" w:hAnsi="Artifex CF Extra Light" w:cs="Artifex CF Extra Light"/>
          <w:color w:val="1F4E79" w:themeColor="accent1" w:themeShade="80"/>
          <w:spacing w:val="10"/>
          <w:sz w:val="18"/>
          <w:szCs w:val="18"/>
          <w:lang w:val="es-DO"/>
        </w:rPr>
        <w:t>ó</w:t>
      </w:r>
      <w:r w:rsidRPr="007B3B38">
        <w:rPr>
          <w:rFonts w:ascii="Artifex CF Extra Light" w:hAnsi="Artifex CF Extra Light" w:cs="Times New Roman"/>
          <w:color w:val="1F4E79" w:themeColor="accent1" w:themeShade="80"/>
          <w:spacing w:val="10"/>
          <w:sz w:val="18"/>
          <w:szCs w:val="18"/>
          <w:lang w:val="es-DO"/>
        </w:rPr>
        <w:t>n mutua para el desarrollo de diversas actividades</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y</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programas con miras de</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empoderar</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e incentivar la</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productividad</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en personas</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con discapacidad.</w:t>
      </w:r>
      <w:r w:rsidRPr="007B3B38">
        <w:rPr>
          <w:rFonts w:ascii="Calibri" w:hAnsi="Calibri" w:cs="Calibri"/>
          <w:color w:val="1F4E79" w:themeColor="accent1" w:themeShade="80"/>
          <w:spacing w:val="10"/>
          <w:sz w:val="18"/>
          <w:szCs w:val="18"/>
          <w:lang w:val="es-DO"/>
        </w:rPr>
        <w:t> </w:t>
      </w:r>
    </w:p>
    <w:p w14:paraId="4B563689" w14:textId="2C3649D8" w:rsidR="0067333E" w:rsidRPr="00F475D6" w:rsidRDefault="000A163D" w:rsidP="00F475D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este acuerdo las Partes acuerdan aunar esfuerzos</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para fomentar el intercambio de conocimiento, experiencias, recursos</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y personal,</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con la finalidad de viabilizar acciones y proyectos focalizados en la promoci</w:t>
      </w:r>
      <w:r w:rsidRPr="007B3B38">
        <w:rPr>
          <w:rFonts w:ascii="Artifex CF Extra Light" w:hAnsi="Artifex CF Extra Light" w:cs="Artifex CF Extra Light"/>
          <w:color w:val="1F4E79" w:themeColor="accent1" w:themeShade="80"/>
          <w:spacing w:val="10"/>
          <w:sz w:val="18"/>
          <w:szCs w:val="18"/>
          <w:lang w:val="es-DO"/>
        </w:rPr>
        <w:t>ó</w:t>
      </w:r>
      <w:r w:rsidRPr="007B3B38">
        <w:rPr>
          <w:rFonts w:ascii="Artifex CF Extra Light" w:hAnsi="Artifex CF Extra Light" w:cs="Times New Roman"/>
          <w:color w:val="1F4E79" w:themeColor="accent1" w:themeShade="80"/>
          <w:spacing w:val="10"/>
          <w:sz w:val="18"/>
          <w:szCs w:val="18"/>
          <w:lang w:val="es-DO"/>
        </w:rPr>
        <w:t>n de la inclusi</w:t>
      </w:r>
      <w:r w:rsidRPr="007B3B38">
        <w:rPr>
          <w:rFonts w:ascii="Artifex CF Extra Light" w:hAnsi="Artifex CF Extra Light" w:cs="Artifex CF Extra Light"/>
          <w:color w:val="1F4E79" w:themeColor="accent1" w:themeShade="80"/>
          <w:spacing w:val="10"/>
          <w:sz w:val="18"/>
          <w:szCs w:val="18"/>
          <w:lang w:val="es-DO"/>
        </w:rPr>
        <w:t>ó</w:t>
      </w:r>
      <w:r w:rsidRPr="007B3B38">
        <w:rPr>
          <w:rFonts w:ascii="Artifex CF Extra Light" w:hAnsi="Artifex CF Extra Light" w:cs="Times New Roman"/>
          <w:color w:val="1F4E79" w:themeColor="accent1" w:themeShade="80"/>
          <w:spacing w:val="10"/>
          <w:sz w:val="18"/>
          <w:szCs w:val="18"/>
          <w:lang w:val="es-DO"/>
        </w:rPr>
        <w:t>n social</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y</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la</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productividad</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en beneficio</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de las personas con discapacidad.</w:t>
      </w:r>
      <w:r w:rsidRPr="007B3B38">
        <w:rPr>
          <w:rFonts w:ascii="Calibri" w:hAnsi="Calibri" w:cs="Calibri"/>
          <w:color w:val="1F4E79" w:themeColor="accent1" w:themeShade="80"/>
          <w:spacing w:val="10"/>
          <w:sz w:val="18"/>
          <w:szCs w:val="18"/>
          <w:lang w:val="es-DO"/>
        </w:rPr>
        <w:t> </w:t>
      </w:r>
    </w:p>
    <w:p w14:paraId="344DA59C" w14:textId="7D33E7F2" w:rsidR="00BD0815" w:rsidRPr="00F475D6" w:rsidRDefault="00036FE6" w:rsidP="00403735">
      <w:pPr>
        <w:pStyle w:val="Prrafodelista"/>
        <w:numPr>
          <w:ilvl w:val="2"/>
          <w:numId w:val="6"/>
        </w:numPr>
        <w:spacing w:before="380" w:after="120" w:line="456" w:lineRule="auto"/>
        <w:ind w:left="284" w:hanging="284"/>
        <w:contextualSpacing w:val="0"/>
        <w:jc w:val="center"/>
        <w:rPr>
          <w:rFonts w:ascii="Artifex CF Extra Light" w:eastAsiaTheme="minorEastAsia" w:hAnsi="Artifex CF Extra Light" w:cs="Times New Roman"/>
          <w:b/>
          <w:color w:val="1F4E79" w:themeColor="accent1" w:themeShade="80"/>
          <w:spacing w:val="10"/>
          <w:sz w:val="20"/>
          <w:szCs w:val="20"/>
          <w:lang w:val="es-ES"/>
        </w:rPr>
      </w:pPr>
      <w:r w:rsidRPr="00F475D6">
        <w:rPr>
          <w:rFonts w:ascii="Artifex CF Extra Light" w:eastAsiaTheme="minorEastAsia" w:hAnsi="Artifex CF Extra Light" w:cs="Times New Roman"/>
          <w:b/>
          <w:color w:val="1F4E79" w:themeColor="accent1" w:themeShade="80"/>
          <w:spacing w:val="10"/>
          <w:sz w:val="20"/>
          <w:szCs w:val="20"/>
          <w:lang w:val="es-ES"/>
        </w:rPr>
        <w:lastRenderedPageBreak/>
        <w:t xml:space="preserve">Acuerdo Interinstitucional entre </w:t>
      </w:r>
      <w:r w:rsidR="00BA6107" w:rsidRPr="00F475D6">
        <w:rPr>
          <w:rFonts w:ascii="Artifex CF Extra Light" w:eastAsiaTheme="minorEastAsia" w:hAnsi="Artifex CF Extra Light" w:cs="Times New Roman"/>
          <w:b/>
          <w:color w:val="1F4E79" w:themeColor="accent1" w:themeShade="80"/>
          <w:spacing w:val="10"/>
          <w:sz w:val="20"/>
          <w:szCs w:val="20"/>
          <w:lang w:val="es-ES"/>
        </w:rPr>
        <w:t>el B</w:t>
      </w:r>
      <w:r w:rsidR="00BD0815" w:rsidRPr="00F475D6">
        <w:rPr>
          <w:rFonts w:ascii="Artifex CF Extra Light" w:eastAsiaTheme="minorEastAsia" w:hAnsi="Artifex CF Extra Light" w:cs="Times New Roman"/>
          <w:b/>
          <w:color w:val="1F4E79" w:themeColor="accent1" w:themeShade="80"/>
          <w:spacing w:val="10"/>
          <w:sz w:val="20"/>
          <w:szCs w:val="20"/>
          <w:lang w:val="es-ES"/>
        </w:rPr>
        <w:t>anco Nacional de las Exportaciones (BANDEX) y ProDominicana.</w:t>
      </w:r>
    </w:p>
    <w:p w14:paraId="307DBAEE" w14:textId="77777777" w:rsidR="0015742A" w:rsidRPr="007B3B38" w:rsidRDefault="009A40CD"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ProDominicana ha firmado </w:t>
      </w:r>
      <w:r w:rsidR="00B169B6" w:rsidRPr="007B3B38">
        <w:rPr>
          <w:rFonts w:ascii="Artifex CF Extra Light" w:hAnsi="Artifex CF Extra Light" w:cs="Times New Roman"/>
          <w:color w:val="1F4E79" w:themeColor="accent1" w:themeShade="80"/>
          <w:spacing w:val="10"/>
          <w:sz w:val="18"/>
          <w:szCs w:val="18"/>
          <w:lang w:val="es-DO"/>
        </w:rPr>
        <w:t xml:space="preserve">el 14 de diciembre un acuerdo interinstitucional con el Banco Nacional de las Exportaciones (BANCEX) a fin de </w:t>
      </w:r>
      <w:r w:rsidR="00E23D89" w:rsidRPr="007B3B38">
        <w:rPr>
          <w:rFonts w:ascii="Artifex CF Extra Light" w:hAnsi="Artifex CF Extra Light" w:cs="Times New Roman"/>
          <w:color w:val="1F4E79" w:themeColor="accent1" w:themeShade="80"/>
          <w:spacing w:val="10"/>
          <w:sz w:val="18"/>
          <w:szCs w:val="18"/>
          <w:lang w:val="es-DO"/>
        </w:rPr>
        <w:t xml:space="preserve">establecer un proceso de referimiento </w:t>
      </w:r>
      <w:r w:rsidR="001947C6" w:rsidRPr="007B3B38">
        <w:rPr>
          <w:rFonts w:ascii="Artifex CF Extra Light" w:hAnsi="Artifex CF Extra Light" w:cs="Times New Roman"/>
          <w:color w:val="1F4E79" w:themeColor="accent1" w:themeShade="80"/>
          <w:spacing w:val="10"/>
          <w:sz w:val="18"/>
          <w:szCs w:val="18"/>
          <w:lang w:val="es-DO"/>
        </w:rPr>
        <w:t>de clientes para la promoción</w:t>
      </w:r>
      <w:r w:rsidR="00E21B56" w:rsidRPr="007B3B38">
        <w:rPr>
          <w:rFonts w:ascii="Artifex CF Extra Light" w:hAnsi="Artifex CF Extra Light" w:cs="Times New Roman"/>
          <w:color w:val="1F4E79" w:themeColor="accent1" w:themeShade="80"/>
          <w:spacing w:val="10"/>
          <w:sz w:val="18"/>
          <w:szCs w:val="18"/>
          <w:lang w:val="es-DO"/>
        </w:rPr>
        <w:t xml:space="preserve">, acceso al </w:t>
      </w:r>
      <w:r w:rsidR="005C729D" w:rsidRPr="007B3B38">
        <w:rPr>
          <w:rFonts w:ascii="Artifex CF Extra Light" w:hAnsi="Artifex CF Extra Light" w:cs="Times New Roman"/>
          <w:color w:val="1F4E79" w:themeColor="accent1" w:themeShade="80"/>
          <w:spacing w:val="10"/>
          <w:sz w:val="18"/>
          <w:szCs w:val="18"/>
          <w:lang w:val="es-DO"/>
        </w:rPr>
        <w:t xml:space="preserve">financiamiento y </w:t>
      </w:r>
      <w:r w:rsidR="002375CB" w:rsidRPr="007B3B38">
        <w:rPr>
          <w:rFonts w:ascii="Artifex CF Extra Light" w:hAnsi="Artifex CF Extra Light" w:cs="Times New Roman"/>
          <w:color w:val="1F4E79" w:themeColor="accent1" w:themeShade="80"/>
          <w:spacing w:val="10"/>
          <w:sz w:val="18"/>
          <w:szCs w:val="18"/>
          <w:lang w:val="es-DO"/>
        </w:rPr>
        <w:t>cooperación con relación al sector exportador</w:t>
      </w:r>
      <w:r w:rsidR="0015742A" w:rsidRPr="007B3B38">
        <w:rPr>
          <w:rFonts w:ascii="Artifex CF Extra Light" w:hAnsi="Artifex CF Extra Light" w:cs="Times New Roman"/>
          <w:color w:val="1F4E79" w:themeColor="accent1" w:themeShade="80"/>
          <w:spacing w:val="10"/>
          <w:sz w:val="18"/>
          <w:szCs w:val="18"/>
          <w:lang w:val="es-DO"/>
        </w:rPr>
        <w:t>.</w:t>
      </w:r>
    </w:p>
    <w:p w14:paraId="2BE28F27" w14:textId="77777777" w:rsidR="00013450" w:rsidRDefault="00F47D53" w:rsidP="00013450">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Esta alianza interinstitucional representa otro paso </w:t>
      </w:r>
      <w:r w:rsidR="00CC2CAA" w:rsidRPr="007B3B38">
        <w:rPr>
          <w:rFonts w:ascii="Artifex CF Extra Light" w:hAnsi="Artifex CF Extra Light" w:cs="Times New Roman"/>
          <w:color w:val="1F4E79" w:themeColor="accent1" w:themeShade="80"/>
          <w:spacing w:val="10"/>
          <w:sz w:val="18"/>
          <w:szCs w:val="18"/>
          <w:lang w:val="es-DO"/>
        </w:rPr>
        <w:t>más</w:t>
      </w:r>
      <w:r w:rsidRPr="007B3B38">
        <w:rPr>
          <w:rFonts w:ascii="Artifex CF Extra Light" w:hAnsi="Artifex CF Extra Light" w:cs="Times New Roman"/>
          <w:color w:val="1F4E79" w:themeColor="accent1" w:themeShade="80"/>
          <w:spacing w:val="10"/>
          <w:sz w:val="18"/>
          <w:szCs w:val="18"/>
          <w:lang w:val="es-DO"/>
        </w:rPr>
        <w:t xml:space="preserve"> al cumplimiento </w:t>
      </w:r>
      <w:r w:rsidR="00034D1E" w:rsidRPr="007B3B38">
        <w:rPr>
          <w:rFonts w:ascii="Artifex CF Extra Light" w:hAnsi="Artifex CF Extra Light" w:cs="Times New Roman"/>
          <w:color w:val="1F4E79" w:themeColor="accent1" w:themeShade="80"/>
          <w:spacing w:val="10"/>
          <w:sz w:val="18"/>
          <w:szCs w:val="18"/>
          <w:lang w:val="es-DO"/>
        </w:rPr>
        <w:t xml:space="preserve">del </w:t>
      </w:r>
      <w:r w:rsidR="00115F7F" w:rsidRPr="007B3B38">
        <w:rPr>
          <w:rFonts w:ascii="Artifex CF Extra Light" w:hAnsi="Artifex CF Extra Light" w:cs="Times New Roman"/>
          <w:color w:val="1F4E79" w:themeColor="accent1" w:themeShade="80"/>
          <w:spacing w:val="10"/>
          <w:sz w:val="18"/>
          <w:szCs w:val="18"/>
          <w:lang w:val="es-DO"/>
        </w:rPr>
        <w:t>objetivo compartido</w:t>
      </w:r>
      <w:r w:rsidR="0030635A" w:rsidRPr="007B3B38">
        <w:rPr>
          <w:rFonts w:ascii="Artifex CF Extra Light" w:hAnsi="Artifex CF Extra Light" w:cs="Times New Roman"/>
          <w:color w:val="1F4E79" w:themeColor="accent1" w:themeShade="80"/>
          <w:spacing w:val="10"/>
          <w:sz w:val="18"/>
          <w:szCs w:val="18"/>
          <w:lang w:val="es-DO"/>
        </w:rPr>
        <w:t xml:space="preserve"> de promocionar y fomentar las exportaciones</w:t>
      </w:r>
      <w:r w:rsidR="00115F7F" w:rsidRPr="007B3B38">
        <w:rPr>
          <w:rFonts w:ascii="Artifex CF Extra Light" w:hAnsi="Artifex CF Extra Light" w:cs="Times New Roman"/>
          <w:color w:val="1F4E79" w:themeColor="accent1" w:themeShade="80"/>
          <w:spacing w:val="10"/>
          <w:sz w:val="18"/>
          <w:szCs w:val="18"/>
          <w:lang w:val="es-DO"/>
        </w:rPr>
        <w:t xml:space="preserve"> en la Republica Dominican</w:t>
      </w:r>
      <w:r w:rsidR="00013450">
        <w:rPr>
          <w:rFonts w:ascii="Artifex CF Extra Light" w:hAnsi="Artifex CF Extra Light" w:cs="Times New Roman"/>
          <w:color w:val="1F4E79" w:themeColor="accent1" w:themeShade="80"/>
          <w:spacing w:val="10"/>
          <w:sz w:val="18"/>
          <w:szCs w:val="18"/>
          <w:lang w:val="es-DO"/>
        </w:rPr>
        <w:t>a.</w:t>
      </w:r>
    </w:p>
    <w:p w14:paraId="1C3E2300" w14:textId="77777777" w:rsidR="00013450" w:rsidRDefault="00013450">
      <w:pPr>
        <w:rPr>
          <w:rFonts w:ascii="Artifex CF Extra Light" w:hAnsi="Artifex CF Extra Light" w:cs="Times New Roman"/>
          <w:color w:val="1F4E79" w:themeColor="accent1" w:themeShade="80"/>
          <w:spacing w:val="10"/>
          <w:sz w:val="18"/>
          <w:szCs w:val="18"/>
          <w:lang w:val="es-DO"/>
        </w:rPr>
      </w:pPr>
      <w:r>
        <w:rPr>
          <w:rFonts w:ascii="Artifex CF Extra Light" w:hAnsi="Artifex CF Extra Light" w:cs="Times New Roman"/>
          <w:color w:val="1F4E79" w:themeColor="accent1" w:themeShade="80"/>
          <w:spacing w:val="10"/>
          <w:sz w:val="18"/>
          <w:szCs w:val="18"/>
          <w:lang w:val="es-DO"/>
        </w:rPr>
        <w:br w:type="page"/>
      </w:r>
    </w:p>
    <w:p w14:paraId="4613E112" w14:textId="78ADE82F" w:rsidR="00EF12B5" w:rsidRPr="00013450" w:rsidRDefault="003201E5" w:rsidP="00403735">
      <w:pPr>
        <w:pStyle w:val="Prrafodelista"/>
        <w:numPr>
          <w:ilvl w:val="0"/>
          <w:numId w:val="6"/>
        </w:numPr>
        <w:spacing w:before="380" w:after="120" w:line="456" w:lineRule="auto"/>
        <w:jc w:val="center"/>
        <w:rPr>
          <w:rFonts w:ascii="Artifex CF Extra Light" w:hAnsi="Artifex CF Extra Light" w:cs="Times New Roman"/>
          <w:b/>
          <w:color w:val="1F4E79" w:themeColor="accent1" w:themeShade="80"/>
          <w:spacing w:val="10"/>
          <w:sz w:val="18"/>
          <w:szCs w:val="18"/>
          <w:lang w:val="es-DO"/>
        </w:rPr>
      </w:pPr>
      <w:r w:rsidRPr="00013450">
        <w:rPr>
          <w:rFonts w:ascii="Artifex CF Extra Light" w:hAnsi="Artifex CF Extra Light" w:cs="Times New Roman"/>
          <w:b/>
          <w:color w:val="1F4E79" w:themeColor="accent1" w:themeShade="80"/>
          <w:spacing w:val="10"/>
          <w:sz w:val="18"/>
          <w:szCs w:val="18"/>
          <w:lang w:val="es-DO"/>
        </w:rPr>
        <w:lastRenderedPageBreak/>
        <w:t>INVERSIÓN PARA EL DESARROLLO</w:t>
      </w:r>
    </w:p>
    <w:p w14:paraId="44F132EC" w14:textId="3FBB7BCB"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La atracción de la Inversión Extranjera Directa es otro eje misional de ProDominicana, por lo que </w:t>
      </w:r>
      <w:r w:rsidR="28280B03" w:rsidRPr="007B3B38">
        <w:rPr>
          <w:rFonts w:ascii="Artifex CF Extra Light" w:hAnsi="Artifex CF Extra Light" w:cs="Times New Roman"/>
          <w:color w:val="1F4E79" w:themeColor="accent1" w:themeShade="80"/>
          <w:spacing w:val="10"/>
          <w:sz w:val="18"/>
          <w:szCs w:val="18"/>
          <w:lang w:val="es-DO"/>
        </w:rPr>
        <w:t>bajo este marco</w:t>
      </w:r>
      <w:r w:rsidRPr="007B3B38">
        <w:rPr>
          <w:rFonts w:ascii="Artifex CF Extra Light" w:hAnsi="Artifex CF Extra Light" w:cs="Times New Roman"/>
          <w:color w:val="1F4E79" w:themeColor="accent1" w:themeShade="80"/>
          <w:spacing w:val="10"/>
          <w:sz w:val="18"/>
          <w:szCs w:val="18"/>
          <w:lang w:val="es-DO"/>
        </w:rPr>
        <w:t xml:space="preserve"> se han desarrollado importantes iniciativas </w:t>
      </w:r>
      <w:r w:rsidR="48ECAA4D" w:rsidRPr="007B3B38">
        <w:rPr>
          <w:rFonts w:ascii="Artifex CF Extra Light" w:hAnsi="Artifex CF Extra Light" w:cs="Times New Roman"/>
          <w:color w:val="1F4E79" w:themeColor="accent1" w:themeShade="80"/>
          <w:spacing w:val="10"/>
          <w:sz w:val="18"/>
          <w:szCs w:val="18"/>
          <w:lang w:val="es-DO"/>
        </w:rPr>
        <w:t xml:space="preserve">y </w:t>
      </w:r>
      <w:r w:rsidR="4B3A7D8D" w:rsidRPr="007B3B38">
        <w:rPr>
          <w:rFonts w:ascii="Artifex CF Extra Light" w:hAnsi="Artifex CF Extra Light" w:cs="Times New Roman"/>
          <w:color w:val="1F4E79" w:themeColor="accent1" w:themeShade="80"/>
          <w:spacing w:val="10"/>
          <w:sz w:val="18"/>
          <w:szCs w:val="18"/>
          <w:lang w:val="es-DO"/>
        </w:rPr>
        <w:t xml:space="preserve">acciones </w:t>
      </w:r>
      <w:r w:rsidR="32F6545D" w:rsidRPr="007B3B38">
        <w:rPr>
          <w:rFonts w:ascii="Artifex CF Extra Light" w:hAnsi="Artifex CF Extra Light" w:cs="Times New Roman"/>
          <w:color w:val="1F4E79" w:themeColor="accent1" w:themeShade="80"/>
          <w:spacing w:val="10"/>
          <w:sz w:val="18"/>
          <w:szCs w:val="18"/>
          <w:lang w:val="es-DO"/>
        </w:rPr>
        <w:t>para promover a</w:t>
      </w:r>
      <w:r w:rsidRPr="007B3B38">
        <w:rPr>
          <w:rFonts w:ascii="Artifex CF Extra Light" w:hAnsi="Artifex CF Extra Light" w:cs="Times New Roman"/>
          <w:color w:val="1F4E79" w:themeColor="accent1" w:themeShade="80"/>
          <w:spacing w:val="10"/>
          <w:sz w:val="18"/>
          <w:szCs w:val="18"/>
          <w:lang w:val="es-DO"/>
        </w:rPr>
        <w:t xml:space="preserve"> la República Dominicana como destino ideal de </w:t>
      </w:r>
      <w:r w:rsidR="4B3A7D8D" w:rsidRPr="007B3B38">
        <w:rPr>
          <w:rFonts w:ascii="Artifex CF Extra Light" w:hAnsi="Artifex CF Extra Light" w:cs="Times New Roman"/>
          <w:color w:val="1F4E79" w:themeColor="accent1" w:themeShade="80"/>
          <w:spacing w:val="10"/>
          <w:sz w:val="18"/>
          <w:szCs w:val="18"/>
          <w:lang w:val="es-DO"/>
        </w:rPr>
        <w:t>inversi</w:t>
      </w:r>
      <w:r w:rsidR="541D5F2A" w:rsidRPr="007B3B38">
        <w:rPr>
          <w:rFonts w:ascii="Artifex CF Extra Light" w:hAnsi="Artifex CF Extra Light" w:cs="Times New Roman"/>
          <w:color w:val="1F4E79" w:themeColor="accent1" w:themeShade="80"/>
          <w:spacing w:val="10"/>
          <w:sz w:val="18"/>
          <w:szCs w:val="18"/>
          <w:lang w:val="es-DO"/>
        </w:rPr>
        <w:t>ón</w:t>
      </w:r>
      <w:r w:rsidRPr="007B3B38">
        <w:rPr>
          <w:rFonts w:ascii="Artifex CF Extra Light" w:hAnsi="Artifex CF Extra Light" w:cs="Times New Roman"/>
          <w:color w:val="1F4E79" w:themeColor="accent1" w:themeShade="80"/>
          <w:spacing w:val="10"/>
          <w:sz w:val="18"/>
          <w:szCs w:val="18"/>
          <w:lang w:val="es-DO"/>
        </w:rPr>
        <w:t>.</w:t>
      </w:r>
    </w:p>
    <w:p w14:paraId="02748E8C" w14:textId="3B0E9B60" w:rsidR="00BB702B" w:rsidRPr="007B3B38" w:rsidRDefault="00776A6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objetivo de este eje estratégico es diseñar e implementar una estrategia de promoción y captación de Inversión Extranjera Directa que permita al país mantenerse como un destino atractivo para las inversiones en la región, mejorar el clima de negocios, completar cadenas de valor de los procesos productivos locales y globales, y lograr que los inversionistas actuales puedan crecer y expandirse. </w:t>
      </w:r>
    </w:p>
    <w:p w14:paraId="743B6EAF" w14:textId="4350D5C9"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Durante el año 2020, los principales logros a nivel de inversión han sido:</w:t>
      </w:r>
    </w:p>
    <w:p w14:paraId="27121F72" w14:textId="32D41FEF" w:rsidR="009069C8" w:rsidRPr="007B3B38" w:rsidRDefault="00567D42" w:rsidP="00403735">
      <w:pPr>
        <w:pStyle w:val="Prrafodelista"/>
        <w:numPr>
          <w:ilvl w:val="1"/>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18"/>
          <w:szCs w:val="18"/>
          <w:lang w:val="es-DO"/>
        </w:rPr>
      </w:pPr>
      <w:bookmarkStart w:id="33" w:name="_Toc58332462"/>
      <w:r w:rsidRPr="007B3B38">
        <w:rPr>
          <w:rFonts w:ascii="Artifex CF Extra Light" w:hAnsi="Artifex CF Extra Light" w:cs="Times New Roman"/>
          <w:b/>
          <w:color w:val="1F4E79" w:themeColor="accent1" w:themeShade="80"/>
          <w:spacing w:val="10"/>
          <w:sz w:val="18"/>
          <w:szCs w:val="18"/>
          <w:lang w:val="es-DO"/>
        </w:rPr>
        <w:t>ACCIONES PARA EL FORTALECIMIENTO DE LA CAPTACIÓN DE INVERSIÓN</w:t>
      </w:r>
      <w:bookmarkStart w:id="34" w:name="_Toc58332463"/>
      <w:bookmarkEnd w:id="33"/>
    </w:p>
    <w:p w14:paraId="7D4D133B" w14:textId="77777777" w:rsidR="009069C8" w:rsidRPr="00F475D6" w:rsidRDefault="009069C8" w:rsidP="0040373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t>Desarrollo y formalización de protocolo con APEX-Brasil</w:t>
      </w:r>
      <w:bookmarkEnd w:id="34"/>
    </w:p>
    <w:p w14:paraId="10E7AED4" w14:textId="65BBC5B2" w:rsidR="009069C8" w:rsidRPr="007B3B38" w:rsidRDefault="0FCBB7DD"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M</w:t>
      </w:r>
      <w:r w:rsidR="4B3A7D8D" w:rsidRPr="007B3B38">
        <w:rPr>
          <w:rFonts w:ascii="Artifex CF Extra Light" w:hAnsi="Artifex CF Extra Light" w:cs="Times New Roman"/>
          <w:color w:val="1F4E79" w:themeColor="accent1" w:themeShade="80"/>
          <w:spacing w:val="10"/>
          <w:sz w:val="18"/>
          <w:szCs w:val="18"/>
          <w:lang w:val="es-DO"/>
        </w:rPr>
        <w:t xml:space="preserve">ediante </w:t>
      </w:r>
      <w:r w:rsidR="30240D68" w:rsidRPr="007B3B38">
        <w:rPr>
          <w:rFonts w:ascii="Artifex CF Extra Light" w:hAnsi="Artifex CF Extra Light" w:cs="Times New Roman"/>
          <w:color w:val="1F4E79" w:themeColor="accent1" w:themeShade="80"/>
          <w:spacing w:val="10"/>
          <w:sz w:val="18"/>
          <w:szCs w:val="18"/>
          <w:lang w:val="es-DO"/>
        </w:rPr>
        <w:t>un</w:t>
      </w:r>
      <w:r w:rsidR="009069C8" w:rsidRPr="007B3B38">
        <w:rPr>
          <w:rFonts w:ascii="Artifex CF Extra Light" w:hAnsi="Artifex CF Extra Light" w:cs="Times New Roman"/>
          <w:color w:val="1F4E79" w:themeColor="accent1" w:themeShade="80"/>
          <w:spacing w:val="10"/>
          <w:sz w:val="18"/>
          <w:szCs w:val="18"/>
          <w:lang w:val="es-DO"/>
        </w:rPr>
        <w:t xml:space="preserve"> acuerdo firmado con la Agencia de Promoción de Exportación e Inversiones del Brasil (APEX), entidad homóloga</w:t>
      </w:r>
      <w:r w:rsidR="7A3B03CB" w:rsidRPr="007B3B38">
        <w:rPr>
          <w:rFonts w:ascii="Artifex CF Extra Light" w:hAnsi="Artifex CF Extra Light" w:cs="Times New Roman"/>
          <w:color w:val="1F4E79" w:themeColor="accent1" w:themeShade="80"/>
          <w:spacing w:val="10"/>
          <w:sz w:val="18"/>
          <w:szCs w:val="18"/>
          <w:lang w:val="es-DO"/>
        </w:rPr>
        <w:t xml:space="preserve"> a ProDominicana en Brasil</w:t>
      </w:r>
      <w:r w:rsidR="4B3A7D8D" w:rsidRPr="007B3B38">
        <w:rPr>
          <w:rFonts w:ascii="Artifex CF Extra Light" w:hAnsi="Artifex CF Extra Light" w:cs="Times New Roman"/>
          <w:color w:val="1F4E79" w:themeColor="accent1" w:themeShade="80"/>
          <w:spacing w:val="10"/>
          <w:sz w:val="18"/>
          <w:szCs w:val="18"/>
          <w:lang w:val="es-DO"/>
        </w:rPr>
        <w:t xml:space="preserve">, </w:t>
      </w:r>
      <w:r w:rsidR="41272771" w:rsidRPr="007B3B38">
        <w:rPr>
          <w:rFonts w:ascii="Artifex CF Extra Light" w:hAnsi="Artifex CF Extra Light" w:cs="Times New Roman"/>
          <w:color w:val="1F4E79" w:themeColor="accent1" w:themeShade="80"/>
          <w:spacing w:val="10"/>
          <w:sz w:val="18"/>
          <w:szCs w:val="18"/>
          <w:lang w:val="es-DO"/>
        </w:rPr>
        <w:t xml:space="preserve">se </w:t>
      </w:r>
      <w:r w:rsidR="4B3A7D8D" w:rsidRPr="007B3B38">
        <w:rPr>
          <w:rFonts w:ascii="Artifex CF Extra Light" w:hAnsi="Artifex CF Extra Light" w:cs="Times New Roman"/>
          <w:color w:val="1F4E79" w:themeColor="accent1" w:themeShade="80"/>
          <w:spacing w:val="10"/>
          <w:sz w:val="18"/>
          <w:szCs w:val="18"/>
          <w:lang w:val="es-DO"/>
        </w:rPr>
        <w:t>identifica</w:t>
      </w:r>
      <w:r w:rsidR="0FD66C99" w:rsidRPr="007B3B38">
        <w:rPr>
          <w:rFonts w:ascii="Artifex CF Extra Light" w:hAnsi="Artifex CF Extra Light" w:cs="Times New Roman"/>
          <w:color w:val="1F4E79" w:themeColor="accent1" w:themeShade="80"/>
          <w:spacing w:val="10"/>
          <w:sz w:val="18"/>
          <w:szCs w:val="18"/>
          <w:lang w:val="es-DO"/>
        </w:rPr>
        <w:t>ron</w:t>
      </w:r>
      <w:r w:rsidR="009069C8" w:rsidRPr="007B3B38">
        <w:rPr>
          <w:rFonts w:ascii="Artifex CF Extra Light" w:hAnsi="Artifex CF Extra Light" w:cs="Times New Roman"/>
          <w:color w:val="1F4E79" w:themeColor="accent1" w:themeShade="80"/>
          <w:spacing w:val="10"/>
          <w:sz w:val="18"/>
          <w:szCs w:val="18"/>
          <w:lang w:val="es-DO"/>
        </w:rPr>
        <w:t xml:space="preserve"> acciones </w:t>
      </w:r>
      <w:r w:rsidR="403CFE8B" w:rsidRPr="007B3B38">
        <w:rPr>
          <w:rFonts w:ascii="Artifex CF Extra Light" w:hAnsi="Artifex CF Extra Light" w:cs="Times New Roman"/>
          <w:color w:val="1F4E79" w:themeColor="accent1" w:themeShade="80"/>
          <w:spacing w:val="10"/>
          <w:sz w:val="18"/>
          <w:szCs w:val="18"/>
          <w:lang w:val="es-DO"/>
        </w:rPr>
        <w:t>para</w:t>
      </w:r>
      <w:r w:rsidR="009069C8" w:rsidRPr="007B3B38">
        <w:rPr>
          <w:rFonts w:ascii="Artifex CF Extra Light" w:hAnsi="Artifex CF Extra Light" w:cs="Times New Roman"/>
          <w:color w:val="1F4E79" w:themeColor="accent1" w:themeShade="80"/>
          <w:spacing w:val="10"/>
          <w:sz w:val="18"/>
          <w:szCs w:val="18"/>
          <w:lang w:val="es-DO"/>
        </w:rPr>
        <w:t xml:space="preserve"> fortalecer la captación de inversión y promover la oferta exportable. </w:t>
      </w:r>
    </w:p>
    <w:p w14:paraId="232AC02D"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Este acuerdo tiene por objetivo aunar esfuerzos para el beneficio de las empresas de sus países, buscando incrementar las relaciones económicas bilaterales, a través del intercambio de conocimiento, informaciones, alianzas estratégicas en materia de captación y canalización de inversión extranjera directa, así como el desarrollo de programas y actividades que permitan incrementar el desarrollo del comercio entre ambos países. </w:t>
      </w:r>
    </w:p>
    <w:p w14:paraId="3A1B4AED"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lastRenderedPageBreak/>
        <w:t xml:space="preserve">Durante el presente año 2020, ha sido realizado el primer borrador del plan de trabajo de Pro Dominicana. El referido plan de trabajo abarca las propuestas de inversión y exportación, las cuales serán dadas a los representantes de APEX-Brasil, mediante reunión virtual, la cual se llevará a cabo el próximo día 08 de diciembre de 2020.  </w:t>
      </w:r>
    </w:p>
    <w:p w14:paraId="44163200" w14:textId="2E4731D7" w:rsidR="009069C8" w:rsidRPr="00F475D6" w:rsidRDefault="009069C8" w:rsidP="0040373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35" w:name="_Toc58332464"/>
      <w:r w:rsidRPr="00F475D6">
        <w:rPr>
          <w:rFonts w:ascii="Artifex CF Extra Light" w:hAnsi="Artifex CF Extra Light" w:cs="Times New Roman"/>
          <w:b/>
          <w:color w:val="1F4E79" w:themeColor="accent1" w:themeShade="80"/>
          <w:spacing w:val="10"/>
          <w:sz w:val="20"/>
          <w:szCs w:val="20"/>
          <w:lang w:val="es-DO"/>
        </w:rPr>
        <w:t xml:space="preserve">Proyecto de UNIDO con MICM y </w:t>
      </w:r>
      <w:bookmarkEnd w:id="35"/>
      <w:r w:rsidR="00AD0469" w:rsidRPr="00F475D6">
        <w:rPr>
          <w:rFonts w:ascii="Artifex CF Extra Light" w:hAnsi="Artifex CF Extra Light" w:cs="Times New Roman"/>
          <w:b/>
          <w:color w:val="1F4E79" w:themeColor="accent1" w:themeShade="80"/>
          <w:spacing w:val="10"/>
          <w:sz w:val="20"/>
          <w:szCs w:val="20"/>
          <w:lang w:val="es-DO"/>
        </w:rPr>
        <w:t>ProDominicana</w:t>
      </w:r>
    </w:p>
    <w:p w14:paraId="228903EB"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proyecto de Apoyo de Políticas Nacionales y Regionales Inclusivas y Favorable a las Empresas, Fortaleciendo las Capacidades Productivas y las Cadenas de Valor promovido por la Organización de las Naciones Unidas para el Desarrollo Industrial (UNIDO), se orienta a fortalecer las capacidades de las agencias de promoción de inversión.  </w:t>
      </w:r>
    </w:p>
    <w:p w14:paraId="7D6800A5"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proyecto UNIDO será ejecutado en coordinación con el Banco Mundial y el International Trade Center (ITC).  </w:t>
      </w:r>
    </w:p>
    <w:p w14:paraId="19EDB593" w14:textId="2667A031"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equipo de la Dirección de Inversión de ProDominicana, labora en conjunto con los representantes del proyecto, la revisión y posterior implementación del plan de trabajo, el cual abarca el período 2020-2024. </w:t>
      </w:r>
      <w:r w:rsidR="000B60D4" w:rsidRPr="007B3B38">
        <w:rPr>
          <w:rFonts w:ascii="Artifex CF Extra Light" w:hAnsi="Artifex CF Extra Light" w:cs="Times New Roman"/>
          <w:color w:val="1F4E79" w:themeColor="accent1" w:themeShade="80"/>
          <w:spacing w:val="10"/>
          <w:sz w:val="18"/>
          <w:szCs w:val="18"/>
          <w:lang w:val="es-DO"/>
        </w:rPr>
        <w:t>De acuerdo con el</w:t>
      </w:r>
      <w:r w:rsidRPr="007B3B38">
        <w:rPr>
          <w:rFonts w:ascii="Artifex CF Extra Light" w:hAnsi="Artifex CF Extra Light" w:cs="Times New Roman"/>
          <w:color w:val="1F4E79" w:themeColor="accent1" w:themeShade="80"/>
          <w:spacing w:val="10"/>
          <w:sz w:val="18"/>
          <w:szCs w:val="18"/>
          <w:lang w:val="es-DO"/>
        </w:rPr>
        <w:t xml:space="preserve"> programa de trabajo se ha dado ido inicio al componente de levantamiento de información sobre inversión extranjera directa en la República Dominicana, que servirá para el próximo paso establecido que consiste en la encuesta a empresas de inversión extranjera directa en la República Dominicana, la cual se aplicará en el primer trimestre de 2021.</w:t>
      </w:r>
    </w:p>
    <w:p w14:paraId="4F5B9727" w14:textId="2F09D754" w:rsidR="009069C8" w:rsidRPr="007B3B38" w:rsidRDefault="000B60D4" w:rsidP="00403735">
      <w:pPr>
        <w:pStyle w:val="Prrafodelista"/>
        <w:numPr>
          <w:ilvl w:val="1"/>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18"/>
          <w:szCs w:val="18"/>
          <w:lang w:val="es-DO"/>
        </w:rPr>
      </w:pPr>
      <w:bookmarkStart w:id="36" w:name="_Toc58332465"/>
      <w:r w:rsidRPr="007B3B38">
        <w:rPr>
          <w:rFonts w:ascii="Artifex CF Extra Light" w:hAnsi="Artifex CF Extra Light" w:cs="Times New Roman"/>
          <w:b/>
          <w:color w:val="1F4E79" w:themeColor="accent1" w:themeShade="80"/>
          <w:spacing w:val="10"/>
          <w:sz w:val="18"/>
          <w:szCs w:val="18"/>
          <w:lang w:val="es-DO"/>
        </w:rPr>
        <w:t>EJECUTAR PROGRAMA PARA EXPANSIÓN DE LA INVERSIÓN Y CAPTACIÓN DE NUEVOS INVERSIONISTAS</w:t>
      </w:r>
      <w:bookmarkEnd w:id="36"/>
    </w:p>
    <w:p w14:paraId="07C28957"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Con el objetivo de gestionar la entrada de empresas de capital extranjero a la República Dominicana la dirección de inversión ha puesto en marcha su programa para expansión de la inversión y captación de nuevos inversionistas, que busca captar </w:t>
      </w:r>
      <w:r w:rsidRPr="007B3B38">
        <w:rPr>
          <w:rFonts w:ascii="Artifex CF Extra Light" w:hAnsi="Artifex CF Extra Light" w:cs="Times New Roman"/>
          <w:color w:val="1F4E79" w:themeColor="accent1" w:themeShade="80"/>
          <w:spacing w:val="10"/>
          <w:sz w:val="18"/>
          <w:szCs w:val="18"/>
          <w:lang w:val="es-DO"/>
        </w:rPr>
        <w:lastRenderedPageBreak/>
        <w:t>proyectos de nueva inversión, captar proyectos de reinversión de capitales, desarrollar una campaña post-establecimiento y desarrollar un plan de trabajo para la atracción de inversión con CAIPA.</w:t>
      </w:r>
    </w:p>
    <w:p w14:paraId="4D1B7DBC" w14:textId="77777777" w:rsidR="009069C8" w:rsidRPr="00F475D6" w:rsidRDefault="009069C8" w:rsidP="0040373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37" w:name="_Toc58332466"/>
      <w:r w:rsidRPr="00F475D6">
        <w:rPr>
          <w:rFonts w:ascii="Artifex CF Extra Light" w:hAnsi="Artifex CF Extra Light" w:cs="Times New Roman"/>
          <w:b/>
          <w:color w:val="1F4E79" w:themeColor="accent1" w:themeShade="80"/>
          <w:spacing w:val="10"/>
          <w:sz w:val="20"/>
          <w:szCs w:val="20"/>
          <w:lang w:val="es-DO"/>
        </w:rPr>
        <w:t>Proyectos de nueva inversión</w:t>
      </w:r>
      <w:bookmarkEnd w:id="37"/>
    </w:p>
    <w:p w14:paraId="7E48A16D" w14:textId="626DA589" w:rsidR="006C1F49"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Con este programa se lograron establecer</w:t>
      </w:r>
      <w:r w:rsidRPr="007B3B38">
        <w:rPr>
          <w:rFonts w:ascii="Calibri" w:hAnsi="Calibri" w:cs="Calibri"/>
          <w:color w:val="1F4E79" w:themeColor="accent1" w:themeShade="80"/>
          <w:spacing w:val="10"/>
          <w:sz w:val="18"/>
          <w:szCs w:val="18"/>
          <w:lang w:val="es-DO"/>
        </w:rPr>
        <w:t> </w:t>
      </w:r>
      <w:r w:rsidR="009F05CB" w:rsidRPr="007B3B38">
        <w:rPr>
          <w:rFonts w:ascii="Artifex CF Extra Light" w:hAnsi="Artifex CF Extra Light" w:cs="Times New Roman"/>
          <w:color w:val="1F4E79" w:themeColor="accent1" w:themeShade="80"/>
          <w:spacing w:val="10"/>
          <w:sz w:val="18"/>
          <w:szCs w:val="18"/>
          <w:lang w:val="es-DO"/>
        </w:rPr>
        <w:t>9 proyectos</w:t>
      </w:r>
      <w:r w:rsidRPr="007B3B38">
        <w:rPr>
          <w:rFonts w:ascii="Artifex CF Extra Light" w:hAnsi="Artifex CF Extra Light" w:cs="Times New Roman"/>
          <w:color w:val="1F4E79" w:themeColor="accent1" w:themeShade="80"/>
          <w:spacing w:val="10"/>
          <w:sz w:val="18"/>
          <w:szCs w:val="18"/>
          <w:lang w:val="es-DO"/>
        </w:rPr>
        <w:t xml:space="preserve"> de nueva inversión, con un</w:t>
      </w:r>
      <w:r w:rsidR="00AD6BF9" w:rsidRPr="007B3B38">
        <w:rPr>
          <w:rFonts w:ascii="Artifex CF Extra Light" w:hAnsi="Artifex CF Extra Light" w:cs="Times New Roman"/>
          <w:color w:val="1F4E79" w:themeColor="accent1" w:themeShade="80"/>
          <w:spacing w:val="10"/>
          <w:sz w:val="18"/>
          <w:szCs w:val="18"/>
          <w:lang w:val="es-DO"/>
        </w:rPr>
        <w:t xml:space="preserve">a </w:t>
      </w:r>
      <w:r w:rsidR="009F05CB" w:rsidRPr="007B3B38">
        <w:rPr>
          <w:rFonts w:ascii="Artifex CF Extra Light" w:hAnsi="Artifex CF Extra Light" w:cs="Times New Roman"/>
          <w:color w:val="1F4E79" w:themeColor="accent1" w:themeShade="80"/>
          <w:spacing w:val="10"/>
          <w:sz w:val="18"/>
          <w:szCs w:val="18"/>
          <w:lang w:val="es-DO"/>
        </w:rPr>
        <w:t>inversión</w:t>
      </w:r>
      <w:r w:rsidR="00AD6BF9" w:rsidRPr="007B3B38">
        <w:rPr>
          <w:rFonts w:ascii="Artifex CF Extra Light" w:hAnsi="Artifex CF Extra Light" w:cs="Times New Roman"/>
          <w:color w:val="1F4E79" w:themeColor="accent1" w:themeShade="80"/>
          <w:spacing w:val="10"/>
          <w:sz w:val="18"/>
          <w:szCs w:val="18"/>
          <w:lang w:val="es-DO"/>
        </w:rPr>
        <w:t xml:space="preserve"> total de</w:t>
      </w:r>
      <w:r w:rsidRPr="007B3B38">
        <w:rPr>
          <w:rFonts w:ascii="Calibri" w:hAnsi="Calibri" w:cs="Calibri"/>
          <w:color w:val="1F4E79" w:themeColor="accent1" w:themeShade="80"/>
          <w:spacing w:val="10"/>
          <w:sz w:val="18"/>
          <w:szCs w:val="18"/>
          <w:lang w:val="es-DO"/>
        </w:rPr>
        <w:t> </w:t>
      </w:r>
      <w:r w:rsidR="00AD6BF9" w:rsidRPr="007B3B38">
        <w:rPr>
          <w:rFonts w:ascii="Artifex CF Extra Light" w:hAnsi="Artifex CF Extra Light" w:cs="Times New Roman"/>
          <w:color w:val="1F4E79" w:themeColor="accent1" w:themeShade="80"/>
          <w:spacing w:val="10"/>
          <w:sz w:val="18"/>
          <w:szCs w:val="18"/>
          <w:lang w:val="es-DO"/>
        </w:rPr>
        <w:t>US$717,100,000</w:t>
      </w:r>
      <w:r w:rsidRPr="007B3B38">
        <w:rPr>
          <w:rFonts w:ascii="Artifex CF Extra Light" w:hAnsi="Artifex CF Extra Light" w:cs="Times New Roman"/>
          <w:color w:val="1F4E79" w:themeColor="accent1" w:themeShade="80"/>
          <w:spacing w:val="10"/>
          <w:sz w:val="18"/>
          <w:szCs w:val="18"/>
          <w:lang w:val="es-DO"/>
        </w:rPr>
        <w:t>, a saber:</w:t>
      </w:r>
      <w:r w:rsidRPr="007B3B38">
        <w:rPr>
          <w:rFonts w:ascii="Calibri" w:hAnsi="Calibri" w:cs="Calibri"/>
          <w:color w:val="1F4E79" w:themeColor="accent1" w:themeShade="80"/>
          <w:spacing w:val="10"/>
          <w:sz w:val="18"/>
          <w:szCs w:val="18"/>
          <w:lang w:val="es-DO"/>
        </w:rPr>
        <w:t> </w:t>
      </w:r>
      <w:r w:rsidR="009F05CB" w:rsidRPr="007B3B38">
        <w:rPr>
          <w:rFonts w:ascii="Artifex CF Extra Light" w:hAnsi="Artifex CF Extra Light" w:cs="Times New Roman"/>
          <w:color w:val="1F4E79" w:themeColor="accent1" w:themeShade="80"/>
          <w:spacing w:val="10"/>
          <w:sz w:val="18"/>
          <w:szCs w:val="18"/>
          <w:lang w:val="es-DO"/>
        </w:rPr>
        <w:t xml:space="preserve"> </w:t>
      </w:r>
    </w:p>
    <w:tbl>
      <w:tblPr>
        <w:tblW w:w="6800" w:type="dxa"/>
        <w:jc w:val="center"/>
        <w:tblCellMar>
          <w:left w:w="70" w:type="dxa"/>
          <w:right w:w="70" w:type="dxa"/>
        </w:tblCellMar>
        <w:tblLook w:val="04A0" w:firstRow="1" w:lastRow="0" w:firstColumn="1" w:lastColumn="0" w:noHBand="0" w:noVBand="1"/>
      </w:tblPr>
      <w:tblGrid>
        <w:gridCol w:w="4620"/>
        <w:gridCol w:w="2180"/>
      </w:tblGrid>
      <w:tr w:rsidR="00792157" w:rsidRPr="006F2F51" w14:paraId="34F5CCFA" w14:textId="77777777" w:rsidTr="00C24A2E">
        <w:trPr>
          <w:trHeight w:val="227"/>
          <w:jc w:val="center"/>
        </w:trPr>
        <w:tc>
          <w:tcPr>
            <w:tcW w:w="6800" w:type="dxa"/>
            <w:gridSpan w:val="2"/>
            <w:tcBorders>
              <w:top w:val="nil"/>
              <w:bottom w:val="single" w:sz="4" w:space="0" w:color="000000"/>
            </w:tcBorders>
            <w:shd w:val="clear" w:color="auto" w:fill="auto"/>
            <w:vAlign w:val="center"/>
            <w:hideMark/>
          </w:tcPr>
          <w:p w14:paraId="4365D6FF"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b/>
                <w:color w:val="1F4E79" w:themeColor="accent1" w:themeShade="80"/>
                <w:spacing w:val="10"/>
                <w:sz w:val="18"/>
                <w:szCs w:val="18"/>
                <w:lang w:val="es-ES" w:eastAsia="es-ES"/>
              </w:rPr>
            </w:pPr>
            <w:r w:rsidRPr="007B3B38">
              <w:rPr>
                <w:rFonts w:ascii="Artifex CF Extra Light" w:eastAsia="Times New Roman" w:hAnsi="Artifex CF Extra Light" w:cs="Calibri"/>
                <w:b/>
                <w:color w:val="1F4E79" w:themeColor="accent1" w:themeShade="80"/>
                <w:spacing w:val="10"/>
                <w:sz w:val="18"/>
                <w:szCs w:val="18"/>
                <w:lang w:val="es-ES" w:eastAsia="es-ES"/>
              </w:rPr>
              <w:t>Tabla 1. Proyectos de Nueva Inversión (monto de inversión)</w:t>
            </w:r>
          </w:p>
        </w:tc>
      </w:tr>
      <w:tr w:rsidR="00795C6E" w:rsidRPr="007B3B38" w14:paraId="0CE14FEE" w14:textId="77777777" w:rsidTr="00C24A2E">
        <w:trPr>
          <w:trHeight w:val="227"/>
          <w:jc w:val="center"/>
        </w:trPr>
        <w:tc>
          <w:tcPr>
            <w:tcW w:w="4620" w:type="dxa"/>
            <w:tcBorders>
              <w:top w:val="single" w:sz="4" w:space="0" w:color="000000"/>
              <w:left w:val="single" w:sz="4" w:space="0" w:color="000000"/>
              <w:bottom w:val="single" w:sz="4" w:space="0" w:color="000000"/>
              <w:right w:val="single" w:sz="4" w:space="0" w:color="000000"/>
            </w:tcBorders>
            <w:shd w:val="clear" w:color="000000" w:fill="1F4E78"/>
            <w:vAlign w:val="center"/>
            <w:hideMark/>
          </w:tcPr>
          <w:p w14:paraId="54C57294" w14:textId="77777777" w:rsidR="006C1F49" w:rsidRPr="00190E89" w:rsidRDefault="006C1F49" w:rsidP="00C24A2E">
            <w:pPr>
              <w:spacing w:after="0" w:line="360" w:lineRule="auto"/>
              <w:ind w:firstLine="284"/>
              <w:contextualSpacing/>
              <w:jc w:val="center"/>
              <w:rPr>
                <w:rFonts w:ascii="Artifex CF Extra Light" w:eastAsia="Times New Roman" w:hAnsi="Artifex CF Extra Light" w:cs="Calibri"/>
                <w:b/>
                <w:color w:val="FFFFFF" w:themeColor="background1"/>
                <w:spacing w:val="10"/>
                <w:sz w:val="18"/>
                <w:szCs w:val="18"/>
                <w:lang w:val="es-ES" w:eastAsia="es-ES"/>
              </w:rPr>
            </w:pPr>
            <w:r w:rsidRPr="00190E89">
              <w:rPr>
                <w:rFonts w:ascii="Artifex CF Extra Light" w:eastAsia="Times New Roman" w:hAnsi="Artifex CF Extra Light" w:cs="Calibri"/>
                <w:b/>
                <w:color w:val="FFFFFF" w:themeColor="background1"/>
                <w:spacing w:val="10"/>
                <w:sz w:val="18"/>
                <w:szCs w:val="18"/>
                <w:lang w:val="es-ES" w:eastAsia="es-ES"/>
              </w:rPr>
              <w:t>Proyecto</w:t>
            </w:r>
          </w:p>
        </w:tc>
        <w:tc>
          <w:tcPr>
            <w:tcW w:w="2180" w:type="dxa"/>
            <w:tcBorders>
              <w:top w:val="single" w:sz="4" w:space="0" w:color="000000"/>
              <w:left w:val="single" w:sz="4" w:space="0" w:color="000000"/>
              <w:bottom w:val="single" w:sz="4" w:space="0" w:color="000000"/>
              <w:right w:val="single" w:sz="4" w:space="0" w:color="000000"/>
            </w:tcBorders>
            <w:shd w:val="clear" w:color="000000" w:fill="1F4E78"/>
            <w:vAlign w:val="center"/>
            <w:hideMark/>
          </w:tcPr>
          <w:p w14:paraId="35C976DA" w14:textId="77777777" w:rsidR="006C1F49" w:rsidRPr="00190E89" w:rsidRDefault="006C1F49" w:rsidP="00C24A2E">
            <w:pPr>
              <w:spacing w:after="0" w:line="360" w:lineRule="auto"/>
              <w:ind w:firstLine="284"/>
              <w:contextualSpacing/>
              <w:jc w:val="center"/>
              <w:rPr>
                <w:rFonts w:ascii="Artifex CF Extra Light" w:eastAsia="Times New Roman" w:hAnsi="Artifex CF Extra Light" w:cs="Calibri"/>
                <w:b/>
                <w:color w:val="FFFFFF" w:themeColor="background1"/>
                <w:spacing w:val="10"/>
                <w:sz w:val="18"/>
                <w:szCs w:val="18"/>
                <w:lang w:val="es-ES" w:eastAsia="es-ES"/>
              </w:rPr>
            </w:pPr>
            <w:r w:rsidRPr="00190E89">
              <w:rPr>
                <w:rFonts w:ascii="Artifex CF Extra Light" w:eastAsia="Times New Roman" w:hAnsi="Artifex CF Extra Light" w:cs="Calibri"/>
                <w:b/>
                <w:color w:val="FFFFFF" w:themeColor="background1"/>
                <w:spacing w:val="10"/>
                <w:sz w:val="18"/>
                <w:szCs w:val="18"/>
                <w:lang w:val="es-ES" w:eastAsia="es-ES"/>
              </w:rPr>
              <w:t>Monto de Inversión (USD$)</w:t>
            </w:r>
          </w:p>
        </w:tc>
      </w:tr>
      <w:tr w:rsidR="00795C6E" w:rsidRPr="007B3B38" w14:paraId="6F5A4F11" w14:textId="77777777" w:rsidTr="00C24A2E">
        <w:trPr>
          <w:trHeight w:val="227"/>
          <w:jc w:val="center"/>
        </w:trPr>
        <w:tc>
          <w:tcPr>
            <w:tcW w:w="4620" w:type="dxa"/>
            <w:tcBorders>
              <w:top w:val="single" w:sz="4" w:space="0" w:color="000000"/>
              <w:left w:val="single" w:sz="4" w:space="0" w:color="auto"/>
              <w:bottom w:val="single" w:sz="4" w:space="0" w:color="auto"/>
              <w:right w:val="single" w:sz="4" w:space="0" w:color="auto"/>
            </w:tcBorders>
            <w:shd w:val="clear" w:color="000000" w:fill="FFFFFF"/>
            <w:vAlign w:val="center"/>
            <w:hideMark/>
          </w:tcPr>
          <w:p w14:paraId="3AC422EC"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ENADOM</w:t>
            </w:r>
          </w:p>
        </w:tc>
        <w:tc>
          <w:tcPr>
            <w:tcW w:w="2180" w:type="dxa"/>
            <w:tcBorders>
              <w:top w:val="single" w:sz="4" w:space="0" w:color="000000"/>
              <w:left w:val="nil"/>
              <w:bottom w:val="single" w:sz="4" w:space="0" w:color="auto"/>
              <w:right w:val="single" w:sz="4" w:space="0" w:color="auto"/>
            </w:tcBorders>
            <w:shd w:val="clear" w:color="auto" w:fill="auto"/>
            <w:noWrap/>
            <w:vAlign w:val="center"/>
            <w:hideMark/>
          </w:tcPr>
          <w:p w14:paraId="117C79D3"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$97,200,000</w:t>
            </w:r>
          </w:p>
        </w:tc>
      </w:tr>
      <w:tr w:rsidR="00795C6E" w:rsidRPr="007B3B38" w14:paraId="144E9CD1"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769840F3" w14:textId="445809ED"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 xml:space="preserve">Only </w:t>
            </w:r>
            <w:r w:rsidR="009F05CB" w:rsidRPr="007B3B38">
              <w:rPr>
                <w:rFonts w:ascii="Artifex CF Extra Light" w:eastAsia="Times New Roman" w:hAnsi="Artifex CF Extra Light" w:cs="Calibri"/>
                <w:color w:val="1F4E79" w:themeColor="accent1" w:themeShade="80"/>
                <w:spacing w:val="10"/>
                <w:sz w:val="18"/>
                <w:szCs w:val="18"/>
                <w:lang w:val="es-ES" w:eastAsia="es-ES"/>
              </w:rPr>
              <w:t>Water Group</w:t>
            </w:r>
            <w:r w:rsidRPr="007B3B38">
              <w:rPr>
                <w:rFonts w:ascii="Artifex CF Extra Light" w:eastAsia="Times New Roman" w:hAnsi="Artifex CF Extra Light" w:cs="Calibri"/>
                <w:color w:val="1F4E79" w:themeColor="accent1" w:themeShade="80"/>
                <w:spacing w:val="10"/>
                <w:sz w:val="18"/>
                <w:szCs w:val="18"/>
                <w:lang w:val="es-ES" w:eastAsia="es-ES"/>
              </w:rPr>
              <w:t xml:space="preserve"> (LY)</w:t>
            </w:r>
          </w:p>
        </w:tc>
        <w:tc>
          <w:tcPr>
            <w:tcW w:w="2180" w:type="dxa"/>
            <w:tcBorders>
              <w:top w:val="nil"/>
              <w:left w:val="nil"/>
              <w:bottom w:val="single" w:sz="4" w:space="0" w:color="auto"/>
              <w:right w:val="single" w:sz="4" w:space="0" w:color="auto"/>
            </w:tcBorders>
            <w:shd w:val="clear" w:color="auto" w:fill="auto"/>
            <w:noWrap/>
            <w:vAlign w:val="center"/>
            <w:hideMark/>
          </w:tcPr>
          <w:p w14:paraId="4A009B32"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$6,000,000</w:t>
            </w:r>
          </w:p>
        </w:tc>
      </w:tr>
      <w:tr w:rsidR="00795C6E" w:rsidRPr="007B3B38" w14:paraId="1F77AB0C"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26E2B4A0" w14:textId="076BCD5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 xml:space="preserve">Hacienda </w:t>
            </w:r>
            <w:r w:rsidR="009F05CB" w:rsidRPr="007B3B38">
              <w:rPr>
                <w:rFonts w:ascii="Artifex CF Extra Light" w:eastAsia="Times New Roman" w:hAnsi="Artifex CF Extra Light" w:cs="Calibri"/>
                <w:color w:val="1F4E79" w:themeColor="accent1" w:themeShade="80"/>
                <w:spacing w:val="10"/>
                <w:sz w:val="18"/>
                <w:szCs w:val="18"/>
                <w:lang w:val="es-ES" w:eastAsia="es-ES"/>
              </w:rPr>
              <w:t>Samaná</w:t>
            </w:r>
            <w:r w:rsidRPr="007B3B38">
              <w:rPr>
                <w:rFonts w:ascii="Artifex CF Extra Light" w:eastAsia="Times New Roman" w:hAnsi="Artifex CF Extra Light" w:cs="Calibri"/>
                <w:color w:val="1F4E79" w:themeColor="accent1" w:themeShade="80"/>
                <w:spacing w:val="10"/>
                <w:sz w:val="18"/>
                <w:szCs w:val="18"/>
                <w:lang w:val="es-ES" w:eastAsia="es-ES"/>
              </w:rPr>
              <w:t xml:space="preserve"> Bay</w:t>
            </w:r>
          </w:p>
        </w:tc>
        <w:tc>
          <w:tcPr>
            <w:tcW w:w="2180" w:type="dxa"/>
            <w:tcBorders>
              <w:top w:val="nil"/>
              <w:left w:val="nil"/>
              <w:bottom w:val="single" w:sz="4" w:space="0" w:color="auto"/>
              <w:right w:val="single" w:sz="4" w:space="0" w:color="auto"/>
            </w:tcBorders>
            <w:shd w:val="clear" w:color="auto" w:fill="auto"/>
            <w:noWrap/>
            <w:vAlign w:val="center"/>
            <w:hideMark/>
          </w:tcPr>
          <w:p w14:paraId="62382887"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$100,000,000</w:t>
            </w:r>
          </w:p>
        </w:tc>
      </w:tr>
      <w:tr w:rsidR="00795C6E" w:rsidRPr="007B3B38" w14:paraId="3BB11256"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4CE9A355"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SUNFarming</w:t>
            </w:r>
          </w:p>
        </w:tc>
        <w:tc>
          <w:tcPr>
            <w:tcW w:w="2180" w:type="dxa"/>
            <w:tcBorders>
              <w:top w:val="nil"/>
              <w:left w:val="nil"/>
              <w:bottom w:val="single" w:sz="4" w:space="0" w:color="auto"/>
              <w:right w:val="single" w:sz="4" w:space="0" w:color="auto"/>
            </w:tcBorders>
            <w:shd w:val="clear" w:color="auto" w:fill="auto"/>
            <w:noWrap/>
            <w:vAlign w:val="center"/>
            <w:hideMark/>
          </w:tcPr>
          <w:p w14:paraId="3A2BC1A8"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$110,000,000</w:t>
            </w:r>
          </w:p>
        </w:tc>
      </w:tr>
      <w:tr w:rsidR="00795C6E" w:rsidRPr="007B3B38" w14:paraId="65B4D782"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131951F3"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SANITAS</w:t>
            </w:r>
          </w:p>
        </w:tc>
        <w:tc>
          <w:tcPr>
            <w:tcW w:w="2180" w:type="dxa"/>
            <w:tcBorders>
              <w:top w:val="nil"/>
              <w:left w:val="nil"/>
              <w:bottom w:val="single" w:sz="4" w:space="0" w:color="auto"/>
              <w:right w:val="single" w:sz="4" w:space="0" w:color="auto"/>
            </w:tcBorders>
            <w:shd w:val="clear" w:color="auto" w:fill="auto"/>
            <w:noWrap/>
            <w:vAlign w:val="center"/>
            <w:hideMark/>
          </w:tcPr>
          <w:p w14:paraId="4D698F8C"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$100,000</w:t>
            </w:r>
          </w:p>
        </w:tc>
      </w:tr>
      <w:tr w:rsidR="00795C6E" w:rsidRPr="007B3B38" w14:paraId="432814E1"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65BC7469"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CIR Alimentos</w:t>
            </w:r>
          </w:p>
        </w:tc>
        <w:tc>
          <w:tcPr>
            <w:tcW w:w="2180" w:type="dxa"/>
            <w:tcBorders>
              <w:top w:val="nil"/>
              <w:left w:val="nil"/>
              <w:bottom w:val="single" w:sz="4" w:space="0" w:color="auto"/>
              <w:right w:val="single" w:sz="4" w:space="0" w:color="auto"/>
            </w:tcBorders>
            <w:shd w:val="clear" w:color="auto" w:fill="auto"/>
            <w:noWrap/>
            <w:vAlign w:val="center"/>
            <w:hideMark/>
          </w:tcPr>
          <w:p w14:paraId="09CAC65A"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$300,000</w:t>
            </w:r>
          </w:p>
        </w:tc>
      </w:tr>
      <w:tr w:rsidR="00795C6E" w:rsidRPr="007B3B38" w14:paraId="52D55964"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73B5DFB1" w14:textId="024E1D51"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Playa Grande</w:t>
            </w:r>
          </w:p>
        </w:tc>
        <w:tc>
          <w:tcPr>
            <w:tcW w:w="2180" w:type="dxa"/>
            <w:tcBorders>
              <w:top w:val="nil"/>
              <w:left w:val="nil"/>
              <w:bottom w:val="single" w:sz="4" w:space="0" w:color="auto"/>
              <w:right w:val="single" w:sz="4" w:space="0" w:color="auto"/>
            </w:tcBorders>
            <w:shd w:val="clear" w:color="auto" w:fill="auto"/>
            <w:noWrap/>
            <w:vAlign w:val="center"/>
            <w:hideMark/>
          </w:tcPr>
          <w:p w14:paraId="23536EFB"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$363,000,000</w:t>
            </w:r>
          </w:p>
        </w:tc>
      </w:tr>
      <w:tr w:rsidR="00795C6E" w:rsidRPr="007B3B38" w14:paraId="755CF797"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5DD332BC"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Registro de Inversión</w:t>
            </w:r>
          </w:p>
        </w:tc>
        <w:tc>
          <w:tcPr>
            <w:tcW w:w="2180" w:type="dxa"/>
            <w:tcBorders>
              <w:top w:val="nil"/>
              <w:left w:val="nil"/>
              <w:bottom w:val="single" w:sz="4" w:space="0" w:color="auto"/>
              <w:right w:val="single" w:sz="4" w:space="0" w:color="auto"/>
            </w:tcBorders>
            <w:shd w:val="clear" w:color="auto" w:fill="auto"/>
            <w:noWrap/>
            <w:vAlign w:val="center"/>
            <w:hideMark/>
          </w:tcPr>
          <w:p w14:paraId="0A4E353C"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$30,500,000</w:t>
            </w:r>
          </w:p>
        </w:tc>
      </w:tr>
      <w:tr w:rsidR="00795C6E" w:rsidRPr="007B3B38" w14:paraId="2023C53D"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0A934FEC" w14:textId="09C765F9"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OZDAL Group</w:t>
            </w:r>
          </w:p>
        </w:tc>
        <w:tc>
          <w:tcPr>
            <w:tcW w:w="2180" w:type="dxa"/>
            <w:tcBorders>
              <w:top w:val="nil"/>
              <w:left w:val="nil"/>
              <w:bottom w:val="single" w:sz="4" w:space="0" w:color="auto"/>
              <w:right w:val="single" w:sz="4" w:space="0" w:color="auto"/>
            </w:tcBorders>
            <w:shd w:val="clear" w:color="auto" w:fill="auto"/>
            <w:noWrap/>
            <w:vAlign w:val="center"/>
            <w:hideMark/>
          </w:tcPr>
          <w:p w14:paraId="506DD225"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$10,000,000</w:t>
            </w:r>
          </w:p>
        </w:tc>
      </w:tr>
      <w:tr w:rsidR="00795C6E" w:rsidRPr="007B3B38" w14:paraId="767FB36A" w14:textId="77777777" w:rsidTr="00C24A2E">
        <w:trPr>
          <w:trHeight w:val="227"/>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175268F0"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b/>
                <w:color w:val="1F4E79" w:themeColor="accent1" w:themeShade="80"/>
                <w:spacing w:val="10"/>
                <w:sz w:val="18"/>
                <w:szCs w:val="18"/>
                <w:lang w:val="es-ES" w:eastAsia="es-ES"/>
              </w:rPr>
            </w:pPr>
            <w:r w:rsidRPr="007B3B38">
              <w:rPr>
                <w:rFonts w:ascii="Artifex CF Extra Light" w:eastAsia="Times New Roman" w:hAnsi="Artifex CF Extra Light" w:cs="Calibri"/>
                <w:b/>
                <w:color w:val="1F4E79" w:themeColor="accent1" w:themeShade="80"/>
                <w:spacing w:val="10"/>
                <w:sz w:val="18"/>
                <w:szCs w:val="18"/>
                <w:lang w:val="es-ES" w:eastAsia="es-ES"/>
              </w:rPr>
              <w:t>Total:</w:t>
            </w:r>
          </w:p>
        </w:tc>
        <w:tc>
          <w:tcPr>
            <w:tcW w:w="2180" w:type="dxa"/>
            <w:tcBorders>
              <w:top w:val="nil"/>
              <w:left w:val="nil"/>
              <w:bottom w:val="single" w:sz="4" w:space="0" w:color="auto"/>
              <w:right w:val="single" w:sz="4" w:space="0" w:color="auto"/>
            </w:tcBorders>
            <w:shd w:val="clear" w:color="auto" w:fill="auto"/>
            <w:noWrap/>
            <w:vAlign w:val="center"/>
            <w:hideMark/>
          </w:tcPr>
          <w:p w14:paraId="4F90865E" w14:textId="77777777" w:rsidR="006C1F49" w:rsidRPr="007B3B38" w:rsidRDefault="006C1F49" w:rsidP="00C24A2E">
            <w:pPr>
              <w:spacing w:after="0" w:line="360" w:lineRule="auto"/>
              <w:ind w:firstLine="284"/>
              <w:contextualSpacing/>
              <w:jc w:val="center"/>
              <w:rPr>
                <w:rFonts w:ascii="Artifex CF Extra Light" w:eastAsia="Times New Roman" w:hAnsi="Artifex CF Extra Light" w:cs="Calibri"/>
                <w:b/>
                <w:color w:val="1F4E79" w:themeColor="accent1" w:themeShade="80"/>
                <w:spacing w:val="10"/>
                <w:sz w:val="18"/>
                <w:szCs w:val="18"/>
                <w:lang w:val="es-ES" w:eastAsia="es-ES"/>
              </w:rPr>
            </w:pPr>
            <w:r w:rsidRPr="007B3B38">
              <w:rPr>
                <w:rFonts w:ascii="Artifex CF Extra Light" w:eastAsia="Times New Roman" w:hAnsi="Artifex CF Extra Light" w:cs="Calibri"/>
                <w:b/>
                <w:color w:val="1F4E79" w:themeColor="accent1" w:themeShade="80"/>
                <w:spacing w:val="10"/>
                <w:sz w:val="18"/>
                <w:szCs w:val="18"/>
                <w:lang w:val="es-ES" w:eastAsia="es-ES"/>
              </w:rPr>
              <w:t>$717,100,000</w:t>
            </w:r>
          </w:p>
        </w:tc>
      </w:tr>
      <w:tr w:rsidR="00795C6E" w:rsidRPr="006F2F51" w14:paraId="1B18AE40" w14:textId="77777777" w:rsidTr="00C24A2E">
        <w:trPr>
          <w:trHeight w:val="227"/>
          <w:jc w:val="center"/>
        </w:trPr>
        <w:tc>
          <w:tcPr>
            <w:tcW w:w="6800" w:type="dxa"/>
            <w:gridSpan w:val="2"/>
            <w:tcBorders>
              <w:top w:val="single" w:sz="4" w:space="0" w:color="auto"/>
              <w:left w:val="nil"/>
              <w:bottom w:val="nil"/>
              <w:right w:val="nil"/>
            </w:tcBorders>
            <w:shd w:val="clear" w:color="auto" w:fill="auto"/>
            <w:vAlign w:val="center"/>
            <w:hideMark/>
          </w:tcPr>
          <w:p w14:paraId="1C12DF99" w14:textId="043FEA22" w:rsidR="006C1F49" w:rsidRPr="007B3B38" w:rsidRDefault="006C1F4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Fuente:</w:t>
            </w:r>
            <w:r w:rsidR="007A4659" w:rsidRPr="007B3B38">
              <w:rPr>
                <w:rFonts w:ascii="Artifex CF Extra Light" w:eastAsia="Times New Roman" w:hAnsi="Artifex CF Extra Light" w:cs="Calibri"/>
                <w:color w:val="1F4E79" w:themeColor="accent1" w:themeShade="80"/>
                <w:spacing w:val="10"/>
                <w:sz w:val="18"/>
                <w:szCs w:val="18"/>
                <w:lang w:val="es-ES" w:eastAsia="es-ES"/>
              </w:rPr>
              <w:t xml:space="preserve"> Elaborado por la dirección de Inversión, fuentes diversas.</w:t>
            </w:r>
          </w:p>
        </w:tc>
      </w:tr>
    </w:tbl>
    <w:p w14:paraId="2A2E32B5" w14:textId="7B18B79B"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highlight w:val="yellow"/>
          <w:lang w:val="es-DO"/>
        </w:rPr>
      </w:pPr>
    </w:p>
    <w:p w14:paraId="13EAF393" w14:textId="77777777" w:rsidR="003D3E2E" w:rsidRPr="007B3B38" w:rsidRDefault="003D3E2E" w:rsidP="00864966">
      <w:pPr>
        <w:spacing w:before="380" w:after="120" w:line="456" w:lineRule="auto"/>
        <w:ind w:firstLine="284"/>
        <w:rPr>
          <w:rFonts w:ascii="Artifex CF Extra Light" w:eastAsia="Times New Roman" w:hAnsi="Artifex CF Extra Light" w:cs="Times New Roman"/>
          <w:b/>
          <w:color w:val="1F4E79" w:themeColor="accent1" w:themeShade="80"/>
          <w:spacing w:val="10"/>
          <w:sz w:val="18"/>
          <w:szCs w:val="18"/>
          <w:lang w:val="es-DO" w:eastAsia="es-DO"/>
        </w:rPr>
      </w:pPr>
      <w:bookmarkStart w:id="38" w:name="_Toc58332467"/>
      <w:r w:rsidRPr="007B3B38">
        <w:rPr>
          <w:rFonts w:ascii="Artifex CF Extra Light" w:eastAsia="Times New Roman" w:hAnsi="Artifex CF Extra Light" w:cs="Times New Roman"/>
          <w:b/>
          <w:color w:val="1F4E79" w:themeColor="accent1" w:themeShade="80"/>
          <w:spacing w:val="10"/>
          <w:sz w:val="18"/>
          <w:szCs w:val="18"/>
          <w:lang w:val="es-DO" w:eastAsia="es-DO"/>
        </w:rPr>
        <w:br w:type="page"/>
      </w:r>
    </w:p>
    <w:p w14:paraId="495C0240" w14:textId="1A28ECE1" w:rsidR="009069C8" w:rsidRPr="00F475D6" w:rsidRDefault="009069C8" w:rsidP="0040373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lastRenderedPageBreak/>
        <w:t>Proyectos de expansión</w:t>
      </w:r>
      <w:bookmarkEnd w:id="38"/>
    </w:p>
    <w:p w14:paraId="03978F1F" w14:textId="7E352E45" w:rsidR="00571725"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De igual manera este programa ha propiciado la expansión de</w:t>
      </w:r>
      <w:r w:rsidRPr="007B3B38">
        <w:rPr>
          <w:rFonts w:ascii="Calibri" w:hAnsi="Calibri" w:cs="Calibri"/>
          <w:color w:val="1F4E79" w:themeColor="accent1" w:themeShade="80"/>
          <w:spacing w:val="10"/>
          <w:sz w:val="18"/>
          <w:szCs w:val="18"/>
          <w:lang w:val="es-DO"/>
        </w:rPr>
        <w:t> </w:t>
      </w:r>
      <w:r w:rsidR="00571725" w:rsidRPr="007B3B38">
        <w:rPr>
          <w:rFonts w:ascii="Artifex CF Extra Light" w:hAnsi="Artifex CF Extra Light" w:cs="Times New Roman"/>
          <w:color w:val="1F4E79" w:themeColor="accent1" w:themeShade="80"/>
          <w:spacing w:val="10"/>
          <w:sz w:val="18"/>
          <w:szCs w:val="18"/>
          <w:lang w:val="es-DO"/>
        </w:rPr>
        <w:t>6</w:t>
      </w:r>
      <w:r w:rsidRPr="007B3B38">
        <w:rPr>
          <w:rFonts w:ascii="Calibri" w:hAnsi="Calibri" w:cs="Calibri"/>
          <w:color w:val="1F4E79" w:themeColor="accent1" w:themeShade="80"/>
          <w:spacing w:val="10"/>
          <w:sz w:val="18"/>
          <w:szCs w:val="18"/>
          <w:lang w:val="es-DO"/>
        </w:rPr>
        <w:t> </w:t>
      </w:r>
      <w:r w:rsidRPr="007B3B38">
        <w:rPr>
          <w:rFonts w:ascii="Artifex CF Extra Light" w:hAnsi="Artifex CF Extra Light" w:cs="Times New Roman"/>
          <w:color w:val="1F4E79" w:themeColor="accent1" w:themeShade="80"/>
          <w:spacing w:val="10"/>
          <w:sz w:val="18"/>
          <w:szCs w:val="18"/>
          <w:lang w:val="es-DO"/>
        </w:rPr>
        <w:t>proyectos de inversi</w:t>
      </w:r>
      <w:r w:rsidRPr="007B3B38">
        <w:rPr>
          <w:rFonts w:ascii="Artifex CF Extra Light" w:hAnsi="Artifex CF Extra Light" w:cs="Artifex CF Extra Light"/>
          <w:color w:val="1F4E79" w:themeColor="accent1" w:themeShade="80"/>
          <w:spacing w:val="10"/>
          <w:sz w:val="18"/>
          <w:szCs w:val="18"/>
          <w:lang w:val="es-DO"/>
        </w:rPr>
        <w:t>ó</w:t>
      </w:r>
      <w:r w:rsidRPr="007B3B38">
        <w:rPr>
          <w:rFonts w:ascii="Artifex CF Extra Light" w:hAnsi="Artifex CF Extra Light" w:cs="Times New Roman"/>
          <w:color w:val="1F4E79" w:themeColor="accent1" w:themeShade="80"/>
          <w:spacing w:val="10"/>
          <w:sz w:val="18"/>
          <w:szCs w:val="18"/>
          <w:lang w:val="es-DO"/>
        </w:rPr>
        <w:t>n, con un total de</w:t>
      </w:r>
      <w:r w:rsidR="00571725" w:rsidRPr="007B3B38">
        <w:rPr>
          <w:rFonts w:ascii="Artifex CF Extra Light" w:hAnsi="Artifex CF Extra Light" w:cs="Times New Roman"/>
          <w:color w:val="1F4E79" w:themeColor="accent1" w:themeShade="80"/>
          <w:spacing w:val="10"/>
          <w:sz w:val="18"/>
          <w:szCs w:val="18"/>
          <w:lang w:val="es-DO"/>
        </w:rPr>
        <w:t xml:space="preserve"> US$451,970,000</w:t>
      </w:r>
      <w:r w:rsidRPr="007B3B38">
        <w:rPr>
          <w:rFonts w:ascii="Artifex CF Extra Light" w:hAnsi="Artifex CF Extra Light" w:cs="Times New Roman"/>
          <w:color w:val="1F4E79" w:themeColor="accent1" w:themeShade="80"/>
          <w:spacing w:val="10"/>
          <w:sz w:val="18"/>
          <w:szCs w:val="18"/>
          <w:lang w:val="es-DO"/>
        </w:rPr>
        <w:t xml:space="preserve"> reinvertidos, a saber:</w:t>
      </w:r>
    </w:p>
    <w:tbl>
      <w:tblPr>
        <w:tblW w:w="6800" w:type="dxa"/>
        <w:jc w:val="center"/>
        <w:tblLayout w:type="fixed"/>
        <w:tblCellMar>
          <w:left w:w="0" w:type="dxa"/>
          <w:right w:w="0" w:type="dxa"/>
        </w:tblCellMar>
        <w:tblLook w:val="04A0" w:firstRow="1" w:lastRow="0" w:firstColumn="1" w:lastColumn="0" w:noHBand="0" w:noVBand="1"/>
      </w:tblPr>
      <w:tblGrid>
        <w:gridCol w:w="4620"/>
        <w:gridCol w:w="2180"/>
      </w:tblGrid>
      <w:tr w:rsidR="00190E89" w:rsidRPr="006F2F51" w14:paraId="6AA9F981" w14:textId="77777777" w:rsidTr="00C24A2E">
        <w:trPr>
          <w:trHeight w:val="20"/>
          <w:jc w:val="center"/>
        </w:trPr>
        <w:tc>
          <w:tcPr>
            <w:tcW w:w="6800" w:type="dxa"/>
            <w:gridSpan w:val="2"/>
            <w:tcBorders>
              <w:top w:val="nil"/>
              <w:bottom w:val="single" w:sz="4" w:space="0" w:color="000000"/>
            </w:tcBorders>
            <w:shd w:val="clear" w:color="auto" w:fill="auto"/>
            <w:vAlign w:val="center"/>
            <w:hideMark/>
          </w:tcPr>
          <w:p w14:paraId="55F31CF0" w14:textId="77777777" w:rsidR="00571725" w:rsidRPr="007B3B38" w:rsidRDefault="00571725" w:rsidP="00C24A2E">
            <w:pPr>
              <w:spacing w:after="0" w:line="360" w:lineRule="auto"/>
              <w:ind w:firstLine="284"/>
              <w:contextualSpacing/>
              <w:jc w:val="center"/>
              <w:rPr>
                <w:rFonts w:ascii="Artifex CF Extra Light" w:eastAsia="Times New Roman" w:hAnsi="Artifex CF Extra Light" w:cs="Calibri"/>
                <w:b/>
                <w:color w:val="1F4E79" w:themeColor="accent1" w:themeShade="80"/>
                <w:spacing w:val="10"/>
                <w:sz w:val="18"/>
                <w:szCs w:val="18"/>
                <w:lang w:val="es-ES" w:eastAsia="es-ES"/>
              </w:rPr>
            </w:pPr>
            <w:r w:rsidRPr="007B3B38">
              <w:rPr>
                <w:rFonts w:ascii="Artifex CF Extra Light" w:eastAsia="Times New Roman" w:hAnsi="Artifex CF Extra Light" w:cs="Calibri"/>
                <w:b/>
                <w:color w:val="1F4E79" w:themeColor="accent1" w:themeShade="80"/>
                <w:spacing w:val="10"/>
                <w:sz w:val="18"/>
                <w:szCs w:val="18"/>
                <w:lang w:val="es-ES" w:eastAsia="es-ES"/>
              </w:rPr>
              <w:t>Tabla 2. Proyectos de Expansión de Inversión (monto de inversión)</w:t>
            </w:r>
          </w:p>
        </w:tc>
      </w:tr>
      <w:tr w:rsidR="00795C6E" w:rsidRPr="007B3B38" w14:paraId="7EEEEB34" w14:textId="77777777" w:rsidTr="00C24A2E">
        <w:trPr>
          <w:trHeight w:val="20"/>
          <w:jc w:val="center"/>
        </w:trPr>
        <w:tc>
          <w:tcPr>
            <w:tcW w:w="4620" w:type="dxa"/>
            <w:tcBorders>
              <w:top w:val="single" w:sz="4" w:space="0" w:color="000000"/>
              <w:left w:val="single" w:sz="4" w:space="0" w:color="000000"/>
              <w:bottom w:val="single" w:sz="4" w:space="0" w:color="000000"/>
              <w:right w:val="single" w:sz="4" w:space="0" w:color="000000"/>
            </w:tcBorders>
            <w:shd w:val="clear" w:color="000000" w:fill="1F4E78"/>
            <w:vAlign w:val="center"/>
            <w:hideMark/>
          </w:tcPr>
          <w:p w14:paraId="15D5AD4C" w14:textId="77777777" w:rsidR="00571725" w:rsidRPr="00190E89" w:rsidRDefault="00571725" w:rsidP="00C24A2E">
            <w:pPr>
              <w:spacing w:after="0" w:line="360" w:lineRule="auto"/>
              <w:ind w:firstLine="284"/>
              <w:contextualSpacing/>
              <w:jc w:val="center"/>
              <w:rPr>
                <w:rFonts w:ascii="Artifex CF Extra Light" w:eastAsia="Times New Roman" w:hAnsi="Artifex CF Extra Light" w:cs="Calibri"/>
                <w:b/>
                <w:color w:val="FFFFFF" w:themeColor="background1"/>
                <w:spacing w:val="10"/>
                <w:sz w:val="18"/>
                <w:szCs w:val="18"/>
                <w:lang w:val="es-ES" w:eastAsia="es-ES"/>
              </w:rPr>
            </w:pPr>
            <w:r w:rsidRPr="00190E89">
              <w:rPr>
                <w:rFonts w:ascii="Artifex CF Extra Light" w:eastAsia="Times New Roman" w:hAnsi="Artifex CF Extra Light" w:cs="Calibri"/>
                <w:b/>
                <w:color w:val="FFFFFF" w:themeColor="background1"/>
                <w:spacing w:val="10"/>
                <w:sz w:val="18"/>
                <w:szCs w:val="18"/>
                <w:lang w:val="es-ES" w:eastAsia="es-ES"/>
              </w:rPr>
              <w:t>Proyecto</w:t>
            </w:r>
          </w:p>
        </w:tc>
        <w:tc>
          <w:tcPr>
            <w:tcW w:w="2180" w:type="dxa"/>
            <w:tcBorders>
              <w:top w:val="single" w:sz="4" w:space="0" w:color="000000"/>
              <w:left w:val="single" w:sz="4" w:space="0" w:color="000000"/>
              <w:bottom w:val="single" w:sz="4" w:space="0" w:color="000000"/>
              <w:right w:val="single" w:sz="4" w:space="0" w:color="000000"/>
            </w:tcBorders>
            <w:shd w:val="clear" w:color="000000" w:fill="1F4E78"/>
            <w:vAlign w:val="center"/>
            <w:hideMark/>
          </w:tcPr>
          <w:p w14:paraId="4165F182" w14:textId="77777777" w:rsidR="00571725" w:rsidRPr="00190E89" w:rsidRDefault="00571725" w:rsidP="00C24A2E">
            <w:pPr>
              <w:spacing w:after="0" w:line="360" w:lineRule="auto"/>
              <w:ind w:firstLine="284"/>
              <w:contextualSpacing/>
              <w:jc w:val="center"/>
              <w:rPr>
                <w:rFonts w:ascii="Artifex CF Extra Light" w:eastAsia="Times New Roman" w:hAnsi="Artifex CF Extra Light" w:cs="Calibri"/>
                <w:b/>
                <w:color w:val="FFFFFF" w:themeColor="background1"/>
                <w:spacing w:val="10"/>
                <w:sz w:val="18"/>
                <w:szCs w:val="18"/>
                <w:lang w:val="es-ES" w:eastAsia="es-ES"/>
              </w:rPr>
            </w:pPr>
            <w:r w:rsidRPr="00190E89">
              <w:rPr>
                <w:rFonts w:ascii="Artifex CF Extra Light" w:eastAsia="Times New Roman" w:hAnsi="Artifex CF Extra Light" w:cs="Calibri"/>
                <w:b/>
                <w:color w:val="FFFFFF" w:themeColor="background1"/>
                <w:spacing w:val="10"/>
                <w:sz w:val="18"/>
                <w:szCs w:val="18"/>
                <w:lang w:val="es-ES" w:eastAsia="es-ES"/>
              </w:rPr>
              <w:t>Monto de Inversión (USD$)</w:t>
            </w:r>
          </w:p>
        </w:tc>
      </w:tr>
      <w:tr w:rsidR="00795C6E" w:rsidRPr="007B3B38" w14:paraId="23D626AC" w14:textId="77777777" w:rsidTr="00C24A2E">
        <w:trPr>
          <w:trHeight w:val="20"/>
          <w:jc w:val="center"/>
        </w:trPr>
        <w:tc>
          <w:tcPr>
            <w:tcW w:w="4620" w:type="dxa"/>
            <w:tcBorders>
              <w:top w:val="single" w:sz="4" w:space="0" w:color="000000"/>
              <w:left w:val="single" w:sz="4" w:space="0" w:color="auto"/>
              <w:bottom w:val="single" w:sz="4" w:space="0" w:color="auto"/>
              <w:right w:val="single" w:sz="4" w:space="0" w:color="auto"/>
            </w:tcBorders>
            <w:shd w:val="clear" w:color="000000" w:fill="FFFFFF"/>
            <w:vAlign w:val="center"/>
            <w:hideMark/>
          </w:tcPr>
          <w:p w14:paraId="2EC22812" w14:textId="18328ACC"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Lopesan Costa Bávaro</w:t>
            </w:r>
          </w:p>
        </w:tc>
        <w:tc>
          <w:tcPr>
            <w:tcW w:w="2180" w:type="dxa"/>
            <w:tcBorders>
              <w:top w:val="single" w:sz="4" w:space="0" w:color="000000"/>
              <w:left w:val="nil"/>
              <w:bottom w:val="single" w:sz="4" w:space="0" w:color="auto"/>
              <w:right w:val="single" w:sz="4" w:space="0" w:color="auto"/>
            </w:tcBorders>
            <w:shd w:val="clear" w:color="auto" w:fill="auto"/>
            <w:noWrap/>
            <w:vAlign w:val="center"/>
            <w:hideMark/>
          </w:tcPr>
          <w:p w14:paraId="69880FE1" w14:textId="24599E1D"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200,000,000</w:t>
            </w:r>
          </w:p>
        </w:tc>
      </w:tr>
      <w:tr w:rsidR="00795C6E" w:rsidRPr="007B3B38" w14:paraId="4F8D7EC0" w14:textId="77777777" w:rsidTr="00C24A2E">
        <w:trPr>
          <w:trHeight w:val="20"/>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69965898" w14:textId="77777777"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International Medical Group (IMG)</w:t>
            </w:r>
          </w:p>
        </w:tc>
        <w:tc>
          <w:tcPr>
            <w:tcW w:w="2180" w:type="dxa"/>
            <w:tcBorders>
              <w:top w:val="nil"/>
              <w:left w:val="nil"/>
              <w:bottom w:val="single" w:sz="4" w:space="0" w:color="auto"/>
              <w:right w:val="single" w:sz="4" w:space="0" w:color="auto"/>
            </w:tcBorders>
            <w:shd w:val="clear" w:color="auto" w:fill="auto"/>
            <w:noWrap/>
            <w:vAlign w:val="center"/>
            <w:hideMark/>
          </w:tcPr>
          <w:p w14:paraId="47D19D54" w14:textId="1011F75B"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1,000,000</w:t>
            </w:r>
          </w:p>
        </w:tc>
      </w:tr>
      <w:tr w:rsidR="00795C6E" w:rsidRPr="007B3B38" w14:paraId="223740FB" w14:textId="77777777" w:rsidTr="00C24A2E">
        <w:trPr>
          <w:trHeight w:val="20"/>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0244606C" w14:textId="77777777"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Vacucentros</w:t>
            </w:r>
          </w:p>
        </w:tc>
        <w:tc>
          <w:tcPr>
            <w:tcW w:w="2180" w:type="dxa"/>
            <w:tcBorders>
              <w:top w:val="nil"/>
              <w:left w:val="nil"/>
              <w:bottom w:val="single" w:sz="4" w:space="0" w:color="auto"/>
              <w:right w:val="single" w:sz="4" w:space="0" w:color="auto"/>
            </w:tcBorders>
            <w:shd w:val="clear" w:color="auto" w:fill="auto"/>
            <w:noWrap/>
            <w:vAlign w:val="center"/>
            <w:hideMark/>
          </w:tcPr>
          <w:p w14:paraId="1433CC74" w14:textId="0A0E825D"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700,000</w:t>
            </w:r>
          </w:p>
        </w:tc>
      </w:tr>
      <w:tr w:rsidR="00795C6E" w:rsidRPr="007B3B38" w14:paraId="4FCBD9B0" w14:textId="77777777" w:rsidTr="00C24A2E">
        <w:trPr>
          <w:trHeight w:val="20"/>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3CC4A890" w14:textId="77777777"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Grupo Wynn (Grupo LifeStyle)</w:t>
            </w:r>
          </w:p>
        </w:tc>
        <w:tc>
          <w:tcPr>
            <w:tcW w:w="2180" w:type="dxa"/>
            <w:tcBorders>
              <w:top w:val="nil"/>
              <w:left w:val="nil"/>
              <w:bottom w:val="single" w:sz="4" w:space="0" w:color="auto"/>
              <w:right w:val="single" w:sz="4" w:space="0" w:color="auto"/>
            </w:tcBorders>
            <w:shd w:val="clear" w:color="auto" w:fill="auto"/>
            <w:noWrap/>
            <w:vAlign w:val="center"/>
            <w:hideMark/>
          </w:tcPr>
          <w:p w14:paraId="5F836BCF" w14:textId="016E03DA"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30,000,000</w:t>
            </w:r>
          </w:p>
        </w:tc>
      </w:tr>
      <w:tr w:rsidR="00795C6E" w:rsidRPr="007B3B38" w14:paraId="6CDD5C9D" w14:textId="77777777" w:rsidTr="00C24A2E">
        <w:trPr>
          <w:trHeight w:val="20"/>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5A6B0795" w14:textId="77777777"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ALTICE</w:t>
            </w:r>
          </w:p>
        </w:tc>
        <w:tc>
          <w:tcPr>
            <w:tcW w:w="2180" w:type="dxa"/>
            <w:tcBorders>
              <w:top w:val="nil"/>
              <w:left w:val="nil"/>
              <w:bottom w:val="single" w:sz="4" w:space="0" w:color="auto"/>
              <w:right w:val="single" w:sz="4" w:space="0" w:color="auto"/>
            </w:tcBorders>
            <w:shd w:val="clear" w:color="auto" w:fill="auto"/>
            <w:noWrap/>
            <w:vAlign w:val="center"/>
            <w:hideMark/>
          </w:tcPr>
          <w:p w14:paraId="570EC661" w14:textId="4B4CB7BC"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120,270,000</w:t>
            </w:r>
          </w:p>
        </w:tc>
      </w:tr>
      <w:tr w:rsidR="00795C6E" w:rsidRPr="007B3B38" w14:paraId="1D3BB039" w14:textId="77777777" w:rsidTr="00C24A2E">
        <w:trPr>
          <w:trHeight w:val="20"/>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0336EA06" w14:textId="77777777"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CORMIDOM</w:t>
            </w:r>
          </w:p>
        </w:tc>
        <w:tc>
          <w:tcPr>
            <w:tcW w:w="2180" w:type="dxa"/>
            <w:tcBorders>
              <w:top w:val="nil"/>
              <w:left w:val="nil"/>
              <w:bottom w:val="single" w:sz="4" w:space="0" w:color="auto"/>
              <w:right w:val="single" w:sz="4" w:space="0" w:color="auto"/>
            </w:tcBorders>
            <w:shd w:val="clear" w:color="auto" w:fill="auto"/>
            <w:noWrap/>
            <w:vAlign w:val="center"/>
            <w:hideMark/>
          </w:tcPr>
          <w:p w14:paraId="6CBCACBD" w14:textId="5BD4E625" w:rsidR="00571725" w:rsidRPr="007B3B38" w:rsidRDefault="00571725"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100,000,000</w:t>
            </w:r>
          </w:p>
        </w:tc>
      </w:tr>
      <w:tr w:rsidR="00795C6E" w:rsidRPr="007B3B38" w14:paraId="65E7314F" w14:textId="77777777" w:rsidTr="00C24A2E">
        <w:trPr>
          <w:trHeight w:val="20"/>
          <w:jc w:val="center"/>
        </w:trPr>
        <w:tc>
          <w:tcPr>
            <w:tcW w:w="4620" w:type="dxa"/>
            <w:tcBorders>
              <w:top w:val="nil"/>
              <w:left w:val="single" w:sz="4" w:space="0" w:color="auto"/>
              <w:bottom w:val="single" w:sz="4" w:space="0" w:color="auto"/>
              <w:right w:val="single" w:sz="4" w:space="0" w:color="auto"/>
            </w:tcBorders>
            <w:shd w:val="clear" w:color="000000" w:fill="FFFFFF"/>
            <w:vAlign w:val="center"/>
            <w:hideMark/>
          </w:tcPr>
          <w:p w14:paraId="15E431EF" w14:textId="77777777" w:rsidR="00571725" w:rsidRPr="007B3B38" w:rsidRDefault="00571725" w:rsidP="00C24A2E">
            <w:pPr>
              <w:spacing w:after="0" w:line="360" w:lineRule="auto"/>
              <w:ind w:firstLine="284"/>
              <w:contextualSpacing/>
              <w:jc w:val="center"/>
              <w:rPr>
                <w:rFonts w:ascii="Artifex CF Extra Light" w:eastAsia="Times New Roman" w:hAnsi="Artifex CF Extra Light" w:cs="Calibri"/>
                <w:b/>
                <w:color w:val="1F4E79" w:themeColor="accent1" w:themeShade="80"/>
                <w:spacing w:val="10"/>
                <w:sz w:val="18"/>
                <w:szCs w:val="18"/>
                <w:lang w:val="es-ES" w:eastAsia="es-ES"/>
              </w:rPr>
            </w:pPr>
            <w:r w:rsidRPr="007B3B38">
              <w:rPr>
                <w:rFonts w:ascii="Artifex CF Extra Light" w:eastAsia="Times New Roman" w:hAnsi="Artifex CF Extra Light" w:cs="Calibri"/>
                <w:b/>
                <w:color w:val="1F4E79" w:themeColor="accent1" w:themeShade="80"/>
                <w:spacing w:val="10"/>
                <w:sz w:val="18"/>
                <w:szCs w:val="18"/>
                <w:lang w:val="es-ES" w:eastAsia="es-ES"/>
              </w:rPr>
              <w:t>Total:</w:t>
            </w:r>
          </w:p>
        </w:tc>
        <w:tc>
          <w:tcPr>
            <w:tcW w:w="2180" w:type="dxa"/>
            <w:tcBorders>
              <w:top w:val="nil"/>
              <w:left w:val="nil"/>
              <w:bottom w:val="single" w:sz="4" w:space="0" w:color="auto"/>
              <w:right w:val="single" w:sz="4" w:space="0" w:color="auto"/>
            </w:tcBorders>
            <w:shd w:val="clear" w:color="auto" w:fill="auto"/>
            <w:noWrap/>
            <w:vAlign w:val="center"/>
            <w:hideMark/>
          </w:tcPr>
          <w:p w14:paraId="6E5C4C47" w14:textId="0D92A4A4" w:rsidR="00571725" w:rsidRPr="007B3B38" w:rsidRDefault="00571725" w:rsidP="00C24A2E">
            <w:pPr>
              <w:spacing w:after="0" w:line="360" w:lineRule="auto"/>
              <w:ind w:firstLine="284"/>
              <w:contextualSpacing/>
              <w:jc w:val="center"/>
              <w:rPr>
                <w:rFonts w:ascii="Artifex CF Extra Light" w:eastAsia="Times New Roman" w:hAnsi="Artifex CF Extra Light" w:cs="Calibri"/>
                <w:b/>
                <w:color w:val="1F4E79" w:themeColor="accent1" w:themeShade="80"/>
                <w:spacing w:val="10"/>
                <w:sz w:val="18"/>
                <w:szCs w:val="18"/>
                <w:lang w:val="es-ES" w:eastAsia="es-ES"/>
              </w:rPr>
            </w:pPr>
            <w:r w:rsidRPr="007B3B38">
              <w:rPr>
                <w:rFonts w:ascii="Artifex CF Extra Light" w:eastAsia="Times New Roman" w:hAnsi="Artifex CF Extra Light" w:cs="Calibri"/>
                <w:b/>
                <w:color w:val="1F4E79" w:themeColor="accent1" w:themeShade="80"/>
                <w:spacing w:val="10"/>
                <w:sz w:val="18"/>
                <w:szCs w:val="18"/>
                <w:lang w:val="es-ES" w:eastAsia="es-ES"/>
              </w:rPr>
              <w:t>451,970,000</w:t>
            </w:r>
          </w:p>
        </w:tc>
      </w:tr>
      <w:tr w:rsidR="00795C6E" w:rsidRPr="006F2F51" w14:paraId="5EFFDC63" w14:textId="77777777" w:rsidTr="00C24A2E">
        <w:trPr>
          <w:trHeight w:val="20"/>
          <w:jc w:val="center"/>
        </w:trPr>
        <w:tc>
          <w:tcPr>
            <w:tcW w:w="6800" w:type="dxa"/>
            <w:gridSpan w:val="2"/>
            <w:tcBorders>
              <w:top w:val="single" w:sz="4" w:space="0" w:color="auto"/>
              <w:left w:val="nil"/>
              <w:bottom w:val="nil"/>
              <w:right w:val="nil"/>
            </w:tcBorders>
            <w:shd w:val="clear" w:color="auto" w:fill="auto"/>
            <w:vAlign w:val="center"/>
            <w:hideMark/>
          </w:tcPr>
          <w:p w14:paraId="715B84BB" w14:textId="1881148A" w:rsidR="007A4659" w:rsidRPr="007B3B38" w:rsidRDefault="007A4659" w:rsidP="00C24A2E">
            <w:pPr>
              <w:spacing w:after="0" w:line="360" w:lineRule="auto"/>
              <w:ind w:firstLine="284"/>
              <w:contextualSpacing/>
              <w:jc w:val="center"/>
              <w:rPr>
                <w:rFonts w:ascii="Artifex CF Extra Light" w:eastAsia="Times New Roman" w:hAnsi="Artifex CF Extra Light" w:cs="Calibri"/>
                <w:color w:val="1F4E79" w:themeColor="accent1" w:themeShade="80"/>
                <w:spacing w:val="10"/>
                <w:sz w:val="18"/>
                <w:szCs w:val="18"/>
                <w:lang w:val="es-ES" w:eastAsia="es-ES"/>
              </w:rPr>
            </w:pPr>
            <w:r w:rsidRPr="007B3B38">
              <w:rPr>
                <w:rFonts w:ascii="Artifex CF Extra Light" w:eastAsia="Times New Roman" w:hAnsi="Artifex CF Extra Light" w:cs="Calibri"/>
                <w:color w:val="1F4E79" w:themeColor="accent1" w:themeShade="80"/>
                <w:spacing w:val="10"/>
                <w:sz w:val="18"/>
                <w:szCs w:val="18"/>
                <w:lang w:val="es-ES" w:eastAsia="es-ES"/>
              </w:rPr>
              <w:t>Fuente: Elaborado por la dirección de Inversión, fuentes diversas.</w:t>
            </w:r>
          </w:p>
        </w:tc>
      </w:tr>
    </w:tbl>
    <w:p w14:paraId="7B694356" w14:textId="77777777" w:rsidR="009069C8" w:rsidRPr="00F475D6" w:rsidRDefault="009069C8" w:rsidP="0040373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39" w:name="_Toc58332468"/>
      <w:r w:rsidRPr="00F475D6">
        <w:rPr>
          <w:rFonts w:ascii="Artifex CF Extra Light" w:hAnsi="Artifex CF Extra Light" w:cs="Times New Roman"/>
          <w:b/>
          <w:color w:val="1F4E79" w:themeColor="accent1" w:themeShade="80"/>
          <w:spacing w:val="10"/>
          <w:sz w:val="20"/>
          <w:szCs w:val="20"/>
          <w:lang w:val="es-DO"/>
        </w:rPr>
        <w:t>Desarrollar una campaña</w:t>
      </w:r>
      <w:r w:rsidRPr="00F475D6">
        <w:rPr>
          <w:rFonts w:ascii="Calibri" w:hAnsi="Calibri" w:cs="Calibri"/>
          <w:b/>
          <w:color w:val="1F4E79" w:themeColor="accent1" w:themeShade="80"/>
          <w:spacing w:val="10"/>
          <w:sz w:val="20"/>
          <w:szCs w:val="20"/>
          <w:lang w:val="es-DO"/>
        </w:rPr>
        <w:t> </w:t>
      </w:r>
      <w:r w:rsidRPr="00F475D6">
        <w:rPr>
          <w:rFonts w:ascii="Artifex CF Extra Light" w:hAnsi="Artifex CF Extra Light" w:cs="Times New Roman"/>
          <w:b/>
          <w:color w:val="1F4E79" w:themeColor="accent1" w:themeShade="80"/>
          <w:spacing w:val="10"/>
          <w:sz w:val="20"/>
          <w:szCs w:val="20"/>
          <w:lang w:val="es-DO"/>
        </w:rPr>
        <w:t>post-establecimiento</w:t>
      </w:r>
      <w:bookmarkEnd w:id="39"/>
    </w:p>
    <w:p w14:paraId="52C6B6EE" w14:textId="5A61A296" w:rsidR="009069C8" w:rsidRPr="007B3B38" w:rsidRDefault="6F6F7EA6" w:rsidP="00864966">
      <w:pPr>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DO"/>
        </w:rPr>
      </w:pPr>
      <w:r w:rsidRPr="007B3B38">
        <w:rPr>
          <w:rFonts w:ascii="Artifex CF Extra Light" w:hAnsi="Artifex CF Extra Light" w:cs="Times New Roman"/>
          <w:color w:val="1F4E79" w:themeColor="accent1" w:themeShade="80"/>
          <w:spacing w:val="10"/>
          <w:sz w:val="18"/>
          <w:szCs w:val="18"/>
          <w:lang w:val="es-DO"/>
        </w:rPr>
        <w:t>A</w:t>
      </w:r>
      <w:r w:rsidR="009069C8" w:rsidRPr="007B3B38">
        <w:rPr>
          <w:rFonts w:ascii="Artifex CF Extra Light" w:hAnsi="Artifex CF Extra Light" w:cs="Times New Roman"/>
          <w:color w:val="1F4E79" w:themeColor="accent1" w:themeShade="80"/>
          <w:spacing w:val="10"/>
          <w:sz w:val="18"/>
          <w:szCs w:val="18"/>
          <w:lang w:val="es-DO"/>
        </w:rPr>
        <w:t>nte e</w:t>
      </w:r>
      <w:r w:rsidR="1D18AA9E" w:rsidRPr="007B3B38">
        <w:rPr>
          <w:rFonts w:ascii="Artifex CF Extra Light" w:hAnsi="Artifex CF Extra Light" w:cs="Times New Roman"/>
          <w:color w:val="1F4E79" w:themeColor="accent1" w:themeShade="80"/>
          <w:spacing w:val="10"/>
          <w:sz w:val="18"/>
          <w:szCs w:val="18"/>
          <w:lang w:val="es-DO"/>
        </w:rPr>
        <w:t>l</w:t>
      </w:r>
      <w:r w:rsidR="009069C8" w:rsidRPr="007B3B38">
        <w:rPr>
          <w:rFonts w:ascii="Artifex CF Extra Light" w:hAnsi="Artifex CF Extra Light" w:cs="Times New Roman"/>
          <w:color w:val="1F4E79" w:themeColor="accent1" w:themeShade="80"/>
          <w:spacing w:val="10"/>
          <w:sz w:val="18"/>
          <w:szCs w:val="18"/>
          <w:lang w:val="es-DO"/>
        </w:rPr>
        <w:t xml:space="preserve"> impacto</w:t>
      </w:r>
      <w:r w:rsidR="32B4136B" w:rsidRPr="007B3B38">
        <w:rPr>
          <w:rFonts w:ascii="Artifex CF Extra Light" w:hAnsi="Artifex CF Extra Light" w:cs="Times New Roman"/>
          <w:color w:val="1F4E79" w:themeColor="accent1" w:themeShade="80"/>
          <w:spacing w:val="10"/>
          <w:sz w:val="18"/>
          <w:szCs w:val="18"/>
          <w:lang w:val="es-DO"/>
        </w:rPr>
        <w:t xml:space="preserve"> negativo </w:t>
      </w:r>
      <w:r w:rsidR="2F0AE302" w:rsidRPr="007B3B38">
        <w:rPr>
          <w:rFonts w:ascii="Artifex CF Extra Light" w:hAnsi="Artifex CF Extra Light" w:cs="Times New Roman"/>
          <w:color w:val="1F4E79" w:themeColor="accent1" w:themeShade="80"/>
          <w:spacing w:val="10"/>
          <w:sz w:val="18"/>
          <w:szCs w:val="18"/>
          <w:lang w:val="es-DO"/>
        </w:rPr>
        <w:t xml:space="preserve">de </w:t>
      </w:r>
      <w:r w:rsidR="0179EE1B" w:rsidRPr="007B3B38">
        <w:rPr>
          <w:rFonts w:ascii="Artifex CF Extra Light" w:hAnsi="Artifex CF Extra Light" w:cs="Times New Roman"/>
          <w:color w:val="1F4E79" w:themeColor="accent1" w:themeShade="80"/>
          <w:spacing w:val="10"/>
          <w:sz w:val="18"/>
          <w:szCs w:val="18"/>
          <w:lang w:val="es-DO"/>
        </w:rPr>
        <w:t xml:space="preserve">la </w:t>
      </w:r>
      <w:r w:rsidR="32B4136B" w:rsidRPr="007B3B38">
        <w:rPr>
          <w:rFonts w:ascii="Artifex CF Extra Light" w:hAnsi="Artifex CF Extra Light" w:cs="Times New Roman"/>
          <w:color w:val="1F4E79" w:themeColor="accent1" w:themeShade="80"/>
          <w:spacing w:val="10"/>
          <w:sz w:val="18"/>
          <w:szCs w:val="18"/>
          <w:lang w:val="es-DO"/>
        </w:rPr>
        <w:t>pandemia C</w:t>
      </w:r>
      <w:r w:rsidR="3E4A6A27" w:rsidRPr="007B3B38">
        <w:rPr>
          <w:rFonts w:ascii="Artifex CF Extra Light" w:hAnsi="Artifex CF Extra Light" w:cs="Times New Roman"/>
          <w:color w:val="1F4E79" w:themeColor="accent1" w:themeShade="80"/>
          <w:spacing w:val="10"/>
          <w:sz w:val="18"/>
          <w:szCs w:val="18"/>
          <w:lang w:val="es-DO"/>
        </w:rPr>
        <w:t>ovid</w:t>
      </w:r>
      <w:r w:rsidR="32B4136B" w:rsidRPr="007B3B38">
        <w:rPr>
          <w:rFonts w:ascii="Artifex CF Extra Light" w:hAnsi="Artifex CF Extra Light" w:cs="Times New Roman"/>
          <w:color w:val="1F4E79" w:themeColor="accent1" w:themeShade="80"/>
          <w:spacing w:val="10"/>
          <w:sz w:val="18"/>
          <w:szCs w:val="18"/>
          <w:lang w:val="es-DO"/>
        </w:rPr>
        <w:t>-19 en las actividades económicas</w:t>
      </w:r>
      <w:r w:rsidR="32B4136B" w:rsidRPr="007B3B38">
        <w:rPr>
          <w:rFonts w:ascii="Calibri" w:hAnsi="Calibri" w:cs="Calibri"/>
          <w:color w:val="1F4E79" w:themeColor="accent1" w:themeShade="80"/>
          <w:spacing w:val="10"/>
          <w:sz w:val="18"/>
          <w:szCs w:val="18"/>
          <w:lang w:val="es-DO"/>
        </w:rPr>
        <w:t> </w:t>
      </w:r>
      <w:r w:rsidR="6DFB29E8" w:rsidRPr="007B3B38">
        <w:rPr>
          <w:rFonts w:ascii="Artifex CF Extra Light" w:hAnsi="Artifex CF Extra Light" w:cs="Times New Roman"/>
          <w:color w:val="1F4E79" w:themeColor="accent1" w:themeShade="80"/>
          <w:spacing w:val="10"/>
          <w:sz w:val="18"/>
          <w:szCs w:val="18"/>
          <w:lang w:val="es-DO"/>
        </w:rPr>
        <w:t>internacionales</w:t>
      </w:r>
      <w:r w:rsidR="009069C8" w:rsidRPr="007B3B38">
        <w:rPr>
          <w:rFonts w:ascii="Artifex CF Extra Light" w:hAnsi="Artifex CF Extra Light" w:cs="Times New Roman"/>
          <w:color w:val="1F4E79" w:themeColor="accent1" w:themeShade="80"/>
          <w:spacing w:val="10"/>
          <w:sz w:val="18"/>
          <w:szCs w:val="18"/>
          <w:lang w:val="es-DO"/>
        </w:rPr>
        <w:t xml:space="preserve">, desde </w:t>
      </w:r>
      <w:r w:rsidR="71B3673B" w:rsidRPr="007B3B38">
        <w:rPr>
          <w:rFonts w:ascii="Artifex CF Extra Light" w:hAnsi="Artifex CF Extra Light" w:cs="Times New Roman"/>
          <w:color w:val="1F4E79" w:themeColor="accent1" w:themeShade="80"/>
          <w:spacing w:val="10"/>
          <w:sz w:val="18"/>
          <w:szCs w:val="18"/>
          <w:lang w:val="es-DO"/>
        </w:rPr>
        <w:t>ProDominicana</w:t>
      </w:r>
      <w:r w:rsidR="009069C8" w:rsidRPr="007B3B38">
        <w:rPr>
          <w:rFonts w:ascii="Calibri" w:hAnsi="Calibri" w:cs="Calibri"/>
          <w:color w:val="1F4E79" w:themeColor="accent1" w:themeShade="80"/>
          <w:spacing w:val="10"/>
          <w:sz w:val="18"/>
          <w:szCs w:val="18"/>
          <w:lang w:val="es-DO"/>
        </w:rPr>
        <w:t> </w:t>
      </w:r>
      <w:r w:rsidR="009069C8" w:rsidRPr="007B3B38">
        <w:rPr>
          <w:rFonts w:ascii="Artifex CF Extra Light" w:hAnsi="Artifex CF Extra Light" w:cs="Times New Roman"/>
          <w:color w:val="1F4E79" w:themeColor="accent1" w:themeShade="80"/>
          <w:spacing w:val="10"/>
          <w:sz w:val="18"/>
          <w:szCs w:val="18"/>
          <w:lang w:val="es-DO"/>
        </w:rPr>
        <w:t>se</w:t>
      </w:r>
      <w:r w:rsidR="009069C8" w:rsidRPr="007B3B38">
        <w:rPr>
          <w:rFonts w:ascii="Calibri" w:hAnsi="Calibri" w:cs="Calibri"/>
          <w:color w:val="1F4E79" w:themeColor="accent1" w:themeShade="80"/>
          <w:spacing w:val="10"/>
          <w:sz w:val="18"/>
          <w:szCs w:val="18"/>
          <w:lang w:val="es-DO"/>
        </w:rPr>
        <w:t> </w:t>
      </w:r>
      <w:r w:rsidR="009069C8" w:rsidRPr="007B3B38">
        <w:rPr>
          <w:rFonts w:ascii="Artifex CF Extra Light" w:hAnsi="Artifex CF Extra Light" w:cs="Times New Roman"/>
          <w:color w:val="1F4E79" w:themeColor="accent1" w:themeShade="80"/>
          <w:spacing w:val="10"/>
          <w:sz w:val="18"/>
          <w:szCs w:val="18"/>
          <w:lang w:val="es-DO"/>
        </w:rPr>
        <w:t>realiz</w:t>
      </w:r>
      <w:r w:rsidR="009069C8" w:rsidRPr="007B3B38">
        <w:rPr>
          <w:rFonts w:ascii="Artifex CF Extra Light" w:hAnsi="Artifex CF Extra Light" w:cs="Artifex CF Extra Light"/>
          <w:color w:val="1F4E79" w:themeColor="accent1" w:themeShade="80"/>
          <w:spacing w:val="10"/>
          <w:sz w:val="18"/>
          <w:szCs w:val="18"/>
          <w:lang w:val="es-DO"/>
        </w:rPr>
        <w:t>ó</w:t>
      </w:r>
      <w:r w:rsidR="009069C8" w:rsidRPr="007B3B38">
        <w:rPr>
          <w:rFonts w:ascii="Artifex CF Extra Light" w:hAnsi="Artifex CF Extra Light" w:cs="Times New Roman"/>
          <w:color w:val="1F4E79" w:themeColor="accent1" w:themeShade="80"/>
          <w:spacing w:val="10"/>
          <w:sz w:val="18"/>
          <w:szCs w:val="18"/>
          <w:lang w:val="es-DO"/>
        </w:rPr>
        <w:t xml:space="preserve"> un</w:t>
      </w:r>
      <w:r w:rsidR="009069C8" w:rsidRPr="007B3B38">
        <w:rPr>
          <w:rFonts w:ascii="Calibri" w:hAnsi="Calibri" w:cs="Calibri"/>
          <w:color w:val="1F4E79" w:themeColor="accent1" w:themeShade="80"/>
          <w:spacing w:val="10"/>
          <w:sz w:val="18"/>
          <w:szCs w:val="18"/>
          <w:lang w:val="es-DO"/>
        </w:rPr>
        <w:t> </w:t>
      </w:r>
      <w:r w:rsidR="009069C8" w:rsidRPr="007B3B38">
        <w:rPr>
          <w:rFonts w:ascii="Artifex CF Extra Light" w:hAnsi="Artifex CF Extra Light" w:cs="Times New Roman"/>
          <w:color w:val="1F4E79" w:themeColor="accent1" w:themeShade="80"/>
          <w:spacing w:val="10"/>
          <w:sz w:val="18"/>
          <w:szCs w:val="18"/>
          <w:lang w:val="es-DO"/>
        </w:rPr>
        <w:t>acercamiento</w:t>
      </w:r>
      <w:r w:rsidR="009069C8" w:rsidRPr="007B3B38">
        <w:rPr>
          <w:rFonts w:ascii="Calibri" w:hAnsi="Calibri" w:cs="Calibri"/>
          <w:color w:val="1F4E79" w:themeColor="accent1" w:themeShade="80"/>
          <w:spacing w:val="10"/>
          <w:sz w:val="18"/>
          <w:szCs w:val="18"/>
          <w:lang w:val="es-DO"/>
        </w:rPr>
        <w:t> </w:t>
      </w:r>
      <w:r w:rsidR="009069C8" w:rsidRPr="007B3B38">
        <w:rPr>
          <w:rFonts w:ascii="Artifex CF Extra Light" w:hAnsi="Artifex CF Extra Light" w:cs="Times New Roman"/>
          <w:color w:val="1F4E79" w:themeColor="accent1" w:themeShade="80"/>
          <w:spacing w:val="10"/>
          <w:sz w:val="18"/>
          <w:szCs w:val="18"/>
          <w:lang w:val="es-DO"/>
        </w:rPr>
        <w:t>a</w:t>
      </w:r>
      <w:r w:rsidR="009069C8" w:rsidRPr="007B3B38">
        <w:rPr>
          <w:rFonts w:ascii="Calibri" w:hAnsi="Calibri" w:cs="Calibri"/>
          <w:color w:val="1F4E79" w:themeColor="accent1" w:themeShade="80"/>
          <w:spacing w:val="10"/>
          <w:sz w:val="18"/>
          <w:szCs w:val="18"/>
          <w:lang w:val="es-DO"/>
        </w:rPr>
        <w:t> </w:t>
      </w:r>
      <w:r w:rsidR="009069C8" w:rsidRPr="007B3B38">
        <w:rPr>
          <w:rFonts w:ascii="Artifex CF Extra Light" w:hAnsi="Artifex CF Extra Light" w:cs="Times New Roman"/>
          <w:color w:val="1F4E79" w:themeColor="accent1" w:themeShade="80"/>
          <w:spacing w:val="10"/>
          <w:sz w:val="18"/>
          <w:szCs w:val="18"/>
          <w:lang w:val="es-DO"/>
        </w:rPr>
        <w:t>las empresas de IED</w:t>
      </w:r>
      <w:r w:rsidR="009069C8" w:rsidRPr="007B3B38">
        <w:rPr>
          <w:rFonts w:ascii="Calibri" w:hAnsi="Calibri" w:cs="Calibri"/>
          <w:color w:val="1F4E79" w:themeColor="accent1" w:themeShade="80"/>
          <w:spacing w:val="10"/>
          <w:sz w:val="18"/>
          <w:szCs w:val="18"/>
          <w:lang w:val="es-DO"/>
        </w:rPr>
        <w:t> </w:t>
      </w:r>
      <w:r w:rsidR="752E25DC" w:rsidRPr="007B3B38">
        <w:rPr>
          <w:rFonts w:ascii="Artifex CF Extra Light" w:hAnsi="Artifex CF Extra Light" w:cs="Times New Roman"/>
          <w:color w:val="1F4E79" w:themeColor="accent1" w:themeShade="80"/>
          <w:spacing w:val="10"/>
          <w:sz w:val="18"/>
          <w:szCs w:val="18"/>
          <w:lang w:val="es-DO"/>
        </w:rPr>
        <w:t xml:space="preserve">ya </w:t>
      </w:r>
      <w:r w:rsidR="009069C8" w:rsidRPr="007B3B38">
        <w:rPr>
          <w:rFonts w:ascii="Artifex CF Extra Light" w:hAnsi="Artifex CF Extra Light" w:cs="Times New Roman"/>
          <w:color w:val="1F4E79" w:themeColor="accent1" w:themeShade="80"/>
          <w:spacing w:val="10"/>
          <w:sz w:val="18"/>
          <w:szCs w:val="18"/>
          <w:lang w:val="es-DO"/>
        </w:rPr>
        <w:t>establecidas</w:t>
      </w:r>
      <w:r w:rsidR="2631F241" w:rsidRPr="007B3B38">
        <w:rPr>
          <w:rFonts w:ascii="Artifex CF Extra Light" w:hAnsi="Artifex CF Extra Light" w:cs="Times New Roman"/>
          <w:color w:val="1F4E79" w:themeColor="accent1" w:themeShade="80"/>
          <w:spacing w:val="10"/>
          <w:sz w:val="18"/>
          <w:szCs w:val="18"/>
          <w:lang w:val="es-DO"/>
        </w:rPr>
        <w:t xml:space="preserve"> en el país</w:t>
      </w:r>
      <w:r w:rsidR="009069C8" w:rsidRPr="007B3B38">
        <w:rPr>
          <w:rFonts w:ascii="Artifex CF Extra Light" w:hAnsi="Artifex CF Extra Light" w:cs="Times New Roman"/>
          <w:color w:val="1F4E79" w:themeColor="accent1" w:themeShade="80"/>
          <w:spacing w:val="10"/>
          <w:sz w:val="18"/>
          <w:szCs w:val="18"/>
          <w:lang w:val="es-DO"/>
        </w:rPr>
        <w:t>,</w:t>
      </w:r>
      <w:r w:rsidR="532CC463" w:rsidRPr="007B3B38">
        <w:rPr>
          <w:rFonts w:ascii="Artifex CF Extra Light" w:hAnsi="Artifex CF Extra Light" w:cs="Times New Roman"/>
          <w:color w:val="1F4E79" w:themeColor="accent1" w:themeShade="80"/>
          <w:spacing w:val="10"/>
          <w:sz w:val="18"/>
          <w:szCs w:val="18"/>
          <w:lang w:val="es-DO"/>
        </w:rPr>
        <w:t xml:space="preserve"> a los fines de </w:t>
      </w:r>
      <w:r w:rsidR="532CC463" w:rsidRPr="007B3B38">
        <w:rPr>
          <w:rFonts w:ascii="Artifex CF Extra Light" w:eastAsia="Times New Roman" w:hAnsi="Artifex CF Extra Light" w:cs="Times New Roman"/>
          <w:color w:val="1F4E79" w:themeColor="accent1" w:themeShade="80"/>
          <w:spacing w:val="10"/>
          <w:sz w:val="18"/>
          <w:szCs w:val="18"/>
          <w:lang w:val="es-DO" w:eastAsia="es-DO"/>
        </w:rPr>
        <w:t>conocer</w:t>
      </w:r>
      <w:r w:rsidR="532CC463" w:rsidRPr="007B3B38">
        <w:rPr>
          <w:rFonts w:ascii="Calibri" w:eastAsia="Times New Roman" w:hAnsi="Calibri" w:cs="Calibri"/>
          <w:color w:val="1F4E79" w:themeColor="accent1" w:themeShade="80"/>
          <w:spacing w:val="10"/>
          <w:sz w:val="18"/>
          <w:szCs w:val="18"/>
          <w:lang w:val="es-DO" w:eastAsia="es-DO"/>
        </w:rPr>
        <w:t> </w:t>
      </w:r>
      <w:r w:rsidR="532CC463" w:rsidRPr="007B3B38">
        <w:rPr>
          <w:rFonts w:ascii="Artifex CF Extra Light" w:eastAsia="Times New Roman" w:hAnsi="Artifex CF Extra Light" w:cs="Times New Roman"/>
          <w:color w:val="1F4E79" w:themeColor="accent1" w:themeShade="80"/>
          <w:spacing w:val="10"/>
          <w:sz w:val="18"/>
          <w:szCs w:val="18"/>
          <w:lang w:val="es-DO" w:eastAsia="es-DO"/>
        </w:rPr>
        <w:t>sus capacidad</w:t>
      </w:r>
      <w:r w:rsidR="4A993DBB" w:rsidRPr="007B3B38">
        <w:rPr>
          <w:rFonts w:ascii="Artifex CF Extra Light" w:eastAsia="Times New Roman" w:hAnsi="Artifex CF Extra Light" w:cs="Times New Roman"/>
          <w:color w:val="1F4E79" w:themeColor="accent1" w:themeShade="80"/>
          <w:spacing w:val="10"/>
          <w:sz w:val="18"/>
          <w:szCs w:val="18"/>
          <w:lang w:val="es-DO" w:eastAsia="es-DO"/>
        </w:rPr>
        <w:t>es</w:t>
      </w:r>
      <w:r w:rsidR="532CC463" w:rsidRPr="007B3B38">
        <w:rPr>
          <w:rFonts w:ascii="Artifex CF Extra Light" w:eastAsia="Times New Roman" w:hAnsi="Artifex CF Extra Light" w:cs="Times New Roman"/>
          <w:color w:val="1F4E79" w:themeColor="accent1" w:themeShade="80"/>
          <w:spacing w:val="10"/>
          <w:sz w:val="18"/>
          <w:szCs w:val="18"/>
          <w:lang w:val="es-DO" w:eastAsia="es-DO"/>
        </w:rPr>
        <w:t xml:space="preserve"> de</w:t>
      </w:r>
      <w:r w:rsidR="7237995D" w:rsidRPr="007B3B38">
        <w:rPr>
          <w:rFonts w:ascii="Artifex CF Extra Light" w:eastAsia="Times New Roman" w:hAnsi="Artifex CF Extra Light" w:cs="Times New Roman"/>
          <w:color w:val="1F4E79" w:themeColor="accent1" w:themeShade="80"/>
          <w:spacing w:val="10"/>
          <w:sz w:val="18"/>
          <w:szCs w:val="18"/>
          <w:lang w:val="es-DO" w:eastAsia="es-DO"/>
        </w:rPr>
        <w:t xml:space="preserve"> </w:t>
      </w:r>
      <w:r w:rsidR="532CC463" w:rsidRPr="007B3B38">
        <w:rPr>
          <w:rFonts w:ascii="Artifex CF Extra Light" w:eastAsia="Times New Roman" w:hAnsi="Artifex CF Extra Light" w:cs="Times New Roman"/>
          <w:color w:val="1F4E79" w:themeColor="accent1" w:themeShade="80"/>
          <w:spacing w:val="10"/>
          <w:sz w:val="18"/>
          <w:szCs w:val="18"/>
          <w:lang w:val="es-DO" w:eastAsia="es-DO"/>
        </w:rPr>
        <w:t xml:space="preserve">desarrollo </w:t>
      </w:r>
      <w:r w:rsidR="523CAFE0" w:rsidRPr="007B3B38">
        <w:rPr>
          <w:rFonts w:ascii="Artifex CF Extra Light" w:eastAsia="Times New Roman" w:hAnsi="Artifex CF Extra Light" w:cs="Times New Roman"/>
          <w:color w:val="1F4E79" w:themeColor="accent1" w:themeShade="80"/>
          <w:spacing w:val="10"/>
          <w:sz w:val="18"/>
          <w:szCs w:val="18"/>
          <w:lang w:val="es-DO" w:eastAsia="es-DO"/>
        </w:rPr>
        <w:t xml:space="preserve">e interés de expansión, para </w:t>
      </w:r>
      <w:r w:rsidR="532CC463" w:rsidRPr="007B3B38">
        <w:rPr>
          <w:rFonts w:ascii="Artifex CF Extra Light" w:eastAsia="Times New Roman" w:hAnsi="Artifex CF Extra Light" w:cs="Times New Roman"/>
          <w:color w:val="1F4E79" w:themeColor="accent1" w:themeShade="80"/>
          <w:spacing w:val="10"/>
          <w:sz w:val="18"/>
          <w:szCs w:val="18"/>
          <w:lang w:val="es-DO" w:eastAsia="es-DO"/>
        </w:rPr>
        <w:t>asistirlas</w:t>
      </w:r>
      <w:r w:rsidR="532CC463" w:rsidRPr="007B3B38">
        <w:rPr>
          <w:rFonts w:ascii="Calibri" w:eastAsia="Times New Roman" w:hAnsi="Calibri" w:cs="Calibri"/>
          <w:color w:val="1F4E79" w:themeColor="accent1" w:themeShade="80"/>
          <w:spacing w:val="10"/>
          <w:sz w:val="18"/>
          <w:szCs w:val="18"/>
          <w:lang w:val="es-DO" w:eastAsia="es-DO"/>
        </w:rPr>
        <w:t> </w:t>
      </w:r>
      <w:r w:rsidR="532CC463" w:rsidRPr="007B3B38">
        <w:rPr>
          <w:rFonts w:ascii="Artifex CF Extra Light" w:eastAsia="Times New Roman" w:hAnsi="Artifex CF Extra Light" w:cs="Times New Roman"/>
          <w:color w:val="1F4E79" w:themeColor="accent1" w:themeShade="80"/>
          <w:spacing w:val="10"/>
          <w:sz w:val="18"/>
          <w:szCs w:val="18"/>
          <w:lang w:val="es-DO" w:eastAsia="es-DO"/>
        </w:rPr>
        <w:t>ante cualquier servicio requerido.</w:t>
      </w:r>
      <w:r w:rsidR="532CC463" w:rsidRPr="007B3B38">
        <w:rPr>
          <w:rFonts w:ascii="Calibri" w:eastAsia="Times New Roman" w:hAnsi="Calibri" w:cs="Calibri"/>
          <w:color w:val="1F4E79" w:themeColor="accent1" w:themeShade="80"/>
          <w:spacing w:val="10"/>
          <w:sz w:val="18"/>
          <w:szCs w:val="18"/>
          <w:lang w:val="es-DO" w:eastAsia="es-DO"/>
        </w:rPr>
        <w:t> </w:t>
      </w:r>
    </w:p>
    <w:p w14:paraId="615A3B81" w14:textId="66F68D5C" w:rsidR="009069C8" w:rsidRPr="007B3B38" w:rsidRDefault="009069C8" w:rsidP="00864966">
      <w:pPr>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DO"/>
        </w:rPr>
      </w:pPr>
      <w:r w:rsidRPr="007B3B38">
        <w:rPr>
          <w:rFonts w:ascii="Artifex CF Extra Light" w:eastAsia="Times New Roman" w:hAnsi="Artifex CF Extra Light" w:cs="Times New Roman"/>
          <w:color w:val="1F4E79" w:themeColor="accent1" w:themeShade="80"/>
          <w:spacing w:val="10"/>
          <w:sz w:val="18"/>
          <w:szCs w:val="18"/>
          <w:lang w:val="es-DO" w:eastAsia="es-DO"/>
        </w:rPr>
        <w:t xml:space="preserve">Durante este seguimiento, </w:t>
      </w:r>
      <w:r w:rsidR="0075EC9D" w:rsidRPr="007B3B38">
        <w:rPr>
          <w:rFonts w:ascii="Artifex CF Extra Light" w:eastAsia="Times New Roman" w:hAnsi="Artifex CF Extra Light" w:cs="Times New Roman"/>
          <w:color w:val="1F4E79" w:themeColor="accent1" w:themeShade="80"/>
          <w:spacing w:val="10"/>
          <w:sz w:val="18"/>
          <w:szCs w:val="18"/>
          <w:lang w:val="es-DO" w:eastAsia="es-DO"/>
        </w:rPr>
        <w:t xml:space="preserve">se brindó asistencia </w:t>
      </w:r>
      <w:r w:rsidRPr="007B3B38">
        <w:rPr>
          <w:rFonts w:ascii="Artifex CF Extra Light" w:eastAsia="Times New Roman" w:hAnsi="Artifex CF Extra Light" w:cs="Times New Roman"/>
          <w:color w:val="1F4E79" w:themeColor="accent1" w:themeShade="80"/>
          <w:spacing w:val="10"/>
          <w:sz w:val="18"/>
          <w:szCs w:val="18"/>
          <w:lang w:val="es-DO" w:eastAsia="es-DO"/>
        </w:rPr>
        <w:t xml:space="preserve">a Nestlé Dominicana </w:t>
      </w:r>
      <w:r w:rsidR="6EFD319E" w:rsidRPr="007B3B38">
        <w:rPr>
          <w:rFonts w:ascii="Artifex CF Extra Light" w:eastAsia="Times New Roman" w:hAnsi="Artifex CF Extra Light" w:cs="Times New Roman"/>
          <w:color w:val="1F4E79" w:themeColor="accent1" w:themeShade="80"/>
          <w:spacing w:val="10"/>
          <w:sz w:val="18"/>
          <w:szCs w:val="18"/>
          <w:lang w:val="es-DO" w:eastAsia="es-DO"/>
        </w:rPr>
        <w:t>y</w:t>
      </w:r>
      <w:r w:rsidRPr="007B3B38">
        <w:rPr>
          <w:rFonts w:ascii="Artifex CF Extra Light" w:eastAsia="Times New Roman" w:hAnsi="Artifex CF Extra Light" w:cs="Times New Roman"/>
          <w:color w:val="1F4E79" w:themeColor="accent1" w:themeShade="80"/>
          <w:spacing w:val="10"/>
          <w:sz w:val="18"/>
          <w:szCs w:val="18"/>
          <w:lang w:val="es-DO" w:eastAsia="es-DO"/>
        </w:rPr>
        <w:t xml:space="preserve"> a la empresa Grupo Lácteo del Caribe (Dos Pinos).</w:t>
      </w:r>
    </w:p>
    <w:p w14:paraId="5DA9BD19" w14:textId="73062B1F" w:rsidR="009069C8" w:rsidRPr="007B3B38" w:rsidRDefault="6EC40B1A" w:rsidP="00864966">
      <w:pPr>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DO"/>
        </w:rPr>
      </w:pPr>
      <w:r w:rsidRPr="007B3B38">
        <w:rPr>
          <w:rFonts w:ascii="Artifex CF Extra Light" w:eastAsia="Times New Roman" w:hAnsi="Artifex CF Extra Light" w:cs="Times New Roman"/>
          <w:color w:val="1F4E79" w:themeColor="accent1" w:themeShade="80"/>
          <w:spacing w:val="10"/>
          <w:sz w:val="18"/>
          <w:szCs w:val="18"/>
          <w:lang w:val="es-DO" w:eastAsia="es-DO"/>
        </w:rPr>
        <w:t>Con</w:t>
      </w:r>
      <w:r w:rsidR="00890E91" w:rsidRPr="007B3B38">
        <w:rPr>
          <w:rFonts w:ascii="Artifex CF Extra Light" w:eastAsia="Times New Roman" w:hAnsi="Artifex CF Extra Light" w:cs="Times New Roman"/>
          <w:color w:val="1F4E79" w:themeColor="accent1" w:themeShade="80"/>
          <w:spacing w:val="10"/>
          <w:sz w:val="18"/>
          <w:szCs w:val="18"/>
          <w:lang w:val="es-DO" w:eastAsia="es-DO"/>
        </w:rPr>
        <w:t xml:space="preserve"> relación </w:t>
      </w:r>
      <w:r w:rsidR="54B63A9B" w:rsidRPr="007B3B38">
        <w:rPr>
          <w:rFonts w:ascii="Artifex CF Extra Light" w:eastAsia="Times New Roman" w:hAnsi="Artifex CF Extra Light" w:cs="Times New Roman"/>
          <w:color w:val="1F4E79" w:themeColor="accent1" w:themeShade="80"/>
          <w:spacing w:val="10"/>
          <w:sz w:val="18"/>
          <w:szCs w:val="18"/>
          <w:lang w:val="es-DO" w:eastAsia="es-DO"/>
        </w:rPr>
        <w:t>a</w:t>
      </w:r>
      <w:r w:rsidR="009069C8" w:rsidRPr="007B3B38">
        <w:rPr>
          <w:rFonts w:ascii="Artifex CF Extra Light" w:eastAsia="Times New Roman" w:hAnsi="Artifex CF Extra Light" w:cs="Times New Roman"/>
          <w:color w:val="1F4E79" w:themeColor="accent1" w:themeShade="80"/>
          <w:spacing w:val="10"/>
          <w:sz w:val="18"/>
          <w:szCs w:val="18"/>
          <w:lang w:val="es-DO" w:eastAsia="es-DO"/>
        </w:rPr>
        <w:t xml:space="preserve"> los proyectos de expansión contemplados </w:t>
      </w:r>
      <w:r w:rsidR="1F7EB13B" w:rsidRPr="007B3B38">
        <w:rPr>
          <w:rFonts w:ascii="Artifex CF Extra Light" w:eastAsia="Times New Roman" w:hAnsi="Artifex CF Extra Light" w:cs="Times New Roman"/>
          <w:color w:val="1F4E79" w:themeColor="accent1" w:themeShade="80"/>
          <w:spacing w:val="10"/>
          <w:sz w:val="18"/>
          <w:szCs w:val="18"/>
          <w:lang w:val="es-DO" w:eastAsia="es-DO"/>
        </w:rPr>
        <w:t xml:space="preserve">previamente </w:t>
      </w:r>
      <w:r w:rsidR="77D79E59" w:rsidRPr="007B3B38">
        <w:rPr>
          <w:rFonts w:ascii="Artifex CF Extra Light" w:eastAsia="Times New Roman" w:hAnsi="Artifex CF Extra Light" w:cs="Times New Roman"/>
          <w:color w:val="1F4E79" w:themeColor="accent1" w:themeShade="80"/>
          <w:spacing w:val="10"/>
          <w:sz w:val="18"/>
          <w:szCs w:val="18"/>
          <w:lang w:val="es-DO" w:eastAsia="es-DO"/>
        </w:rPr>
        <w:t>en la planificación de este</w:t>
      </w:r>
      <w:r w:rsidR="009069C8" w:rsidRPr="007B3B38">
        <w:rPr>
          <w:rFonts w:ascii="Artifex CF Extra Light" w:eastAsia="Times New Roman" w:hAnsi="Artifex CF Extra Light" w:cs="Times New Roman"/>
          <w:color w:val="1F4E79" w:themeColor="accent1" w:themeShade="80"/>
          <w:spacing w:val="10"/>
          <w:sz w:val="18"/>
          <w:szCs w:val="18"/>
          <w:lang w:val="es-DO" w:eastAsia="es-DO"/>
        </w:rPr>
        <w:t xml:space="preserve"> año</w:t>
      </w:r>
      <w:r w:rsidR="77D79E59" w:rsidRPr="007B3B38">
        <w:rPr>
          <w:rFonts w:ascii="Artifex CF Extra Light" w:eastAsia="Times New Roman" w:hAnsi="Artifex CF Extra Light" w:cs="Times New Roman"/>
          <w:color w:val="1F4E79" w:themeColor="accent1" w:themeShade="80"/>
          <w:spacing w:val="10"/>
          <w:sz w:val="18"/>
          <w:szCs w:val="18"/>
          <w:lang w:val="es-DO" w:eastAsia="es-DO"/>
        </w:rPr>
        <w:t xml:space="preserve">, </w:t>
      </w:r>
      <w:r w:rsidR="009069C8" w:rsidRPr="007B3B38">
        <w:rPr>
          <w:rFonts w:ascii="Artifex CF Extra Light" w:eastAsia="Times New Roman" w:hAnsi="Artifex CF Extra Light" w:cs="Times New Roman"/>
          <w:color w:val="1F4E79" w:themeColor="accent1" w:themeShade="80"/>
          <w:spacing w:val="10"/>
          <w:sz w:val="18"/>
          <w:szCs w:val="18"/>
          <w:lang w:val="es-DO" w:eastAsia="es-DO"/>
        </w:rPr>
        <w:t>debido a la pandemia</w:t>
      </w:r>
      <w:r w:rsidR="604C9157" w:rsidRPr="007B3B38">
        <w:rPr>
          <w:rFonts w:ascii="Artifex CF Extra Light" w:eastAsia="Times New Roman" w:hAnsi="Artifex CF Extra Light" w:cs="Times New Roman"/>
          <w:color w:val="1F4E79" w:themeColor="accent1" w:themeShade="80"/>
          <w:spacing w:val="10"/>
          <w:sz w:val="18"/>
          <w:szCs w:val="18"/>
          <w:lang w:val="es-DO" w:eastAsia="es-DO"/>
        </w:rPr>
        <w:t xml:space="preserve"> </w:t>
      </w:r>
      <w:r w:rsidR="009069C8" w:rsidRPr="007B3B38">
        <w:rPr>
          <w:rFonts w:ascii="Artifex CF Extra Light" w:eastAsia="Times New Roman" w:hAnsi="Artifex CF Extra Light" w:cs="Times New Roman"/>
          <w:color w:val="1F4E79" w:themeColor="accent1" w:themeShade="80"/>
          <w:spacing w:val="10"/>
          <w:sz w:val="18"/>
          <w:szCs w:val="18"/>
          <w:lang w:val="es-DO" w:eastAsia="es-DO"/>
        </w:rPr>
        <w:t>quedaron aplazados</w:t>
      </w:r>
      <w:r w:rsidR="604C9157" w:rsidRPr="007B3B38">
        <w:rPr>
          <w:rFonts w:ascii="Artifex CF Extra Light" w:eastAsia="Times New Roman" w:hAnsi="Artifex CF Extra Light" w:cs="Times New Roman"/>
          <w:color w:val="1F4E79" w:themeColor="accent1" w:themeShade="80"/>
          <w:spacing w:val="10"/>
          <w:sz w:val="18"/>
          <w:szCs w:val="18"/>
          <w:lang w:val="es-DO" w:eastAsia="es-DO"/>
        </w:rPr>
        <w:t xml:space="preserve"> por estos</w:t>
      </w:r>
      <w:r w:rsidR="009069C8" w:rsidRPr="007B3B38">
        <w:rPr>
          <w:rFonts w:ascii="Artifex CF Extra Light" w:eastAsia="Times New Roman" w:hAnsi="Artifex CF Extra Light" w:cs="Times New Roman"/>
          <w:color w:val="1F4E79" w:themeColor="accent1" w:themeShade="80"/>
          <w:spacing w:val="10"/>
          <w:sz w:val="18"/>
          <w:szCs w:val="18"/>
          <w:lang w:val="es-DO" w:eastAsia="es-DO"/>
        </w:rPr>
        <w:t>, por lo que dichos proyectos estarán siendo evaluados con la finalidad de llevarse a cabo en</w:t>
      </w:r>
      <w:r w:rsidR="009069C8" w:rsidRPr="007B3B38">
        <w:rPr>
          <w:rFonts w:ascii="Calibri" w:eastAsia="Times New Roman" w:hAnsi="Calibri" w:cs="Calibri"/>
          <w:color w:val="1F4E79" w:themeColor="accent1" w:themeShade="80"/>
          <w:spacing w:val="10"/>
          <w:sz w:val="18"/>
          <w:szCs w:val="18"/>
          <w:lang w:val="es-DO" w:eastAsia="es-DO"/>
        </w:rPr>
        <w:t> </w:t>
      </w:r>
      <w:r w:rsidR="009069C8" w:rsidRPr="007B3B38">
        <w:rPr>
          <w:rFonts w:ascii="Artifex CF Extra Light" w:eastAsia="Times New Roman" w:hAnsi="Artifex CF Extra Light" w:cs="Times New Roman"/>
          <w:color w:val="1F4E79" w:themeColor="accent1" w:themeShade="80"/>
          <w:spacing w:val="10"/>
          <w:sz w:val="18"/>
          <w:szCs w:val="18"/>
          <w:lang w:val="es-DO" w:eastAsia="es-DO"/>
        </w:rPr>
        <w:t>el a</w:t>
      </w:r>
      <w:r w:rsidR="009069C8" w:rsidRPr="007B3B38">
        <w:rPr>
          <w:rFonts w:ascii="Artifex CF Extra Light" w:eastAsia="Times New Roman" w:hAnsi="Artifex CF Extra Light" w:cs="Artifex CF Extra Light"/>
          <w:color w:val="1F4E79" w:themeColor="accent1" w:themeShade="80"/>
          <w:spacing w:val="10"/>
          <w:sz w:val="18"/>
          <w:szCs w:val="18"/>
          <w:lang w:val="es-DO" w:eastAsia="es-DO"/>
        </w:rPr>
        <w:t>ñ</w:t>
      </w:r>
      <w:r w:rsidR="009069C8" w:rsidRPr="007B3B38">
        <w:rPr>
          <w:rFonts w:ascii="Artifex CF Extra Light" w:eastAsia="Times New Roman" w:hAnsi="Artifex CF Extra Light" w:cs="Times New Roman"/>
          <w:color w:val="1F4E79" w:themeColor="accent1" w:themeShade="80"/>
          <w:spacing w:val="10"/>
          <w:sz w:val="18"/>
          <w:szCs w:val="18"/>
          <w:lang w:val="es-DO" w:eastAsia="es-DO"/>
        </w:rPr>
        <w:t>o 2021.</w:t>
      </w:r>
      <w:r w:rsidR="009069C8" w:rsidRPr="007B3B38">
        <w:rPr>
          <w:rFonts w:ascii="Calibri" w:eastAsia="Times New Roman" w:hAnsi="Calibri" w:cs="Calibri"/>
          <w:color w:val="1F4E79" w:themeColor="accent1" w:themeShade="80"/>
          <w:spacing w:val="10"/>
          <w:sz w:val="18"/>
          <w:szCs w:val="18"/>
          <w:lang w:val="es-ES" w:eastAsia="es-DO"/>
        </w:rPr>
        <w:t> </w:t>
      </w:r>
    </w:p>
    <w:p w14:paraId="3378EAA5" w14:textId="77777777" w:rsidR="00C24A2E" w:rsidRDefault="00C24A2E">
      <w:pPr>
        <w:rPr>
          <w:rFonts w:ascii="Artifex CF Extra Light" w:eastAsia="Times New Roman" w:hAnsi="Artifex CF Extra Light" w:cs="Times New Roman"/>
          <w:b/>
          <w:color w:val="1F4E79" w:themeColor="accent1" w:themeShade="80"/>
          <w:spacing w:val="10"/>
          <w:sz w:val="18"/>
          <w:szCs w:val="18"/>
          <w:lang w:val="es-DO" w:eastAsia="es-DO"/>
        </w:rPr>
      </w:pPr>
      <w:bookmarkStart w:id="40" w:name="_Toc58332469"/>
      <w:r>
        <w:rPr>
          <w:rFonts w:ascii="Artifex CF Extra Light" w:eastAsia="Times New Roman" w:hAnsi="Artifex CF Extra Light" w:cs="Times New Roman"/>
          <w:b/>
          <w:color w:val="1F4E79" w:themeColor="accent1" w:themeShade="80"/>
          <w:spacing w:val="10"/>
          <w:sz w:val="18"/>
          <w:szCs w:val="18"/>
          <w:lang w:val="es-DO" w:eastAsia="es-DO"/>
        </w:rPr>
        <w:br w:type="page"/>
      </w:r>
    </w:p>
    <w:p w14:paraId="53C83DE0" w14:textId="568B278B" w:rsidR="009069C8" w:rsidRPr="00F475D6" w:rsidRDefault="009069C8" w:rsidP="0040373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lastRenderedPageBreak/>
        <w:t>Desarrollar un plan de trabajo para la atracción de inversión con CAIPA</w:t>
      </w:r>
      <w:bookmarkEnd w:id="40"/>
    </w:p>
    <w:p w14:paraId="43FA9364" w14:textId="77777777" w:rsidR="009069C8" w:rsidRPr="007B3B38" w:rsidRDefault="009069C8" w:rsidP="00864966">
      <w:pPr>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DO"/>
        </w:rPr>
      </w:pPr>
      <w:r w:rsidRPr="007B3B38">
        <w:rPr>
          <w:rFonts w:ascii="Artifex CF Extra Light" w:hAnsi="Artifex CF Extra Light" w:cs="Times New Roman"/>
          <w:color w:val="1F4E79" w:themeColor="accent1" w:themeShade="80"/>
          <w:spacing w:val="10"/>
          <w:sz w:val="18"/>
          <w:szCs w:val="18"/>
          <w:lang w:val="es-ES"/>
        </w:rPr>
        <w:t>La programación prevista para el 2020, por las condiciones sanitarias ya conocidas,</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no fue posible desarrollar</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dicho programa</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en su totalidad,</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no obstante,</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CAIPA</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ha realizado</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encuentros virtuales correspondientes a reuniones</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y</w:t>
      </w:r>
      <w:r w:rsidRPr="007B3B38">
        <w:rPr>
          <w:rFonts w:ascii="Calibri" w:hAnsi="Calibri" w:cs="Calibri"/>
          <w:color w:val="1F4E79" w:themeColor="accent1" w:themeShade="80"/>
          <w:spacing w:val="10"/>
          <w:sz w:val="18"/>
          <w:szCs w:val="18"/>
          <w:lang w:val="es-ES"/>
        </w:rPr>
        <w:t> </w:t>
      </w:r>
      <w:r w:rsidRPr="007B3B38">
        <w:rPr>
          <w:rFonts w:ascii="Artifex CF Extra Light" w:hAnsi="Artifex CF Extra Light" w:cs="Times New Roman"/>
          <w:color w:val="1F4E79" w:themeColor="accent1" w:themeShade="80"/>
          <w:spacing w:val="10"/>
          <w:sz w:val="18"/>
          <w:szCs w:val="18"/>
          <w:lang w:val="es-ES"/>
        </w:rPr>
        <w:t>capacitaciones, entre otras.</w:t>
      </w:r>
    </w:p>
    <w:p w14:paraId="7EF53512" w14:textId="322C34AC" w:rsidR="009069C8" w:rsidRPr="007B3B38" w:rsidRDefault="009069C8" w:rsidP="00864966">
      <w:pPr>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DO"/>
        </w:rPr>
      </w:pPr>
      <w:r w:rsidRPr="007B3B38">
        <w:rPr>
          <w:rFonts w:ascii="Artifex CF Extra Light" w:eastAsia="Times New Roman" w:hAnsi="Artifex CF Extra Light" w:cs="Times New Roman"/>
          <w:color w:val="1F4E79" w:themeColor="accent1" w:themeShade="80"/>
          <w:spacing w:val="10"/>
          <w:sz w:val="18"/>
          <w:szCs w:val="18"/>
          <w:lang w:val="es-ES" w:eastAsia="es-DO"/>
        </w:rPr>
        <w:t xml:space="preserve">En adición a estas actividades, se </w:t>
      </w:r>
      <w:r w:rsidR="00AD68D1" w:rsidRPr="007B3B38">
        <w:rPr>
          <w:rFonts w:ascii="Artifex CF Extra Light" w:eastAsia="Times New Roman" w:hAnsi="Artifex CF Extra Light" w:cs="Times New Roman"/>
          <w:color w:val="1F4E79" w:themeColor="accent1" w:themeShade="80"/>
          <w:spacing w:val="10"/>
          <w:sz w:val="18"/>
          <w:szCs w:val="18"/>
          <w:lang w:val="es-ES" w:eastAsia="es-DO"/>
        </w:rPr>
        <w:t>llevó</w:t>
      </w:r>
      <w:r w:rsidRPr="007B3B38">
        <w:rPr>
          <w:rFonts w:ascii="Artifex CF Extra Light" w:eastAsia="Times New Roman" w:hAnsi="Artifex CF Extra Light" w:cs="Times New Roman"/>
          <w:color w:val="1F4E79" w:themeColor="accent1" w:themeShade="80"/>
          <w:spacing w:val="10"/>
          <w:sz w:val="18"/>
          <w:szCs w:val="18"/>
          <w:lang w:val="es-ES" w:eastAsia="es-DO"/>
        </w:rPr>
        <w:t xml:space="preserve"> a cabo la Asamblea Anual</w:t>
      </w:r>
      <w:r w:rsidRPr="007B3B38">
        <w:rPr>
          <w:rFonts w:ascii="Calibri" w:eastAsia="Times New Roman" w:hAnsi="Calibri" w:cs="Calibri"/>
          <w:color w:val="1F4E79" w:themeColor="accent1" w:themeShade="80"/>
          <w:spacing w:val="10"/>
          <w:sz w:val="18"/>
          <w:szCs w:val="18"/>
          <w:lang w:val="es-ES" w:eastAsia="es-DO"/>
        </w:rPr>
        <w:t> </w:t>
      </w:r>
      <w:r w:rsidRPr="007B3B38">
        <w:rPr>
          <w:rFonts w:ascii="Artifex CF Extra Light" w:eastAsia="Times New Roman" w:hAnsi="Artifex CF Extra Light" w:cs="Times New Roman"/>
          <w:color w:val="1F4E79" w:themeColor="accent1" w:themeShade="80"/>
          <w:spacing w:val="10"/>
          <w:sz w:val="18"/>
          <w:szCs w:val="18"/>
          <w:lang w:val="es-ES" w:eastAsia="es-DO"/>
        </w:rPr>
        <w:t>de CAIPA, los d</w:t>
      </w:r>
      <w:r w:rsidRPr="007B3B38">
        <w:rPr>
          <w:rFonts w:ascii="Artifex CF Extra Light" w:eastAsia="Times New Roman" w:hAnsi="Artifex CF Extra Light" w:cs="Artifex CF Extra Light"/>
          <w:color w:val="1F4E79" w:themeColor="accent1" w:themeShade="80"/>
          <w:spacing w:val="10"/>
          <w:sz w:val="18"/>
          <w:szCs w:val="18"/>
          <w:lang w:val="es-ES" w:eastAsia="es-DO"/>
        </w:rPr>
        <w:t>í</w:t>
      </w:r>
      <w:r w:rsidRPr="007B3B38">
        <w:rPr>
          <w:rFonts w:ascii="Artifex CF Extra Light" w:eastAsia="Times New Roman" w:hAnsi="Artifex CF Extra Light" w:cs="Times New Roman"/>
          <w:color w:val="1F4E79" w:themeColor="accent1" w:themeShade="80"/>
          <w:spacing w:val="10"/>
          <w:sz w:val="18"/>
          <w:szCs w:val="18"/>
          <w:lang w:val="es-ES" w:eastAsia="es-DO"/>
        </w:rPr>
        <w:t>as 10 y 11 del mes de diciembre de 2020.</w:t>
      </w:r>
      <w:r w:rsidRPr="007B3B38">
        <w:rPr>
          <w:rFonts w:ascii="Calibri" w:eastAsia="Times New Roman" w:hAnsi="Calibri" w:cs="Calibri"/>
          <w:color w:val="1F4E79" w:themeColor="accent1" w:themeShade="80"/>
          <w:spacing w:val="10"/>
          <w:sz w:val="18"/>
          <w:szCs w:val="18"/>
          <w:lang w:val="es-ES" w:eastAsia="es-DO"/>
        </w:rPr>
        <w:t>  </w:t>
      </w:r>
    </w:p>
    <w:p w14:paraId="2001FA43" w14:textId="44FEEB85" w:rsidR="009069C8" w:rsidRPr="007B3B38" w:rsidRDefault="00AD68D1" w:rsidP="00403735">
      <w:pPr>
        <w:pStyle w:val="Prrafodelista"/>
        <w:numPr>
          <w:ilvl w:val="1"/>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18"/>
          <w:szCs w:val="18"/>
          <w:lang w:val="es-DO"/>
        </w:rPr>
      </w:pPr>
      <w:bookmarkStart w:id="41" w:name="_Toc58332470"/>
      <w:r w:rsidRPr="007B3B38">
        <w:rPr>
          <w:rFonts w:ascii="Artifex CF Extra Light" w:hAnsi="Artifex CF Extra Light" w:cs="Times New Roman"/>
          <w:b/>
          <w:color w:val="1F4E79" w:themeColor="accent1" w:themeShade="80"/>
          <w:spacing w:val="10"/>
          <w:sz w:val="18"/>
          <w:szCs w:val="18"/>
          <w:lang w:val="es-DO"/>
        </w:rPr>
        <w:t>DETECCIÓN DE OPORTUNIDADES DE INVERSIÓN</w:t>
      </w:r>
      <w:bookmarkEnd w:id="41"/>
    </w:p>
    <w:p w14:paraId="06EAA699" w14:textId="77777777" w:rsidR="009069C8" w:rsidRPr="00F475D6" w:rsidRDefault="009069C8" w:rsidP="00C16AB3">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42" w:name="_Toc58332471"/>
      <w:r w:rsidRPr="00F475D6">
        <w:rPr>
          <w:rFonts w:ascii="Artifex CF Extra Light" w:hAnsi="Artifex CF Extra Light" w:cs="Times New Roman"/>
          <w:b/>
          <w:color w:val="1F4E79" w:themeColor="accent1" w:themeShade="80"/>
          <w:spacing w:val="10"/>
          <w:sz w:val="20"/>
          <w:szCs w:val="20"/>
          <w:lang w:val="es-DO"/>
        </w:rPr>
        <w:t>Estudios económicos y estadísticos de inversión</w:t>
      </w:r>
      <w:bookmarkEnd w:id="42"/>
    </w:p>
    <w:p w14:paraId="7305EF48"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Con el objetivo de proveer información técnica y relevante para dar soporte a las necesidades y requerimientos sobre el comportamiento de la Economía, el Comercio Mundial para tener las bases en la búsqueda de oportunidades para la atracción de capitales. La dirección de Estudios Económicos y Estadísticos ha realizado las siguientes investigaciones: </w:t>
      </w:r>
    </w:p>
    <w:p w14:paraId="45B983BC" w14:textId="77777777" w:rsidR="009069C8" w:rsidRPr="007B3B38" w:rsidRDefault="009069C8" w:rsidP="00C24A2E">
      <w:pPr>
        <w:pStyle w:val="Prrafodelista"/>
        <w:numPr>
          <w:ilvl w:val="0"/>
          <w:numId w:val="20"/>
        </w:numPr>
        <w:spacing w:before="380" w:after="120" w:line="456" w:lineRule="auto"/>
        <w:ind w:left="284" w:hanging="284"/>
        <w:contextualSpacing w:val="0"/>
        <w:jc w:val="both"/>
        <w:rPr>
          <w:rFonts w:ascii="Artifex CF Extra Light" w:eastAsia="Calibri" w:hAnsi="Artifex CF Extra Light" w:cs="Times New Roman"/>
          <w:color w:val="1F4E79" w:themeColor="accent1" w:themeShade="80"/>
          <w:spacing w:val="10"/>
          <w:sz w:val="18"/>
          <w:szCs w:val="18"/>
          <w:lang w:val="es"/>
        </w:rPr>
      </w:pPr>
      <w:r w:rsidRPr="007B3B38">
        <w:rPr>
          <w:rFonts w:ascii="Artifex CF Extra Light" w:eastAsia="Calibri" w:hAnsi="Artifex CF Extra Light" w:cs="Times New Roman"/>
          <w:b/>
          <w:color w:val="1F4E79" w:themeColor="accent1" w:themeShade="80"/>
          <w:spacing w:val="10"/>
          <w:sz w:val="18"/>
          <w:szCs w:val="18"/>
          <w:lang w:val="es"/>
        </w:rPr>
        <w:t xml:space="preserve">Identificación Sectores Priorizados para la Atracción de IED: </w:t>
      </w:r>
      <w:r w:rsidRPr="007B3B38">
        <w:rPr>
          <w:rFonts w:ascii="Artifex CF Extra Light" w:eastAsia="Calibri" w:hAnsi="Artifex CF Extra Light" w:cs="Times New Roman"/>
          <w:color w:val="1F4E79" w:themeColor="accent1" w:themeShade="80"/>
          <w:spacing w:val="10"/>
          <w:sz w:val="18"/>
          <w:szCs w:val="18"/>
          <w:lang w:val="es"/>
        </w:rPr>
        <w:t xml:space="preserve">Se realiza un modelo a partir de variables e indicadores para identificar los sectores a ser priorizados por la institución para fines del enfoque de promoción en actividades para la atracción de IED en el país, posibilitando así una planificación y diseño más eficientes de las estrategias y proyectos a seguir para fortalecer y apoyar el crecimiento de la IED en el país. En el mes de septiembre se realizó un modelo que trajo como resultado los sectores a priorizar, saber: Turismo, energía, productos médicos, telecomunicaciones, bienes raíces, logística, textiles, minería, comercio e industria y sector financiero. </w:t>
      </w:r>
    </w:p>
    <w:p w14:paraId="78FF9065" w14:textId="77777777" w:rsidR="009069C8" w:rsidRPr="007B3B38" w:rsidRDefault="009069C8" w:rsidP="00C24A2E">
      <w:pPr>
        <w:pStyle w:val="Prrafodelista"/>
        <w:numPr>
          <w:ilvl w:val="0"/>
          <w:numId w:val="20"/>
        </w:numPr>
        <w:spacing w:before="380" w:after="120" w:line="456" w:lineRule="auto"/>
        <w:ind w:left="284" w:hanging="284"/>
        <w:contextualSpacing w:val="0"/>
        <w:jc w:val="both"/>
        <w:rPr>
          <w:rFonts w:ascii="Artifex CF Extra Light" w:eastAsia="Calibri" w:hAnsi="Artifex CF Extra Light" w:cs="Times New Roman"/>
          <w:color w:val="1F4E79" w:themeColor="accent1" w:themeShade="80"/>
          <w:spacing w:val="10"/>
          <w:sz w:val="18"/>
          <w:szCs w:val="18"/>
          <w:lang w:val="es"/>
        </w:rPr>
      </w:pPr>
      <w:r w:rsidRPr="007B3B38">
        <w:rPr>
          <w:rFonts w:ascii="Artifex CF Extra Light" w:hAnsi="Artifex CF Extra Light" w:cs="Times New Roman"/>
          <w:b/>
          <w:color w:val="1F4E79" w:themeColor="accent1" w:themeShade="80"/>
          <w:spacing w:val="10"/>
          <w:sz w:val="18"/>
          <w:szCs w:val="18"/>
          <w:lang w:val="es"/>
        </w:rPr>
        <w:lastRenderedPageBreak/>
        <w:t>Generación de Leads de Inversión:</w:t>
      </w:r>
      <w:r w:rsidRPr="007B3B38">
        <w:rPr>
          <w:rFonts w:ascii="Artifex CF Extra Light" w:hAnsi="Artifex CF Extra Light" w:cs="Times New Roman"/>
          <w:color w:val="1F4E79" w:themeColor="accent1" w:themeShade="80"/>
          <w:spacing w:val="10"/>
          <w:sz w:val="18"/>
          <w:szCs w:val="18"/>
          <w:lang w:val="es"/>
        </w:rPr>
        <w:t xml:space="preserve"> A través de múltiples herramientas como la base de datos de Fdi, monitoreo de prensa, investigaciones de países, a solicitud directa del área de inversión entre otros, se van generando una serie de potenciales clientes, a los cuales se les identifican datos de interés como sector, país de origen, proyectos, datos de contacto, entre otros, que a su vez se pasan a la Dirección de Inversión para fines de contactar y atraer al país. se realiza la generación de Leads (potenciales clientes) de inversión. Durante el periodo a evaluar se han generado 75 contactos de diversas industrias y países. </w:t>
      </w:r>
    </w:p>
    <w:p w14:paraId="7F536F5E" w14:textId="77777777" w:rsidR="009069C8" w:rsidRPr="007B3B38" w:rsidRDefault="009069C8" w:rsidP="00C24A2E">
      <w:pPr>
        <w:pStyle w:val="Prrafodelista"/>
        <w:numPr>
          <w:ilvl w:val="0"/>
          <w:numId w:val="20"/>
        </w:numPr>
        <w:spacing w:before="380" w:after="120" w:line="456" w:lineRule="auto"/>
        <w:ind w:left="284" w:hanging="284"/>
        <w:contextualSpacing w:val="0"/>
        <w:jc w:val="both"/>
        <w:rPr>
          <w:rFonts w:ascii="Artifex CF Extra Light" w:eastAsia="Calibri" w:hAnsi="Artifex CF Extra Light" w:cs="Times New Roman"/>
          <w:color w:val="1F4E79" w:themeColor="accent1" w:themeShade="80"/>
          <w:spacing w:val="10"/>
          <w:sz w:val="18"/>
          <w:szCs w:val="18"/>
          <w:lang w:val="es"/>
        </w:rPr>
      </w:pPr>
      <w:r w:rsidRPr="007B3B38">
        <w:rPr>
          <w:rFonts w:ascii="Artifex CF Extra Light" w:hAnsi="Artifex CF Extra Light" w:cs="Times New Roman"/>
          <w:b/>
          <w:color w:val="1F4E79" w:themeColor="accent1" w:themeShade="80"/>
          <w:spacing w:val="10"/>
          <w:sz w:val="18"/>
          <w:szCs w:val="18"/>
          <w:lang w:val="es"/>
        </w:rPr>
        <w:t>Newsletter de Inversión:</w:t>
      </w:r>
      <w:r w:rsidRPr="007B3B38">
        <w:rPr>
          <w:rFonts w:ascii="Artifex CF Extra Light" w:hAnsi="Artifex CF Extra Light" w:cs="Times New Roman"/>
          <w:color w:val="1F4E79" w:themeColor="accent1" w:themeShade="80"/>
          <w:spacing w:val="10"/>
          <w:sz w:val="18"/>
          <w:szCs w:val="18"/>
          <w:lang w:val="es"/>
        </w:rPr>
        <w:t xml:space="preserve"> Boletín que se está elaborando mensualmente para la Dirección de Inversión, incluyendo en un solo documento señales y potenciales clientes generados por Inteligencia Este nuevo producto se ha insertado en esta gestión, con la finalidad de oficializar los leads generados propiamente por la Dirección, las alertas identificadas durante el mes y noticias destacadas de interés. Este documento ya lleva 2 entregas.</w:t>
      </w:r>
    </w:p>
    <w:p w14:paraId="3EE472F1" w14:textId="42C9AF27" w:rsidR="009069C8" w:rsidRPr="007B3B38" w:rsidRDefault="009069C8" w:rsidP="00C24A2E">
      <w:pPr>
        <w:pStyle w:val="Prrafodelista"/>
        <w:numPr>
          <w:ilvl w:val="0"/>
          <w:numId w:val="20"/>
        </w:numPr>
        <w:spacing w:before="380" w:after="120" w:line="456" w:lineRule="auto"/>
        <w:ind w:left="284" w:hanging="284"/>
        <w:contextualSpacing w:val="0"/>
        <w:jc w:val="both"/>
        <w:rPr>
          <w:rFonts w:ascii="Artifex CF Extra Light" w:eastAsia="Calibri" w:hAnsi="Artifex CF Extra Light" w:cs="Times New Roman"/>
          <w:color w:val="1F4E79" w:themeColor="accent1" w:themeShade="80"/>
          <w:spacing w:val="10"/>
          <w:sz w:val="18"/>
          <w:szCs w:val="18"/>
          <w:lang w:val="es"/>
        </w:rPr>
      </w:pPr>
      <w:r w:rsidRPr="007B3B38">
        <w:rPr>
          <w:rFonts w:ascii="Artifex CF Extra Light" w:hAnsi="Artifex CF Extra Light" w:cs="Times New Roman"/>
          <w:b/>
          <w:color w:val="1F4E79" w:themeColor="accent1" w:themeShade="80"/>
          <w:spacing w:val="10"/>
          <w:sz w:val="18"/>
          <w:szCs w:val="18"/>
          <w:lang w:val="es"/>
        </w:rPr>
        <w:t>Informes de Inversión Extranjera:</w:t>
      </w:r>
      <w:r w:rsidRPr="007B3B38">
        <w:rPr>
          <w:rFonts w:ascii="Artifex CF Extra Light" w:hAnsi="Artifex CF Extra Light" w:cs="Times New Roman"/>
          <w:color w:val="1F4E79" w:themeColor="accent1" w:themeShade="80"/>
          <w:spacing w:val="10"/>
          <w:sz w:val="18"/>
          <w:szCs w:val="18"/>
          <w:lang w:val="es"/>
        </w:rPr>
        <w:t xml:space="preserve"> documento en el que se describe y analiza el panorama de la inversión extranjera, dando una perspectiva de </w:t>
      </w:r>
      <w:r w:rsidR="003D7F25" w:rsidRPr="007B3B38">
        <w:rPr>
          <w:rFonts w:ascii="Artifex CF Extra Light" w:hAnsi="Artifex CF Extra Light" w:cs="Times New Roman"/>
          <w:color w:val="1F4E79" w:themeColor="accent1" w:themeShade="80"/>
          <w:spacing w:val="10"/>
          <w:sz w:val="18"/>
          <w:szCs w:val="18"/>
          <w:lang w:val="es"/>
        </w:rPr>
        <w:t>esta</w:t>
      </w:r>
      <w:r w:rsidRPr="007B3B38">
        <w:rPr>
          <w:rFonts w:ascii="Artifex CF Extra Light" w:hAnsi="Artifex CF Extra Light" w:cs="Times New Roman"/>
          <w:color w:val="1F4E79" w:themeColor="accent1" w:themeShade="80"/>
          <w:spacing w:val="10"/>
          <w:sz w:val="18"/>
          <w:szCs w:val="18"/>
          <w:lang w:val="es"/>
        </w:rPr>
        <w:t xml:space="preserve"> y comparándola con años anteriores, incluye datos de entradas y salidas, flujos sectoriales y por país de origen, entre otros. Se han realizado 3 informes. </w:t>
      </w:r>
    </w:p>
    <w:p w14:paraId="5D1A62E3" w14:textId="77777777" w:rsidR="009069C8" w:rsidRPr="00C24A2E" w:rsidRDefault="009069C8" w:rsidP="00C24A2E">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
        </w:rPr>
      </w:pPr>
      <w:r w:rsidRPr="007B3B38">
        <w:rPr>
          <w:rFonts w:ascii="Artifex CF Extra Light" w:hAnsi="Artifex CF Extra Light" w:cs="Times New Roman"/>
          <w:b/>
          <w:color w:val="1F4E79" w:themeColor="accent1" w:themeShade="80"/>
          <w:spacing w:val="10"/>
          <w:sz w:val="18"/>
          <w:szCs w:val="18"/>
          <w:lang w:val="es"/>
        </w:rPr>
        <w:t>Informe sobre el Panorama de la IED ante el COVID:</w:t>
      </w:r>
      <w:r w:rsidRPr="00C24A2E">
        <w:rPr>
          <w:rFonts w:ascii="Artifex CF Extra Light" w:hAnsi="Artifex CF Extra Light" w:cs="Times New Roman"/>
          <w:b/>
          <w:color w:val="1F4E79" w:themeColor="accent1" w:themeShade="80"/>
          <w:spacing w:val="10"/>
          <w:sz w:val="18"/>
          <w:szCs w:val="18"/>
          <w:lang w:val="es"/>
        </w:rPr>
        <w:t xml:space="preserve"> producto de la pandemia de COVID-19 se realizó 1 informe sobre las perspectivas de IED a nivel mundial incluyendo medidas tomadas y consideraciones de diferentes organismos internacionales. </w:t>
      </w:r>
    </w:p>
    <w:p w14:paraId="037AF8A8" w14:textId="77777777" w:rsidR="00C24A2E" w:rsidRDefault="009069C8" w:rsidP="00C24A2E">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
        </w:rPr>
      </w:pPr>
      <w:r w:rsidRPr="007B3B38">
        <w:rPr>
          <w:rFonts w:ascii="Artifex CF Extra Light" w:hAnsi="Artifex CF Extra Light" w:cs="Times New Roman"/>
          <w:b/>
          <w:color w:val="1F4E79" w:themeColor="accent1" w:themeShade="80"/>
          <w:spacing w:val="10"/>
          <w:sz w:val="18"/>
          <w:szCs w:val="18"/>
          <w:lang w:val="es"/>
        </w:rPr>
        <w:t>Informe sobre la Industria de Call Center:</w:t>
      </w:r>
      <w:r w:rsidRPr="00C24A2E">
        <w:rPr>
          <w:rFonts w:ascii="Artifex CF Extra Light" w:hAnsi="Artifex CF Extra Light" w:cs="Times New Roman"/>
          <w:b/>
          <w:color w:val="1F4E79" w:themeColor="accent1" w:themeShade="80"/>
          <w:spacing w:val="10"/>
          <w:sz w:val="18"/>
          <w:szCs w:val="18"/>
          <w:lang w:val="es"/>
        </w:rPr>
        <w:t xml:space="preserve"> Estudio sectorial sobre el comportamiento de la industria de call center en la República Dominicana, se realizó 1 estudio a solicitud del área de Inversión. </w:t>
      </w:r>
    </w:p>
    <w:p w14:paraId="248E1E34" w14:textId="5177FEE8" w:rsidR="009069C8" w:rsidRPr="00C24A2E" w:rsidRDefault="009069C8" w:rsidP="00C24A2E">
      <w:pPr>
        <w:pStyle w:val="Prrafodelista"/>
        <w:spacing w:before="380" w:after="120" w:line="456" w:lineRule="auto"/>
        <w:ind w:left="284"/>
        <w:contextualSpacing w:val="0"/>
        <w:jc w:val="both"/>
        <w:rPr>
          <w:rFonts w:ascii="Artifex CF Extra Light" w:hAnsi="Artifex CF Extra Light" w:cs="Times New Roman"/>
          <w:b/>
          <w:color w:val="1F4E79" w:themeColor="accent1" w:themeShade="80"/>
          <w:spacing w:val="10"/>
          <w:sz w:val="18"/>
          <w:szCs w:val="18"/>
          <w:lang w:val="es"/>
        </w:rPr>
      </w:pPr>
      <w:r w:rsidRPr="00C24A2E">
        <w:rPr>
          <w:rFonts w:ascii="Artifex CF Extra Light" w:hAnsi="Artifex CF Extra Light" w:cs="Times New Roman"/>
          <w:color w:val="1F4E79" w:themeColor="accent1" w:themeShade="80"/>
          <w:spacing w:val="10"/>
          <w:sz w:val="18"/>
          <w:szCs w:val="18"/>
          <w:lang w:val="es"/>
        </w:rPr>
        <w:lastRenderedPageBreak/>
        <w:t>De igual forma, la dirección de Estudios Económicos y Estadísticos ha estado trabajando en la Creación del Centro de Información para Inversión, para el cual se trabajó:</w:t>
      </w:r>
    </w:p>
    <w:p w14:paraId="08F2DD74" w14:textId="77777777" w:rsidR="00F475D6" w:rsidRPr="00F475D6" w:rsidRDefault="009069C8" w:rsidP="00864966">
      <w:pPr>
        <w:pStyle w:val="Prrafodelista"/>
        <w:numPr>
          <w:ilvl w:val="0"/>
          <w:numId w:val="20"/>
        </w:numPr>
        <w:spacing w:before="380" w:after="120" w:line="456" w:lineRule="auto"/>
        <w:ind w:left="0" w:firstLine="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b/>
          <w:color w:val="1F4E79" w:themeColor="accent1" w:themeShade="80"/>
          <w:spacing w:val="10"/>
          <w:sz w:val="18"/>
          <w:szCs w:val="18"/>
          <w:lang w:val="es"/>
        </w:rPr>
        <w:t xml:space="preserve">Actualización de Dossiers sectoriales: </w:t>
      </w:r>
      <w:r w:rsidRPr="00F475D6">
        <w:rPr>
          <w:rFonts w:ascii="Artifex CF Extra Light" w:hAnsi="Artifex CF Extra Light" w:cs="Times New Roman"/>
          <w:bCs/>
          <w:color w:val="1F4E79" w:themeColor="accent1" w:themeShade="80"/>
          <w:spacing w:val="10"/>
          <w:sz w:val="18"/>
          <w:szCs w:val="18"/>
          <w:lang w:val="es"/>
        </w:rPr>
        <w:t xml:space="preserve">información sobre los principales sectores económicos atractivos para la IED: situación actual, leyes de incentivos, estadísticas, principales empresas, entre otros. Se actualizaron 12 dossiers, a saber: </w:t>
      </w:r>
    </w:p>
    <w:p w14:paraId="7B29869B" w14:textId="70585CF4" w:rsidR="009069C8" w:rsidRPr="00F475D6" w:rsidRDefault="009069C8" w:rsidP="00F475D6">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F475D6">
        <w:rPr>
          <w:rFonts w:ascii="Artifex CF Extra Light" w:hAnsi="Artifex CF Extra Light" w:cs="Times New Roman"/>
          <w:color w:val="1F4E79" w:themeColor="accent1" w:themeShade="80"/>
          <w:spacing w:val="10"/>
          <w:sz w:val="18"/>
          <w:szCs w:val="18"/>
          <w:lang w:val="es"/>
        </w:rPr>
        <w:t>Dossier de Agroindustria</w:t>
      </w:r>
    </w:p>
    <w:p w14:paraId="031DE0B9"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de Calzados</w:t>
      </w:r>
    </w:p>
    <w:p w14:paraId="2C42C8CA"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de Cine</w:t>
      </w:r>
    </w:p>
    <w:p w14:paraId="191DADFA"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de Dispositivos Médicos</w:t>
      </w:r>
    </w:p>
    <w:p w14:paraId="22A809F7"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de Energía</w:t>
      </w:r>
    </w:p>
    <w:p w14:paraId="239320C6"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Inmobiliario</w:t>
      </w:r>
    </w:p>
    <w:p w14:paraId="5E5D0FD0"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de Minería</w:t>
      </w:r>
    </w:p>
    <w:p w14:paraId="33348E22"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 xml:space="preserve">Dossier de Software </w:t>
      </w:r>
    </w:p>
    <w:p w14:paraId="023D7397"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de Telecomunicaciones</w:t>
      </w:r>
    </w:p>
    <w:p w14:paraId="0A88150A"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de Textiles</w:t>
      </w:r>
    </w:p>
    <w:p w14:paraId="219BE86B" w14:textId="77777777" w:rsidR="009069C8" w:rsidRPr="007B3B38" w:rsidRDefault="009069C8" w:rsidP="00C24A2E">
      <w:pPr>
        <w:pStyle w:val="Prrafodelista"/>
        <w:numPr>
          <w:ilvl w:val="1"/>
          <w:numId w:val="20"/>
        </w:numPr>
        <w:spacing w:before="380" w:after="120" w:line="456" w:lineRule="auto"/>
        <w:ind w:left="568" w:hanging="284"/>
        <w:contextualSpacing w:val="0"/>
        <w:jc w:val="both"/>
        <w:rPr>
          <w:rFonts w:ascii="Artifex CF Extra Light" w:hAnsi="Artifex CF Extra Light" w:cs="Times New Roman"/>
          <w:color w:val="1F4E79" w:themeColor="accent1" w:themeShade="80"/>
          <w:spacing w:val="10"/>
          <w:sz w:val="18"/>
          <w:szCs w:val="18"/>
          <w:lang w:val="es"/>
        </w:rPr>
      </w:pPr>
      <w:r w:rsidRPr="007B3B38">
        <w:rPr>
          <w:rFonts w:ascii="Artifex CF Extra Light" w:hAnsi="Artifex CF Extra Light" w:cs="Times New Roman"/>
          <w:color w:val="1F4E79" w:themeColor="accent1" w:themeShade="80"/>
          <w:spacing w:val="10"/>
          <w:sz w:val="18"/>
          <w:szCs w:val="18"/>
          <w:lang w:val="es"/>
        </w:rPr>
        <w:t>Dossier de Turismo</w:t>
      </w:r>
    </w:p>
    <w:p w14:paraId="554E9FDB" w14:textId="77777777" w:rsidR="00C16AB3" w:rsidRDefault="00C16AB3">
      <w:pPr>
        <w:rPr>
          <w:rFonts w:ascii="Artifex CF Extra Light" w:hAnsi="Artifex CF Extra Light" w:cs="Times New Roman"/>
          <w:b/>
          <w:color w:val="1F4E79" w:themeColor="accent1" w:themeShade="80"/>
          <w:spacing w:val="10"/>
          <w:sz w:val="18"/>
          <w:szCs w:val="18"/>
          <w:lang w:val="es-DO"/>
        </w:rPr>
      </w:pPr>
      <w:bookmarkStart w:id="43" w:name="_Toc58332472"/>
      <w:r>
        <w:rPr>
          <w:rFonts w:ascii="Artifex CF Extra Light" w:hAnsi="Artifex CF Extra Light" w:cs="Times New Roman"/>
          <w:b/>
          <w:color w:val="1F4E79" w:themeColor="accent1" w:themeShade="80"/>
          <w:spacing w:val="10"/>
          <w:sz w:val="18"/>
          <w:szCs w:val="18"/>
          <w:lang w:val="es-DO"/>
        </w:rPr>
        <w:br w:type="page"/>
      </w:r>
    </w:p>
    <w:p w14:paraId="75301BC9" w14:textId="775A1117" w:rsidR="009069C8" w:rsidRPr="00F475D6" w:rsidRDefault="009069C8" w:rsidP="00C16AB3">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lastRenderedPageBreak/>
        <w:t>Leads de inversión</w:t>
      </w:r>
      <w:bookmarkEnd w:id="43"/>
    </w:p>
    <w:p w14:paraId="51A6F78D" w14:textId="77777777" w:rsidR="009069C8" w:rsidRPr="007B3B38" w:rsidRDefault="009069C8"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En cuanto a la captación de nuevos inversionistas, se identificaron 150 leads potenciales inversionistas, con los cuales se tuvo acercamiento para presentarles la carpeta de proyectos de inversión del país. A estos potenciales clientes se le continúa dando seguimiento como parte del protocolo establecido para captación de inversionistas.</w:t>
      </w:r>
    </w:p>
    <w:p w14:paraId="4A274918" w14:textId="016340CB" w:rsidR="00CF2564" w:rsidRPr="00403735" w:rsidRDefault="00807A9C" w:rsidP="00403735">
      <w:pPr>
        <w:pStyle w:val="Prrafodelista"/>
        <w:numPr>
          <w:ilvl w:val="1"/>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18"/>
          <w:szCs w:val="18"/>
          <w:lang w:val="es-DO"/>
        </w:rPr>
      </w:pPr>
      <w:r w:rsidRPr="00403735">
        <w:rPr>
          <w:rFonts w:ascii="Artifex CF Extra Light" w:hAnsi="Artifex CF Extra Light" w:cs="Times New Roman"/>
          <w:b/>
          <w:color w:val="1F4E79" w:themeColor="accent1" w:themeShade="80"/>
          <w:spacing w:val="10"/>
          <w:sz w:val="18"/>
          <w:szCs w:val="18"/>
          <w:lang w:val="es-DO"/>
        </w:rPr>
        <w:t xml:space="preserve">CERTIFICADOS DE REGISTROS DE IED </w:t>
      </w:r>
    </w:p>
    <w:p w14:paraId="29555840" w14:textId="5C207A50" w:rsidR="00CF2564" w:rsidRPr="007B3B38" w:rsidRDefault="00CF256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 xml:space="preserve">Dando cumplimiento a lo establecido en la Ley No. 16-95 y su Reglamento de Aplicación No. 214-04 de Inversión Extranjera Directa y/o Transferencia de Tecnología en el año 2020 se han emitido </w:t>
      </w:r>
      <w:r w:rsidR="005F0C01" w:rsidRPr="007B3B38">
        <w:rPr>
          <w:rFonts w:ascii="Artifex CF Extra Light" w:hAnsi="Artifex CF Extra Light" w:cs="Times New Roman"/>
          <w:color w:val="1F4E79" w:themeColor="accent1" w:themeShade="80"/>
          <w:spacing w:val="10"/>
          <w:sz w:val="18"/>
          <w:szCs w:val="18"/>
          <w:lang w:val="es-ES"/>
        </w:rPr>
        <w:t>16</w:t>
      </w:r>
      <w:r w:rsidRPr="007B3B38">
        <w:rPr>
          <w:rFonts w:ascii="Artifex CF Extra Light" w:hAnsi="Artifex CF Extra Light" w:cs="Times New Roman"/>
          <w:color w:val="1F4E79" w:themeColor="accent1" w:themeShade="80"/>
          <w:spacing w:val="10"/>
          <w:sz w:val="18"/>
          <w:szCs w:val="18"/>
          <w:lang w:val="es-ES"/>
        </w:rPr>
        <w:t xml:space="preserve"> Certificados de Registro de IED, se han atendido 248 consultas y se han recibido 15 solicitudes.</w:t>
      </w:r>
    </w:p>
    <w:p w14:paraId="2A8C9BF4" w14:textId="68F58159" w:rsidR="009069C8" w:rsidRPr="007B3B38" w:rsidRDefault="00807A9C" w:rsidP="00403735">
      <w:pPr>
        <w:pStyle w:val="Prrafodelista"/>
        <w:numPr>
          <w:ilvl w:val="1"/>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18"/>
          <w:szCs w:val="18"/>
          <w:lang w:val="es-DO"/>
        </w:rPr>
      </w:pPr>
      <w:bookmarkStart w:id="44" w:name="_Toc58332473"/>
      <w:r w:rsidRPr="007B3B38">
        <w:rPr>
          <w:rFonts w:ascii="Artifex CF Extra Light" w:hAnsi="Artifex CF Extra Light" w:cs="Times New Roman"/>
          <w:b/>
          <w:color w:val="1F4E79" w:themeColor="accent1" w:themeShade="80"/>
          <w:spacing w:val="10"/>
          <w:sz w:val="18"/>
          <w:szCs w:val="18"/>
          <w:lang w:val="es-DO"/>
        </w:rPr>
        <w:t>OTRAS ACTIVIDADES</w:t>
      </w:r>
      <w:bookmarkEnd w:id="44"/>
      <w:r w:rsidRPr="007B3B38">
        <w:rPr>
          <w:rFonts w:ascii="Artifex CF Extra Light" w:hAnsi="Artifex CF Extra Light" w:cs="Times New Roman"/>
          <w:b/>
          <w:color w:val="1F4E79" w:themeColor="accent1" w:themeShade="80"/>
          <w:spacing w:val="10"/>
          <w:sz w:val="18"/>
          <w:szCs w:val="18"/>
          <w:lang w:val="es-DO"/>
        </w:rPr>
        <w:t xml:space="preserve"> RELEVANTES</w:t>
      </w:r>
    </w:p>
    <w:p w14:paraId="6F47A0E7" w14:textId="77777777" w:rsidR="009069C8" w:rsidRPr="00F475D6" w:rsidRDefault="009069C8" w:rsidP="00C16AB3">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45" w:name="_Toc58332474"/>
      <w:r w:rsidRPr="00F475D6">
        <w:rPr>
          <w:rFonts w:ascii="Artifex CF Extra Light" w:hAnsi="Artifex CF Extra Light" w:cs="Times New Roman"/>
          <w:b/>
          <w:color w:val="1F4E79" w:themeColor="accent1" w:themeShade="80"/>
          <w:spacing w:val="10"/>
          <w:sz w:val="20"/>
          <w:szCs w:val="20"/>
          <w:lang w:val="es-DO"/>
        </w:rPr>
        <w:t>Proyecto de Ley que modifica la LEY No. 16-95 de Inversión</w:t>
      </w:r>
      <w:bookmarkEnd w:id="45"/>
    </w:p>
    <w:p w14:paraId="29F49FC7" w14:textId="5DA099E8" w:rsidR="009069C8" w:rsidRPr="007B3B38" w:rsidRDefault="00E80F85"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ProDomi</w:t>
      </w:r>
      <w:r w:rsidR="006057F3" w:rsidRPr="007B3B38">
        <w:rPr>
          <w:rFonts w:ascii="Artifex CF Extra Light" w:hAnsi="Artifex CF Extra Light" w:cs="Times New Roman"/>
          <w:color w:val="1F4E79" w:themeColor="accent1" w:themeShade="80"/>
          <w:spacing w:val="10"/>
          <w:sz w:val="18"/>
          <w:szCs w:val="18"/>
          <w:lang w:val="es-DO"/>
        </w:rPr>
        <w:t>n</w:t>
      </w:r>
      <w:r w:rsidRPr="007B3B38">
        <w:rPr>
          <w:rFonts w:ascii="Artifex CF Extra Light" w:hAnsi="Artifex CF Extra Light" w:cs="Times New Roman"/>
          <w:color w:val="1F4E79" w:themeColor="accent1" w:themeShade="80"/>
          <w:spacing w:val="10"/>
          <w:sz w:val="18"/>
          <w:szCs w:val="18"/>
          <w:lang w:val="es-DO"/>
        </w:rPr>
        <w:t>icana</w:t>
      </w:r>
      <w:r w:rsidR="009069C8" w:rsidRPr="007B3B38">
        <w:rPr>
          <w:rFonts w:ascii="Artifex CF Extra Light" w:hAnsi="Artifex CF Extra Light" w:cs="Times New Roman"/>
          <w:color w:val="1F4E79" w:themeColor="accent1" w:themeShade="80"/>
          <w:spacing w:val="10"/>
          <w:sz w:val="18"/>
          <w:szCs w:val="18"/>
          <w:lang w:val="es-DO"/>
        </w:rPr>
        <w:t xml:space="preserve"> formó parte del equipo técnico de discusión de la propuesta de anteproyecto para modificar la Ley No. 16-95 del 20 de noviembre del 1995, sobre Inversión Extranjera en la República Dominicana, con la finalidad de establecer el Registro de Garantías, atraer inversiones nuevas y proteger o ampliar las ya existentes en todo el territorio nacional.</w:t>
      </w:r>
    </w:p>
    <w:p w14:paraId="28A25176" w14:textId="77777777" w:rsidR="006B0AA2"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Tomando en consideración que la iniciativa perimió en la comisión asignada sin presentar informe a favor, los Senadores proponentes de este anteproyecto, deberán someter nueva vez ante el Senado de la República esta iniciativa.</w:t>
      </w:r>
    </w:p>
    <w:p w14:paraId="1DFBD022" w14:textId="31C8248C" w:rsidR="0D6E06CF" w:rsidRPr="007B3B38" w:rsidRDefault="0D6E06CF"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lastRenderedPageBreak/>
        <w:t>A estos fines, ProDominicana ha realizado los acercamientos de lugar con las entidades y grupos de interés vinculados al sector inversión, para unificar esfuerzos para un solo proyecto consensuado entre todos los actores</w:t>
      </w:r>
      <w:r w:rsidR="6F0461FC" w:rsidRPr="007B3B38">
        <w:rPr>
          <w:rFonts w:ascii="Artifex CF Extra Light" w:hAnsi="Artifex CF Extra Light" w:cs="Times New Roman"/>
          <w:color w:val="1F4E79" w:themeColor="accent1" w:themeShade="80"/>
          <w:spacing w:val="10"/>
          <w:sz w:val="18"/>
          <w:szCs w:val="18"/>
          <w:lang w:val="es-DO"/>
        </w:rPr>
        <w:t>.</w:t>
      </w:r>
    </w:p>
    <w:p w14:paraId="761BF03C" w14:textId="77777777" w:rsidR="009069C8" w:rsidRPr="00F475D6" w:rsidRDefault="009069C8" w:rsidP="00C16AB3">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46" w:name="_Toc58332475"/>
      <w:r w:rsidRPr="00F475D6">
        <w:rPr>
          <w:rFonts w:ascii="Artifex CF Extra Light" w:hAnsi="Artifex CF Extra Light" w:cs="Times New Roman"/>
          <w:b/>
          <w:color w:val="1F4E79" w:themeColor="accent1" w:themeShade="80"/>
          <w:spacing w:val="10"/>
          <w:sz w:val="20"/>
          <w:szCs w:val="20"/>
          <w:lang w:val="es-DO"/>
        </w:rPr>
        <w:t>Reestructuración organizativa enfocada en la fidelización de los clientes</w:t>
      </w:r>
      <w:bookmarkEnd w:id="46"/>
      <w:r w:rsidRPr="00F475D6">
        <w:rPr>
          <w:rFonts w:ascii="Artifex CF Extra Light" w:hAnsi="Artifex CF Extra Light" w:cs="Times New Roman"/>
          <w:b/>
          <w:color w:val="1F4E79" w:themeColor="accent1" w:themeShade="80"/>
          <w:spacing w:val="10"/>
          <w:sz w:val="20"/>
          <w:szCs w:val="20"/>
          <w:lang w:val="es-DO"/>
        </w:rPr>
        <w:t xml:space="preserve"> </w:t>
      </w:r>
    </w:p>
    <w:p w14:paraId="399634CA" w14:textId="7AACD4ED" w:rsidR="00725227" w:rsidRPr="007B3B38" w:rsidRDefault="23F561A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A los fines de fortalecer la gestión de ProDominicana en materia de </w:t>
      </w:r>
      <w:r w:rsidR="2FD6C406" w:rsidRPr="007B3B38">
        <w:rPr>
          <w:rFonts w:ascii="Artifex CF Extra Light" w:hAnsi="Artifex CF Extra Light" w:cs="Times New Roman"/>
          <w:color w:val="1F4E79" w:themeColor="accent1" w:themeShade="80"/>
          <w:spacing w:val="10"/>
          <w:sz w:val="18"/>
          <w:szCs w:val="18"/>
          <w:lang w:val="es-DO"/>
        </w:rPr>
        <w:t xml:space="preserve">captación de </w:t>
      </w:r>
      <w:r w:rsidRPr="007B3B38">
        <w:rPr>
          <w:rFonts w:ascii="Artifex CF Extra Light" w:hAnsi="Artifex CF Extra Light" w:cs="Times New Roman"/>
          <w:color w:val="1F4E79" w:themeColor="accent1" w:themeShade="80"/>
          <w:spacing w:val="10"/>
          <w:sz w:val="18"/>
          <w:szCs w:val="18"/>
          <w:lang w:val="es-DO"/>
        </w:rPr>
        <w:t>Inversión, se han realizado adecuaciones internas</w:t>
      </w:r>
      <w:r w:rsidR="65626194" w:rsidRPr="007B3B38">
        <w:rPr>
          <w:rFonts w:ascii="Artifex CF Extra Light" w:hAnsi="Artifex CF Extra Light" w:cs="Times New Roman"/>
          <w:color w:val="1F4E79" w:themeColor="accent1" w:themeShade="80"/>
          <w:spacing w:val="10"/>
          <w:sz w:val="18"/>
          <w:szCs w:val="18"/>
          <w:lang w:val="es-DO"/>
        </w:rPr>
        <w:t xml:space="preserve">, </w:t>
      </w:r>
      <w:r w:rsidR="3632A5AE" w:rsidRPr="007B3B38">
        <w:rPr>
          <w:rFonts w:ascii="Artifex CF Extra Light" w:hAnsi="Artifex CF Extra Light" w:cs="Times New Roman"/>
          <w:color w:val="1F4E79" w:themeColor="accent1" w:themeShade="80"/>
          <w:spacing w:val="10"/>
          <w:sz w:val="18"/>
          <w:szCs w:val="18"/>
          <w:lang w:val="es-DO"/>
        </w:rPr>
        <w:t>a nivel</w:t>
      </w:r>
      <w:r w:rsidRPr="007B3B38">
        <w:rPr>
          <w:rFonts w:ascii="Artifex CF Extra Light" w:hAnsi="Artifex CF Extra Light" w:cs="Times New Roman"/>
          <w:color w:val="1F4E79" w:themeColor="accent1" w:themeShade="80"/>
          <w:spacing w:val="10"/>
          <w:sz w:val="18"/>
          <w:szCs w:val="18"/>
          <w:lang w:val="es-DO"/>
        </w:rPr>
        <w:t xml:space="preserve"> </w:t>
      </w:r>
      <w:r w:rsidR="3632A5AE" w:rsidRPr="007B3B38">
        <w:rPr>
          <w:rFonts w:ascii="Artifex CF Extra Light" w:hAnsi="Artifex CF Extra Light" w:cs="Times New Roman"/>
          <w:color w:val="1F4E79" w:themeColor="accent1" w:themeShade="80"/>
          <w:spacing w:val="10"/>
          <w:sz w:val="18"/>
          <w:szCs w:val="18"/>
          <w:lang w:val="es-DO"/>
        </w:rPr>
        <w:t xml:space="preserve">de organización, estrategia y recurso humano. Estas </w:t>
      </w:r>
      <w:r w:rsidR="646BE26A" w:rsidRPr="007B3B38">
        <w:rPr>
          <w:rFonts w:ascii="Artifex CF Extra Light" w:hAnsi="Artifex CF Extra Light" w:cs="Times New Roman"/>
          <w:color w:val="1F4E79" w:themeColor="accent1" w:themeShade="80"/>
          <w:spacing w:val="10"/>
          <w:sz w:val="18"/>
          <w:szCs w:val="18"/>
          <w:lang w:val="es-DO"/>
        </w:rPr>
        <w:t>adecuaciones se resumen en:</w:t>
      </w:r>
    </w:p>
    <w:p w14:paraId="3CB21C7F" w14:textId="03A4F558" w:rsidR="009069C8" w:rsidRPr="007B3B38" w:rsidRDefault="646BE26A" w:rsidP="00864966">
      <w:pPr>
        <w:pStyle w:val="Prrafodelista"/>
        <w:numPr>
          <w:ilvl w:val="0"/>
          <w:numId w:val="32"/>
        </w:numPr>
        <w:spacing w:before="380" w:after="120" w:line="456" w:lineRule="auto"/>
        <w:ind w:left="0" w:firstLine="284"/>
        <w:contextualSpacing w:val="0"/>
        <w:jc w:val="both"/>
        <w:rPr>
          <w:rFonts w:ascii="Artifex CF Extra Light" w:eastAsiaTheme="minorEastAsia" w:hAnsi="Artifex CF Extra Light"/>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R</w:t>
      </w:r>
      <w:r w:rsidR="009069C8" w:rsidRPr="007B3B38">
        <w:rPr>
          <w:rFonts w:ascii="Artifex CF Extra Light" w:hAnsi="Artifex CF Extra Light" w:cs="Times New Roman"/>
          <w:color w:val="1F4E79" w:themeColor="accent1" w:themeShade="80"/>
          <w:spacing w:val="10"/>
          <w:sz w:val="18"/>
          <w:szCs w:val="18"/>
          <w:lang w:val="es-DO"/>
        </w:rPr>
        <w:t>eestructura</w:t>
      </w:r>
      <w:r w:rsidR="65A2B876" w:rsidRPr="007B3B38">
        <w:rPr>
          <w:rFonts w:ascii="Artifex CF Extra Light" w:hAnsi="Artifex CF Extra Light" w:cs="Times New Roman"/>
          <w:color w:val="1F4E79" w:themeColor="accent1" w:themeShade="80"/>
          <w:spacing w:val="10"/>
          <w:sz w:val="18"/>
          <w:szCs w:val="18"/>
          <w:lang w:val="es-DO"/>
        </w:rPr>
        <w:t>ción</w:t>
      </w:r>
      <w:r w:rsidR="009069C8" w:rsidRPr="007B3B38">
        <w:rPr>
          <w:rFonts w:ascii="Artifex CF Extra Light" w:hAnsi="Artifex CF Extra Light" w:cs="Times New Roman"/>
          <w:color w:val="1F4E79" w:themeColor="accent1" w:themeShade="80"/>
          <w:spacing w:val="10"/>
          <w:sz w:val="18"/>
          <w:szCs w:val="18"/>
          <w:lang w:val="es-DO"/>
        </w:rPr>
        <w:t xml:space="preserve"> </w:t>
      </w:r>
      <w:r w:rsidR="19A309BA" w:rsidRPr="007B3B38">
        <w:rPr>
          <w:rFonts w:ascii="Artifex CF Extra Light" w:hAnsi="Artifex CF Extra Light" w:cs="Times New Roman"/>
          <w:color w:val="1F4E79" w:themeColor="accent1" w:themeShade="80"/>
          <w:spacing w:val="10"/>
          <w:sz w:val="18"/>
          <w:szCs w:val="18"/>
          <w:lang w:val="es-DO"/>
        </w:rPr>
        <w:t>d</w:t>
      </w:r>
      <w:r w:rsidR="009069C8" w:rsidRPr="007B3B38">
        <w:rPr>
          <w:rFonts w:ascii="Artifex CF Extra Light" w:hAnsi="Artifex CF Extra Light" w:cs="Times New Roman"/>
          <w:color w:val="1F4E79" w:themeColor="accent1" w:themeShade="80"/>
          <w:spacing w:val="10"/>
          <w:sz w:val="18"/>
          <w:szCs w:val="18"/>
          <w:lang w:val="es-DO"/>
        </w:rPr>
        <w:t>el esquema de servicio con un enfoque más proactivo</w:t>
      </w:r>
      <w:r w:rsidR="62AC2BF7" w:rsidRPr="007B3B38">
        <w:rPr>
          <w:rFonts w:ascii="Artifex CF Extra Light" w:hAnsi="Artifex CF Extra Light" w:cs="Times New Roman"/>
          <w:color w:val="1F4E79" w:themeColor="accent1" w:themeShade="80"/>
          <w:spacing w:val="10"/>
          <w:sz w:val="18"/>
          <w:szCs w:val="18"/>
          <w:lang w:val="es-DO"/>
        </w:rPr>
        <w:t xml:space="preserve"> y</w:t>
      </w:r>
      <w:r w:rsidR="3F22022C" w:rsidRPr="007B3B38">
        <w:rPr>
          <w:rFonts w:ascii="Artifex CF Extra Light" w:hAnsi="Artifex CF Extra Light" w:cs="Times New Roman"/>
          <w:color w:val="1F4E79" w:themeColor="accent1" w:themeShade="80"/>
          <w:spacing w:val="10"/>
          <w:sz w:val="18"/>
          <w:szCs w:val="18"/>
          <w:lang w:val="es-DO"/>
        </w:rPr>
        <w:t xml:space="preserve"> seguimiento </w:t>
      </w:r>
      <w:r w:rsidR="4D05E6CC" w:rsidRPr="007B3B38">
        <w:rPr>
          <w:rFonts w:ascii="Artifex CF Extra Light" w:hAnsi="Artifex CF Extra Light" w:cs="Times New Roman"/>
          <w:color w:val="1F4E79" w:themeColor="accent1" w:themeShade="80"/>
          <w:spacing w:val="10"/>
          <w:sz w:val="18"/>
          <w:szCs w:val="18"/>
          <w:lang w:val="es-DO"/>
        </w:rPr>
        <w:t>continuo</w:t>
      </w:r>
      <w:r w:rsidR="6B414178" w:rsidRPr="007B3B38">
        <w:rPr>
          <w:rFonts w:ascii="Artifex CF Extra Light" w:hAnsi="Artifex CF Extra Light" w:cs="Times New Roman"/>
          <w:color w:val="1F4E79" w:themeColor="accent1" w:themeShade="80"/>
          <w:spacing w:val="10"/>
          <w:sz w:val="18"/>
          <w:szCs w:val="18"/>
          <w:lang w:val="es-DO"/>
        </w:rPr>
        <w:t xml:space="preserve">, ofreciendo </w:t>
      </w:r>
      <w:r w:rsidR="009069C8" w:rsidRPr="007B3B38">
        <w:rPr>
          <w:rFonts w:ascii="Artifex CF Extra Light" w:hAnsi="Artifex CF Extra Light" w:cs="Times New Roman"/>
          <w:color w:val="1F4E79" w:themeColor="accent1" w:themeShade="80"/>
          <w:spacing w:val="10"/>
          <w:sz w:val="18"/>
          <w:szCs w:val="18"/>
          <w:lang w:val="es-DO"/>
        </w:rPr>
        <w:t xml:space="preserve">los servicios de ProDominicana, y </w:t>
      </w:r>
      <w:r w:rsidR="008C0380" w:rsidRPr="007B3B38">
        <w:rPr>
          <w:rFonts w:ascii="Artifex CF Extra Light" w:hAnsi="Artifex CF Extra Light" w:cs="Times New Roman"/>
          <w:color w:val="1F4E79" w:themeColor="accent1" w:themeShade="80"/>
          <w:spacing w:val="10"/>
          <w:sz w:val="18"/>
          <w:szCs w:val="18"/>
          <w:lang w:val="es-DO"/>
        </w:rPr>
        <w:t>motivándoles</w:t>
      </w:r>
      <w:r w:rsidR="009069C8" w:rsidRPr="007B3B38">
        <w:rPr>
          <w:rFonts w:ascii="Artifex CF Extra Light" w:hAnsi="Artifex CF Extra Light" w:cs="Times New Roman"/>
          <w:color w:val="1F4E79" w:themeColor="accent1" w:themeShade="80"/>
          <w:spacing w:val="10"/>
          <w:sz w:val="18"/>
          <w:szCs w:val="18"/>
          <w:lang w:val="es-DO"/>
        </w:rPr>
        <w:t xml:space="preserve"> a que sigan invirtiendo y ampliando operaciones en </w:t>
      </w:r>
      <w:r w:rsidR="2A1F258C" w:rsidRPr="007B3B38">
        <w:rPr>
          <w:rFonts w:ascii="Artifex CF Extra Light" w:hAnsi="Artifex CF Extra Light" w:cs="Times New Roman"/>
          <w:color w:val="1F4E79" w:themeColor="accent1" w:themeShade="80"/>
          <w:spacing w:val="10"/>
          <w:sz w:val="18"/>
          <w:szCs w:val="18"/>
          <w:lang w:val="es-DO"/>
        </w:rPr>
        <w:t>el país</w:t>
      </w:r>
      <w:r w:rsidR="009069C8" w:rsidRPr="007B3B38">
        <w:rPr>
          <w:rFonts w:ascii="Artifex CF Extra Light" w:hAnsi="Artifex CF Extra Light" w:cs="Times New Roman"/>
          <w:color w:val="1F4E79" w:themeColor="accent1" w:themeShade="80"/>
          <w:spacing w:val="10"/>
          <w:sz w:val="18"/>
          <w:szCs w:val="18"/>
          <w:lang w:val="es-DO"/>
        </w:rPr>
        <w:t xml:space="preserve">. </w:t>
      </w:r>
    </w:p>
    <w:p w14:paraId="6F70679F" w14:textId="658DCF82" w:rsidR="009069C8" w:rsidRPr="00F475D6" w:rsidRDefault="17F3EE46" w:rsidP="00F475D6">
      <w:pPr>
        <w:pStyle w:val="Prrafodelista"/>
        <w:numPr>
          <w:ilvl w:val="0"/>
          <w:numId w:val="32"/>
        </w:numPr>
        <w:spacing w:before="380" w:after="120" w:line="456" w:lineRule="auto"/>
        <w:ind w:left="0" w:firstLine="284"/>
        <w:contextualSpacing w:val="0"/>
        <w:jc w:val="both"/>
        <w:rPr>
          <w:rFonts w:ascii="Artifex CF Extra Light" w:hAnsi="Artifex CF Extra Light"/>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Reorganización de </w:t>
      </w:r>
      <w:r w:rsidR="009069C8" w:rsidRPr="007B3B38">
        <w:rPr>
          <w:rFonts w:ascii="Artifex CF Extra Light" w:hAnsi="Artifex CF Extra Light" w:cs="Times New Roman"/>
          <w:color w:val="1F4E79" w:themeColor="accent1" w:themeShade="80"/>
          <w:spacing w:val="10"/>
          <w:sz w:val="18"/>
          <w:szCs w:val="18"/>
          <w:lang w:val="es-DO"/>
        </w:rPr>
        <w:t>la estructura organizativa</w:t>
      </w:r>
      <w:r w:rsidR="602F1CDE" w:rsidRPr="007B3B38">
        <w:rPr>
          <w:rFonts w:ascii="Artifex CF Extra Light" w:hAnsi="Artifex CF Extra Light" w:cs="Times New Roman"/>
          <w:color w:val="1F4E79" w:themeColor="accent1" w:themeShade="80"/>
          <w:spacing w:val="10"/>
          <w:sz w:val="18"/>
          <w:szCs w:val="18"/>
          <w:lang w:val="es-DO"/>
        </w:rPr>
        <w:t xml:space="preserve">, con un </w:t>
      </w:r>
      <w:r w:rsidR="009069C8" w:rsidRPr="007B3B38">
        <w:rPr>
          <w:rFonts w:ascii="Artifex CF Extra Light" w:hAnsi="Artifex CF Extra Light" w:cs="Times New Roman"/>
          <w:color w:val="1F4E79" w:themeColor="accent1" w:themeShade="80"/>
          <w:spacing w:val="10"/>
          <w:sz w:val="18"/>
          <w:szCs w:val="18"/>
          <w:lang w:val="es-DO"/>
        </w:rPr>
        <w:t xml:space="preserve">enfoque de </w:t>
      </w:r>
      <w:r w:rsidR="26EF9A2B" w:rsidRPr="007B3B38">
        <w:rPr>
          <w:rFonts w:ascii="Artifex CF Extra Light" w:hAnsi="Artifex CF Extra Light" w:cs="Times New Roman"/>
          <w:color w:val="1F4E79" w:themeColor="accent1" w:themeShade="80"/>
          <w:spacing w:val="10"/>
          <w:sz w:val="18"/>
          <w:szCs w:val="18"/>
          <w:lang w:val="es-DO"/>
        </w:rPr>
        <w:t>servicio</w:t>
      </w:r>
      <w:r w:rsidR="00F475D6">
        <w:rPr>
          <w:rFonts w:ascii="Artifex CF Extra Light" w:hAnsi="Artifex CF Extra Light" w:cs="Times New Roman"/>
          <w:color w:val="1F4E79" w:themeColor="accent1" w:themeShade="80"/>
          <w:spacing w:val="10"/>
          <w:sz w:val="18"/>
          <w:szCs w:val="18"/>
          <w:lang w:val="es-DO"/>
        </w:rPr>
        <w:t xml:space="preserve">. </w:t>
      </w:r>
      <w:r w:rsidR="67047BEC" w:rsidRPr="00F475D6">
        <w:rPr>
          <w:rFonts w:ascii="Artifex CF Extra Light" w:hAnsi="Artifex CF Extra Light" w:cs="Times New Roman"/>
          <w:color w:val="1F4E79" w:themeColor="accent1" w:themeShade="80"/>
          <w:spacing w:val="10"/>
          <w:sz w:val="18"/>
          <w:szCs w:val="18"/>
          <w:lang w:val="es-DO"/>
        </w:rPr>
        <w:t xml:space="preserve">Reforzamiento del </w:t>
      </w:r>
      <w:r w:rsidR="009069C8" w:rsidRPr="00F475D6">
        <w:rPr>
          <w:rFonts w:ascii="Artifex CF Extra Light" w:hAnsi="Artifex CF Extra Light" w:cs="Times New Roman"/>
          <w:color w:val="1F4E79" w:themeColor="accent1" w:themeShade="80"/>
          <w:spacing w:val="10"/>
          <w:sz w:val="18"/>
          <w:szCs w:val="18"/>
          <w:lang w:val="es-DO"/>
        </w:rPr>
        <w:t xml:space="preserve">equipo </w:t>
      </w:r>
      <w:r w:rsidR="331AFAE7" w:rsidRPr="00F475D6">
        <w:rPr>
          <w:rFonts w:ascii="Artifex CF Extra Light" w:hAnsi="Artifex CF Extra Light" w:cs="Times New Roman"/>
          <w:color w:val="1F4E79" w:themeColor="accent1" w:themeShade="80"/>
          <w:spacing w:val="10"/>
          <w:sz w:val="18"/>
          <w:szCs w:val="18"/>
          <w:lang w:val="es-DO"/>
        </w:rPr>
        <w:t xml:space="preserve">de inversión </w:t>
      </w:r>
      <w:r w:rsidR="009069C8" w:rsidRPr="00F475D6">
        <w:rPr>
          <w:rFonts w:ascii="Artifex CF Extra Light" w:hAnsi="Artifex CF Extra Light" w:cs="Times New Roman"/>
          <w:color w:val="1F4E79" w:themeColor="accent1" w:themeShade="80"/>
          <w:spacing w:val="10"/>
          <w:sz w:val="18"/>
          <w:szCs w:val="18"/>
          <w:lang w:val="es-DO"/>
        </w:rPr>
        <w:t xml:space="preserve">para llevar a cabo una labor más efectiva y eficiente, como, por ejemplo, ejecutivos </w:t>
      </w:r>
      <w:r w:rsidR="7E1BBFEC" w:rsidRPr="00F475D6">
        <w:rPr>
          <w:rFonts w:ascii="Artifex CF Extra Light" w:hAnsi="Artifex CF Extra Light" w:cs="Times New Roman"/>
          <w:color w:val="1F4E79" w:themeColor="accent1" w:themeShade="80"/>
          <w:spacing w:val="10"/>
          <w:sz w:val="18"/>
          <w:szCs w:val="18"/>
          <w:lang w:val="es-DO"/>
        </w:rPr>
        <w:t>con dominio de</w:t>
      </w:r>
      <w:r w:rsidR="009069C8" w:rsidRPr="00F475D6">
        <w:rPr>
          <w:rFonts w:ascii="Artifex CF Extra Light" w:hAnsi="Artifex CF Extra Light" w:cs="Times New Roman"/>
          <w:color w:val="1F4E79" w:themeColor="accent1" w:themeShade="80"/>
          <w:spacing w:val="10"/>
          <w:sz w:val="18"/>
          <w:szCs w:val="18"/>
          <w:lang w:val="es-DO"/>
        </w:rPr>
        <w:t xml:space="preserve"> idiomas no tradicionales como</w:t>
      </w:r>
      <w:r w:rsidR="09A761ED" w:rsidRPr="00F475D6">
        <w:rPr>
          <w:rFonts w:ascii="Artifex CF Extra Light" w:hAnsi="Artifex CF Extra Light" w:cs="Times New Roman"/>
          <w:color w:val="1F4E79" w:themeColor="accent1" w:themeShade="80"/>
          <w:spacing w:val="10"/>
          <w:sz w:val="18"/>
          <w:szCs w:val="18"/>
          <w:lang w:val="es-DO"/>
        </w:rPr>
        <w:t>:</w:t>
      </w:r>
      <w:r w:rsidR="009069C8" w:rsidRPr="00F475D6">
        <w:rPr>
          <w:rFonts w:ascii="Artifex CF Extra Light" w:hAnsi="Artifex CF Extra Light" w:cs="Times New Roman"/>
          <w:color w:val="1F4E79" w:themeColor="accent1" w:themeShade="80"/>
          <w:spacing w:val="10"/>
          <w:sz w:val="18"/>
          <w:szCs w:val="18"/>
          <w:lang w:val="es-DO"/>
        </w:rPr>
        <w:t xml:space="preserve"> mandarín</w:t>
      </w:r>
      <w:r w:rsidR="043C5C7D" w:rsidRPr="00F475D6">
        <w:rPr>
          <w:rFonts w:ascii="Artifex CF Extra Light" w:hAnsi="Artifex CF Extra Light" w:cs="Times New Roman"/>
          <w:color w:val="1F4E79" w:themeColor="accent1" w:themeShade="80"/>
          <w:spacing w:val="10"/>
          <w:sz w:val="18"/>
          <w:szCs w:val="18"/>
          <w:lang w:val="es-DO"/>
        </w:rPr>
        <w:t xml:space="preserve">; </w:t>
      </w:r>
      <w:r w:rsidR="009069C8" w:rsidRPr="00F475D6">
        <w:rPr>
          <w:rFonts w:ascii="Artifex CF Extra Light" w:hAnsi="Artifex CF Extra Light" w:cs="Times New Roman"/>
          <w:color w:val="1F4E79" w:themeColor="accent1" w:themeShade="80"/>
          <w:spacing w:val="10"/>
          <w:sz w:val="18"/>
          <w:szCs w:val="18"/>
          <w:lang w:val="es-DO"/>
        </w:rPr>
        <w:t>alemán</w:t>
      </w:r>
      <w:r w:rsidR="75E090BF" w:rsidRPr="00F475D6">
        <w:rPr>
          <w:rFonts w:ascii="Artifex CF Extra Light" w:hAnsi="Artifex CF Extra Light" w:cs="Times New Roman"/>
          <w:color w:val="1F4E79" w:themeColor="accent1" w:themeShade="80"/>
          <w:spacing w:val="10"/>
          <w:sz w:val="18"/>
          <w:szCs w:val="18"/>
          <w:lang w:val="es-DO"/>
        </w:rPr>
        <w:t>;</w:t>
      </w:r>
      <w:r w:rsidR="009069C8" w:rsidRPr="00F475D6">
        <w:rPr>
          <w:rFonts w:ascii="Artifex CF Extra Light" w:hAnsi="Artifex CF Extra Light" w:cs="Times New Roman"/>
          <w:color w:val="1F4E79" w:themeColor="accent1" w:themeShade="80"/>
          <w:spacing w:val="10"/>
          <w:sz w:val="18"/>
          <w:szCs w:val="18"/>
          <w:lang w:val="es-DO"/>
        </w:rPr>
        <w:t xml:space="preserve"> árabe</w:t>
      </w:r>
      <w:r w:rsidR="2695B041" w:rsidRPr="00F475D6">
        <w:rPr>
          <w:rFonts w:ascii="Artifex CF Extra Light" w:hAnsi="Artifex CF Extra Light" w:cs="Times New Roman"/>
          <w:color w:val="1F4E79" w:themeColor="accent1" w:themeShade="80"/>
          <w:spacing w:val="10"/>
          <w:sz w:val="18"/>
          <w:szCs w:val="18"/>
          <w:lang w:val="es-DO"/>
        </w:rPr>
        <w:t>;</w:t>
      </w:r>
      <w:r w:rsidR="009069C8" w:rsidRPr="00F475D6">
        <w:rPr>
          <w:rFonts w:ascii="Artifex CF Extra Light" w:hAnsi="Artifex CF Extra Light" w:cs="Times New Roman"/>
          <w:color w:val="1F4E79" w:themeColor="accent1" w:themeShade="80"/>
          <w:spacing w:val="10"/>
          <w:sz w:val="18"/>
          <w:szCs w:val="18"/>
          <w:lang w:val="es-DO"/>
        </w:rPr>
        <w:t xml:space="preserve"> etc.</w:t>
      </w:r>
    </w:p>
    <w:p w14:paraId="11D8959B" w14:textId="49803772"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Finalmente, se ha contemplado </w:t>
      </w:r>
      <w:r w:rsidR="6EE6ED83" w:rsidRPr="007B3B38">
        <w:rPr>
          <w:rFonts w:ascii="Artifex CF Extra Light" w:hAnsi="Artifex CF Extra Light" w:cs="Times New Roman"/>
          <w:color w:val="1F4E79" w:themeColor="accent1" w:themeShade="80"/>
          <w:spacing w:val="10"/>
          <w:sz w:val="18"/>
          <w:szCs w:val="18"/>
          <w:lang w:val="es-DO"/>
        </w:rPr>
        <w:t xml:space="preserve">en la estructura organizativa una unidad </w:t>
      </w:r>
      <w:r w:rsidRPr="007B3B38">
        <w:rPr>
          <w:rFonts w:ascii="Artifex CF Extra Light" w:hAnsi="Artifex CF Extra Light" w:cs="Times New Roman"/>
          <w:color w:val="1F4E79" w:themeColor="accent1" w:themeShade="80"/>
          <w:spacing w:val="10"/>
          <w:sz w:val="18"/>
          <w:szCs w:val="18"/>
          <w:lang w:val="es-DO"/>
        </w:rPr>
        <w:t xml:space="preserve">para </w:t>
      </w:r>
      <w:r w:rsidR="0DD4C478" w:rsidRPr="007B3B38">
        <w:rPr>
          <w:rFonts w:ascii="Artifex CF Extra Light" w:hAnsi="Artifex CF Extra Light" w:cs="Times New Roman"/>
          <w:color w:val="1F4E79" w:themeColor="accent1" w:themeShade="80"/>
          <w:spacing w:val="10"/>
          <w:sz w:val="18"/>
          <w:szCs w:val="18"/>
          <w:lang w:val="es-DO"/>
        </w:rPr>
        <w:t>operar</w:t>
      </w:r>
      <w:r w:rsidRPr="007B3B38">
        <w:rPr>
          <w:rFonts w:ascii="Artifex CF Extra Light" w:hAnsi="Artifex CF Extra Light" w:cs="Times New Roman"/>
          <w:color w:val="1F4E79" w:themeColor="accent1" w:themeShade="80"/>
          <w:spacing w:val="10"/>
          <w:sz w:val="18"/>
          <w:szCs w:val="18"/>
          <w:lang w:val="es-DO"/>
        </w:rPr>
        <w:t xml:space="preserve"> la Ventanilla Única de Inversión (VUI), proyecto que aún se encuentra en fase de desarrollo.</w:t>
      </w:r>
    </w:p>
    <w:p w14:paraId="3CF02304" w14:textId="77777777" w:rsidR="009069C8" w:rsidRPr="00F475D6" w:rsidRDefault="009069C8" w:rsidP="00C16AB3">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47" w:name="_Toc58332476"/>
      <w:r w:rsidRPr="00F475D6">
        <w:rPr>
          <w:rFonts w:ascii="Artifex CF Extra Light" w:hAnsi="Artifex CF Extra Light" w:cs="Times New Roman"/>
          <w:b/>
          <w:color w:val="1F4E79" w:themeColor="accent1" w:themeShade="80"/>
          <w:spacing w:val="10"/>
          <w:sz w:val="20"/>
          <w:szCs w:val="20"/>
          <w:lang w:val="es-DO"/>
        </w:rPr>
        <w:t>Fortalecimiento de relaciones internacionales</w:t>
      </w:r>
      <w:bookmarkEnd w:id="47"/>
    </w:p>
    <w:p w14:paraId="637C23C6"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Se han realizado acercamientos para fortalecer las relaciones con las agencias de promoción homologas de todo el mundo, iniciando con el seguimiento y puesta en ejecución del acuerdo de colaboración con APEX Brasil, en proceso de firma de un acuerdo de colaboración con PROCOLOMBIA, y se están gestionando otros con distintas homologas tanto regional como en otras partes del mundo, como los casos de </w:t>
      </w:r>
      <w:r w:rsidRPr="007B3B38">
        <w:rPr>
          <w:rFonts w:ascii="Artifex CF Extra Light" w:hAnsi="Artifex CF Extra Light" w:cs="Times New Roman"/>
          <w:color w:val="1F4E79" w:themeColor="accent1" w:themeShade="80"/>
          <w:spacing w:val="10"/>
          <w:sz w:val="18"/>
          <w:szCs w:val="18"/>
          <w:lang w:val="es-DO"/>
        </w:rPr>
        <w:lastRenderedPageBreak/>
        <w:t>WESGRO de Sudáfrica y MATRADE de Malasia, este último llegando a través del acuerdo de colaboración con los países del “Commonwealth”, del cual Malasia forma parte.</w:t>
      </w:r>
    </w:p>
    <w:p w14:paraId="2C753C2C"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otro orden, se ha logrado la implementación del acuerdo interinstitucional con MIREX fortaleciendo la relación e interacción entre ambas instituciones, motorizando la actividad de nuestras embajadas y consulados en el exterior en la captación y referimiento de potenciales inversionistas. Lo mismo para los acercamientos y entendimientos de colaboración con las distintas embajadas en República Dominicana, como la de Estados Unidos, Suecia, Francia, México, Brasil, Alemania, Italia, la Mancomunidad (“Commonwealth”), para nombrar algunas.</w:t>
      </w:r>
    </w:p>
    <w:p w14:paraId="28922446"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Igualmente se está trabajando en el fortalecimiento de lazos y vínculos con otros estamentos del Estado, sean ministerios, direcciones e instituciones, para fortalecer la interacción gubernamental, sobre todo aquellas que mayormente inciden en nuestro diario gestionar como la DGAPP y Migración, con las cuales se está en proceso de formalizar acuerdos de cooperación interinstitucional.</w:t>
      </w:r>
    </w:p>
    <w:p w14:paraId="0986656E"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También se han estrechado los vínculos con ASIEX, la Asociación de Inversión Extranjera de la Republica Dominicana, generando mayor confianza entre sus integrantes y sentimiento de apoyo del sector público. Y por igual con el Consejo Nacional de Zonas Francas de Exportación (CNZFE), ADOZONA, CAMIPE, ASONAHORES, etc., así como los distintos gremios multinacionales que influyen en la actividad comercial como lo son AMCHAM, BRITCHAM, entre otros.</w:t>
      </w:r>
    </w:p>
    <w:p w14:paraId="39B56512" w14:textId="77777777" w:rsidR="00807A9C"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De la misma manera, se han realizado acercamientos y entendimientos de colaboración y</w:t>
      </w:r>
      <w:r w:rsidR="549FF680" w:rsidRPr="007B3B38">
        <w:rPr>
          <w:rFonts w:ascii="Artifex CF Extra Light" w:hAnsi="Artifex CF Extra Light" w:cs="Times New Roman"/>
          <w:color w:val="1F4E79" w:themeColor="accent1" w:themeShade="80"/>
          <w:spacing w:val="10"/>
          <w:sz w:val="18"/>
          <w:szCs w:val="18"/>
          <w:lang w:val="es-DO"/>
        </w:rPr>
        <w:t xml:space="preserve"> </w:t>
      </w:r>
      <w:r w:rsidRPr="007B3B38">
        <w:rPr>
          <w:rFonts w:ascii="Artifex CF Extra Light" w:hAnsi="Artifex CF Extra Light" w:cs="Times New Roman"/>
          <w:color w:val="1F4E79" w:themeColor="accent1" w:themeShade="80"/>
          <w:spacing w:val="10"/>
          <w:sz w:val="18"/>
          <w:szCs w:val="18"/>
          <w:lang w:val="es-DO"/>
        </w:rPr>
        <w:t>trabajo en conjunto para fortalecer la oferta y atraer mayor inversión al país, con entidades como Zona Franca Las Américas (ZFLA) y Corporación Zona Franca de Santiago (CZFS), dos (2) de los parques modelos y más representativos y modernos en su ámbito, así como con Scotiabank, Grupo Punta Cana, Cap Cana, para nombrar algunos.</w:t>
      </w:r>
    </w:p>
    <w:p w14:paraId="7060DF80" w14:textId="2D7014D1" w:rsidR="00EF12B5" w:rsidRPr="007B3B38" w:rsidRDefault="003201E5" w:rsidP="00C16AB3">
      <w:pPr>
        <w:pStyle w:val="Prrafodelista"/>
        <w:numPr>
          <w:ilvl w:val="0"/>
          <w:numId w:val="6"/>
        </w:numPr>
        <w:spacing w:before="380" w:after="120" w:line="456" w:lineRule="auto"/>
        <w:ind w:left="0" w:firstLine="284"/>
        <w:contextualSpacing w:val="0"/>
        <w:jc w:val="center"/>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b/>
          <w:color w:val="1F4E79" w:themeColor="accent1" w:themeShade="80"/>
          <w:spacing w:val="10"/>
          <w:sz w:val="18"/>
          <w:szCs w:val="18"/>
          <w:lang w:val="es-DO"/>
        </w:rPr>
        <w:lastRenderedPageBreak/>
        <w:t>EXPORTAR PARA CRECER</w:t>
      </w:r>
    </w:p>
    <w:p w14:paraId="5668ADC1" w14:textId="06247A58" w:rsidR="00F700D2" w:rsidRPr="007B3B38" w:rsidRDefault="00C973E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objetivo de este eje es orientar los esfuerzos conjuntos para incrementar las oportunidades y capacidades de los exportadores de acceder a nuevos mercados y ampliar su participación en los existentes. </w:t>
      </w:r>
      <w:r w:rsidR="00F700D2" w:rsidRPr="007B3B38">
        <w:rPr>
          <w:rFonts w:ascii="Artifex CF Extra Light" w:hAnsi="Artifex CF Extra Light" w:cs="Times New Roman"/>
          <w:color w:val="1F4E79" w:themeColor="accent1" w:themeShade="80"/>
          <w:spacing w:val="10"/>
          <w:sz w:val="18"/>
          <w:szCs w:val="18"/>
          <w:lang w:val="es-DO"/>
        </w:rPr>
        <w:t xml:space="preserve">Durante el año 2020, las principales acciones en pro de las exportaciones han sido: </w:t>
      </w:r>
    </w:p>
    <w:p w14:paraId="08DEBA88" w14:textId="3C03ACF8" w:rsidR="00F700D2" w:rsidRPr="007B3B38" w:rsidRDefault="009D6015" w:rsidP="00403735">
      <w:pPr>
        <w:pStyle w:val="Prrafodelista"/>
        <w:numPr>
          <w:ilvl w:val="1"/>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18"/>
          <w:szCs w:val="18"/>
          <w:lang w:val="es-DO"/>
        </w:rPr>
      </w:pPr>
      <w:bookmarkStart w:id="48" w:name="_Toc58332443"/>
      <w:r w:rsidRPr="007B3B38">
        <w:rPr>
          <w:rFonts w:ascii="Artifex CF Extra Light" w:hAnsi="Artifex CF Extra Light" w:cs="Times New Roman"/>
          <w:b/>
          <w:color w:val="1F4E79" w:themeColor="accent1" w:themeShade="80"/>
          <w:spacing w:val="10"/>
          <w:sz w:val="18"/>
          <w:szCs w:val="18"/>
          <w:lang w:val="es-DO"/>
        </w:rPr>
        <w:t>DESARROLLAR INICIATIVAS PARA IMPULSAR EL SECTOR EXPORTADOR</w:t>
      </w:r>
      <w:bookmarkStart w:id="49" w:name="_Toc58332444"/>
      <w:bookmarkEnd w:id="48"/>
    </w:p>
    <w:p w14:paraId="63A698B8" w14:textId="77777777" w:rsidR="00F700D2" w:rsidRPr="00F475D6" w:rsidRDefault="00F700D2" w:rsidP="00C16AB3">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t>Plan de Promoción Comercial</w:t>
      </w:r>
      <w:bookmarkEnd w:id="49"/>
      <w:r w:rsidRPr="00F475D6">
        <w:rPr>
          <w:rFonts w:ascii="Artifex CF Extra Light" w:hAnsi="Artifex CF Extra Light" w:cs="Times New Roman"/>
          <w:b/>
          <w:color w:val="1F4E79" w:themeColor="accent1" w:themeShade="80"/>
          <w:spacing w:val="10"/>
          <w:sz w:val="20"/>
          <w:szCs w:val="20"/>
          <w:lang w:val="es-DO"/>
        </w:rPr>
        <w:t xml:space="preserve"> </w:t>
      </w:r>
    </w:p>
    <w:p w14:paraId="093DB638" w14:textId="77777777"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Plan de Promoción Comercial es una herramienta de planificación y establecimiento de metas elaborado por la mesa técnica interinstitucional del Ministerio de Relaciones Exteriores (MIREX) y ProDominicana, la cual traza las pautas, objetivos e indicadores que deberá cumplir cada Responsable de la sección comercial designados en las Embajadas y Consulados dominicanos en el exterior en favor de la promoción de exportaciones y atracción de inversión extranjera a la República Dominicana, con un enfoque en el logro de resultados. </w:t>
      </w:r>
    </w:p>
    <w:p w14:paraId="2FBDD7B1" w14:textId="77777777"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desarrollo e implementación efectiva de este Plan de Promoción Comercial constituye parte importante de las medidas y actividades recomendadas en el Plan Nacional de Fomento a las Exportaciones 2030, en su pilar no. 3 para la diversificación y acceso a mercados e internacionalización de las empresas dominicanas, el cual busca fortalecer la red del comercio exterior, mediante acciones para una efectiva labor de promoción de exportaciones, captación de inversiones y posicionamiento competitivo de nuestro país a nivel internacional. </w:t>
      </w:r>
    </w:p>
    <w:p w14:paraId="1E684244" w14:textId="77777777" w:rsidR="00A94914" w:rsidRDefault="00A94914">
      <w:pPr>
        <w:rPr>
          <w:rFonts w:ascii="Artifex CF Extra Light" w:eastAsia="Open sans" w:hAnsi="Artifex CF Extra Light" w:cs="Times New Roman"/>
          <w:b/>
          <w:color w:val="1F4E79" w:themeColor="accent1" w:themeShade="80"/>
          <w:spacing w:val="10"/>
          <w:sz w:val="18"/>
          <w:szCs w:val="18"/>
          <w:lang w:val="es-DO"/>
        </w:rPr>
      </w:pPr>
      <w:bookmarkStart w:id="50" w:name="_Toc58332445"/>
      <w:r>
        <w:rPr>
          <w:rFonts w:ascii="Artifex CF Extra Light" w:eastAsia="Open sans" w:hAnsi="Artifex CF Extra Light" w:cs="Times New Roman"/>
          <w:b/>
          <w:color w:val="1F4E79" w:themeColor="accent1" w:themeShade="80"/>
          <w:spacing w:val="10"/>
          <w:sz w:val="18"/>
          <w:szCs w:val="18"/>
          <w:lang w:val="es-DO"/>
        </w:rPr>
        <w:br w:type="page"/>
      </w:r>
    </w:p>
    <w:p w14:paraId="21087A78" w14:textId="598D57A5" w:rsidR="00F700D2" w:rsidRPr="00F475D6" w:rsidRDefault="00F700D2" w:rsidP="00C16AB3">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lastRenderedPageBreak/>
        <w:t>Plan Nacional Fomento a las Exportaciones (PNFE)</w:t>
      </w:r>
      <w:bookmarkEnd w:id="50"/>
      <w:r w:rsidRPr="00F475D6">
        <w:rPr>
          <w:rFonts w:ascii="Artifex CF Extra Light" w:hAnsi="Artifex CF Extra Light" w:cs="Times New Roman"/>
          <w:b/>
          <w:color w:val="1F4E79" w:themeColor="accent1" w:themeShade="80"/>
          <w:spacing w:val="10"/>
          <w:sz w:val="20"/>
          <w:szCs w:val="20"/>
          <w:lang w:val="es-DO"/>
        </w:rPr>
        <w:t xml:space="preserve"> </w:t>
      </w:r>
    </w:p>
    <w:p w14:paraId="5D4F06EA" w14:textId="77777777" w:rsidR="00F700D2" w:rsidRPr="007B3B38" w:rsidRDefault="00F700D2" w:rsidP="00864966">
      <w:pPr>
        <w:spacing w:before="380" w:after="120" w:line="456" w:lineRule="auto"/>
        <w:ind w:firstLine="284"/>
        <w:jc w:val="both"/>
        <w:rPr>
          <w:rFonts w:ascii="Artifex CF Extra Light" w:eastAsia="Open sans" w:hAnsi="Artifex CF Extra Light" w:cs="Times New Roman"/>
          <w:color w:val="1F4E79" w:themeColor="accent1" w:themeShade="80"/>
          <w:spacing w:val="10"/>
          <w:sz w:val="18"/>
          <w:szCs w:val="18"/>
          <w:lang w:val="es-DO"/>
        </w:rPr>
      </w:pPr>
      <w:r w:rsidRPr="007B3B38">
        <w:rPr>
          <w:rFonts w:ascii="Artifex CF Extra Light" w:eastAsia="Open sans" w:hAnsi="Artifex CF Extra Light" w:cs="Times New Roman"/>
          <w:color w:val="1F4E79" w:themeColor="accent1" w:themeShade="80"/>
          <w:spacing w:val="10"/>
          <w:sz w:val="18"/>
          <w:szCs w:val="18"/>
          <w:lang w:val="es-DO"/>
        </w:rPr>
        <w:t xml:space="preserve">El 4 de noviembre se lanzó el “Plan Nacional de Fomento a las Exportaciones de la República Dominicana PNFE-RD 2020 – 2030”, esta iniciativa busca alinear el accionar público-privado del país, en favor de las exportaciones dominicanas.  </w:t>
      </w:r>
    </w:p>
    <w:p w14:paraId="3BC91720" w14:textId="77777777" w:rsidR="00F700D2" w:rsidRPr="007B3B38" w:rsidRDefault="00F700D2" w:rsidP="00864966">
      <w:pPr>
        <w:spacing w:before="380" w:after="120" w:line="456" w:lineRule="auto"/>
        <w:ind w:firstLine="284"/>
        <w:jc w:val="both"/>
        <w:rPr>
          <w:rFonts w:ascii="Artifex CF Extra Light" w:eastAsia="Open sans" w:hAnsi="Artifex CF Extra Light" w:cs="Times New Roman"/>
          <w:color w:val="1F4E79" w:themeColor="accent1" w:themeShade="80"/>
          <w:spacing w:val="10"/>
          <w:sz w:val="18"/>
          <w:szCs w:val="18"/>
          <w:lang w:val="es-DO"/>
        </w:rPr>
      </w:pPr>
      <w:r w:rsidRPr="007B3B38">
        <w:rPr>
          <w:rFonts w:ascii="Artifex CF Extra Light" w:eastAsia="Open sans" w:hAnsi="Artifex CF Extra Light" w:cs="Times New Roman"/>
          <w:color w:val="1F4E79" w:themeColor="accent1" w:themeShade="80"/>
          <w:spacing w:val="10"/>
          <w:sz w:val="18"/>
          <w:szCs w:val="18"/>
          <w:lang w:val="es-DO"/>
        </w:rPr>
        <w:t xml:space="preserve">Este Plan incorpora la visión articulada de la Estrategia Nacional de Desarrollo (END), así como las perspectivas y propuestas de instituciones, gremios y organizaciones nacionales e internacionales vinculadas al desarrollo exportador, así como de cientos de empresas exportadoras que asumen el reto de alcanzar nuevos mercados y de competir en la compleja globalidad. </w:t>
      </w:r>
    </w:p>
    <w:p w14:paraId="2C88F17B" w14:textId="77777777" w:rsidR="00F700D2" w:rsidRPr="007B3B38" w:rsidRDefault="00F700D2" w:rsidP="00864966">
      <w:pPr>
        <w:spacing w:before="380" w:after="120" w:line="456" w:lineRule="auto"/>
        <w:ind w:firstLine="284"/>
        <w:jc w:val="both"/>
        <w:rPr>
          <w:rFonts w:ascii="Artifex CF Extra Light" w:eastAsia="Open sans" w:hAnsi="Artifex CF Extra Light" w:cs="Times New Roman"/>
          <w:color w:val="1F4E79" w:themeColor="accent1" w:themeShade="80"/>
          <w:spacing w:val="10"/>
          <w:sz w:val="18"/>
          <w:szCs w:val="18"/>
          <w:lang w:val="es-DO"/>
        </w:rPr>
      </w:pPr>
      <w:r w:rsidRPr="007B3B38">
        <w:rPr>
          <w:rFonts w:ascii="Artifex CF Extra Light" w:eastAsia="Open sans" w:hAnsi="Artifex CF Extra Light" w:cs="Times New Roman"/>
          <w:color w:val="1F4E79" w:themeColor="accent1" w:themeShade="80"/>
          <w:spacing w:val="10"/>
          <w:sz w:val="18"/>
          <w:szCs w:val="18"/>
          <w:lang w:val="es-DO"/>
        </w:rPr>
        <w:t xml:space="preserve">A partir de un diagnóstico del sector exportador dominicano de los últimos 30 años, hemos estructurado un proceso de planificación que integra 5 pilares, 11 objetivos estratégicos, 26 líneas de acción y más 329 medidas o actividades puntuales. El valor agregado que logramos con esta herramienta es el disponer de indicadores y metas, con lo que avanzamos hacia una oferta exportable ampliada, de calidad e innovadora; la facilitación del comercio; el desarrollo de un sistema logístico competitivo; la diversificación estratégica de mercados y su internacionalización; la creación de un entorno favorable para la inversión; la movilización de los recursos necesarios para el desarrollo exportador, y, sobre todo, el desarrollo de la cultura exportadora y las capacidades requeridas para competir en los mercados internacionales, tomando en consideración el nuevo ecosistema digital que nos impone el mundo de hoy. </w:t>
      </w:r>
    </w:p>
    <w:p w14:paraId="1CA4C0C5" w14:textId="77777777" w:rsidR="00F700D2" w:rsidRPr="007B3B38" w:rsidRDefault="00F700D2" w:rsidP="00864966">
      <w:pPr>
        <w:spacing w:before="380" w:after="120" w:line="456" w:lineRule="auto"/>
        <w:ind w:firstLine="284"/>
        <w:jc w:val="both"/>
        <w:rPr>
          <w:rFonts w:ascii="Artifex CF Extra Light" w:eastAsia="Open sans" w:hAnsi="Artifex CF Extra Light" w:cs="Times New Roman"/>
          <w:color w:val="1F4E79" w:themeColor="accent1" w:themeShade="80"/>
          <w:spacing w:val="10"/>
          <w:sz w:val="18"/>
          <w:szCs w:val="18"/>
          <w:lang w:val="es-DO"/>
        </w:rPr>
      </w:pPr>
      <w:r w:rsidRPr="007B3B38">
        <w:rPr>
          <w:rFonts w:ascii="Artifex CF Extra Light" w:eastAsia="Open sans" w:hAnsi="Artifex CF Extra Light" w:cs="Times New Roman"/>
          <w:color w:val="1F4E79" w:themeColor="accent1" w:themeShade="80"/>
          <w:spacing w:val="10"/>
          <w:sz w:val="18"/>
          <w:szCs w:val="18"/>
          <w:lang w:val="es-DO"/>
        </w:rPr>
        <w:t xml:space="preserve">En ese sentido, una serie de actividades han sido incluidas para lograr el cumplimiento de los objetivos del PNFE 2020-2030 y de la Estrategia Nacional de Desarrollo 2030. Al combinar las políticas de desarrollo productivo y fomento a las exportaciones, lograremos un impacto en el objetivo específico 3.51 de la END, que comprende impulsar el desarrollo exportador sobre la base de una inserción competitiva en los mercados internacionales, y el objetivo 3.5.3 para elevar la productividad, competitividad y sostenibilidad ambiental y financiera de las cadenas </w:t>
      </w:r>
      <w:r w:rsidRPr="007B3B38">
        <w:rPr>
          <w:rFonts w:ascii="Artifex CF Extra Light" w:eastAsia="Open sans" w:hAnsi="Artifex CF Extra Light" w:cs="Times New Roman"/>
          <w:color w:val="1F4E79" w:themeColor="accent1" w:themeShade="80"/>
          <w:spacing w:val="10"/>
          <w:sz w:val="18"/>
          <w:szCs w:val="18"/>
          <w:lang w:val="es-DO"/>
        </w:rPr>
        <w:lastRenderedPageBreak/>
        <w:t>agro-productivas, a fin de contribuir a la seguridad alimentaria, aprovechar el potencial exportador y generar empleo e ingresos para la población rural.</w:t>
      </w:r>
    </w:p>
    <w:p w14:paraId="77840B2C" w14:textId="77777777" w:rsidR="00F700D2" w:rsidRPr="007B3B38" w:rsidRDefault="00F700D2" w:rsidP="00864966">
      <w:pPr>
        <w:spacing w:before="380" w:after="120" w:line="456" w:lineRule="auto"/>
        <w:ind w:firstLine="284"/>
        <w:jc w:val="both"/>
        <w:rPr>
          <w:rFonts w:ascii="Artifex CF Extra Light" w:eastAsia="Open sans" w:hAnsi="Artifex CF Extra Light" w:cs="Times New Roman"/>
          <w:color w:val="1F4E79" w:themeColor="accent1" w:themeShade="80"/>
          <w:spacing w:val="10"/>
          <w:sz w:val="18"/>
          <w:szCs w:val="18"/>
          <w:lang w:val="es-DO"/>
        </w:rPr>
      </w:pPr>
      <w:r w:rsidRPr="007B3B38">
        <w:rPr>
          <w:rFonts w:ascii="Artifex CF Extra Light" w:eastAsia="Open sans" w:hAnsi="Artifex CF Extra Light" w:cs="Times New Roman"/>
          <w:color w:val="1F4E79" w:themeColor="accent1" w:themeShade="80"/>
          <w:spacing w:val="10"/>
          <w:sz w:val="18"/>
          <w:szCs w:val="18"/>
          <w:lang w:val="es-DO"/>
        </w:rPr>
        <w:t xml:space="preserve">El compromiso de las autoridades dominicanas a través de sus ministerios y direcciones son vitales en este proceso de ejecución de las líneas de acción estipuladas. Desde ProDominicana estamos dando pasos firmes para garantizar a todos los exportadores dominicanos, el acompañamiento, los servicios y las herramientas que les permitan potenciar sus exportaciones en los mercados internacionales, garantizando la continuidad y la consistencia. La articulación público-privada y el compromiso sectorial nos llevará sin lugar a duda a dar el tan anhelado salto exportador. </w:t>
      </w:r>
    </w:p>
    <w:p w14:paraId="1FAD8D60" w14:textId="6FAD3675" w:rsidR="00F700D2" w:rsidRPr="007B3B38" w:rsidRDefault="009D6015" w:rsidP="00C16AB3">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color w:val="1F4E79" w:themeColor="accent1" w:themeShade="80"/>
          <w:spacing w:val="10"/>
          <w:sz w:val="18"/>
          <w:szCs w:val="18"/>
          <w:lang w:val="es-DO"/>
        </w:rPr>
      </w:pPr>
      <w:bookmarkStart w:id="51" w:name="_Toc58332446"/>
      <w:r w:rsidRPr="007B3B38">
        <w:rPr>
          <w:rFonts w:ascii="Artifex CF Extra Light" w:eastAsia="Open sans" w:hAnsi="Artifex CF Extra Light" w:cs="Times New Roman"/>
          <w:b/>
          <w:color w:val="1F4E79" w:themeColor="accent1" w:themeShade="80"/>
          <w:spacing w:val="10"/>
          <w:sz w:val="18"/>
          <w:szCs w:val="18"/>
          <w:lang w:val="es-DO"/>
        </w:rPr>
        <w:t>BRINDAR ASISTENCIA A EXPORTADORES</w:t>
      </w:r>
      <w:bookmarkEnd w:id="51"/>
    </w:p>
    <w:p w14:paraId="60154F0D" w14:textId="77777777"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highlight w:val="yellow"/>
          <w:lang w:val="es-DO"/>
        </w:rPr>
      </w:pPr>
      <w:r w:rsidRPr="007B3B38">
        <w:rPr>
          <w:rFonts w:ascii="Artifex CF Extra Light" w:hAnsi="Artifex CF Extra Light" w:cs="Times New Roman"/>
          <w:color w:val="1F4E79" w:themeColor="accent1" w:themeShade="80"/>
          <w:spacing w:val="10"/>
          <w:sz w:val="18"/>
          <w:szCs w:val="18"/>
          <w:lang w:val="es-DO"/>
        </w:rPr>
        <w:t>Con el objetivo de hacer llegar los servicios de ProDominicana a más empresas exportadoras o con potencial exportador, la dirección de exportación a captado 197 nuevos clientes de diferentes productos durante el año 2020, estas empresas ya forman parte de la cartera de clientes y se les ha brindado al menos uno de los servicios de ProDominicana.</w:t>
      </w:r>
    </w:p>
    <w:p w14:paraId="2C8681E3" w14:textId="77777777"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De igual manera se ha brindado asistencia técnica a 438 exportadores que ya eran clientes habituales de ProDominicana, estas asistencias técnicas, tanto para los nuevos clientes, como para los habituales han sido en:</w:t>
      </w:r>
    </w:p>
    <w:p w14:paraId="3F31A4FA" w14:textId="77777777" w:rsidR="00F700D2" w:rsidRPr="00F475D6" w:rsidRDefault="00F700D2" w:rsidP="00C16AB3">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52" w:name="_Toc58332447"/>
      <w:r w:rsidRPr="00F475D6">
        <w:rPr>
          <w:rFonts w:ascii="Artifex CF Extra Light" w:hAnsi="Artifex CF Extra Light" w:cs="Times New Roman"/>
          <w:b/>
          <w:color w:val="1F4E79" w:themeColor="accent1" w:themeShade="80"/>
          <w:spacing w:val="10"/>
          <w:sz w:val="20"/>
          <w:szCs w:val="20"/>
          <w:lang w:val="es-DO"/>
        </w:rPr>
        <w:t>Participación en ferias comerciales y otros eventos de promoción comercial</w:t>
      </w:r>
      <w:bookmarkEnd w:id="52"/>
    </w:p>
    <w:p w14:paraId="6E92D78B" w14:textId="4FF08C1F" w:rsidR="000D321A" w:rsidRPr="007B3B38" w:rsidRDefault="00F700D2"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 xml:space="preserve">Debido al reto mundial que enfrenta el comercio internacional ante el Covid-19, los eventos de promoción local e internacional planificados a partir del mes de marzo tuvieron que ser suspendidos. Sin embargo, ProDominicana reenfocó los esfuerzos en la realización de ferias en la modalidad virtual, tendencia que actualmente se está desarrollando internacionalmente. Para el caso de las ferias virtuales organizadas </w:t>
      </w:r>
      <w:r w:rsidRPr="007B3B38">
        <w:rPr>
          <w:rFonts w:ascii="Artifex CF Extra Light" w:eastAsia="Montserrat" w:hAnsi="Artifex CF Extra Light" w:cs="Times New Roman"/>
          <w:color w:val="1F4E79" w:themeColor="accent1" w:themeShade="80"/>
          <w:spacing w:val="10"/>
          <w:sz w:val="18"/>
          <w:szCs w:val="18"/>
          <w:lang w:val="es-DO"/>
        </w:rPr>
        <w:lastRenderedPageBreak/>
        <w:t xml:space="preserve">desde </w:t>
      </w:r>
      <w:r w:rsidR="00E80F85" w:rsidRPr="007B3B38">
        <w:rPr>
          <w:rFonts w:ascii="Artifex CF Extra Light" w:eastAsia="Montserrat" w:hAnsi="Artifex CF Extra Light" w:cs="Times New Roman"/>
          <w:color w:val="1F4E79" w:themeColor="accent1" w:themeShade="80"/>
          <w:spacing w:val="10"/>
          <w:sz w:val="18"/>
          <w:szCs w:val="18"/>
          <w:lang w:val="es-DO"/>
        </w:rPr>
        <w:t>ProDominicana</w:t>
      </w:r>
      <w:r w:rsidRPr="007B3B38">
        <w:rPr>
          <w:rFonts w:ascii="Artifex CF Extra Light" w:eastAsia="Montserrat" w:hAnsi="Artifex CF Extra Light" w:cs="Times New Roman"/>
          <w:color w:val="1F4E79" w:themeColor="accent1" w:themeShade="80"/>
          <w:spacing w:val="10"/>
          <w:sz w:val="18"/>
          <w:szCs w:val="18"/>
          <w:lang w:val="es-DO"/>
        </w:rPr>
        <w:t>, se ha habilitado dentro de la plataforma de negocios ProDominicana Connect un módulo de Ferias Virtuales.</w:t>
      </w:r>
    </w:p>
    <w:p w14:paraId="4097B136" w14:textId="35BF116F" w:rsidR="55B329FA" w:rsidRPr="007B3B38" w:rsidRDefault="55B329FA"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 xml:space="preserve">Los resultados alcanzados durante el </w:t>
      </w:r>
      <w:r w:rsidR="00880870" w:rsidRPr="007B3B38">
        <w:rPr>
          <w:rFonts w:ascii="Artifex CF Extra Light" w:eastAsia="Montserrat" w:hAnsi="Artifex CF Extra Light" w:cs="Times New Roman"/>
          <w:color w:val="1F4E79" w:themeColor="accent1" w:themeShade="80"/>
          <w:spacing w:val="10"/>
          <w:sz w:val="18"/>
          <w:szCs w:val="18"/>
          <w:lang w:val="es-DO"/>
        </w:rPr>
        <w:t>período</w:t>
      </w:r>
      <w:r w:rsidRPr="007B3B38">
        <w:rPr>
          <w:rFonts w:ascii="Artifex CF Extra Light" w:eastAsia="Montserrat" w:hAnsi="Artifex CF Extra Light" w:cs="Times New Roman"/>
          <w:color w:val="1F4E79" w:themeColor="accent1" w:themeShade="80"/>
          <w:spacing w:val="10"/>
          <w:sz w:val="18"/>
          <w:szCs w:val="18"/>
          <w:lang w:val="es-DO"/>
        </w:rPr>
        <w:t xml:space="preserve"> enero-marzo 2020, pre-cierre nacional por Pandemia, s</w:t>
      </w:r>
      <w:r w:rsidR="288E3025" w:rsidRPr="007B3B38">
        <w:rPr>
          <w:rFonts w:ascii="Artifex CF Extra Light" w:eastAsia="Montserrat" w:hAnsi="Artifex CF Extra Light" w:cs="Times New Roman"/>
          <w:color w:val="1F4E79" w:themeColor="accent1" w:themeShade="80"/>
          <w:spacing w:val="10"/>
          <w:sz w:val="18"/>
          <w:szCs w:val="18"/>
          <w:lang w:val="es-DO"/>
        </w:rPr>
        <w:t>e muestran a continuación.</w:t>
      </w:r>
    </w:p>
    <w:p w14:paraId="1263EFB4" w14:textId="77777777" w:rsidR="00F700D2" w:rsidRPr="00F475D6" w:rsidRDefault="00F700D2" w:rsidP="00C16AB3">
      <w:pPr>
        <w:pStyle w:val="Prrafodelista"/>
        <w:numPr>
          <w:ilvl w:val="3"/>
          <w:numId w:val="6"/>
        </w:numPr>
        <w:spacing w:before="380" w:after="120" w:line="456" w:lineRule="auto"/>
        <w:ind w:left="284" w:hanging="284"/>
        <w:contextualSpacing w:val="0"/>
        <w:jc w:val="center"/>
        <w:rPr>
          <w:rFonts w:ascii="Artifex CF Extra Light" w:hAnsi="Artifex CF Extra Light"/>
          <w:b/>
          <w:color w:val="1F4E79" w:themeColor="accent1" w:themeShade="80"/>
          <w:spacing w:val="10"/>
          <w:sz w:val="20"/>
          <w:szCs w:val="20"/>
        </w:rPr>
      </w:pPr>
      <w:bookmarkStart w:id="53" w:name="_Toc58332448"/>
      <w:r w:rsidRPr="00F475D6">
        <w:rPr>
          <w:rStyle w:val="normaltextrun"/>
          <w:rFonts w:ascii="Artifex CF Extra Light" w:hAnsi="Artifex CF Extra Light"/>
          <w:b/>
          <w:color w:val="1F4E79" w:themeColor="accent1" w:themeShade="80"/>
          <w:spacing w:val="10"/>
          <w:sz w:val="20"/>
          <w:szCs w:val="20"/>
        </w:rPr>
        <w:t>Ferias comerciales</w:t>
      </w:r>
      <w:bookmarkEnd w:id="53"/>
    </w:p>
    <w:p w14:paraId="1EEF77C7" w14:textId="7CF5C565" w:rsidR="00F700D2" w:rsidRPr="007B3B38" w:rsidRDefault="7C5DB7E5" w:rsidP="00864966">
      <w:pPr>
        <w:spacing w:before="380" w:after="120" w:line="456" w:lineRule="auto"/>
        <w:ind w:firstLine="284"/>
        <w:jc w:val="both"/>
        <w:rPr>
          <w:rStyle w:val="normaltextrun"/>
          <w:rFonts w:ascii="Artifex CF Extra Ligh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En</w:t>
      </w:r>
      <w:r w:rsidR="00F700D2" w:rsidRPr="007B3B38">
        <w:rPr>
          <w:rFonts w:ascii="Artifex CF Extra Light" w:eastAsia="Montserrat" w:hAnsi="Artifex CF Extra Light" w:cs="Times New Roman"/>
          <w:color w:val="1F4E79" w:themeColor="accent1" w:themeShade="80"/>
          <w:spacing w:val="10"/>
          <w:sz w:val="18"/>
          <w:szCs w:val="18"/>
          <w:lang w:val="es-DO"/>
        </w:rPr>
        <w:t xml:space="preserve"> el mes de febrero se llevó a cabo 2 </w:t>
      </w:r>
      <w:r w:rsidR="00F700D2" w:rsidRPr="007B3B38">
        <w:rPr>
          <w:rFonts w:ascii="Artifex CF Extra Light" w:hAnsi="Artifex CF Extra Light" w:cs="Times New Roman"/>
          <w:color w:val="1F4E79" w:themeColor="accent1" w:themeShade="80"/>
          <w:spacing w:val="10"/>
          <w:sz w:val="18"/>
          <w:szCs w:val="18"/>
          <w:lang w:val="es-DO"/>
        </w:rPr>
        <w:t xml:space="preserve">ferias comerciales en las que 55 empresas clientes de ProDominicana ofrecieron sus productos y/o servicios, alcanzando un monto de intención de negocio de US$ 20,422,090. Estas ferias se desglosan a continuación: </w:t>
      </w:r>
    </w:p>
    <w:p w14:paraId="63D2C749" w14:textId="77777777" w:rsidR="00F700D2" w:rsidRPr="00F475D6" w:rsidRDefault="00F700D2" w:rsidP="00C16AB3">
      <w:pPr>
        <w:pStyle w:val="Prrafodelista"/>
        <w:numPr>
          <w:ilvl w:val="4"/>
          <w:numId w:val="6"/>
        </w:numPr>
        <w:spacing w:before="380" w:after="120" w:line="456" w:lineRule="auto"/>
        <w:ind w:left="284" w:hanging="284"/>
        <w:contextualSpacing w:val="0"/>
        <w:jc w:val="center"/>
        <w:rPr>
          <w:rStyle w:val="normaltextrun"/>
          <w:rFonts w:ascii="Artifex CF Extra Light" w:hAnsi="Artifex CF Extra Light"/>
          <w:b/>
          <w:color w:val="1F4E79" w:themeColor="accent1" w:themeShade="80"/>
          <w:spacing w:val="10"/>
          <w:sz w:val="20"/>
          <w:szCs w:val="20"/>
        </w:rPr>
      </w:pPr>
      <w:bookmarkStart w:id="54" w:name="_Toc58332449"/>
      <w:r w:rsidRPr="00F475D6">
        <w:rPr>
          <w:rStyle w:val="normaltextrun"/>
          <w:rFonts w:ascii="Artifex CF Extra Light" w:hAnsi="Artifex CF Extra Light" w:cs="Calibri"/>
          <w:b/>
          <w:color w:val="1F4E79" w:themeColor="accent1" w:themeShade="80"/>
          <w:spacing w:val="10"/>
          <w:sz w:val="20"/>
          <w:szCs w:val="20"/>
          <w:lang w:val="es-ES"/>
        </w:rPr>
        <w:t>Fruit</w:t>
      </w:r>
      <w:r w:rsidRPr="00F475D6">
        <w:rPr>
          <w:rStyle w:val="normaltextrun"/>
          <w:rFonts w:ascii="Calibri" w:hAnsi="Calibri" w:cs="Calibri"/>
          <w:b/>
          <w:color w:val="1F4E79" w:themeColor="accent1" w:themeShade="80"/>
          <w:spacing w:val="10"/>
          <w:sz w:val="20"/>
          <w:szCs w:val="20"/>
        </w:rPr>
        <w:t> </w:t>
      </w:r>
      <w:r w:rsidRPr="00F475D6">
        <w:rPr>
          <w:rStyle w:val="normaltextrun"/>
          <w:rFonts w:ascii="Artifex CF Extra Light" w:hAnsi="Artifex CF Extra Light"/>
          <w:b/>
          <w:color w:val="1F4E79" w:themeColor="accent1" w:themeShade="80"/>
          <w:spacing w:val="10"/>
          <w:sz w:val="20"/>
          <w:szCs w:val="20"/>
        </w:rPr>
        <w:t>Logistic</w:t>
      </w:r>
      <w:r w:rsidRPr="00F475D6">
        <w:rPr>
          <w:rStyle w:val="normaltextrun"/>
          <w:rFonts w:ascii="Calibri" w:hAnsi="Calibri" w:cs="Calibri"/>
          <w:b/>
          <w:color w:val="1F4E79" w:themeColor="accent1" w:themeShade="80"/>
          <w:spacing w:val="10"/>
          <w:sz w:val="20"/>
          <w:szCs w:val="20"/>
        </w:rPr>
        <w:t> </w:t>
      </w:r>
      <w:r w:rsidRPr="00F475D6">
        <w:rPr>
          <w:rStyle w:val="normaltextrun"/>
          <w:rFonts w:ascii="Artifex CF Extra Light" w:hAnsi="Artifex CF Extra Light"/>
          <w:b/>
          <w:color w:val="1F4E79" w:themeColor="accent1" w:themeShade="80"/>
          <w:spacing w:val="10"/>
          <w:sz w:val="20"/>
          <w:szCs w:val="20"/>
        </w:rPr>
        <w:t>2020</w:t>
      </w:r>
      <w:bookmarkEnd w:id="54"/>
    </w:p>
    <w:p w14:paraId="28342BFD" w14:textId="77777777" w:rsidR="00F700D2" w:rsidRPr="007B3B38" w:rsidRDefault="00F700D2"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Llevada a cabo del 5 al 7 de febrero del 2020, se presentaron en Berlín empresas del sector de productos frescos, con el objetivo de fortalecer las relaciones comerciales existentes entre la República Dominicana y la Unión Europea, además de establecer contactos para nuevas oportunidades de negocios a los exportadores participantes.</w:t>
      </w:r>
    </w:p>
    <w:p w14:paraId="74885509" w14:textId="77777777" w:rsidR="00F700D2" w:rsidRPr="007B3B38" w:rsidRDefault="00F700D2"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Se contó con la participación de una delegación de veintitrés (23) empresas del sector agroexportador dominicano, de las cuales quince (15) expusieron sus productos, y otras ocho (8) fueron como visitantes para realizar networking. Los principales productos exhibidos fueron: Mango, Aguacate, Banano, Piña, Limón, Coco Seco, Miel, Galletas Dulces, Cacao, Ajíes, Cervezas Artesanales, Aguacates y Tomates.</w:t>
      </w:r>
    </w:p>
    <w:p w14:paraId="2D332917" w14:textId="77777777" w:rsidR="00F700D2" w:rsidRPr="007B3B38" w:rsidRDefault="00F700D2"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Con la participación en esta feria se obtuvieron intenciones de negocio por valor de USD 11,585,530.00 y montos de negocio cerrados por USD 355,080.00.</w:t>
      </w:r>
    </w:p>
    <w:p w14:paraId="6C29EE95" w14:textId="77777777" w:rsidR="00C16AB3" w:rsidRDefault="00C16AB3">
      <w:pPr>
        <w:rPr>
          <w:rStyle w:val="normaltextrun"/>
          <w:rFonts w:ascii="Artifex CF Extra Light" w:hAnsi="Artifex CF Extra Light" w:cs="Calibri"/>
          <w:b/>
          <w:color w:val="1F4E79" w:themeColor="accent1" w:themeShade="80"/>
          <w:spacing w:val="10"/>
          <w:sz w:val="18"/>
          <w:szCs w:val="18"/>
          <w:lang w:val="es-ES"/>
        </w:rPr>
      </w:pPr>
      <w:bookmarkStart w:id="55" w:name="_Toc58332450"/>
      <w:r>
        <w:rPr>
          <w:rStyle w:val="normaltextrun"/>
          <w:rFonts w:ascii="Artifex CF Extra Light" w:hAnsi="Artifex CF Extra Light" w:cs="Calibri"/>
          <w:b/>
          <w:color w:val="1F4E79" w:themeColor="accent1" w:themeShade="80"/>
          <w:spacing w:val="10"/>
          <w:sz w:val="18"/>
          <w:szCs w:val="18"/>
          <w:lang w:val="es-ES"/>
        </w:rPr>
        <w:br w:type="page"/>
      </w:r>
    </w:p>
    <w:p w14:paraId="1EBC23B6" w14:textId="4457822E" w:rsidR="00F700D2" w:rsidRPr="00F475D6" w:rsidRDefault="00F700D2" w:rsidP="00C16AB3">
      <w:pPr>
        <w:pStyle w:val="Prrafodelista"/>
        <w:numPr>
          <w:ilvl w:val="4"/>
          <w:numId w:val="6"/>
        </w:numPr>
        <w:spacing w:before="380" w:after="120" w:line="456" w:lineRule="auto"/>
        <w:ind w:left="284" w:hanging="284"/>
        <w:contextualSpacing w:val="0"/>
        <w:jc w:val="center"/>
        <w:rPr>
          <w:rStyle w:val="normaltextrun"/>
          <w:rFonts w:cs="Calibri"/>
          <w:b/>
          <w:sz w:val="28"/>
          <w:szCs w:val="28"/>
          <w:lang w:val="es-ES"/>
        </w:rPr>
      </w:pPr>
      <w:r w:rsidRPr="00F475D6">
        <w:rPr>
          <w:rStyle w:val="normaltextrun"/>
          <w:rFonts w:ascii="Artifex CF Extra Light" w:hAnsi="Artifex CF Extra Light" w:cs="Calibri"/>
          <w:b/>
          <w:color w:val="1F4E79" w:themeColor="accent1" w:themeShade="80"/>
          <w:spacing w:val="10"/>
          <w:sz w:val="20"/>
          <w:szCs w:val="20"/>
          <w:lang w:val="es-ES"/>
        </w:rPr>
        <w:lastRenderedPageBreak/>
        <w:t>PMA</w:t>
      </w:r>
      <w:r w:rsidRPr="00F475D6">
        <w:rPr>
          <w:rStyle w:val="normaltextrun"/>
          <w:rFonts w:ascii="Calibri" w:hAnsi="Calibri" w:cs="Calibri"/>
          <w:b/>
          <w:color w:val="1F4E79" w:themeColor="accent1" w:themeShade="80"/>
          <w:spacing w:val="10"/>
          <w:sz w:val="20"/>
          <w:szCs w:val="20"/>
          <w:lang w:val="es-ES"/>
        </w:rPr>
        <w:t> </w:t>
      </w:r>
      <w:r w:rsidRPr="00F475D6">
        <w:rPr>
          <w:rStyle w:val="normaltextrun"/>
          <w:rFonts w:ascii="Artifex CF Extra Light" w:hAnsi="Artifex CF Extra Light" w:cs="Calibri"/>
          <w:b/>
          <w:color w:val="1F4E79" w:themeColor="accent1" w:themeShade="80"/>
          <w:spacing w:val="10"/>
          <w:sz w:val="20"/>
          <w:szCs w:val="20"/>
          <w:lang w:val="es-ES"/>
        </w:rPr>
        <w:t>Fresh</w:t>
      </w:r>
      <w:r w:rsidRPr="00F475D6">
        <w:rPr>
          <w:rStyle w:val="normaltextrun"/>
          <w:rFonts w:ascii="Calibri" w:hAnsi="Calibri" w:cs="Calibri"/>
          <w:b/>
          <w:color w:val="1F4E79" w:themeColor="accent1" w:themeShade="80"/>
          <w:spacing w:val="10"/>
          <w:sz w:val="20"/>
          <w:szCs w:val="20"/>
          <w:lang w:val="es-ES"/>
        </w:rPr>
        <w:t> </w:t>
      </w:r>
      <w:r w:rsidRPr="00F475D6">
        <w:rPr>
          <w:rStyle w:val="normaltextrun"/>
          <w:rFonts w:ascii="Artifex CF Extra Light" w:hAnsi="Artifex CF Extra Light" w:cs="Calibri"/>
          <w:b/>
          <w:color w:val="1F4E79" w:themeColor="accent1" w:themeShade="80"/>
          <w:spacing w:val="10"/>
          <w:sz w:val="20"/>
          <w:szCs w:val="20"/>
          <w:lang w:val="es-ES"/>
        </w:rPr>
        <w:t>Summit 2020</w:t>
      </w:r>
      <w:r w:rsidRPr="00F475D6">
        <w:rPr>
          <w:rStyle w:val="normaltextrun"/>
          <w:rFonts w:ascii="Calibri" w:hAnsi="Calibri" w:cs="Calibri"/>
          <w:b/>
          <w:color w:val="1F4E79" w:themeColor="accent1" w:themeShade="80"/>
          <w:spacing w:val="10"/>
          <w:sz w:val="20"/>
          <w:szCs w:val="20"/>
          <w:lang w:val="es-ES"/>
        </w:rPr>
        <w:t> </w:t>
      </w:r>
      <w:r w:rsidRPr="00F475D6">
        <w:rPr>
          <w:rStyle w:val="normaltextrun"/>
          <w:rFonts w:ascii="Artifex CF Extra Light" w:hAnsi="Artifex CF Extra Light" w:cs="Calibri"/>
          <w:b/>
          <w:color w:val="1F4E79" w:themeColor="accent1" w:themeShade="80"/>
          <w:spacing w:val="10"/>
          <w:sz w:val="20"/>
          <w:szCs w:val="20"/>
          <w:lang w:val="es-ES"/>
        </w:rPr>
        <w:t>(13 de</w:t>
      </w:r>
      <w:r w:rsidRPr="00F475D6">
        <w:rPr>
          <w:rStyle w:val="normaltextrun"/>
          <w:rFonts w:ascii="Calibri" w:hAnsi="Calibri" w:cs="Calibri"/>
          <w:b/>
          <w:color w:val="1F4E79" w:themeColor="accent1" w:themeShade="80"/>
          <w:spacing w:val="10"/>
          <w:sz w:val="20"/>
          <w:szCs w:val="20"/>
          <w:lang w:val="es-ES"/>
        </w:rPr>
        <w:t> </w:t>
      </w:r>
      <w:r w:rsidRPr="00F475D6">
        <w:rPr>
          <w:rStyle w:val="normaltextrun"/>
          <w:rFonts w:ascii="Artifex CF Extra Light" w:hAnsi="Artifex CF Extra Light" w:cs="Calibri"/>
          <w:b/>
          <w:color w:val="1F4E79" w:themeColor="accent1" w:themeShade="80"/>
          <w:spacing w:val="10"/>
          <w:sz w:val="20"/>
          <w:szCs w:val="20"/>
          <w:lang w:val="es-ES"/>
        </w:rPr>
        <w:t>octubre</w:t>
      </w:r>
      <w:r w:rsidRPr="00F475D6">
        <w:rPr>
          <w:rStyle w:val="normaltextrun"/>
          <w:rFonts w:ascii="Calibri" w:hAnsi="Calibri" w:cs="Calibri"/>
          <w:b/>
          <w:color w:val="1F4E79" w:themeColor="accent1" w:themeShade="80"/>
          <w:spacing w:val="10"/>
          <w:sz w:val="20"/>
          <w:szCs w:val="20"/>
          <w:lang w:val="es-ES"/>
        </w:rPr>
        <w:t> </w:t>
      </w:r>
      <w:r w:rsidRPr="00F475D6">
        <w:rPr>
          <w:rStyle w:val="normaltextrun"/>
          <w:rFonts w:ascii="Artifex CF Extra Light" w:hAnsi="Artifex CF Extra Light" w:cs="Calibri"/>
          <w:b/>
          <w:color w:val="1F4E79" w:themeColor="accent1" w:themeShade="80"/>
          <w:spacing w:val="10"/>
          <w:sz w:val="20"/>
          <w:szCs w:val="20"/>
          <w:lang w:val="es-ES"/>
        </w:rPr>
        <w:t>al 13 de</w:t>
      </w:r>
      <w:r w:rsidRPr="00F475D6">
        <w:rPr>
          <w:rStyle w:val="normaltextrun"/>
          <w:rFonts w:ascii="Calibri" w:hAnsi="Calibri" w:cs="Calibri"/>
          <w:b/>
          <w:color w:val="1F4E79" w:themeColor="accent1" w:themeShade="80"/>
          <w:spacing w:val="10"/>
          <w:sz w:val="20"/>
          <w:szCs w:val="20"/>
          <w:lang w:val="es-ES"/>
        </w:rPr>
        <w:t> </w:t>
      </w:r>
      <w:r w:rsidRPr="00F475D6">
        <w:rPr>
          <w:rStyle w:val="normaltextrun"/>
          <w:rFonts w:ascii="Artifex CF Extra Light" w:hAnsi="Artifex CF Extra Light" w:cs="Calibri"/>
          <w:b/>
          <w:color w:val="1F4E79" w:themeColor="accent1" w:themeShade="80"/>
          <w:spacing w:val="10"/>
          <w:sz w:val="20"/>
          <w:szCs w:val="20"/>
          <w:lang w:val="es-ES"/>
        </w:rPr>
        <w:t>noviembre</w:t>
      </w:r>
      <w:r w:rsidRPr="00F475D6">
        <w:rPr>
          <w:rStyle w:val="normaltextrun"/>
          <w:rFonts w:ascii="Calibri" w:hAnsi="Calibri" w:cs="Calibri"/>
          <w:b/>
          <w:color w:val="1F4E79" w:themeColor="accent1" w:themeShade="80"/>
          <w:spacing w:val="10"/>
          <w:sz w:val="20"/>
          <w:szCs w:val="20"/>
          <w:lang w:val="es-ES"/>
        </w:rPr>
        <w:t> </w:t>
      </w:r>
      <w:r w:rsidRPr="00F475D6">
        <w:rPr>
          <w:rStyle w:val="normaltextrun"/>
          <w:rFonts w:ascii="Artifex CF Extra Light" w:hAnsi="Artifex CF Extra Light" w:cs="Calibri"/>
          <w:b/>
          <w:color w:val="1F4E79" w:themeColor="accent1" w:themeShade="80"/>
          <w:spacing w:val="10"/>
          <w:sz w:val="20"/>
          <w:szCs w:val="20"/>
          <w:lang w:val="es-ES"/>
        </w:rPr>
        <w:t>del 2020)</w:t>
      </w:r>
      <w:bookmarkEnd w:id="55"/>
      <w:r w:rsidRPr="00F475D6">
        <w:rPr>
          <w:rStyle w:val="normaltextrun"/>
          <w:rFonts w:ascii="Calibri" w:hAnsi="Calibri" w:cs="Calibri"/>
          <w:b/>
          <w:sz w:val="28"/>
          <w:szCs w:val="28"/>
          <w:lang w:val="es-ES"/>
        </w:rPr>
        <w:t> </w:t>
      </w:r>
    </w:p>
    <w:p w14:paraId="32B2B41E" w14:textId="77777777" w:rsidR="00F700D2" w:rsidRPr="007B3B38" w:rsidRDefault="00F700D2" w:rsidP="00864966">
      <w:pPr>
        <w:spacing w:before="380" w:after="120" w:line="456" w:lineRule="auto"/>
        <w:ind w:firstLine="284"/>
        <w:jc w:val="both"/>
        <w:rPr>
          <w:rFonts w:ascii="Artifex CF Extra Light" w:eastAsia="Book Antiqua" w:hAnsi="Artifex CF Extra Light" w:cs="Times New Roman"/>
          <w:color w:val="1F4E79" w:themeColor="accent1" w:themeShade="80"/>
          <w:spacing w:val="10"/>
          <w:sz w:val="18"/>
          <w:szCs w:val="18"/>
          <w:lang w:val="es-DO"/>
        </w:rPr>
      </w:pPr>
      <w:r w:rsidRPr="007B3B38">
        <w:rPr>
          <w:rFonts w:ascii="Artifex CF Extra Light" w:eastAsia="Book Antiqua" w:hAnsi="Artifex CF Extra Light" w:cs="Times New Roman"/>
          <w:color w:val="1F4E79" w:themeColor="accent1" w:themeShade="80"/>
          <w:spacing w:val="10"/>
          <w:sz w:val="18"/>
          <w:szCs w:val="18"/>
          <w:lang w:val="es-DO"/>
        </w:rPr>
        <w:t xml:space="preserve">La Fresh Summit del Produce Marketing Association, es el evento anual donde empresas de frutas, vegetales, floristería y tecnología se unen y ofrecen la oferta de los mejores productos del mercado. Este evento es realizado todos los años y es considerado el más importante para los sectores ya mencionados, puesto que se ha convertido en el óptimo escenario de promoción y networking para los más de 20,000 participantes provenientes de más de 60 países.  </w:t>
      </w:r>
    </w:p>
    <w:p w14:paraId="0CB4A2D1" w14:textId="3FBA0781" w:rsidR="00F700D2" w:rsidRPr="007B3B38" w:rsidRDefault="00F700D2"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7B3B38">
        <w:rPr>
          <w:rFonts w:ascii="Artifex CF Extra Light" w:eastAsia="Montserrat" w:hAnsi="Artifex CF Extra Light"/>
          <w:color w:val="1F4E79" w:themeColor="accent1" w:themeShade="80"/>
          <w:spacing w:val="10"/>
          <w:sz w:val="18"/>
          <w:szCs w:val="18"/>
          <w:lang w:val="es-ES"/>
        </w:rPr>
        <w:t xml:space="preserve">Se contó con la participación de una delegación de Treinta y dos (32) empresas del sector agroexportador dominicano, de las cuales seis (6) eran MiPymes. Los principales productos solicitados fueron: </w:t>
      </w:r>
      <w:r w:rsidRPr="007B3B38">
        <w:rPr>
          <w:rStyle w:val="normaltextrun"/>
          <w:rFonts w:ascii="Artifex CF Extra Light" w:hAnsi="Artifex CF Extra Light"/>
          <w:color w:val="1F4E79" w:themeColor="accent1" w:themeShade="80"/>
          <w:spacing w:val="10"/>
          <w:sz w:val="18"/>
          <w:szCs w:val="18"/>
          <w:lang w:val="es-ES"/>
        </w:rPr>
        <w:t>Aguacate, mango, ajíes, vegetales asiáticos</w:t>
      </w:r>
      <w:r w:rsidR="00C709DF" w:rsidRPr="007B3B38">
        <w:rPr>
          <w:rStyle w:val="normaltextrun"/>
          <w:rFonts w:ascii="Artifex CF Extra Light" w:hAnsi="Artifex CF Extra Light"/>
          <w:color w:val="1F4E79" w:themeColor="accent1" w:themeShade="80"/>
          <w:spacing w:val="10"/>
          <w:sz w:val="18"/>
          <w:szCs w:val="18"/>
          <w:lang w:val="es-ES"/>
        </w:rPr>
        <w:t xml:space="preserve"> y p</w:t>
      </w:r>
      <w:r w:rsidRPr="007B3B38">
        <w:rPr>
          <w:rStyle w:val="normaltextrun"/>
          <w:rFonts w:ascii="Artifex CF Extra Light" w:hAnsi="Artifex CF Extra Light"/>
          <w:color w:val="1F4E79" w:themeColor="accent1" w:themeShade="80"/>
          <w:spacing w:val="10"/>
          <w:sz w:val="18"/>
          <w:szCs w:val="18"/>
          <w:lang w:val="es-ES"/>
        </w:rPr>
        <w:t>iña</w:t>
      </w:r>
      <w:bookmarkStart w:id="56" w:name="_heading=h.ihzm18et1el4" w:colFirst="0" w:colLast="0"/>
      <w:bookmarkStart w:id="57" w:name="_heading=h.ueyzghepcs81" w:colFirst="0" w:colLast="0"/>
      <w:bookmarkEnd w:id="56"/>
      <w:bookmarkEnd w:id="57"/>
      <w:r w:rsidR="00C709DF" w:rsidRPr="007B3B38">
        <w:rPr>
          <w:rStyle w:val="normaltextrun"/>
          <w:rFonts w:ascii="Artifex CF Extra Light" w:hAnsi="Artifex CF Extra Light"/>
          <w:color w:val="1F4E79" w:themeColor="accent1" w:themeShade="80"/>
          <w:spacing w:val="10"/>
          <w:sz w:val="18"/>
          <w:szCs w:val="18"/>
          <w:lang w:val="es-ES"/>
        </w:rPr>
        <w:t>.</w:t>
      </w:r>
    </w:p>
    <w:p w14:paraId="08D6DD15" w14:textId="77777777" w:rsidR="00F700D2" w:rsidRPr="007B3B38" w:rsidRDefault="00F700D2"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7B3B38">
        <w:rPr>
          <w:rFonts w:ascii="Artifex CF Extra Light" w:eastAsia="Montserrat" w:hAnsi="Artifex CF Extra Light"/>
          <w:color w:val="1F4E79" w:themeColor="accent1" w:themeShade="80"/>
          <w:spacing w:val="10"/>
          <w:sz w:val="18"/>
          <w:szCs w:val="18"/>
          <w:lang w:val="es-ES"/>
        </w:rPr>
        <w:t xml:space="preserve">Con la participación en esta feria se obtuvieron intenciones de negocio por valor de USD </w:t>
      </w:r>
      <w:r w:rsidRPr="007B3B38">
        <w:rPr>
          <w:rFonts w:ascii="Artifex CF Extra Light" w:eastAsia="Book Antiqua" w:hAnsi="Artifex CF Extra Light"/>
          <w:color w:val="1F4E79" w:themeColor="accent1" w:themeShade="80"/>
          <w:spacing w:val="10"/>
          <w:sz w:val="18"/>
          <w:szCs w:val="18"/>
          <w:lang w:val="es-ES"/>
        </w:rPr>
        <w:t>8,836,560.00.</w:t>
      </w:r>
    </w:p>
    <w:p w14:paraId="35EC281A" w14:textId="77777777" w:rsidR="00F700D2" w:rsidRPr="007B3B38" w:rsidRDefault="00F700D2" w:rsidP="00864966">
      <w:pPr>
        <w:spacing w:before="380" w:after="120" w:line="456" w:lineRule="auto"/>
        <w:ind w:firstLine="284"/>
        <w:jc w:val="both"/>
        <w:rPr>
          <w:rFonts w:ascii="Artifex CF Extra Light" w:eastAsia="Book Antiqua" w:hAnsi="Artifex CF Extra Light" w:cs="Times New Roman"/>
          <w:color w:val="1F4E79" w:themeColor="accent1" w:themeShade="80"/>
          <w:spacing w:val="10"/>
          <w:sz w:val="18"/>
          <w:szCs w:val="18"/>
          <w:lang w:val="es-ES"/>
        </w:rPr>
      </w:pPr>
      <w:r w:rsidRPr="007B3B38">
        <w:rPr>
          <w:rFonts w:ascii="Artifex CF Extra Light" w:eastAsia="Book Antiqua" w:hAnsi="Artifex CF Extra Light" w:cs="Times New Roman"/>
          <w:color w:val="1F4E79" w:themeColor="accent1" w:themeShade="80"/>
          <w:spacing w:val="10"/>
          <w:sz w:val="18"/>
          <w:szCs w:val="18"/>
          <w:lang w:val="es-ES"/>
        </w:rPr>
        <w:t xml:space="preserve">Adicional a estas ferias re realizaros esfuerzos de coordinación de una 3era feria, a saber: </w:t>
      </w:r>
    </w:p>
    <w:p w14:paraId="3FCB2D22" w14:textId="3D1CFFB9" w:rsidR="00F700D2" w:rsidRPr="00F475D6" w:rsidRDefault="00F700D2" w:rsidP="00220DB5">
      <w:pPr>
        <w:pStyle w:val="Prrafodelista"/>
        <w:numPr>
          <w:ilvl w:val="4"/>
          <w:numId w:val="6"/>
        </w:numPr>
        <w:spacing w:before="380" w:after="120" w:line="456" w:lineRule="auto"/>
        <w:ind w:left="284" w:hanging="284"/>
        <w:contextualSpacing w:val="0"/>
        <w:jc w:val="center"/>
        <w:rPr>
          <w:rStyle w:val="normaltextrun"/>
          <w:rFonts w:cs="Calibri"/>
          <w:b/>
          <w:sz w:val="28"/>
          <w:szCs w:val="28"/>
          <w:lang w:val="es-ES"/>
        </w:rPr>
      </w:pPr>
      <w:bookmarkStart w:id="58" w:name="_Toc58332451"/>
      <w:proofErr w:type="gramStart"/>
      <w:r w:rsidRPr="00F475D6">
        <w:rPr>
          <w:rStyle w:val="normaltextrun"/>
          <w:rFonts w:ascii="Artifex CF Extra Light" w:hAnsi="Artifex CF Extra Light" w:cs="Calibri"/>
          <w:b/>
          <w:color w:val="1F4E79" w:themeColor="accent1" w:themeShade="80"/>
          <w:spacing w:val="10"/>
          <w:sz w:val="20"/>
          <w:szCs w:val="20"/>
          <w:lang w:val="es-ES"/>
        </w:rPr>
        <w:t>Hub</w:t>
      </w:r>
      <w:proofErr w:type="gramEnd"/>
      <w:r w:rsidRPr="00F475D6">
        <w:rPr>
          <w:rStyle w:val="normaltextrun"/>
          <w:rFonts w:ascii="Artifex CF Extra Light" w:hAnsi="Artifex CF Extra Light" w:cs="Calibri"/>
          <w:b/>
          <w:color w:val="1F4E79" w:themeColor="accent1" w:themeShade="80"/>
          <w:spacing w:val="10"/>
          <w:sz w:val="20"/>
          <w:szCs w:val="20"/>
          <w:lang w:val="es-ES"/>
        </w:rPr>
        <w:t xml:space="preserve"> Cámara 2020 - Coordinación y suspensión del evento</w:t>
      </w:r>
      <w:bookmarkEnd w:id="58"/>
    </w:p>
    <w:p w14:paraId="708F5A53" w14:textId="77777777" w:rsidR="00F700D2" w:rsidRPr="007B3B38" w:rsidRDefault="00F700D2"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7B3B38">
        <w:rPr>
          <w:rFonts w:ascii="Artifex CF Extra Light" w:hAnsi="Artifex CF Extra Light"/>
          <w:color w:val="1F4E79" w:themeColor="accent1" w:themeShade="80"/>
          <w:spacing w:val="10"/>
          <w:sz w:val="18"/>
          <w:szCs w:val="18"/>
          <w:lang w:val="es-ES"/>
        </w:rPr>
        <w:t xml:space="preserve">La 5ta edición del evento </w:t>
      </w:r>
      <w:proofErr w:type="gramStart"/>
      <w:r w:rsidRPr="007B3B38">
        <w:rPr>
          <w:rFonts w:ascii="Artifex CF Extra Light" w:hAnsi="Artifex CF Extra Light"/>
          <w:color w:val="1F4E79" w:themeColor="accent1" w:themeShade="80"/>
          <w:spacing w:val="10"/>
          <w:sz w:val="18"/>
          <w:szCs w:val="18"/>
          <w:lang w:val="es-ES"/>
        </w:rPr>
        <w:t>Hub</w:t>
      </w:r>
      <w:proofErr w:type="gramEnd"/>
      <w:r w:rsidRPr="007B3B38">
        <w:rPr>
          <w:rFonts w:ascii="Artifex CF Extra Light" w:hAnsi="Artifex CF Extra Light"/>
          <w:color w:val="1F4E79" w:themeColor="accent1" w:themeShade="80"/>
          <w:spacing w:val="10"/>
          <w:sz w:val="18"/>
          <w:szCs w:val="18"/>
          <w:lang w:val="es-ES"/>
        </w:rPr>
        <w:t xml:space="preserve"> Cámara Santo Domingo, prevista para ser celebrada en el mes de marzo del año en curso, tuvo que ser suspendida como consecuencia de la pandemia Covid-19.</w:t>
      </w:r>
    </w:p>
    <w:p w14:paraId="6EE67B7A" w14:textId="15285E8B" w:rsidR="00A94914" w:rsidRPr="00220DB5" w:rsidRDefault="00F700D2" w:rsidP="00220DB5">
      <w:pPr>
        <w:spacing w:before="380" w:after="120" w:line="456" w:lineRule="auto"/>
        <w:ind w:firstLine="284"/>
        <w:jc w:val="both"/>
        <w:rPr>
          <w:rStyle w:val="normaltextrun"/>
          <w:rFonts w:ascii="Artifex CF Extra Light" w:hAnsi="Artifex CF Extra Light"/>
          <w:color w:val="1F4E79" w:themeColor="accent1" w:themeShade="80"/>
          <w:spacing w:val="10"/>
          <w:sz w:val="18"/>
          <w:szCs w:val="18"/>
          <w:lang w:val="es-ES"/>
        </w:rPr>
      </w:pPr>
      <w:r w:rsidRPr="007B3B38">
        <w:rPr>
          <w:rFonts w:ascii="Artifex CF Extra Light" w:hAnsi="Artifex CF Extra Light"/>
          <w:color w:val="1F4E79" w:themeColor="accent1" w:themeShade="80"/>
          <w:spacing w:val="10"/>
          <w:sz w:val="18"/>
          <w:szCs w:val="18"/>
          <w:lang w:val="es-ES"/>
        </w:rPr>
        <w:t xml:space="preserve">A través de los esfuerzos realizados por </w:t>
      </w:r>
      <w:bookmarkStart w:id="59" w:name="_Hlk58850064"/>
      <w:r w:rsidR="00E80F85" w:rsidRPr="007B3B38">
        <w:rPr>
          <w:rFonts w:ascii="Artifex CF Extra Light" w:hAnsi="Artifex CF Extra Light"/>
          <w:color w:val="1F4E79" w:themeColor="accent1" w:themeShade="80"/>
          <w:spacing w:val="10"/>
          <w:sz w:val="18"/>
          <w:szCs w:val="18"/>
          <w:lang w:val="es-ES"/>
        </w:rPr>
        <w:t>ProDominicana</w:t>
      </w:r>
      <w:bookmarkEnd w:id="59"/>
      <w:r w:rsidRPr="007B3B38">
        <w:rPr>
          <w:rFonts w:ascii="Artifex CF Extra Light" w:hAnsi="Artifex CF Extra Light"/>
          <w:color w:val="1F4E79" w:themeColor="accent1" w:themeShade="80"/>
          <w:spacing w:val="10"/>
          <w:sz w:val="18"/>
          <w:szCs w:val="18"/>
          <w:lang w:val="es-ES"/>
        </w:rPr>
        <w:t xml:space="preserve">, previo a la cancelación oficial del evento, se contaba con la confirmación de 90 exportadores y 79 </w:t>
      </w:r>
      <w:r w:rsidRPr="007B3B38">
        <w:rPr>
          <w:rFonts w:ascii="Artifex CF Extra Light" w:hAnsi="Artifex CF Extra Light"/>
          <w:color w:val="1F4E79" w:themeColor="accent1" w:themeShade="80"/>
          <w:spacing w:val="10"/>
          <w:sz w:val="18"/>
          <w:szCs w:val="18"/>
          <w:lang w:val="es-ES"/>
        </w:rPr>
        <w:lastRenderedPageBreak/>
        <w:t>compradores internacionales. Lo que demuestra el alto posicionamiento con el que cuenta este evento.</w:t>
      </w:r>
      <w:bookmarkStart w:id="60" w:name="_Toc58332452"/>
    </w:p>
    <w:p w14:paraId="7E1B593C" w14:textId="20C2DEB5" w:rsidR="00F700D2" w:rsidRPr="00F475D6" w:rsidRDefault="00F700D2" w:rsidP="00C16AB3">
      <w:pPr>
        <w:pStyle w:val="Prrafodelista"/>
        <w:numPr>
          <w:ilvl w:val="3"/>
          <w:numId w:val="6"/>
        </w:numPr>
        <w:spacing w:before="380" w:after="120" w:line="456" w:lineRule="auto"/>
        <w:ind w:left="284" w:hanging="284"/>
        <w:contextualSpacing w:val="0"/>
        <w:jc w:val="center"/>
        <w:rPr>
          <w:rFonts w:ascii="Artifex CF Extra Light" w:hAnsi="Artifex CF Extra Light"/>
          <w:b/>
          <w:color w:val="1F4E79" w:themeColor="accent1" w:themeShade="80"/>
          <w:spacing w:val="10"/>
          <w:sz w:val="20"/>
          <w:szCs w:val="20"/>
        </w:rPr>
      </w:pPr>
      <w:r w:rsidRPr="00F475D6">
        <w:rPr>
          <w:rStyle w:val="normaltextrun"/>
          <w:rFonts w:ascii="Artifex CF Extra Light" w:hAnsi="Artifex CF Extra Light"/>
          <w:b/>
          <w:color w:val="1F4E79" w:themeColor="accent1" w:themeShade="80"/>
          <w:spacing w:val="10"/>
          <w:sz w:val="20"/>
          <w:szCs w:val="20"/>
        </w:rPr>
        <w:t>Rondas de negocios</w:t>
      </w:r>
      <w:bookmarkEnd w:id="60"/>
    </w:p>
    <w:p w14:paraId="7A3B5877" w14:textId="0268FABE"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Durante el 2020 se llevaron a cabo encuentros exportador-comprador a través de rondas de negocios en coordinación con embajadas y consulados,</w:t>
      </w:r>
      <w:r w:rsidRPr="007B3B38">
        <w:rPr>
          <w:rFonts w:ascii="Artifex CF Extra Light" w:hAnsi="Artifex CF Extra Light" w:cs="Times New Roman"/>
          <w:color w:val="1F4E79" w:themeColor="accent1" w:themeShade="80"/>
          <w:spacing w:val="10"/>
          <w:sz w:val="18"/>
          <w:szCs w:val="18"/>
          <w:lang w:val="es-DO"/>
        </w:rPr>
        <w:t xml:space="preserve"> 257 empresas dominicanas se han beneficiado de rondas de negocios con compradores internacionales, dentro de las rondas de negocios realizadas se encuentran:</w:t>
      </w:r>
    </w:p>
    <w:p w14:paraId="51BDCF3B" w14:textId="4577D194" w:rsidR="00F700D2" w:rsidRPr="007B3B38" w:rsidRDefault="00F700D2" w:rsidP="00864966">
      <w:pPr>
        <w:pStyle w:val="Prrafodelista"/>
        <w:numPr>
          <w:ilvl w:val="0"/>
          <w:numId w:val="20"/>
        </w:numPr>
        <w:spacing w:before="380" w:after="120" w:line="456" w:lineRule="auto"/>
        <w:ind w:left="0" w:firstLine="284"/>
        <w:contextualSpacing w:val="0"/>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eastAsia="Oswald" w:hAnsi="Artifex CF Extra Light"/>
          <w:b/>
          <w:color w:val="1F4E79" w:themeColor="accent1" w:themeShade="80"/>
          <w:spacing w:val="10"/>
          <w:sz w:val="18"/>
          <w:szCs w:val="18"/>
          <w:lang w:val="es-ES"/>
        </w:rPr>
        <w:t xml:space="preserve">Rondas B2B Virtual “Dominican Fresh Produce”. A </w:t>
      </w:r>
      <w:r w:rsidR="00CD17E4" w:rsidRPr="007B3B38">
        <w:rPr>
          <w:rFonts w:ascii="Artifex CF Extra Light" w:eastAsia="Oswald" w:hAnsi="Artifex CF Extra Light"/>
          <w:b/>
          <w:color w:val="1F4E79" w:themeColor="accent1" w:themeShade="80"/>
          <w:spacing w:val="10"/>
          <w:sz w:val="18"/>
          <w:szCs w:val="18"/>
          <w:lang w:val="es-ES"/>
        </w:rPr>
        <w:t>través</w:t>
      </w:r>
      <w:r w:rsidRPr="007B3B38">
        <w:rPr>
          <w:rFonts w:ascii="Artifex CF Extra Light" w:eastAsia="Oswald" w:hAnsi="Artifex CF Extra Light"/>
          <w:b/>
          <w:color w:val="1F4E79" w:themeColor="accent1" w:themeShade="80"/>
          <w:spacing w:val="10"/>
          <w:sz w:val="18"/>
          <w:szCs w:val="18"/>
          <w:lang w:val="es-ES"/>
        </w:rPr>
        <w:t xml:space="preserve"> de </w:t>
      </w:r>
      <w:r w:rsidR="00431CF6" w:rsidRPr="007B3B38">
        <w:rPr>
          <w:rFonts w:ascii="Artifex CF Extra Light" w:eastAsia="Oswald" w:hAnsi="Artifex CF Extra Light"/>
          <w:b/>
          <w:color w:val="1F4E79" w:themeColor="accent1" w:themeShade="80"/>
          <w:spacing w:val="10"/>
          <w:sz w:val="18"/>
          <w:szCs w:val="18"/>
          <w:lang w:val="es-ES"/>
        </w:rPr>
        <w:t>ProDominicana</w:t>
      </w:r>
      <w:r w:rsidRPr="007B3B38">
        <w:rPr>
          <w:rFonts w:ascii="Artifex CF Extra Light" w:eastAsia="Oswald" w:hAnsi="Artifex CF Extra Light"/>
          <w:b/>
          <w:color w:val="1F4E79" w:themeColor="accent1" w:themeShade="80"/>
          <w:spacing w:val="10"/>
          <w:sz w:val="18"/>
          <w:szCs w:val="18"/>
          <w:lang w:val="es-ES"/>
        </w:rPr>
        <w:t xml:space="preserve"> Connect</w:t>
      </w:r>
    </w:p>
    <w:p w14:paraId="79C3E9F7" w14:textId="77777777" w:rsidR="00F700D2" w:rsidRPr="007B3B38" w:rsidRDefault="00F700D2"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Celebrada del 24 al 30 de junio, mediante la plataforma de negocios ProDominicana Connect, y organizada en colaboración con la Embajada de República Dominicana en Bélgica y la Eurocámara, este evento contó con la participación de 15 empresas exportadoras y 6 compradores internacionales de: Bélgica, Polonia, Emiratos Árabes Unidos y Holanda. Se llevaron a cabo 36 reuniones virtuales, y los principales productos requeridos por los compradores fueron: Cacao, Jengibre, Mango, Aguacate, Piña, Banano, Papaya y Melón.</w:t>
      </w:r>
    </w:p>
    <w:p w14:paraId="557CA4D9" w14:textId="78FD41EF" w:rsidR="00C709DF" w:rsidRPr="00A94914" w:rsidRDefault="00F700D2" w:rsidP="00A94914">
      <w:pPr>
        <w:spacing w:before="380" w:after="120" w:line="456" w:lineRule="auto"/>
        <w:ind w:firstLine="284"/>
        <w:jc w:val="both"/>
        <w:rPr>
          <w:rStyle w:val="normaltextrun"/>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 xml:space="preserve">Durante el primer semestre del año en curso, un total de 4 compradores internacionales visitaron el país con agendas gestionadas desde </w:t>
      </w:r>
      <w:r w:rsidR="00431CF6" w:rsidRPr="007B3B38">
        <w:rPr>
          <w:rFonts w:ascii="Artifex CF Extra Light" w:eastAsia="Montserrat" w:hAnsi="Artifex CF Extra Light" w:cs="Times New Roman"/>
          <w:color w:val="1F4E79" w:themeColor="accent1" w:themeShade="80"/>
          <w:spacing w:val="10"/>
          <w:sz w:val="18"/>
          <w:szCs w:val="18"/>
          <w:lang w:val="es-DO"/>
        </w:rPr>
        <w:t>ProDominicana</w:t>
      </w:r>
      <w:r w:rsidRPr="007B3B38">
        <w:rPr>
          <w:rFonts w:ascii="Artifex CF Extra Light" w:eastAsia="Montserrat" w:hAnsi="Artifex CF Extra Light" w:cs="Times New Roman"/>
          <w:color w:val="1F4E79" w:themeColor="accent1" w:themeShade="80"/>
          <w:spacing w:val="10"/>
          <w:sz w:val="18"/>
          <w:szCs w:val="18"/>
          <w:lang w:val="es-DO"/>
        </w:rPr>
        <w:t xml:space="preserve">, a los fines de realizar negocios con productores locales. </w:t>
      </w:r>
      <w:bookmarkStart w:id="61" w:name="_Toc58332453"/>
    </w:p>
    <w:p w14:paraId="7B4BE5AC" w14:textId="77777777" w:rsidR="00F700D2" w:rsidRPr="00F475D6" w:rsidRDefault="00F700D2" w:rsidP="00C16AB3">
      <w:pPr>
        <w:pStyle w:val="Prrafodelista"/>
        <w:numPr>
          <w:ilvl w:val="3"/>
          <w:numId w:val="6"/>
        </w:numPr>
        <w:spacing w:before="380" w:after="120" w:line="456" w:lineRule="auto"/>
        <w:ind w:left="284" w:hanging="284"/>
        <w:contextualSpacing w:val="0"/>
        <w:jc w:val="center"/>
        <w:rPr>
          <w:rFonts w:ascii="Artifex CF Extra Light" w:hAnsi="Artifex CF Extra Light"/>
          <w:b/>
          <w:color w:val="1F4E79" w:themeColor="accent1" w:themeShade="80"/>
          <w:spacing w:val="10"/>
          <w:sz w:val="20"/>
          <w:szCs w:val="20"/>
        </w:rPr>
      </w:pPr>
      <w:r w:rsidRPr="00F475D6">
        <w:rPr>
          <w:rStyle w:val="normaltextrun"/>
          <w:rFonts w:ascii="Artifex CF Extra Light" w:hAnsi="Artifex CF Extra Light"/>
          <w:b/>
          <w:color w:val="1F4E79" w:themeColor="accent1" w:themeShade="80"/>
          <w:spacing w:val="10"/>
          <w:sz w:val="20"/>
          <w:szCs w:val="20"/>
        </w:rPr>
        <w:t>Misiones comerciales</w:t>
      </w:r>
      <w:bookmarkEnd w:id="61"/>
    </w:p>
    <w:p w14:paraId="29B6F032" w14:textId="1CB71B31" w:rsidR="00F700D2" w:rsidRPr="007B3B38" w:rsidRDefault="00F700D2"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t xml:space="preserve">Durante el año 2020, un total de 4 compradores internacionales visitaron el país con agendas gestionadas desde el </w:t>
      </w:r>
      <w:r w:rsidR="00431CF6" w:rsidRPr="007B3B38">
        <w:rPr>
          <w:rFonts w:ascii="Artifex CF Extra Light" w:eastAsia="Montserrat" w:hAnsi="Artifex CF Extra Light" w:cs="Times New Roman"/>
          <w:color w:val="1F4E79" w:themeColor="accent1" w:themeShade="80"/>
          <w:spacing w:val="10"/>
          <w:sz w:val="18"/>
          <w:szCs w:val="18"/>
          <w:lang w:val="es-DO"/>
        </w:rPr>
        <w:t>ProDominicana</w:t>
      </w:r>
      <w:r w:rsidRPr="007B3B38">
        <w:rPr>
          <w:rFonts w:ascii="Artifex CF Extra Light" w:eastAsia="Montserrat" w:hAnsi="Artifex CF Extra Light" w:cs="Times New Roman"/>
          <w:color w:val="1F4E79" w:themeColor="accent1" w:themeShade="80"/>
          <w:spacing w:val="10"/>
          <w:sz w:val="18"/>
          <w:szCs w:val="18"/>
          <w:lang w:val="es-DO"/>
        </w:rPr>
        <w:t xml:space="preserve">, a los fines de realizar negocios con productores locales. </w:t>
      </w:r>
    </w:p>
    <w:p w14:paraId="6A29799D" w14:textId="77777777" w:rsidR="00F700D2" w:rsidRPr="007B3B38" w:rsidRDefault="00F700D2" w:rsidP="00864966">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7B3B38">
        <w:rPr>
          <w:rFonts w:ascii="Artifex CF Extra Light" w:eastAsia="Montserrat" w:hAnsi="Artifex CF Extra Light" w:cs="Times New Roman"/>
          <w:color w:val="1F4E79" w:themeColor="accent1" w:themeShade="80"/>
          <w:spacing w:val="10"/>
          <w:sz w:val="18"/>
          <w:szCs w:val="18"/>
          <w:lang w:val="es-DO"/>
        </w:rPr>
        <w:lastRenderedPageBreak/>
        <w:t>A continuación, el detalle de estas visitas:</w:t>
      </w:r>
    </w:p>
    <w:p w14:paraId="542B78DD" w14:textId="77777777" w:rsidR="00F700D2" w:rsidRPr="00061E36" w:rsidRDefault="00F700D2" w:rsidP="00A94914">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
          <w:color w:val="1F4E79" w:themeColor="accent1" w:themeShade="80"/>
          <w:spacing w:val="10"/>
          <w:sz w:val="18"/>
          <w:szCs w:val="18"/>
          <w:lang w:val="es-DO"/>
        </w:rPr>
        <w:t>Misión Compradores de la Asociación Nacional de Supermercados de Estados Unidos (NSA por sus siglas en inglés).</w:t>
      </w:r>
      <w:r w:rsidRPr="00061E36">
        <w:rPr>
          <w:rFonts w:ascii="Artifex CF Extra Light" w:eastAsia="Montserrat" w:hAnsi="Artifex CF Extra Light" w:cs="Times New Roman"/>
          <w:bCs/>
          <w:color w:val="1F4E79" w:themeColor="accent1" w:themeShade="80"/>
          <w:spacing w:val="10"/>
          <w:sz w:val="18"/>
          <w:szCs w:val="18"/>
          <w:lang w:val="es-DO"/>
        </w:rPr>
        <w:t xml:space="preserve"> En el mes de enero recibimos una comisión de directivos de la NSA al país. Durante esta visita se visitaron tres (3) empresas dominicanas de productos agrícolas y agroindustriales, con presencia en mercados de Nueva York y Florida.</w:t>
      </w:r>
    </w:p>
    <w:p w14:paraId="22C8A7A7" w14:textId="77777777" w:rsidR="00F700D2" w:rsidRPr="00061E36" w:rsidRDefault="00F700D2" w:rsidP="00A94914">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
          <w:color w:val="1F4E79" w:themeColor="accent1" w:themeShade="80"/>
          <w:spacing w:val="10"/>
          <w:sz w:val="18"/>
          <w:szCs w:val="18"/>
          <w:lang w:val="es-DO"/>
        </w:rPr>
        <w:t>Misión Comprador VMD Connector</w:t>
      </w:r>
      <w:r w:rsidRPr="00061E36">
        <w:rPr>
          <w:rFonts w:ascii="Artifex CF Extra Light" w:eastAsia="Montserrat" w:hAnsi="Artifex CF Extra Light" w:cs="Times New Roman"/>
          <w:bCs/>
          <w:color w:val="1F4E79" w:themeColor="accent1" w:themeShade="80"/>
          <w:spacing w:val="10"/>
          <w:sz w:val="18"/>
          <w:szCs w:val="18"/>
          <w:lang w:val="es-DO"/>
        </w:rPr>
        <w:t>. Realizada en enero, con la finalidad de realizar acuerdos con los productores de plátano y cebolla, donde se discutieron la posible comercialización de plátano empacado al vacío para Puerto Rico, y se validó la cantidad de quintales de cebolla disponibles para los siguientes 120 días, para ser comercializados.</w:t>
      </w:r>
    </w:p>
    <w:p w14:paraId="06D484B1" w14:textId="77777777" w:rsidR="00F700D2" w:rsidRPr="00061E36" w:rsidRDefault="00F700D2" w:rsidP="00A94914">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
          <w:color w:val="1F4E79" w:themeColor="accent1" w:themeShade="80"/>
          <w:spacing w:val="10"/>
          <w:sz w:val="18"/>
          <w:szCs w:val="18"/>
          <w:lang w:val="es-DO"/>
        </w:rPr>
        <w:t>Misión Comprador Finantial Innovations.</w:t>
      </w:r>
      <w:r w:rsidRPr="00061E36">
        <w:rPr>
          <w:rFonts w:ascii="Artifex CF Extra Light" w:eastAsia="Montserrat" w:hAnsi="Artifex CF Extra Light" w:cs="Times New Roman"/>
          <w:bCs/>
          <w:color w:val="1F4E79" w:themeColor="accent1" w:themeShade="80"/>
          <w:spacing w:val="10"/>
          <w:sz w:val="18"/>
          <w:szCs w:val="18"/>
          <w:lang w:val="es-DO"/>
        </w:rPr>
        <w:t xml:space="preserve"> Realizada en enero, donde se visitó un total de 14 empresas dominicanas productoras y exportadoras de aguacate hass y green skin, bananos, mangos y piña. Durante una agenda de visitas el comprador mostró interés inmediato en cerrar el primer negocio con una de las empresas visitadas, iniciando con un (1) contenedor semanal de aguacate hacia Europa.</w:t>
      </w:r>
    </w:p>
    <w:p w14:paraId="21F337AB" w14:textId="5554C3B6" w:rsidR="00F700D2" w:rsidRPr="00061E36" w:rsidRDefault="00F700D2" w:rsidP="00A94914">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
          <w:color w:val="1F4E79" w:themeColor="accent1" w:themeShade="80"/>
          <w:spacing w:val="10"/>
          <w:sz w:val="18"/>
          <w:szCs w:val="18"/>
          <w:lang w:val="es-DO"/>
        </w:rPr>
        <w:t>Euro East Consultancy.</w:t>
      </w:r>
      <w:r w:rsidRPr="00061E36">
        <w:rPr>
          <w:rFonts w:ascii="Artifex CF Extra Light" w:eastAsia="Montserrat" w:hAnsi="Artifex CF Extra Light" w:cs="Times New Roman"/>
          <w:bCs/>
          <w:color w:val="1F4E79" w:themeColor="accent1" w:themeShade="80"/>
          <w:spacing w:val="10"/>
          <w:sz w:val="18"/>
          <w:szCs w:val="18"/>
          <w:lang w:val="es-DO"/>
        </w:rPr>
        <w:t xml:space="preserve"> Realizada en el mes de abril, junto a la Eurocamara, se desarrollaron acercamientos comerciales donde se trabajó una agenda comercial con exportadores dominicanos de los productos: Mango Orgánico, Banano Orgánico, Limón y Jengibre, preferiblemente con certificaciones como Fairtrade, Orgánico y Global Gap.</w:t>
      </w:r>
    </w:p>
    <w:p w14:paraId="2FE5038C" w14:textId="7FC5D0F2" w:rsidR="00F475D6" w:rsidRDefault="00F475D6" w:rsidP="00F475D6">
      <w:pPr>
        <w:pStyle w:val="Prrafodelista"/>
        <w:spacing w:before="380" w:after="120" w:line="456" w:lineRule="auto"/>
        <w:ind w:left="284"/>
        <w:contextualSpacing w:val="0"/>
        <w:jc w:val="both"/>
        <w:rPr>
          <w:rFonts w:ascii="Artifex CF Extra Light" w:eastAsia="Montserrat" w:hAnsi="Artifex CF Extra Light" w:cs="Times New Roman"/>
          <w:b/>
          <w:color w:val="1F4E79" w:themeColor="accent1" w:themeShade="80"/>
          <w:spacing w:val="10"/>
          <w:sz w:val="18"/>
          <w:szCs w:val="18"/>
          <w:lang w:val="es-DO"/>
        </w:rPr>
      </w:pPr>
    </w:p>
    <w:p w14:paraId="62EDD1DE" w14:textId="77777777" w:rsidR="00F475D6" w:rsidRPr="007B3B38" w:rsidRDefault="00F475D6" w:rsidP="00F475D6">
      <w:pPr>
        <w:pStyle w:val="Prrafodelista"/>
        <w:spacing w:before="380" w:after="120" w:line="456" w:lineRule="auto"/>
        <w:ind w:left="284"/>
        <w:contextualSpacing w:val="0"/>
        <w:jc w:val="both"/>
        <w:rPr>
          <w:rFonts w:ascii="Artifex CF Extra Light" w:eastAsia="Montserrat" w:hAnsi="Artifex CF Extra Light" w:cs="Times New Roman"/>
          <w:b/>
          <w:color w:val="1F4E79" w:themeColor="accent1" w:themeShade="80"/>
          <w:spacing w:val="10"/>
          <w:sz w:val="18"/>
          <w:szCs w:val="18"/>
          <w:lang w:val="es-DO"/>
        </w:rPr>
      </w:pPr>
    </w:p>
    <w:p w14:paraId="13CFF028" w14:textId="77777777" w:rsidR="00061E36" w:rsidRDefault="00061E36">
      <w:pPr>
        <w:rPr>
          <w:rFonts w:ascii="Artifex CF Extra Light" w:hAnsi="Artifex CF Extra Light" w:cs="Times New Roman"/>
          <w:b/>
          <w:color w:val="1F4E79" w:themeColor="accent1" w:themeShade="80"/>
          <w:spacing w:val="10"/>
          <w:sz w:val="20"/>
          <w:szCs w:val="20"/>
          <w:lang w:val="es-DO"/>
        </w:rPr>
      </w:pPr>
      <w:bookmarkStart w:id="62" w:name="_Toc58332454"/>
      <w:r>
        <w:rPr>
          <w:rFonts w:ascii="Artifex CF Extra Light" w:hAnsi="Artifex CF Extra Light" w:cs="Times New Roman"/>
          <w:b/>
          <w:color w:val="1F4E79" w:themeColor="accent1" w:themeShade="80"/>
          <w:spacing w:val="10"/>
          <w:sz w:val="20"/>
          <w:szCs w:val="20"/>
          <w:lang w:val="es-DO"/>
        </w:rPr>
        <w:br w:type="page"/>
      </w:r>
    </w:p>
    <w:p w14:paraId="0AAB6BE6" w14:textId="347BFE1A" w:rsidR="00F700D2" w:rsidRPr="00F475D6" w:rsidRDefault="00F700D2" w:rsidP="00220DB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F475D6">
        <w:rPr>
          <w:rFonts w:ascii="Artifex CF Extra Light" w:hAnsi="Artifex CF Extra Light" w:cs="Times New Roman"/>
          <w:b/>
          <w:color w:val="1F4E79" w:themeColor="accent1" w:themeShade="80"/>
          <w:spacing w:val="10"/>
          <w:sz w:val="20"/>
          <w:szCs w:val="20"/>
          <w:lang w:val="es-DO"/>
        </w:rPr>
        <w:lastRenderedPageBreak/>
        <w:t>Visitas de campo</w:t>
      </w:r>
      <w:bookmarkEnd w:id="62"/>
    </w:p>
    <w:p w14:paraId="6D5702AF" w14:textId="77777777"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Es una visita programada a las instalaciones de la empresa exportadora con los fines de realizar un levantamiento de información estratégica entre las cuales se encuentran necesidades de la empresa que ProDominicana pueda apoyarle. </w:t>
      </w:r>
    </w:p>
    <w:p w14:paraId="3E0EF341" w14:textId="77777777"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el 2020 se han realizado 129 visitas de campo a diferentes empresas de los sectores: agro, agroindustrial e industrial. Productos como: café, miel, aguacate, piña, cemento, belleza, tabaco, cazabe, textil. Estas visitas han tenido los objetivos de realizar levantamiento de necesidades, presentar los servicios de ProDominicana, y brindar acompañamiento interinstitucional para agilizar los procesos de exportación.</w:t>
      </w:r>
    </w:p>
    <w:p w14:paraId="5E96CBDE" w14:textId="2661572C" w:rsidR="00F700D2" w:rsidRPr="007B3B38" w:rsidRDefault="00187862" w:rsidP="00220DB5">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color w:val="1F4E79" w:themeColor="accent1" w:themeShade="80"/>
          <w:spacing w:val="10"/>
          <w:sz w:val="18"/>
          <w:szCs w:val="18"/>
          <w:lang w:val="es-DO"/>
        </w:rPr>
      </w:pPr>
      <w:bookmarkStart w:id="63" w:name="_Toc58332455"/>
      <w:r w:rsidRPr="007B3B38">
        <w:rPr>
          <w:rFonts w:ascii="Artifex CF Extra Light" w:hAnsi="Artifex CF Extra Light" w:cs="Times New Roman"/>
          <w:b/>
          <w:color w:val="1F4E79" w:themeColor="accent1" w:themeShade="80"/>
          <w:spacing w:val="10"/>
          <w:sz w:val="18"/>
          <w:szCs w:val="18"/>
          <w:lang w:val="es-DO"/>
        </w:rPr>
        <w:t>CAPTAR COMPRADORES INTERNACIONALES EN MERCADOS ESTRATÉGICOS</w:t>
      </w:r>
      <w:bookmarkEnd w:id="63"/>
    </w:p>
    <w:p w14:paraId="5A17F9E2" w14:textId="77777777"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el año 2020 la Red Internacional de ProDominicana logro captar 147 compradores internacionales para las misiones comerciales, rondas de negocios y enlaces de negocios.</w:t>
      </w:r>
    </w:p>
    <w:p w14:paraId="64DA4511" w14:textId="6DCE7231" w:rsidR="00F700D2" w:rsidRPr="007B3B38" w:rsidRDefault="00187862" w:rsidP="00220DB5">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color w:val="1F4E79" w:themeColor="accent1" w:themeShade="80"/>
          <w:spacing w:val="10"/>
          <w:sz w:val="18"/>
          <w:szCs w:val="18"/>
          <w:lang w:val="es-DO"/>
        </w:rPr>
      </w:pPr>
      <w:bookmarkStart w:id="64" w:name="_Toc58332456"/>
      <w:r w:rsidRPr="007B3B38">
        <w:rPr>
          <w:rFonts w:ascii="Artifex CF Extra Light" w:hAnsi="Artifex CF Extra Light" w:cs="Times New Roman"/>
          <w:b/>
          <w:color w:val="1F4E79" w:themeColor="accent1" w:themeShade="80"/>
          <w:spacing w:val="10"/>
          <w:sz w:val="18"/>
          <w:szCs w:val="18"/>
          <w:lang w:val="es-DO"/>
        </w:rPr>
        <w:t>REALIZAR ESTUDIOS SOBRE EL SECTOR EXPORTADOR PARA LA DETECCIÓN DE OPORTUNIDADES DE NEGOCIO</w:t>
      </w:r>
      <w:bookmarkEnd w:id="64"/>
    </w:p>
    <w:p w14:paraId="24988195" w14:textId="77777777" w:rsidR="00F700D2" w:rsidRPr="007B3B38" w:rsidRDefault="00F700D2"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Con el objetivo de ofrecer información actualizada sobre las exportaciones dominicanas, tanto a clientes internos como externos, durante el 2020, la Dirección de Estudios Económicos y estadísticos ha elaborado una serie de documentos e informes tanto de mercados como de productos de exportación. Entre estos documentos se destacan los siguientes: </w:t>
      </w:r>
    </w:p>
    <w:p w14:paraId="09AFF3E5" w14:textId="77777777" w:rsidR="00F700D2" w:rsidRPr="00F475D6" w:rsidRDefault="00F700D2" w:rsidP="00A94914">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Elaboración de doce (12) informes sobre el comportamiento de las exportaciones de República Dominicana, </w:t>
      </w:r>
      <w:r w:rsidRPr="00F475D6">
        <w:rPr>
          <w:rFonts w:ascii="Artifex CF Extra Light" w:eastAsia="Montserrat" w:hAnsi="Artifex CF Extra Light" w:cs="Times New Roman"/>
          <w:bCs/>
          <w:color w:val="1F4E79" w:themeColor="accent1" w:themeShade="80"/>
          <w:spacing w:val="10"/>
          <w:sz w:val="18"/>
          <w:szCs w:val="18"/>
          <w:lang w:val="es-DO"/>
        </w:rPr>
        <w:t xml:space="preserve">en el cual se analiza el comportamiento de las exportaciones dominicanas, tomando en consideración el cambio tanto del mes </w:t>
      </w:r>
      <w:r w:rsidRPr="00F475D6">
        <w:rPr>
          <w:rFonts w:ascii="Artifex CF Extra Light" w:eastAsia="Montserrat" w:hAnsi="Artifex CF Extra Light" w:cs="Times New Roman"/>
          <w:bCs/>
          <w:color w:val="1F4E79" w:themeColor="accent1" w:themeShade="80"/>
          <w:spacing w:val="10"/>
          <w:sz w:val="18"/>
          <w:szCs w:val="18"/>
          <w:lang w:val="es-DO"/>
        </w:rPr>
        <w:lastRenderedPageBreak/>
        <w:t>como acumulado al momento, en este se verifica el cambio del monto global, de los principales productos, mercados, regímenes, entre otros aspectos a considerar.</w:t>
      </w:r>
    </w:p>
    <w:p w14:paraId="3E2C4599" w14:textId="77777777" w:rsidR="00F700D2" w:rsidRPr="00A94914" w:rsidRDefault="00F700D2" w:rsidP="00A94914">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Estrategias Comerciales de RD con otros mercados: </w:t>
      </w:r>
      <w:r w:rsidRPr="00F475D6">
        <w:rPr>
          <w:rFonts w:ascii="Artifex CF Extra Light" w:eastAsia="Montserrat" w:hAnsi="Artifex CF Extra Light" w:cs="Times New Roman"/>
          <w:bCs/>
          <w:color w:val="1F4E79" w:themeColor="accent1" w:themeShade="80"/>
          <w:spacing w:val="10"/>
          <w:sz w:val="18"/>
          <w:szCs w:val="18"/>
          <w:lang w:val="es-DO"/>
        </w:rPr>
        <w:t>Es un documento que comprende las estadísticas de comercio, así como de Inversión entre la República Dominicana y otros países. En el mismo se plasman los diferentes acuerdos comerciales que podemos aprovechar, además de las diferentes rutas en materia logística, así como productos y sectores de enfoque. En el 2020 se elaboraron un total de 12 estrategias comerciales de la República Dominicana con 16 diferentes países, a saber:</w:t>
      </w:r>
      <w:r w:rsidRPr="00A94914">
        <w:rPr>
          <w:rFonts w:ascii="Artifex CF Extra Light" w:eastAsia="Montserrat" w:hAnsi="Artifex CF Extra Light" w:cs="Times New Roman"/>
          <w:b/>
          <w:color w:val="1F4E79" w:themeColor="accent1" w:themeShade="80"/>
          <w:spacing w:val="10"/>
          <w:sz w:val="18"/>
          <w:szCs w:val="18"/>
          <w:lang w:val="es-DO"/>
        </w:rPr>
        <w:t xml:space="preserve"> </w:t>
      </w:r>
    </w:p>
    <w:p w14:paraId="4376DB45"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Estrategia Comercial para el Mercado de Estados Unidos</w:t>
      </w:r>
    </w:p>
    <w:p w14:paraId="41C6B3FE"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el Mercado de Paraguay </w:t>
      </w:r>
    </w:p>
    <w:p w14:paraId="7EF3ED83"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el Mercado de Países Bajos </w:t>
      </w:r>
    </w:p>
    <w:p w14:paraId="6EEBBD6A"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el Mercado de Bélgica </w:t>
      </w:r>
    </w:p>
    <w:p w14:paraId="64CE6B0A"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el Mercado de Israel </w:t>
      </w:r>
    </w:p>
    <w:p w14:paraId="5DED4F40"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el Mercado de Turquía </w:t>
      </w:r>
    </w:p>
    <w:p w14:paraId="74062450"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el Mercado de Colombia. </w:t>
      </w:r>
    </w:p>
    <w:p w14:paraId="2AABF7A4"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el Mercado de México. </w:t>
      </w:r>
    </w:p>
    <w:p w14:paraId="22481BAE"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los Mercados de Centroamérica (6 países) </w:t>
      </w:r>
    </w:p>
    <w:p w14:paraId="435AB887"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 xml:space="preserve">Estrategia Comercial para el Mercado de Pakistán. </w:t>
      </w:r>
    </w:p>
    <w:p w14:paraId="0A65F67A"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t>Estrategia Comercial para el Mercado de Puerto Rico.</w:t>
      </w:r>
    </w:p>
    <w:p w14:paraId="04AD5B39" w14:textId="77777777" w:rsidR="00F700D2" w:rsidRPr="007B3B38" w:rsidRDefault="00F700D2" w:rsidP="00A94914">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7B3B38">
        <w:rPr>
          <w:rFonts w:ascii="Artifex CF Extra Light" w:eastAsia="Calibri" w:hAnsi="Artifex CF Extra Light" w:cs="Times New Roman"/>
          <w:color w:val="1F4E79" w:themeColor="accent1" w:themeShade="80"/>
          <w:spacing w:val="10"/>
          <w:sz w:val="18"/>
          <w:szCs w:val="18"/>
          <w:lang w:val="es-DO"/>
        </w:rPr>
        <w:lastRenderedPageBreak/>
        <w:t>Estrategia Comercial para el Mercado de Miami.</w:t>
      </w:r>
    </w:p>
    <w:p w14:paraId="09915654" w14:textId="23E3C08C" w:rsidR="00F700D2" w:rsidRPr="00A94914"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Expansión de sectores: Oportunidades de Negocios de Tabaco y sus derivados. </w:t>
      </w:r>
      <w:r w:rsidRPr="00061E36">
        <w:rPr>
          <w:rFonts w:ascii="Artifex CF Extra Light" w:eastAsia="Montserrat" w:hAnsi="Artifex CF Extra Light" w:cs="Times New Roman"/>
          <w:bCs/>
          <w:color w:val="1F4E79" w:themeColor="accent1" w:themeShade="80"/>
          <w:spacing w:val="10"/>
          <w:sz w:val="18"/>
          <w:szCs w:val="18"/>
          <w:lang w:val="es-DO"/>
        </w:rPr>
        <w:t xml:space="preserve">Con la intención de expandir las exportaciones del tabaco y sus derivados, </w:t>
      </w:r>
      <w:r w:rsidR="3B736355" w:rsidRPr="00061E36">
        <w:rPr>
          <w:rFonts w:ascii="Artifex CF Extra Light" w:eastAsia="Montserrat" w:hAnsi="Artifex CF Extra Light" w:cs="Times New Roman"/>
          <w:bCs/>
          <w:color w:val="1F4E79" w:themeColor="accent1" w:themeShade="80"/>
          <w:spacing w:val="10"/>
          <w:sz w:val="18"/>
          <w:szCs w:val="18"/>
          <w:lang w:val="es-DO"/>
        </w:rPr>
        <w:t>se elaboró</w:t>
      </w:r>
      <w:r w:rsidRPr="00061E36">
        <w:rPr>
          <w:rFonts w:ascii="Artifex CF Extra Light" w:eastAsia="Montserrat" w:hAnsi="Artifex CF Extra Light" w:cs="Times New Roman"/>
          <w:bCs/>
          <w:color w:val="1F4E79" w:themeColor="accent1" w:themeShade="80"/>
          <w:spacing w:val="10"/>
          <w:sz w:val="18"/>
          <w:szCs w:val="18"/>
          <w:lang w:val="es-DO"/>
        </w:rPr>
        <w:t xml:space="preserve"> un documento que brind</w:t>
      </w:r>
      <w:r w:rsidR="5347FFFB" w:rsidRPr="00061E36">
        <w:rPr>
          <w:rFonts w:ascii="Artifex CF Extra Light" w:eastAsia="Montserrat" w:hAnsi="Artifex CF Extra Light" w:cs="Times New Roman"/>
          <w:bCs/>
          <w:color w:val="1F4E79" w:themeColor="accent1" w:themeShade="80"/>
          <w:spacing w:val="10"/>
          <w:sz w:val="18"/>
          <w:szCs w:val="18"/>
          <w:lang w:val="es-DO"/>
        </w:rPr>
        <w:t>a</w:t>
      </w:r>
      <w:r w:rsidRPr="00061E36">
        <w:rPr>
          <w:rFonts w:ascii="Artifex CF Extra Light" w:eastAsia="Montserrat" w:hAnsi="Artifex CF Extra Light" w:cs="Times New Roman"/>
          <w:bCs/>
          <w:color w:val="1F4E79" w:themeColor="accent1" w:themeShade="80"/>
          <w:spacing w:val="10"/>
          <w:sz w:val="18"/>
          <w:szCs w:val="18"/>
          <w:lang w:val="es-DO"/>
        </w:rPr>
        <w:t xml:space="preserve"> las orientaciones comerciales precisas </w:t>
      </w:r>
      <w:r w:rsidR="7481062E" w:rsidRPr="00061E36">
        <w:rPr>
          <w:rFonts w:ascii="Artifex CF Extra Light" w:eastAsia="Montserrat" w:hAnsi="Artifex CF Extra Light" w:cs="Times New Roman"/>
          <w:bCs/>
          <w:color w:val="1F4E79" w:themeColor="accent1" w:themeShade="80"/>
          <w:spacing w:val="10"/>
          <w:sz w:val="18"/>
          <w:szCs w:val="18"/>
          <w:lang w:val="es-DO"/>
        </w:rPr>
        <w:t>sobre</w:t>
      </w:r>
      <w:r w:rsidRPr="00061E36">
        <w:rPr>
          <w:rFonts w:ascii="Artifex CF Extra Light" w:eastAsia="Montserrat" w:hAnsi="Artifex CF Extra Light" w:cs="Times New Roman"/>
          <w:bCs/>
          <w:color w:val="1F4E79" w:themeColor="accent1" w:themeShade="80"/>
          <w:spacing w:val="10"/>
          <w:sz w:val="18"/>
          <w:szCs w:val="18"/>
          <w:lang w:val="es-DO"/>
        </w:rPr>
        <w:t xml:space="preserve"> cuáles productos la República Dominicana pudiera centrar </w:t>
      </w:r>
      <w:r w:rsidR="293D4FB1" w:rsidRPr="00061E36">
        <w:rPr>
          <w:rFonts w:ascii="Artifex CF Extra Light" w:eastAsia="Montserrat" w:hAnsi="Artifex CF Extra Light" w:cs="Times New Roman"/>
          <w:bCs/>
          <w:color w:val="1F4E79" w:themeColor="accent1" w:themeShade="80"/>
          <w:spacing w:val="10"/>
          <w:sz w:val="18"/>
          <w:szCs w:val="18"/>
          <w:lang w:val="es-DO"/>
        </w:rPr>
        <w:t xml:space="preserve">sus esfuerzos, </w:t>
      </w:r>
      <w:r w:rsidRPr="00061E36">
        <w:rPr>
          <w:rFonts w:ascii="Artifex CF Extra Light" w:eastAsia="Montserrat" w:hAnsi="Artifex CF Extra Light" w:cs="Times New Roman"/>
          <w:bCs/>
          <w:color w:val="1F4E79" w:themeColor="accent1" w:themeShade="80"/>
          <w:spacing w:val="10"/>
          <w:sz w:val="18"/>
          <w:szCs w:val="18"/>
          <w:lang w:val="es-DO"/>
        </w:rPr>
        <w:t xml:space="preserve">para aumentar las exportaciones de ese sector y en cuáles mercados se pueden colocar </w:t>
      </w:r>
      <w:r w:rsidR="652F83A3" w:rsidRPr="00061E36">
        <w:rPr>
          <w:rFonts w:ascii="Artifex CF Extra Light" w:eastAsia="Montserrat" w:hAnsi="Artifex CF Extra Light" w:cs="Times New Roman"/>
          <w:bCs/>
          <w:color w:val="1F4E79" w:themeColor="accent1" w:themeShade="80"/>
          <w:spacing w:val="10"/>
          <w:sz w:val="18"/>
          <w:szCs w:val="18"/>
          <w:lang w:val="es-DO"/>
        </w:rPr>
        <w:t xml:space="preserve">esos </w:t>
      </w:r>
      <w:r w:rsidRPr="00061E36">
        <w:rPr>
          <w:rFonts w:ascii="Artifex CF Extra Light" w:eastAsia="Montserrat" w:hAnsi="Artifex CF Extra Light" w:cs="Times New Roman"/>
          <w:bCs/>
          <w:color w:val="1F4E79" w:themeColor="accent1" w:themeShade="80"/>
          <w:spacing w:val="10"/>
          <w:sz w:val="18"/>
          <w:szCs w:val="18"/>
          <w:lang w:val="es-DO"/>
        </w:rPr>
        <w:t xml:space="preserve">los productos. </w:t>
      </w:r>
      <w:r w:rsidR="30613EBB" w:rsidRPr="00061E36">
        <w:rPr>
          <w:rFonts w:ascii="Artifex CF Extra Light" w:eastAsia="Montserrat" w:hAnsi="Artifex CF Extra Light" w:cs="Times New Roman"/>
          <w:bCs/>
          <w:color w:val="1F4E79" w:themeColor="accent1" w:themeShade="80"/>
          <w:spacing w:val="10"/>
          <w:sz w:val="18"/>
          <w:szCs w:val="18"/>
          <w:lang w:val="es-DO"/>
        </w:rPr>
        <w:t>El</w:t>
      </w:r>
      <w:r w:rsidRPr="00061E36">
        <w:rPr>
          <w:rFonts w:ascii="Artifex CF Extra Light" w:eastAsia="Montserrat" w:hAnsi="Artifex CF Extra Light" w:cs="Times New Roman"/>
          <w:bCs/>
          <w:color w:val="1F4E79" w:themeColor="accent1" w:themeShade="80"/>
          <w:spacing w:val="10"/>
          <w:sz w:val="18"/>
          <w:szCs w:val="18"/>
          <w:lang w:val="es-DO"/>
        </w:rPr>
        <w:t xml:space="preserve"> estudio</w:t>
      </w:r>
      <w:r w:rsidR="30613EBB" w:rsidRPr="00061E36">
        <w:rPr>
          <w:rFonts w:ascii="Artifex CF Extra Light" w:eastAsia="Montserrat" w:hAnsi="Artifex CF Extra Light" w:cs="Times New Roman"/>
          <w:bCs/>
          <w:color w:val="1F4E79" w:themeColor="accent1" w:themeShade="80"/>
          <w:spacing w:val="10"/>
          <w:sz w:val="18"/>
          <w:szCs w:val="18"/>
          <w:lang w:val="es-DO"/>
        </w:rPr>
        <w:t xml:space="preserve"> se llama</w:t>
      </w:r>
      <w:r w:rsidRPr="00061E36">
        <w:rPr>
          <w:rFonts w:ascii="Artifex CF Extra Light" w:eastAsia="Montserrat" w:hAnsi="Artifex CF Extra Light" w:cs="Times New Roman"/>
          <w:bCs/>
          <w:color w:val="1F4E79" w:themeColor="accent1" w:themeShade="80"/>
          <w:spacing w:val="10"/>
          <w:sz w:val="18"/>
          <w:szCs w:val="18"/>
          <w:lang w:val="es-DO"/>
        </w:rPr>
        <w:t xml:space="preserve"> "Oportunidades de Negocios del Tabaco y Sucedáneos", </w:t>
      </w:r>
      <w:r w:rsidR="759B2C18" w:rsidRPr="00061E36">
        <w:rPr>
          <w:rFonts w:ascii="Artifex CF Extra Light" w:eastAsia="Montserrat" w:hAnsi="Artifex CF Extra Light" w:cs="Times New Roman"/>
          <w:bCs/>
          <w:color w:val="1F4E79" w:themeColor="accent1" w:themeShade="80"/>
          <w:spacing w:val="10"/>
          <w:sz w:val="18"/>
          <w:szCs w:val="18"/>
          <w:lang w:val="es-DO"/>
        </w:rPr>
        <w:t xml:space="preserve">y </w:t>
      </w:r>
      <w:r w:rsidRPr="00061E36">
        <w:rPr>
          <w:rFonts w:ascii="Artifex CF Extra Light" w:eastAsia="Montserrat" w:hAnsi="Artifex CF Extra Light" w:cs="Times New Roman"/>
          <w:bCs/>
          <w:color w:val="1F4E79" w:themeColor="accent1" w:themeShade="80"/>
          <w:spacing w:val="10"/>
          <w:sz w:val="18"/>
          <w:szCs w:val="18"/>
          <w:lang w:val="es-DO"/>
        </w:rPr>
        <w:t>el mismo comprende un análisis de las oportunidades comerciales y de expansión para los productos determinados y que son derivados de la aromática hoja.</w:t>
      </w:r>
      <w:r w:rsidRPr="00A94914">
        <w:rPr>
          <w:rFonts w:ascii="Artifex CF Extra Light" w:eastAsia="Montserrat" w:hAnsi="Artifex CF Extra Light" w:cs="Times New Roman"/>
          <w:b/>
          <w:color w:val="1F4E79" w:themeColor="accent1" w:themeShade="80"/>
          <w:spacing w:val="10"/>
          <w:sz w:val="18"/>
          <w:szCs w:val="18"/>
          <w:lang w:val="es-DO"/>
        </w:rPr>
        <w:t xml:space="preserve"> </w:t>
      </w:r>
    </w:p>
    <w:p w14:paraId="27A985F8" w14:textId="77777777"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Estrategia para Oficinas de Promoción Comercial: </w:t>
      </w:r>
      <w:r w:rsidRPr="00061E36">
        <w:rPr>
          <w:rFonts w:ascii="Artifex CF Extra Light" w:eastAsia="Montserrat" w:hAnsi="Artifex CF Extra Light" w:cs="Times New Roman"/>
          <w:bCs/>
          <w:color w:val="1F4E79" w:themeColor="accent1" w:themeShade="80"/>
          <w:spacing w:val="10"/>
          <w:sz w:val="18"/>
          <w:szCs w:val="18"/>
          <w:lang w:val="es-DO"/>
        </w:rPr>
        <w:t xml:space="preserve">Se elaboró una estrategia con la finalidad de determinar donde debemos como país colocar oficinas de promoción comercial y así conquistar mercados de una forma más efectiva. </w:t>
      </w:r>
    </w:p>
    <w:p w14:paraId="2D855070" w14:textId="77777777"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Estudio ZZFF-Encadenamiento Productivo: </w:t>
      </w:r>
      <w:r w:rsidRPr="00061E36">
        <w:rPr>
          <w:rFonts w:ascii="Artifex CF Extra Light" w:eastAsia="Montserrat" w:hAnsi="Artifex CF Extra Light" w:cs="Times New Roman"/>
          <w:bCs/>
          <w:color w:val="1F4E79" w:themeColor="accent1" w:themeShade="80"/>
          <w:spacing w:val="10"/>
          <w:sz w:val="18"/>
          <w:szCs w:val="18"/>
          <w:lang w:val="es-DO"/>
        </w:rPr>
        <w:t xml:space="preserve">Realización de un estudio en el cual se analiza la oportunidad de encadenamiento productivo de las empresas nacionales con empresas exportadoras. </w:t>
      </w:r>
    </w:p>
    <w:p w14:paraId="6E6BAE41" w14:textId="77777777"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Estudios de soluciones a la medida: </w:t>
      </w:r>
      <w:r w:rsidRPr="00061E36">
        <w:rPr>
          <w:rFonts w:ascii="Artifex CF Extra Light" w:eastAsia="Montserrat" w:hAnsi="Artifex CF Extra Light" w:cs="Times New Roman"/>
          <w:bCs/>
          <w:color w:val="1F4E79" w:themeColor="accent1" w:themeShade="80"/>
          <w:spacing w:val="10"/>
          <w:sz w:val="18"/>
          <w:szCs w:val="18"/>
          <w:lang w:val="es-DO"/>
        </w:rPr>
        <w:t>Son documentos estudio que se realizan para apoyar a empresas en específico para la ampliación de sus exportaciones, en este aspecto se elaboraron dos documentos, a saber: Realización de estudio para el aprovechamiento de mercados de los productos ajíes, tomate y pepino, así como perfil estratégico para la comercialización de zapote.</w:t>
      </w:r>
    </w:p>
    <w:p w14:paraId="3408DE16" w14:textId="0AF5913F"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Compendio de Provincias: </w:t>
      </w:r>
      <w:r w:rsidRPr="00061E36">
        <w:rPr>
          <w:rFonts w:ascii="Artifex CF Extra Light" w:eastAsia="Montserrat" w:hAnsi="Artifex CF Extra Light" w:cs="Times New Roman"/>
          <w:bCs/>
          <w:color w:val="1F4E79" w:themeColor="accent1" w:themeShade="80"/>
          <w:spacing w:val="10"/>
          <w:sz w:val="18"/>
          <w:szCs w:val="18"/>
          <w:lang w:val="es-DO"/>
        </w:rPr>
        <w:t xml:space="preserve">Es un documento que muestra las exportaciones de República Dominicana desde el 2012, </w:t>
      </w:r>
      <w:r w:rsidR="00161E84" w:rsidRPr="00061E36">
        <w:rPr>
          <w:rFonts w:ascii="Artifex CF Extra Light" w:eastAsia="Montserrat" w:hAnsi="Artifex CF Extra Light" w:cs="Times New Roman"/>
          <w:bCs/>
          <w:color w:val="1F4E79" w:themeColor="accent1" w:themeShade="80"/>
          <w:spacing w:val="10"/>
          <w:sz w:val="18"/>
          <w:szCs w:val="18"/>
          <w:lang w:val="es-DO"/>
        </w:rPr>
        <w:t>de acuerdo con</w:t>
      </w:r>
      <w:r w:rsidRPr="00061E36">
        <w:rPr>
          <w:rFonts w:ascii="Artifex CF Extra Light" w:eastAsia="Montserrat" w:hAnsi="Artifex CF Extra Light" w:cs="Times New Roman"/>
          <w:bCs/>
          <w:color w:val="1F4E79" w:themeColor="accent1" w:themeShade="80"/>
          <w:spacing w:val="10"/>
          <w:sz w:val="18"/>
          <w:szCs w:val="18"/>
          <w:lang w:val="es-DO"/>
        </w:rPr>
        <w:t xml:space="preserve"> las provincias del país.</w:t>
      </w:r>
    </w:p>
    <w:p w14:paraId="533CD02D" w14:textId="77777777"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Estimación de Impacto a las Exportaciones Dominicanas antes el COVID-19: </w:t>
      </w:r>
      <w:r w:rsidRPr="00061E36">
        <w:rPr>
          <w:rFonts w:ascii="Artifex CF Extra Light" w:eastAsia="Montserrat" w:hAnsi="Artifex CF Extra Light" w:cs="Times New Roman"/>
          <w:bCs/>
          <w:color w:val="1F4E79" w:themeColor="accent1" w:themeShade="80"/>
          <w:spacing w:val="10"/>
          <w:sz w:val="18"/>
          <w:szCs w:val="18"/>
          <w:lang w:val="es-DO"/>
        </w:rPr>
        <w:t xml:space="preserve">Se elaboraron once (11) documentos en el cual se plasma el impacto de las relaciones </w:t>
      </w:r>
      <w:r w:rsidRPr="00061E36">
        <w:rPr>
          <w:rFonts w:ascii="Artifex CF Extra Light" w:eastAsia="Montserrat" w:hAnsi="Artifex CF Extra Light" w:cs="Times New Roman"/>
          <w:bCs/>
          <w:color w:val="1F4E79" w:themeColor="accent1" w:themeShade="80"/>
          <w:spacing w:val="10"/>
          <w:sz w:val="18"/>
          <w:szCs w:val="18"/>
          <w:lang w:val="es-DO"/>
        </w:rPr>
        <w:lastRenderedPageBreak/>
        <w:t xml:space="preserve">comerciales entre República Dominicana y los países seleccionados por efecto covid, actualizados diariamente sobre casos, muertes, recuperados por el coronavirus, así como, las medidas adoptadas para combatir el mismo, los países son: Estados Unidos, China, Haití, Puerto Rico, España, Reino Unido, Alemania, Canadá, Suiza, India, Holanda. </w:t>
      </w:r>
    </w:p>
    <w:p w14:paraId="5F0B348C" w14:textId="77777777"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Comportamiento Sector agrícola, agroindustrial e industrial: </w:t>
      </w:r>
      <w:r w:rsidRPr="00061E36">
        <w:rPr>
          <w:rFonts w:ascii="Artifex CF Extra Light" w:eastAsia="Montserrat" w:hAnsi="Artifex CF Extra Light" w:cs="Times New Roman"/>
          <w:bCs/>
          <w:color w:val="1F4E79" w:themeColor="accent1" w:themeShade="80"/>
          <w:spacing w:val="10"/>
          <w:sz w:val="18"/>
          <w:szCs w:val="18"/>
          <w:lang w:val="es-DO"/>
        </w:rPr>
        <w:t xml:space="preserve">Se realizó un documento donde se plasma el comportamiento de la producción y evaluación en el proceso de exportación, dadas las medidas aplicadas en el país, de los diferentes sectores. </w:t>
      </w:r>
    </w:p>
    <w:p w14:paraId="20D1DF7E" w14:textId="77777777" w:rsidR="004157AF"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A94914">
        <w:rPr>
          <w:rFonts w:ascii="Artifex CF Extra Light" w:eastAsia="Montserrat" w:hAnsi="Artifex CF Extra Light" w:cs="Times New Roman"/>
          <w:b/>
          <w:color w:val="1F4E79" w:themeColor="accent1" w:themeShade="80"/>
          <w:spacing w:val="10"/>
          <w:sz w:val="18"/>
          <w:szCs w:val="18"/>
          <w:lang w:val="es-DO"/>
        </w:rPr>
        <w:t xml:space="preserve">Informe Impacto del COVID-19 a la Industria Agropecuaria: </w:t>
      </w:r>
      <w:r w:rsidRPr="00061E36">
        <w:rPr>
          <w:rFonts w:ascii="Artifex CF Extra Light" w:eastAsia="Montserrat" w:hAnsi="Artifex CF Extra Light" w:cs="Times New Roman"/>
          <w:bCs/>
          <w:color w:val="1F4E79" w:themeColor="accent1" w:themeShade="80"/>
          <w:spacing w:val="10"/>
          <w:sz w:val="18"/>
          <w:szCs w:val="18"/>
          <w:lang w:val="es-DO"/>
        </w:rPr>
        <w:t>Propuestas y Alternativas, CONFENAGRO-</w:t>
      </w:r>
      <w:r w:rsidR="00431CF6" w:rsidRPr="00061E36">
        <w:rPr>
          <w:rFonts w:ascii="Artifex CF Extra Light" w:eastAsia="Montserrat" w:hAnsi="Artifex CF Extra Light" w:cs="Times New Roman"/>
          <w:bCs/>
          <w:color w:val="1F4E79" w:themeColor="accent1" w:themeShade="80"/>
          <w:spacing w:val="10"/>
          <w:sz w:val="18"/>
          <w:szCs w:val="18"/>
          <w:lang w:val="es-DO"/>
        </w:rPr>
        <w:t>ProDominicana</w:t>
      </w:r>
      <w:r w:rsidRPr="00061E36">
        <w:rPr>
          <w:rFonts w:ascii="Artifex CF Extra Light" w:eastAsia="Montserrat" w:hAnsi="Artifex CF Extra Light" w:cs="Times New Roman"/>
          <w:bCs/>
          <w:color w:val="1F4E79" w:themeColor="accent1" w:themeShade="80"/>
          <w:spacing w:val="10"/>
          <w:sz w:val="18"/>
          <w:szCs w:val="18"/>
          <w:lang w:val="es-DO"/>
        </w:rPr>
        <w:t>: A raíz del impacto de la pandemia del COVID-19 en los sectores productivos y exportadores de República Dominicana, ProDominicana, en base a reuniones e informaciones recibidas de la Confederación Nacional de Productores Agropecuarios (CONFENAGRO), identificó diecinueve (19) productos que están siendo severamente afectados durante esta crisis, incluyendo hortalizas, vegetales, flores, frutas, productos pecuarios, pescados y mariscos.</w:t>
      </w:r>
    </w:p>
    <w:p w14:paraId="3174CA86" w14:textId="3580949B" w:rsidR="00F700D2" w:rsidRPr="004157AF" w:rsidRDefault="00F700D2" w:rsidP="004157AF">
      <w:pPr>
        <w:pStyle w:val="Prrafodelista"/>
        <w:spacing w:before="380" w:after="120" w:line="456" w:lineRule="auto"/>
        <w:ind w:left="284"/>
        <w:contextualSpacing w:val="0"/>
        <w:jc w:val="both"/>
        <w:rPr>
          <w:rFonts w:ascii="Artifex CF Extra Light" w:eastAsia="Montserrat" w:hAnsi="Artifex CF Extra Light" w:cs="Times New Roman"/>
          <w:b/>
          <w:color w:val="1F4E79" w:themeColor="accent1" w:themeShade="80"/>
          <w:spacing w:val="10"/>
          <w:sz w:val="18"/>
          <w:szCs w:val="18"/>
          <w:lang w:val="es-DO"/>
        </w:rPr>
      </w:pPr>
      <w:r w:rsidRPr="004157AF">
        <w:rPr>
          <w:rFonts w:ascii="Artifex CF Extra Light" w:eastAsia="Calibri" w:hAnsi="Artifex CF Extra Light" w:cs="Times New Roman"/>
          <w:color w:val="1F4E79" w:themeColor="accent1" w:themeShade="80"/>
          <w:spacing w:val="10"/>
          <w:sz w:val="18"/>
          <w:szCs w:val="18"/>
          <w:lang w:val="es"/>
        </w:rPr>
        <w:t>En vista de esta situación, se analizaron las demandas de los productos y exportadores afectados, así como su producción, consumo nacional estimado, el comportamiento de los precios, los flujos, destinos, logística, vías de salida de nuestras exportaciones. Finalmente, se elaboraron 22 propuestas o posibles soluciones en apoyo a los grupos afectados.</w:t>
      </w:r>
    </w:p>
    <w:p w14:paraId="688A35FE" w14:textId="074BA396"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4157AF">
        <w:rPr>
          <w:rFonts w:ascii="Artifex CF Extra Light" w:eastAsia="Montserrat" w:hAnsi="Artifex CF Extra Light" w:cs="Times New Roman"/>
          <w:b/>
          <w:color w:val="1F4E79" w:themeColor="accent1" w:themeShade="80"/>
          <w:spacing w:val="10"/>
          <w:sz w:val="18"/>
          <w:szCs w:val="18"/>
          <w:lang w:val="es-DO"/>
        </w:rPr>
        <w:t xml:space="preserve">Estudio Estratégico del </w:t>
      </w:r>
      <w:r w:rsidR="00E80F85" w:rsidRPr="004157AF">
        <w:rPr>
          <w:rFonts w:ascii="Artifex CF Extra Light" w:eastAsia="Montserrat" w:hAnsi="Artifex CF Extra Light" w:cs="Times New Roman"/>
          <w:b/>
          <w:color w:val="1F4E79" w:themeColor="accent1" w:themeShade="80"/>
          <w:spacing w:val="10"/>
          <w:sz w:val="18"/>
          <w:szCs w:val="18"/>
          <w:lang w:val="es-DO"/>
        </w:rPr>
        <w:t xml:space="preserve">ProDominicana </w:t>
      </w:r>
      <w:r w:rsidRPr="004157AF">
        <w:rPr>
          <w:rFonts w:ascii="Artifex CF Extra Light" w:eastAsia="Montserrat" w:hAnsi="Artifex CF Extra Light" w:cs="Times New Roman"/>
          <w:b/>
          <w:color w:val="1F4E79" w:themeColor="accent1" w:themeShade="80"/>
          <w:spacing w:val="10"/>
          <w:sz w:val="18"/>
          <w:szCs w:val="18"/>
          <w:lang w:val="es-DO"/>
        </w:rPr>
        <w:t xml:space="preserve">Post COVID-19 a partir de su impacto en República Dominicana: </w:t>
      </w:r>
      <w:r w:rsidRPr="00061E36">
        <w:rPr>
          <w:rFonts w:ascii="Artifex CF Extra Light" w:eastAsia="Montserrat" w:hAnsi="Artifex CF Extra Light" w:cs="Times New Roman"/>
          <w:bCs/>
          <w:color w:val="1F4E79" w:themeColor="accent1" w:themeShade="80"/>
          <w:spacing w:val="10"/>
          <w:sz w:val="18"/>
          <w:szCs w:val="18"/>
          <w:lang w:val="es-DO"/>
        </w:rPr>
        <w:t xml:space="preserve">Propuestas de estrategias. En este documento se desarrolla una visión transversal sobre los efectos de la crisis del COVID-19 en las exportaciones de República Dominicana, desde el antes ¿dónde estábamos?, durante ¿dónde estamos? y después ¿dónde nos vemos?, con datos, indicadores y </w:t>
      </w:r>
      <w:r w:rsidRPr="00061E36">
        <w:rPr>
          <w:rFonts w:ascii="Artifex CF Extra Light" w:eastAsia="Montserrat" w:hAnsi="Artifex CF Extra Light" w:cs="Times New Roman"/>
          <w:bCs/>
          <w:color w:val="1F4E79" w:themeColor="accent1" w:themeShade="80"/>
          <w:spacing w:val="10"/>
          <w:sz w:val="18"/>
          <w:szCs w:val="18"/>
          <w:lang w:val="es-DO"/>
        </w:rPr>
        <w:lastRenderedPageBreak/>
        <w:t xml:space="preserve">gráficos económicos y comerciales que reflejan el impacto de la pandemia en nuestras exportaciones, productos y mercados afectados, y flujos por salida (marítima, aérea y terrestre). Finalmente, en apoyo al sector exportador se identificaron acciones para nuestros destinos priorizados, recomendaciones para nuestras políticas comerciales, y se creó una nueva estructura de mercados y productos enfoque, logrando identificar 17 mercados alternativos, y 51 productos derivados o subproductos, cada uno con potenciales alianzas comerciales y mercados de exportación. </w:t>
      </w:r>
    </w:p>
    <w:p w14:paraId="19463DC6" w14:textId="77777777" w:rsidR="00F700D2" w:rsidRPr="004157AF"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
          <w:color w:val="1F4E79" w:themeColor="accent1" w:themeShade="80"/>
          <w:spacing w:val="10"/>
          <w:sz w:val="18"/>
          <w:szCs w:val="18"/>
          <w:lang w:val="es-DO"/>
        </w:rPr>
      </w:pPr>
      <w:r w:rsidRPr="004157AF">
        <w:rPr>
          <w:rFonts w:ascii="Artifex CF Extra Light" w:eastAsia="Montserrat" w:hAnsi="Artifex CF Extra Light" w:cs="Times New Roman"/>
          <w:b/>
          <w:color w:val="1F4E79" w:themeColor="accent1" w:themeShade="80"/>
          <w:spacing w:val="10"/>
          <w:sz w:val="18"/>
          <w:szCs w:val="18"/>
          <w:lang w:val="es-DO"/>
        </w:rPr>
        <w:t xml:space="preserve">Informe del Comercio con China: </w:t>
      </w:r>
      <w:r w:rsidRPr="00061E36">
        <w:rPr>
          <w:rFonts w:ascii="Artifex CF Extra Light" w:eastAsia="Montserrat" w:hAnsi="Artifex CF Extra Light" w:cs="Times New Roman"/>
          <w:bCs/>
          <w:color w:val="1F4E79" w:themeColor="accent1" w:themeShade="80"/>
          <w:spacing w:val="10"/>
          <w:sz w:val="18"/>
          <w:szCs w:val="18"/>
          <w:lang w:val="es-DO"/>
        </w:rPr>
        <w:t>Se elabora mensualmente un informe resumido en formato PPT, el cual muestra el comportamiento del comercio bilateral con China; variación en términos de valores transados y principales productos intercambiados, tanto para el mes como para el período acumulado.</w:t>
      </w:r>
      <w:r w:rsidRPr="004157AF">
        <w:rPr>
          <w:rFonts w:ascii="Artifex CF Extra Light" w:eastAsia="Montserrat" w:hAnsi="Artifex CF Extra Light" w:cs="Times New Roman"/>
          <w:b/>
          <w:color w:val="1F4E79" w:themeColor="accent1" w:themeShade="80"/>
          <w:spacing w:val="10"/>
          <w:sz w:val="18"/>
          <w:szCs w:val="18"/>
          <w:lang w:val="es-DO"/>
        </w:rPr>
        <w:t xml:space="preserve"> </w:t>
      </w:r>
    </w:p>
    <w:p w14:paraId="36BC8901" w14:textId="77777777"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4157AF">
        <w:rPr>
          <w:rFonts w:ascii="Artifex CF Extra Light" w:eastAsia="Montserrat" w:hAnsi="Artifex CF Extra Light" w:cs="Times New Roman"/>
          <w:b/>
          <w:color w:val="1F4E79" w:themeColor="accent1" w:themeShade="80"/>
          <w:spacing w:val="10"/>
          <w:sz w:val="18"/>
          <w:szCs w:val="18"/>
          <w:lang w:val="es-DO"/>
        </w:rPr>
        <w:t xml:space="preserve">Boletín de Exportaciones de Tabaco: </w:t>
      </w:r>
      <w:r w:rsidRPr="00061E36">
        <w:rPr>
          <w:rFonts w:ascii="Artifex CF Extra Light" w:eastAsia="Montserrat" w:hAnsi="Artifex CF Extra Light" w:cs="Times New Roman"/>
          <w:bCs/>
          <w:color w:val="1F4E79" w:themeColor="accent1" w:themeShade="80"/>
          <w:spacing w:val="10"/>
          <w:sz w:val="18"/>
          <w:szCs w:val="18"/>
          <w:lang w:val="es-DO"/>
        </w:rPr>
        <w:t>Es un documento de elaboración mensual donde se muestra el comportamiento de las exportaciones de tabaco y sus derivados tanto de forma mensual, como también acumulada y a su vez se detallan los principales destinos de exportaciones y principales empresas exportadoras para cada período.</w:t>
      </w:r>
    </w:p>
    <w:p w14:paraId="79E0CE6A" w14:textId="77777777"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4157AF">
        <w:rPr>
          <w:rFonts w:ascii="Artifex CF Extra Light" w:eastAsia="Montserrat" w:hAnsi="Artifex CF Extra Light" w:cs="Times New Roman"/>
          <w:b/>
          <w:color w:val="1F4E79" w:themeColor="accent1" w:themeShade="80"/>
          <w:spacing w:val="10"/>
          <w:sz w:val="18"/>
          <w:szCs w:val="18"/>
          <w:lang w:val="es-DO"/>
        </w:rPr>
        <w:t xml:space="preserve">Comportamiento del Comercio con Suiza en el primer trimestre, 2020: </w:t>
      </w:r>
      <w:r w:rsidRPr="00061E36">
        <w:rPr>
          <w:rFonts w:ascii="Artifex CF Extra Light" w:eastAsia="Montserrat" w:hAnsi="Artifex CF Extra Light" w:cs="Times New Roman"/>
          <w:bCs/>
          <w:color w:val="1F4E79" w:themeColor="accent1" w:themeShade="80"/>
          <w:spacing w:val="10"/>
          <w:sz w:val="18"/>
          <w:szCs w:val="18"/>
          <w:lang w:val="es-DO"/>
        </w:rPr>
        <w:t>Presentación comparativa del comportamiento de las exportaciones hacia Suiza tanto para el mes de marzo como para el trimestre en el 2019 y el 2020.</w:t>
      </w:r>
    </w:p>
    <w:p w14:paraId="405BBDA8" w14:textId="77777777" w:rsidR="00F700D2" w:rsidRPr="00061E36" w:rsidRDefault="00F700D2" w:rsidP="004157AF">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4157AF">
        <w:rPr>
          <w:rFonts w:ascii="Artifex CF Extra Light" w:eastAsia="Montserrat" w:hAnsi="Artifex CF Extra Light" w:cs="Times New Roman"/>
          <w:b/>
          <w:color w:val="1F4E79" w:themeColor="accent1" w:themeShade="80"/>
          <w:spacing w:val="10"/>
          <w:sz w:val="18"/>
          <w:szCs w:val="18"/>
          <w:lang w:val="es-DO"/>
        </w:rPr>
        <w:t xml:space="preserve">Informe sobre el comportamiento de las exportaciones de República Dominicana, con mercados específicos: </w:t>
      </w:r>
      <w:r w:rsidRPr="00061E36">
        <w:rPr>
          <w:rFonts w:ascii="Artifex CF Extra Light" w:eastAsia="Montserrat" w:hAnsi="Artifex CF Extra Light" w:cs="Times New Roman"/>
          <w:bCs/>
          <w:color w:val="1F4E79" w:themeColor="accent1" w:themeShade="80"/>
          <w:spacing w:val="10"/>
          <w:sz w:val="18"/>
          <w:szCs w:val="18"/>
          <w:lang w:val="es-DO"/>
        </w:rPr>
        <w:t>Son diferentes informes que muestran el análisis sobre el comportamiento de las exportaciones de República Dominicana con diferentes mercados, donde se muestra el comercio por salida, productos que más han crecido, productos afectados y oportunidades del mercado, a saber:</w:t>
      </w:r>
    </w:p>
    <w:p w14:paraId="1A87A755" w14:textId="77777777" w:rsidR="00F700D2" w:rsidRPr="007B3B38" w:rsidRDefault="00F700D2" w:rsidP="004157AF">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4157AF">
        <w:rPr>
          <w:rFonts w:ascii="Artifex CF Extra Light" w:eastAsia="Calibri" w:hAnsi="Artifex CF Extra Light" w:cs="Times New Roman"/>
          <w:color w:val="1F4E79" w:themeColor="accent1" w:themeShade="80"/>
          <w:spacing w:val="10"/>
          <w:sz w:val="18"/>
          <w:szCs w:val="18"/>
          <w:lang w:val="es-DO"/>
        </w:rPr>
        <w:t>Estudio Estados Unidos: Informe Post-Covid de sectores y productos afectados</w:t>
      </w:r>
    </w:p>
    <w:p w14:paraId="612B1E6D" w14:textId="77777777" w:rsidR="00F700D2" w:rsidRPr="007B3B38" w:rsidRDefault="00F700D2" w:rsidP="004157AF">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4157AF">
        <w:rPr>
          <w:rFonts w:ascii="Artifex CF Extra Light" w:eastAsia="Calibri" w:hAnsi="Artifex CF Extra Light" w:cs="Times New Roman"/>
          <w:color w:val="1F4E79" w:themeColor="accent1" w:themeShade="80"/>
          <w:spacing w:val="10"/>
          <w:sz w:val="18"/>
          <w:szCs w:val="18"/>
          <w:lang w:val="es-DO"/>
        </w:rPr>
        <w:lastRenderedPageBreak/>
        <w:t>Estudio; Reafirmar el crecimiento de las exportaciones hacia Países Bajos</w:t>
      </w:r>
    </w:p>
    <w:p w14:paraId="4E3B1E6D" w14:textId="77777777" w:rsidR="00F700D2" w:rsidRPr="007B3B38" w:rsidRDefault="00F700D2" w:rsidP="004157AF">
      <w:pPr>
        <w:pStyle w:val="Prrafodelista"/>
        <w:numPr>
          <w:ilvl w:val="1"/>
          <w:numId w:val="9"/>
        </w:numPr>
        <w:spacing w:before="380" w:after="120" w:line="456" w:lineRule="auto"/>
        <w:ind w:left="568" w:hanging="284"/>
        <w:contextualSpacing w:val="0"/>
        <w:jc w:val="both"/>
        <w:rPr>
          <w:rFonts w:ascii="Artifex CF Extra Light" w:eastAsia="Calibri" w:hAnsi="Artifex CF Extra Light" w:cs="Times New Roman"/>
          <w:color w:val="1F4E79" w:themeColor="accent1" w:themeShade="80"/>
          <w:spacing w:val="10"/>
          <w:sz w:val="18"/>
          <w:szCs w:val="18"/>
          <w:lang w:val="es-DO"/>
        </w:rPr>
      </w:pPr>
      <w:r w:rsidRPr="004157AF">
        <w:rPr>
          <w:rFonts w:ascii="Artifex CF Extra Light" w:eastAsia="Calibri" w:hAnsi="Artifex CF Extra Light" w:cs="Times New Roman"/>
          <w:color w:val="1F4E79" w:themeColor="accent1" w:themeShade="80"/>
          <w:spacing w:val="10"/>
          <w:sz w:val="18"/>
          <w:szCs w:val="18"/>
          <w:lang w:val="es-DO"/>
        </w:rPr>
        <w:t>Estudio; Reafirmar el crecimiento de las exportaciones hacia España</w:t>
      </w:r>
    </w:p>
    <w:p w14:paraId="1C5E8C9E" w14:textId="4023AE79" w:rsidR="009069C8" w:rsidRPr="007B3B38" w:rsidRDefault="00E33101" w:rsidP="00220DB5">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color w:val="1F4E79" w:themeColor="accent1" w:themeShade="80"/>
          <w:spacing w:val="10"/>
          <w:sz w:val="18"/>
          <w:szCs w:val="18"/>
          <w:lang w:val="es-DO"/>
        </w:rPr>
      </w:pPr>
      <w:bookmarkStart w:id="65" w:name="_Toc58332480"/>
      <w:r w:rsidRPr="007B3B38">
        <w:rPr>
          <w:rFonts w:ascii="Artifex CF Extra Light" w:hAnsi="Artifex CF Extra Light" w:cs="Times New Roman"/>
          <w:b/>
          <w:color w:val="1F4E79" w:themeColor="accent1" w:themeShade="80"/>
          <w:spacing w:val="10"/>
          <w:sz w:val="18"/>
          <w:szCs w:val="18"/>
          <w:lang w:val="es-DO"/>
        </w:rPr>
        <w:t>FORMACIÓN Y DESARROLLO DE EXPORTADORES</w:t>
      </w:r>
      <w:bookmarkEnd w:id="65"/>
    </w:p>
    <w:p w14:paraId="72453DC5" w14:textId="5A5C1649"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Con el compromiso de instruir, informar y formar a los clientes de ProDominicana, desde la gerencia de Formación en Comercio Internacional y desde el Centro MiPymes de Exportación se han realizado actividades como:</w:t>
      </w:r>
    </w:p>
    <w:p w14:paraId="655FAD7E" w14:textId="77777777" w:rsidR="009069C8" w:rsidRPr="00061E36" w:rsidRDefault="009069C8" w:rsidP="00220DB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66" w:name="_Toc58332481"/>
      <w:r w:rsidRPr="00061E36">
        <w:rPr>
          <w:rFonts w:ascii="Artifex CF Extra Light" w:hAnsi="Artifex CF Extra Light" w:cs="Times New Roman"/>
          <w:b/>
          <w:color w:val="1F4E79" w:themeColor="accent1" w:themeShade="80"/>
          <w:spacing w:val="10"/>
          <w:sz w:val="20"/>
          <w:szCs w:val="20"/>
          <w:lang w:val="es-DO"/>
        </w:rPr>
        <w:t>Preparación de las MIPYMES para la internacionalizació</w:t>
      </w:r>
      <w:bookmarkEnd w:id="66"/>
      <w:r w:rsidRPr="00061E36">
        <w:rPr>
          <w:rFonts w:ascii="Artifex CF Extra Light" w:hAnsi="Artifex CF Extra Light" w:cs="Times New Roman"/>
          <w:b/>
          <w:color w:val="1F4E79" w:themeColor="accent1" w:themeShade="80"/>
          <w:spacing w:val="10"/>
          <w:sz w:val="20"/>
          <w:szCs w:val="20"/>
          <w:lang w:val="es-DO"/>
        </w:rPr>
        <w:t>n</w:t>
      </w:r>
    </w:p>
    <w:p w14:paraId="228FAF97" w14:textId="45E80BC2"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En el año 2020, ProDominicana a través de su Gerencia Centro </w:t>
      </w:r>
      <w:r w:rsidR="00880870" w:rsidRPr="007B3B38">
        <w:rPr>
          <w:rFonts w:ascii="Artifex CF Extra Light" w:hAnsi="Artifex CF Extra Light" w:cs="Times New Roman"/>
          <w:color w:val="1F4E79" w:themeColor="accent1" w:themeShade="80"/>
          <w:spacing w:val="10"/>
          <w:sz w:val="18"/>
          <w:szCs w:val="18"/>
          <w:lang w:val="es-DO"/>
        </w:rPr>
        <w:t>MiPymes</w:t>
      </w:r>
      <w:r w:rsidRPr="007B3B38">
        <w:rPr>
          <w:rFonts w:ascii="Artifex CF Extra Light" w:hAnsi="Artifex CF Extra Light" w:cs="Times New Roman"/>
          <w:color w:val="1F4E79" w:themeColor="accent1" w:themeShade="80"/>
          <w:spacing w:val="10"/>
          <w:sz w:val="18"/>
          <w:szCs w:val="18"/>
          <w:lang w:val="es-DO"/>
        </w:rPr>
        <w:t xml:space="preserve"> de Exportación, establecida con la misión de captar en todo el territorio nacional, a las micro, pequeñas y medianas empresas (MiPymes) con potencial exportador; y el objetivo principal de brindar a través de una atención personalizada, acompañamiento técnico en su proceso de preparación, para que las mismas logren con éxito su proceso exportador.</w:t>
      </w:r>
    </w:p>
    <w:p w14:paraId="7D4FEE25"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Como resultado de su gestión en el 2020, se logró lo siguiente:</w:t>
      </w:r>
    </w:p>
    <w:p w14:paraId="7E700DC7" w14:textId="2615498A"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3</w:t>
      </w:r>
      <w:r w:rsidR="00C64A3A" w:rsidRPr="00061E36">
        <w:rPr>
          <w:rFonts w:ascii="Artifex CF Extra Light" w:eastAsia="Montserrat" w:hAnsi="Artifex CF Extra Light" w:cs="Times New Roman"/>
          <w:bCs/>
          <w:color w:val="1F4E79" w:themeColor="accent1" w:themeShade="80"/>
          <w:spacing w:val="10"/>
          <w:sz w:val="18"/>
          <w:szCs w:val="18"/>
          <w:lang w:val="es-DO"/>
        </w:rPr>
        <w:t>7</w:t>
      </w:r>
      <w:r w:rsidRPr="00061E36">
        <w:rPr>
          <w:rFonts w:ascii="Artifex CF Extra Light" w:eastAsia="Montserrat" w:hAnsi="Artifex CF Extra Light" w:cs="Times New Roman"/>
          <w:bCs/>
          <w:color w:val="1F4E79" w:themeColor="accent1" w:themeShade="80"/>
          <w:spacing w:val="10"/>
          <w:sz w:val="18"/>
          <w:szCs w:val="18"/>
          <w:lang w:val="es-DO"/>
        </w:rPr>
        <w:t xml:space="preserve"> empresas MiPymes identificadas con potencial de exportación.</w:t>
      </w:r>
    </w:p>
    <w:p w14:paraId="2BCD93BD"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10 empresas MiPymes que exportaron por primera vez.</w:t>
      </w:r>
    </w:p>
    <w:p w14:paraId="08A98AA9" w14:textId="1B10BB6C"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403 empresas MiPymes recibieron </w:t>
      </w:r>
      <w:r w:rsidR="00CD17E4" w:rsidRPr="00061E36">
        <w:rPr>
          <w:rFonts w:ascii="Artifex CF Extra Light" w:eastAsia="Montserrat" w:hAnsi="Artifex CF Extra Light" w:cs="Times New Roman"/>
          <w:bCs/>
          <w:color w:val="1F4E79" w:themeColor="accent1" w:themeShade="80"/>
          <w:spacing w:val="10"/>
          <w:sz w:val="18"/>
          <w:szCs w:val="18"/>
          <w:lang w:val="es-DO"/>
        </w:rPr>
        <w:t>asesorías</w:t>
      </w:r>
      <w:r w:rsidRPr="00061E36">
        <w:rPr>
          <w:rFonts w:ascii="Artifex CF Extra Light" w:eastAsia="Montserrat" w:hAnsi="Artifex CF Extra Light" w:cs="Times New Roman"/>
          <w:bCs/>
          <w:color w:val="1F4E79" w:themeColor="accent1" w:themeShade="80"/>
          <w:spacing w:val="10"/>
          <w:sz w:val="18"/>
          <w:szCs w:val="18"/>
          <w:lang w:val="es-DO"/>
        </w:rPr>
        <w:t xml:space="preserve"> empresariales.</w:t>
      </w:r>
    </w:p>
    <w:p w14:paraId="6B39366E"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40 empresas MiPymes asistidas en el registro, renovación o actualización de datos, ante la Food and Drug Administration (FDA). nuevos y renovaciones.</w:t>
      </w:r>
    </w:p>
    <w:p w14:paraId="0CEA0D47" w14:textId="6EB15FAE"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75 </w:t>
      </w:r>
      <w:r w:rsidR="00F71EE3" w:rsidRPr="00061E36">
        <w:rPr>
          <w:rFonts w:ascii="Artifex CF Extra Light" w:eastAsia="Montserrat" w:hAnsi="Artifex CF Extra Light" w:cs="Times New Roman"/>
          <w:bCs/>
          <w:color w:val="1F4E79" w:themeColor="accent1" w:themeShade="80"/>
          <w:spacing w:val="10"/>
          <w:sz w:val="18"/>
          <w:szCs w:val="18"/>
          <w:lang w:val="es-DO"/>
        </w:rPr>
        <w:t>visitas</w:t>
      </w:r>
      <w:r w:rsidRPr="00061E36">
        <w:rPr>
          <w:rFonts w:ascii="Artifex CF Extra Light" w:eastAsia="Montserrat" w:hAnsi="Artifex CF Extra Light" w:cs="Times New Roman"/>
          <w:bCs/>
          <w:color w:val="1F4E79" w:themeColor="accent1" w:themeShade="80"/>
          <w:spacing w:val="10"/>
          <w:sz w:val="18"/>
          <w:szCs w:val="18"/>
          <w:lang w:val="es-DO"/>
        </w:rPr>
        <w:t xml:space="preserve"> técnicas a </w:t>
      </w:r>
      <w:r w:rsidR="009E6AFE" w:rsidRPr="00061E36">
        <w:rPr>
          <w:rFonts w:ascii="Artifex CF Extra Light" w:eastAsia="Montserrat" w:hAnsi="Artifex CF Extra Light" w:cs="Times New Roman"/>
          <w:bCs/>
          <w:color w:val="1F4E79" w:themeColor="accent1" w:themeShade="80"/>
          <w:spacing w:val="10"/>
          <w:sz w:val="18"/>
          <w:szCs w:val="18"/>
          <w:lang w:val="es-DO"/>
        </w:rPr>
        <w:t>MiPymes</w:t>
      </w:r>
      <w:r w:rsidRPr="00061E36">
        <w:rPr>
          <w:rFonts w:ascii="Artifex CF Extra Light" w:eastAsia="Montserrat" w:hAnsi="Artifex CF Extra Light" w:cs="Times New Roman"/>
          <w:bCs/>
          <w:color w:val="1F4E79" w:themeColor="accent1" w:themeShade="80"/>
          <w:spacing w:val="10"/>
          <w:sz w:val="18"/>
          <w:szCs w:val="18"/>
          <w:lang w:val="es-DO"/>
        </w:rPr>
        <w:t xml:space="preserve"> a nivel nacional. </w:t>
      </w:r>
      <w:r w:rsidRPr="00061E36">
        <w:rPr>
          <w:rFonts w:ascii="Artifex CF Extra Light" w:eastAsia="Montserrat" w:hAnsi="Artifex CF Extra Light" w:cs="Times New Roman"/>
          <w:bCs/>
          <w:color w:val="1F4E79" w:themeColor="accent1" w:themeShade="80"/>
          <w:spacing w:val="10"/>
          <w:sz w:val="18"/>
          <w:szCs w:val="18"/>
          <w:lang w:val="es-DO"/>
        </w:rPr>
        <w:tab/>
      </w:r>
    </w:p>
    <w:p w14:paraId="0A0C2541"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lastRenderedPageBreak/>
        <w:t xml:space="preserve">62 test </w:t>
      </w:r>
      <w:proofErr w:type="gramStart"/>
      <w:r w:rsidRPr="00061E36">
        <w:rPr>
          <w:rFonts w:ascii="Artifex CF Extra Light" w:eastAsia="Montserrat" w:hAnsi="Artifex CF Extra Light" w:cs="Times New Roman"/>
          <w:bCs/>
          <w:color w:val="1F4E79" w:themeColor="accent1" w:themeShade="80"/>
          <w:spacing w:val="10"/>
          <w:sz w:val="18"/>
          <w:szCs w:val="18"/>
          <w:lang w:val="es-DO"/>
        </w:rPr>
        <w:t>exportador aplicados</w:t>
      </w:r>
      <w:proofErr w:type="gramEnd"/>
      <w:r w:rsidRPr="00061E36">
        <w:rPr>
          <w:rFonts w:ascii="Artifex CF Extra Light" w:eastAsia="Montserrat" w:hAnsi="Artifex CF Extra Light" w:cs="Times New Roman"/>
          <w:bCs/>
          <w:color w:val="1F4E79" w:themeColor="accent1" w:themeShade="80"/>
          <w:spacing w:val="10"/>
          <w:sz w:val="18"/>
          <w:szCs w:val="18"/>
          <w:lang w:val="es-DO"/>
        </w:rPr>
        <w:t>.</w:t>
      </w:r>
    </w:p>
    <w:p w14:paraId="0EFDD488"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83 empresas MiPymes participantes en capacitaciones enfocadas a sus necesidades, coordinadas por la gerencia.</w:t>
      </w:r>
    </w:p>
    <w:p w14:paraId="3ACF1570"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329 personas de empresas MiPymes capacitadas.</w:t>
      </w:r>
    </w:p>
    <w:p w14:paraId="35762DB9"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10 procesos de referimientos externos a empresas MiPymes, externo.</w:t>
      </w:r>
    </w:p>
    <w:p w14:paraId="11C4E95A" w14:textId="77777777" w:rsidR="009069C8" w:rsidRPr="00061E36" w:rsidRDefault="009069C8" w:rsidP="00220DB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bookmarkStart w:id="67" w:name="_Toc58332482"/>
      <w:r w:rsidRPr="00061E36">
        <w:rPr>
          <w:rFonts w:ascii="Artifex CF Extra Light" w:hAnsi="Artifex CF Extra Light" w:cs="Times New Roman"/>
          <w:b/>
          <w:color w:val="1F4E79" w:themeColor="accent1" w:themeShade="80"/>
          <w:spacing w:val="10"/>
          <w:sz w:val="20"/>
          <w:szCs w:val="20"/>
          <w:lang w:val="es-DO"/>
        </w:rPr>
        <w:t>Formación en comercio internacional</w:t>
      </w:r>
      <w:bookmarkEnd w:id="67"/>
    </w:p>
    <w:p w14:paraId="4A38DEB0" w14:textId="77777777" w:rsidR="009069C8" w:rsidRPr="007B3B38" w:rsidRDefault="009069C8" w:rsidP="00864966">
      <w:pPr>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rPr>
      </w:pPr>
      <w:r w:rsidRPr="007B3B38">
        <w:rPr>
          <w:rFonts w:ascii="Artifex CF Extra Light" w:eastAsia="Times New Roman" w:hAnsi="Artifex CF Extra Light" w:cs="Times New Roman"/>
          <w:color w:val="1F4E79" w:themeColor="accent1" w:themeShade="80"/>
          <w:spacing w:val="10"/>
          <w:sz w:val="18"/>
          <w:szCs w:val="18"/>
          <w:lang w:val="es"/>
        </w:rPr>
        <w:t>En el ámbito de los servicios de formación en comercio internacional, en el año 2020 ProDominicana ha capacitado a unas 255 empresas exportadores y 60 potenciales exportadores, y un total de 3,000 de personas participantes de la sociedad en general interesadas en temas de comercio exterior.</w:t>
      </w:r>
    </w:p>
    <w:p w14:paraId="02C3DA3C"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La Gerencia de Formación el Comercio Internacional ha ofrecido un total de 44 capacitaciones en las modalidades presencial y online, entre los que se encuentran:</w:t>
      </w:r>
    </w:p>
    <w:p w14:paraId="2E97F089"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Curso: Nociones Básicas de Comercio Internacional </w:t>
      </w:r>
    </w:p>
    <w:p w14:paraId="15F38F37"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Charla: Comercio Justo </w:t>
      </w:r>
    </w:p>
    <w:p w14:paraId="3BC9FA7C"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Curso: Propiedad Industrial Como Desarrollo de las MiPymes con Vocación Exportadora</w:t>
      </w:r>
    </w:p>
    <w:p w14:paraId="4E9B4827"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Curso: Formalización Empresarial</w:t>
      </w:r>
    </w:p>
    <w:p w14:paraId="362BE998"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Charla: Sector Cosméticos: ¿Que hacer para exportar, Normativas, requisitos, procesos y más?</w:t>
      </w:r>
    </w:p>
    <w:p w14:paraId="4DAD3580"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lastRenderedPageBreak/>
        <w:t>Curso: Instrumentos de Pago del Comercio Exterior</w:t>
      </w:r>
    </w:p>
    <w:p w14:paraId="08EA3BB5"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Curso: Uso de las TICS como herramienta de Negocios </w:t>
      </w:r>
    </w:p>
    <w:p w14:paraId="1D0137D1"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Curso: Cómo Exportar a las Islas ABC (Aruba, Bonaire y Curazao)</w:t>
      </w:r>
    </w:p>
    <w:p w14:paraId="52C71515"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Curso: Seguridad Alimentaria, Conceptos Básicos y Estado de la SAN en Rep. Dom</w:t>
      </w:r>
    </w:p>
    <w:p w14:paraId="3A809D66"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Taller: Participación efectiva en ferias comerciales</w:t>
      </w:r>
    </w:p>
    <w:p w14:paraId="73231291"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Charla: Emprendiendo positivamente, en tiempo de Crisis</w:t>
      </w:r>
    </w:p>
    <w:p w14:paraId="238C2D94"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Charla: Repensando la Internacionalización Empresarial: De la Crisis a la Reactivación </w:t>
      </w:r>
    </w:p>
    <w:p w14:paraId="53BD45A1"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Charla: El Comercio Justo en el Contexto COVID 19</w:t>
      </w:r>
    </w:p>
    <w:p w14:paraId="1F251A8A"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Diplomado: Gestión de Exportación (Santo Domingo)</w:t>
      </w:r>
    </w:p>
    <w:p w14:paraId="6D77ECEF"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Conversatorio: Desafíos Comerciales bajo COVID 19 en la región: Caribe vs. Estados Unidos </w:t>
      </w:r>
    </w:p>
    <w:p w14:paraId="2CC96DA2"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Ciclo de Webinars: Oportunidades para Exportadores Post-Covid: Austria</w:t>
      </w:r>
    </w:p>
    <w:p w14:paraId="467FAD67"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Ciclo de Webinars: Oportunidades para Exportadores Post-Covid: MEXICO</w:t>
      </w:r>
    </w:p>
    <w:p w14:paraId="2B2C222F"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Ciclo de Webinars: Oportunidades para Exportadores Post-Covid: ESTADOS UNIDOS</w:t>
      </w:r>
    </w:p>
    <w:p w14:paraId="57282FC7"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Ciclo de Webinars: Oportunidades para Exportadores Post-Covid: España</w:t>
      </w:r>
    </w:p>
    <w:p w14:paraId="3BBDC2CE"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Seminario: Certificación Kosher</w:t>
      </w:r>
    </w:p>
    <w:p w14:paraId="79E726AF"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lastRenderedPageBreak/>
        <w:t>Charla: El Mercado Canadiense de Importación de Productos Frescos: Una Oportunidad para Productores y Comerciantes de la República Dominicana.</w:t>
      </w:r>
    </w:p>
    <w:p w14:paraId="33C3FD36" w14:textId="73FCC9A9"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Charla: Conozca la DRC- </w:t>
      </w:r>
      <w:r w:rsidR="009E6AFE" w:rsidRPr="00061E36">
        <w:rPr>
          <w:rFonts w:ascii="Artifex CF Extra Light" w:eastAsia="Montserrat" w:hAnsi="Artifex CF Extra Light" w:cs="Times New Roman"/>
          <w:bCs/>
          <w:color w:val="1F4E79" w:themeColor="accent1" w:themeShade="80"/>
          <w:spacing w:val="10"/>
          <w:sz w:val="18"/>
          <w:szCs w:val="18"/>
          <w:lang w:val="es-DO"/>
        </w:rPr>
        <w:t>Corporación</w:t>
      </w:r>
      <w:r w:rsidRPr="00061E36">
        <w:rPr>
          <w:rFonts w:ascii="Artifex CF Extra Light" w:eastAsia="Montserrat" w:hAnsi="Artifex CF Extra Light" w:cs="Times New Roman"/>
          <w:bCs/>
          <w:color w:val="1F4E79" w:themeColor="accent1" w:themeShade="80"/>
          <w:spacing w:val="10"/>
          <w:sz w:val="18"/>
          <w:szCs w:val="18"/>
          <w:lang w:val="es-DO"/>
        </w:rPr>
        <w:t xml:space="preserve"> de solución de controversias y las consideraciones comerciales al Exportar a Canadá</w:t>
      </w:r>
    </w:p>
    <w:p w14:paraId="00D5E15B"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Webinar: Colombia y sus Negociaciones Comerciales: Retos y Oportunidades</w:t>
      </w:r>
    </w:p>
    <w:p w14:paraId="28330048"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Curso: Introducción a la Redes Sociales: Marketing y Transformación Digital </w:t>
      </w:r>
    </w:p>
    <w:p w14:paraId="479E81AE"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Conversatorio: Actualidad, Tendencias y Retos del Retail en los Estados Unidos de América</w:t>
      </w:r>
    </w:p>
    <w:p w14:paraId="26E1C60B"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Curso: Logística de Exportación </w:t>
      </w:r>
    </w:p>
    <w:p w14:paraId="3E775D47"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Webinar: Planificación Estratégica de Exportación de Servicios</w:t>
      </w:r>
    </w:p>
    <w:p w14:paraId="04423900"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Webinar: Estrategia para la creación de tienda virtual en la plataforma Amazon</w:t>
      </w:r>
    </w:p>
    <w:p w14:paraId="7B915E0F"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Charla: Finanzas para Pymes</w:t>
      </w:r>
    </w:p>
    <w:p w14:paraId="12D253F9"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Curso: Buenas prácticas Agrícolas </w:t>
      </w:r>
    </w:p>
    <w:p w14:paraId="29EC27F0"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Curso: Aprovechamientos de los Acuerdos Comerciales </w:t>
      </w:r>
    </w:p>
    <w:p w14:paraId="63C4E9AB"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Curso: Requisitos FSMA</w:t>
      </w:r>
    </w:p>
    <w:p w14:paraId="144529E7"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Taller: Fuentes y Uso de Información en Comercio Internacional</w:t>
      </w:r>
    </w:p>
    <w:p w14:paraId="3C654228" w14:textId="77777777" w:rsidR="009069C8" w:rsidRPr="00061E36" w:rsidRDefault="009069C8"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Taller: Análisis de Peligros y Puntos Críticos de Control (HACCP)</w:t>
      </w:r>
    </w:p>
    <w:p w14:paraId="5CF835E4" w14:textId="6EEB7CB6" w:rsidR="00333FDA" w:rsidRPr="00061E36" w:rsidRDefault="009069C8" w:rsidP="00B37FE3">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Curso: Cómo Exportar Paso a Paso</w:t>
      </w:r>
      <w:bookmarkStart w:id="68" w:name="_Toc58332491"/>
      <w:r w:rsidR="00061E36">
        <w:rPr>
          <w:rFonts w:ascii="Artifex CF Extra Light" w:eastAsia="Montserrat" w:hAnsi="Artifex CF Extra Light" w:cs="Times New Roman"/>
          <w:bCs/>
          <w:color w:val="1F4E79" w:themeColor="accent1" w:themeShade="80"/>
          <w:spacing w:val="10"/>
          <w:sz w:val="18"/>
          <w:szCs w:val="18"/>
          <w:lang w:val="es-DO"/>
        </w:rPr>
        <w:t>.</w:t>
      </w:r>
    </w:p>
    <w:p w14:paraId="29FEC403" w14:textId="764C0211" w:rsidR="009069C8" w:rsidRPr="007B3B38" w:rsidRDefault="00C5328F" w:rsidP="00220DB5">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b/>
          <w:color w:val="1F4E79" w:themeColor="accent1" w:themeShade="80"/>
          <w:spacing w:val="10"/>
          <w:sz w:val="18"/>
          <w:szCs w:val="18"/>
          <w:lang w:val="es-DO"/>
        </w:rPr>
        <w:lastRenderedPageBreak/>
        <w:t>SERVICIOS</w:t>
      </w:r>
      <w:r w:rsidRPr="00220DB5">
        <w:rPr>
          <w:rFonts w:ascii="Artifex CF Extra Light" w:hAnsi="Artifex CF Extra Light" w:cs="Times New Roman"/>
          <w:b/>
          <w:color w:val="1F4E79" w:themeColor="accent1" w:themeShade="80"/>
          <w:spacing w:val="10"/>
          <w:sz w:val="18"/>
          <w:szCs w:val="18"/>
          <w:lang w:val="es-DO"/>
        </w:rPr>
        <w:t xml:space="preserve"> DE PROCESAMIENTO, TRÁMITES Y REGISTROS</w:t>
      </w:r>
      <w:bookmarkEnd w:id="68"/>
    </w:p>
    <w:p w14:paraId="2DB26369"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Desde ProDominicana se gestiona la asistencia y la tramitología para las Leyes No. 84-99 de Admisión Temporal, 110-13 para la Certificación de Exportadores de Metales, y la 16-95 para el Registro de Inversión Extranjera Directa, y la emisión de las Certificaciones al Exportador.</w:t>
      </w:r>
    </w:p>
    <w:p w14:paraId="2F9C6F17" w14:textId="77777777" w:rsidR="009069C8" w:rsidRPr="00061E36" w:rsidRDefault="009069C8" w:rsidP="00220DB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rPr>
      </w:pPr>
      <w:bookmarkStart w:id="69" w:name="_Toc58332492"/>
      <w:r w:rsidRPr="00061E36">
        <w:rPr>
          <w:rFonts w:ascii="Artifex CF Extra Light" w:hAnsi="Artifex CF Extra Light" w:cs="Times New Roman"/>
          <w:b/>
          <w:color w:val="1F4E79" w:themeColor="accent1" w:themeShade="80"/>
          <w:spacing w:val="10"/>
          <w:sz w:val="20"/>
          <w:szCs w:val="20"/>
          <w:lang w:val="es-DO"/>
        </w:rPr>
        <w:t>Resoluciones</w:t>
      </w:r>
      <w:r w:rsidRPr="00061E36">
        <w:rPr>
          <w:rFonts w:ascii="Artifex CF Extra Light" w:hAnsi="Artifex CF Extra Light" w:cs="Times New Roman"/>
          <w:b/>
          <w:color w:val="1F4E79" w:themeColor="accent1" w:themeShade="80"/>
          <w:spacing w:val="10"/>
          <w:sz w:val="20"/>
          <w:szCs w:val="20"/>
        </w:rPr>
        <w:t xml:space="preserve"> de admisión temporal</w:t>
      </w:r>
      <w:bookmarkEnd w:id="69"/>
    </w:p>
    <w:p w14:paraId="1F5E84D2"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Dando cumplimiento a lo establecido en la ley No. 84-99 sobre Reactivación y Fomento de las Exportaciones, en el año 2020 se han emitido 30 resoluciones de admisión temporal, se han atendido 543 consultas y se han recibido 26 solicitudes.</w:t>
      </w:r>
    </w:p>
    <w:p w14:paraId="081A405D" w14:textId="77777777" w:rsidR="009069C8" w:rsidRPr="00061E36" w:rsidRDefault="009069C8" w:rsidP="00220DB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rPr>
      </w:pPr>
      <w:bookmarkStart w:id="70" w:name="_Toc58332493"/>
      <w:r w:rsidRPr="00061E36">
        <w:rPr>
          <w:rFonts w:ascii="Artifex CF Extra Light" w:hAnsi="Artifex CF Extra Light" w:cs="Times New Roman"/>
          <w:b/>
          <w:color w:val="1F4E79" w:themeColor="accent1" w:themeShade="80"/>
          <w:spacing w:val="10"/>
          <w:sz w:val="20"/>
          <w:szCs w:val="20"/>
          <w:lang w:val="es-DO"/>
        </w:rPr>
        <w:t>Certificaciones</w:t>
      </w:r>
      <w:r w:rsidRPr="00061E36">
        <w:rPr>
          <w:rFonts w:ascii="Artifex CF Extra Light" w:hAnsi="Artifex CF Extra Light" w:cs="Times New Roman"/>
          <w:b/>
          <w:color w:val="1F4E79" w:themeColor="accent1" w:themeShade="80"/>
          <w:spacing w:val="10"/>
          <w:sz w:val="20"/>
          <w:szCs w:val="20"/>
        </w:rPr>
        <w:t xml:space="preserve"> para exportación de metales</w:t>
      </w:r>
      <w:bookmarkEnd w:id="70"/>
      <w:r w:rsidRPr="00061E36">
        <w:rPr>
          <w:rFonts w:ascii="Artifex CF Extra Light" w:hAnsi="Artifex CF Extra Light" w:cs="Times New Roman"/>
          <w:b/>
          <w:color w:val="1F4E79" w:themeColor="accent1" w:themeShade="80"/>
          <w:spacing w:val="10"/>
          <w:sz w:val="20"/>
          <w:szCs w:val="20"/>
        </w:rPr>
        <w:t xml:space="preserve"> </w:t>
      </w:r>
    </w:p>
    <w:p w14:paraId="7223DB9E" w14:textId="0485506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Dando cumplimiento a lo establecido en la Ley No. 110-13 Sobre Desperdicios y Desechos de Metales, Chatarras y otros Desechos de Cobre, Aluminio y sus Aleaciones, en el año 2020 se han emitido 27 certificaciones para exportar metales, se han atendido 278 consultas y se han recibido 27 solicitudes.</w:t>
      </w:r>
    </w:p>
    <w:p w14:paraId="2B761046" w14:textId="77777777" w:rsidR="0093130C" w:rsidRPr="00061E36" w:rsidRDefault="0093130C" w:rsidP="00220DB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rPr>
      </w:pPr>
      <w:bookmarkStart w:id="71" w:name="_Toc58332495"/>
      <w:r w:rsidRPr="00061E36">
        <w:rPr>
          <w:rFonts w:ascii="Artifex CF Extra Light" w:hAnsi="Artifex CF Extra Light" w:cs="Times New Roman"/>
          <w:b/>
          <w:color w:val="1F4E79" w:themeColor="accent1" w:themeShade="80"/>
          <w:spacing w:val="10"/>
          <w:sz w:val="20"/>
          <w:szCs w:val="20"/>
          <w:lang w:val="es-DO"/>
        </w:rPr>
        <w:t>Certificación</w:t>
      </w:r>
      <w:r w:rsidRPr="00061E36">
        <w:rPr>
          <w:rFonts w:ascii="Artifex CF Extra Light" w:hAnsi="Artifex CF Extra Light" w:cs="Times New Roman"/>
          <w:b/>
          <w:color w:val="1F4E79" w:themeColor="accent1" w:themeShade="80"/>
          <w:spacing w:val="10"/>
          <w:sz w:val="20"/>
          <w:szCs w:val="20"/>
        </w:rPr>
        <w:t xml:space="preserve"> al exportador</w:t>
      </w:r>
      <w:bookmarkEnd w:id="71"/>
    </w:p>
    <w:p w14:paraId="6B5B1BBA" w14:textId="36C07413" w:rsidR="0093130C" w:rsidRPr="007B3B38" w:rsidRDefault="0093130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DO"/>
        </w:rPr>
        <w:t>E</w:t>
      </w:r>
      <w:r w:rsidRPr="007B3B38">
        <w:rPr>
          <w:rFonts w:ascii="Artifex CF Extra Light" w:hAnsi="Artifex CF Extra Light" w:cs="Times New Roman"/>
          <w:color w:val="1F4E79" w:themeColor="accent1" w:themeShade="80"/>
          <w:spacing w:val="10"/>
          <w:sz w:val="18"/>
          <w:szCs w:val="18"/>
          <w:lang w:val="es-ES"/>
        </w:rPr>
        <w:t xml:space="preserve">n el año 2020 se han emitido </w:t>
      </w:r>
      <w:r w:rsidR="005713A8" w:rsidRPr="007B3B38">
        <w:rPr>
          <w:rFonts w:ascii="Artifex CF Extra Light" w:hAnsi="Artifex CF Extra Light" w:cs="Times New Roman"/>
          <w:color w:val="1F4E79" w:themeColor="accent1" w:themeShade="80"/>
          <w:spacing w:val="10"/>
          <w:sz w:val="18"/>
          <w:szCs w:val="18"/>
          <w:lang w:val="es-ES"/>
        </w:rPr>
        <w:t>3</w:t>
      </w:r>
      <w:r w:rsidRPr="007B3B38">
        <w:rPr>
          <w:rFonts w:ascii="Artifex CF Extra Light" w:hAnsi="Artifex CF Extra Light" w:cs="Times New Roman"/>
          <w:color w:val="1F4E79" w:themeColor="accent1" w:themeShade="80"/>
          <w:spacing w:val="10"/>
          <w:sz w:val="18"/>
          <w:szCs w:val="18"/>
          <w:lang w:val="es-ES"/>
        </w:rPr>
        <w:t xml:space="preserve"> Certificaciones de exportador, se han atendido </w:t>
      </w:r>
      <w:r w:rsidR="005713A8" w:rsidRPr="007B3B38">
        <w:rPr>
          <w:rFonts w:ascii="Artifex CF Extra Light" w:hAnsi="Artifex CF Extra Light" w:cs="Times New Roman"/>
          <w:color w:val="1F4E79" w:themeColor="accent1" w:themeShade="80"/>
          <w:spacing w:val="10"/>
          <w:sz w:val="18"/>
          <w:szCs w:val="18"/>
          <w:lang w:val="es-ES"/>
        </w:rPr>
        <w:t>50</w:t>
      </w:r>
      <w:r w:rsidRPr="007B3B38">
        <w:rPr>
          <w:rFonts w:ascii="Artifex CF Extra Light" w:hAnsi="Artifex CF Extra Light" w:cs="Times New Roman"/>
          <w:color w:val="1F4E79" w:themeColor="accent1" w:themeShade="80"/>
          <w:spacing w:val="10"/>
          <w:sz w:val="18"/>
          <w:szCs w:val="18"/>
          <w:lang w:val="es-ES"/>
        </w:rPr>
        <w:t xml:space="preserve"> consultas y </w:t>
      </w:r>
      <w:r w:rsidR="005713A8" w:rsidRPr="007B3B38">
        <w:rPr>
          <w:rFonts w:ascii="Artifex CF Extra Light" w:hAnsi="Artifex CF Extra Light" w:cs="Times New Roman"/>
          <w:color w:val="1F4E79" w:themeColor="accent1" w:themeShade="80"/>
          <w:spacing w:val="10"/>
          <w:sz w:val="18"/>
          <w:szCs w:val="18"/>
          <w:lang w:val="es-ES"/>
        </w:rPr>
        <w:t>asistencias.</w:t>
      </w:r>
    </w:p>
    <w:p w14:paraId="2143A7A8" w14:textId="77777777" w:rsidR="0093130C" w:rsidRPr="007B3B38" w:rsidRDefault="0093130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En adición a las asistencias y trámites gestionados, durante el año se ejecutaron otras acciones relevantes, dentro de las cuales podemos citar:</w:t>
      </w:r>
    </w:p>
    <w:p w14:paraId="3B839FE3" w14:textId="77777777" w:rsidR="0093130C" w:rsidRPr="00061E36" w:rsidRDefault="0093130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Participación en la Comisión interinstitucional para el Desarrollo del Reglamento Técnico de la Elaboración del Ron. (liderado por el MICM);</w:t>
      </w:r>
    </w:p>
    <w:p w14:paraId="4399A8B9" w14:textId="77472BE4" w:rsidR="0093130C" w:rsidRPr="00061E36" w:rsidRDefault="0093130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lastRenderedPageBreak/>
        <w:t xml:space="preserve">Elaboración de protocolo interno del servicio especial del Régimen de Admisión Temporal </w:t>
      </w:r>
      <w:r w:rsidR="003D7F25" w:rsidRPr="00061E36">
        <w:rPr>
          <w:rFonts w:ascii="Artifex CF Extra Light" w:eastAsia="Montserrat" w:hAnsi="Artifex CF Extra Light" w:cs="Times New Roman"/>
          <w:bCs/>
          <w:color w:val="1F4E79" w:themeColor="accent1" w:themeShade="80"/>
          <w:spacing w:val="10"/>
          <w:sz w:val="18"/>
          <w:szCs w:val="18"/>
          <w:lang w:val="es-DO"/>
        </w:rPr>
        <w:t>juntamente con</w:t>
      </w:r>
      <w:r w:rsidRPr="00061E36">
        <w:rPr>
          <w:rFonts w:ascii="Artifex CF Extra Light" w:eastAsia="Montserrat" w:hAnsi="Artifex CF Extra Light" w:cs="Times New Roman"/>
          <w:bCs/>
          <w:color w:val="1F4E79" w:themeColor="accent1" w:themeShade="80"/>
          <w:spacing w:val="10"/>
          <w:sz w:val="18"/>
          <w:szCs w:val="18"/>
          <w:lang w:val="es-DO"/>
        </w:rPr>
        <w:t xml:space="preserve"> la dirección General de Aduanas (DGA) durante el estado de emergencia COVID-19;</w:t>
      </w:r>
    </w:p>
    <w:p w14:paraId="78EA9234" w14:textId="77777777" w:rsidR="0093130C" w:rsidRPr="00061E36" w:rsidRDefault="0093130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Elaboración de protocolos de contingencia de las leyes durante el estado de emergencia COVID-19;</w:t>
      </w:r>
    </w:p>
    <w:p w14:paraId="59F7BC4A" w14:textId="3156BECD" w:rsidR="0093130C" w:rsidRPr="00061E36" w:rsidRDefault="0093130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Elaboración del protocolo interno del servicio especial del Régimen de Admisión Temporal </w:t>
      </w:r>
      <w:r w:rsidR="00275D66" w:rsidRPr="00061E36">
        <w:rPr>
          <w:rFonts w:ascii="Artifex CF Extra Light" w:eastAsia="Montserrat" w:hAnsi="Artifex CF Extra Light" w:cs="Times New Roman"/>
          <w:bCs/>
          <w:color w:val="1F4E79" w:themeColor="accent1" w:themeShade="80"/>
          <w:spacing w:val="10"/>
          <w:sz w:val="18"/>
          <w:szCs w:val="18"/>
          <w:lang w:val="es-DO"/>
        </w:rPr>
        <w:t>juntamente con</w:t>
      </w:r>
      <w:r w:rsidRPr="00061E36">
        <w:rPr>
          <w:rFonts w:ascii="Artifex CF Extra Light" w:eastAsia="Montserrat" w:hAnsi="Artifex CF Extra Light" w:cs="Times New Roman"/>
          <w:bCs/>
          <w:color w:val="1F4E79" w:themeColor="accent1" w:themeShade="80"/>
          <w:spacing w:val="10"/>
          <w:sz w:val="18"/>
          <w:szCs w:val="18"/>
          <w:lang w:val="es-DO"/>
        </w:rPr>
        <w:t xml:space="preserve"> la Dirección General de Aduanas (DGA), durante el estado de emergencia del país ante el COVID-19;  </w:t>
      </w:r>
    </w:p>
    <w:p w14:paraId="0FFF5633" w14:textId="77777777" w:rsidR="0093130C" w:rsidRPr="00061E36" w:rsidRDefault="0093130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Análisis técnico a propuesta DGA, para que empresas acogidas bajo el Régimen de Admisión Temporal continúen realizando las operaciones de importación de materias primas y exportación de productos, conforme a los lineamientos establecidos por protocolo de servicio de la ley.</w:t>
      </w:r>
    </w:p>
    <w:p w14:paraId="519AAAE8" w14:textId="77777777" w:rsidR="0093130C" w:rsidRPr="00061E36" w:rsidRDefault="0093130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Realización visita técnica de evaluación al proceso productivo de empresas, a los fines de recabar información para flexibilizar el proceso, conforme a la propuesta remitida por la Dirección General de Aduanas (DGA).</w:t>
      </w:r>
    </w:p>
    <w:p w14:paraId="364FE49D" w14:textId="3CF8923A" w:rsidR="00C709DF" w:rsidRPr="00061E36" w:rsidRDefault="0093130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 xml:space="preserve">Reuniones virtuales para revisión del proceso de metales con la Dirección General de Aduanas (DGA) y la incorporación de </w:t>
      </w:r>
      <w:r w:rsidR="005713A8" w:rsidRPr="00061E36">
        <w:rPr>
          <w:rFonts w:ascii="Artifex CF Extra Light" w:eastAsia="Montserrat" w:hAnsi="Artifex CF Extra Light" w:cs="Times New Roman"/>
          <w:bCs/>
          <w:color w:val="1F4E79" w:themeColor="accent1" w:themeShade="80"/>
          <w:spacing w:val="10"/>
          <w:sz w:val="18"/>
          <w:szCs w:val="18"/>
          <w:lang w:val="es-DO"/>
        </w:rPr>
        <w:t>esta</w:t>
      </w:r>
      <w:r w:rsidRPr="00061E36">
        <w:rPr>
          <w:rFonts w:ascii="Artifex CF Extra Light" w:eastAsia="Montserrat" w:hAnsi="Artifex CF Extra Light" w:cs="Times New Roman"/>
          <w:bCs/>
          <w:color w:val="1F4E79" w:themeColor="accent1" w:themeShade="80"/>
          <w:spacing w:val="10"/>
          <w:sz w:val="18"/>
          <w:szCs w:val="18"/>
          <w:lang w:val="es-DO"/>
        </w:rPr>
        <w:t xml:space="preserve"> a la VUCE.</w:t>
      </w:r>
      <w:bookmarkStart w:id="72" w:name="_Toc58332457"/>
    </w:p>
    <w:p w14:paraId="13A9F7D6" w14:textId="0F9E7C93" w:rsidR="0054342C" w:rsidRPr="007B3B38" w:rsidRDefault="00C5328F" w:rsidP="00220DB5">
      <w:pPr>
        <w:pStyle w:val="Prrafodelista"/>
        <w:numPr>
          <w:ilvl w:val="1"/>
          <w:numId w:val="6"/>
        </w:numPr>
        <w:spacing w:before="380" w:after="120" w:line="456" w:lineRule="auto"/>
        <w:ind w:left="0" w:firstLine="284"/>
        <w:contextualSpacing w:val="0"/>
        <w:jc w:val="center"/>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b/>
          <w:color w:val="1F4E79" w:themeColor="accent1" w:themeShade="80"/>
          <w:spacing w:val="10"/>
          <w:sz w:val="18"/>
          <w:szCs w:val="18"/>
          <w:lang w:val="es-DO"/>
        </w:rPr>
        <w:t>OTRAS ACTIVIDADES</w:t>
      </w:r>
      <w:bookmarkEnd w:id="72"/>
      <w:r w:rsidRPr="007B3B38">
        <w:rPr>
          <w:rFonts w:ascii="Artifex CF Extra Light" w:hAnsi="Artifex CF Extra Light" w:cs="Times New Roman"/>
          <w:b/>
          <w:color w:val="1F4E79" w:themeColor="accent1" w:themeShade="80"/>
          <w:spacing w:val="10"/>
          <w:sz w:val="18"/>
          <w:szCs w:val="18"/>
          <w:lang w:val="es-DO"/>
        </w:rPr>
        <w:t xml:space="preserve"> RELEVANTES</w:t>
      </w:r>
    </w:p>
    <w:p w14:paraId="7A95866F" w14:textId="2592DD08" w:rsidR="0054342C" w:rsidRPr="00061E36" w:rsidRDefault="00A26F3F" w:rsidP="00220DB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061E36">
        <w:rPr>
          <w:rFonts w:ascii="Artifex CF Extra Light" w:hAnsi="Artifex CF Extra Light" w:cs="Times New Roman"/>
          <w:b/>
          <w:color w:val="1F4E79" w:themeColor="accent1" w:themeShade="80"/>
          <w:spacing w:val="10"/>
          <w:sz w:val="20"/>
          <w:szCs w:val="20"/>
          <w:lang w:val="es-DO"/>
        </w:rPr>
        <w:t xml:space="preserve">Actividades de la </w:t>
      </w:r>
      <w:r w:rsidR="00BD2A56" w:rsidRPr="00061E36">
        <w:rPr>
          <w:rFonts w:ascii="Artifex CF Extra Light" w:hAnsi="Artifex CF Extra Light" w:cs="Times New Roman"/>
          <w:b/>
          <w:color w:val="1F4E79" w:themeColor="accent1" w:themeShade="80"/>
          <w:spacing w:val="10"/>
          <w:sz w:val="20"/>
          <w:szCs w:val="20"/>
          <w:lang w:val="es-DO"/>
        </w:rPr>
        <w:t>Red Nacional de Exportación e Inversión</w:t>
      </w:r>
    </w:p>
    <w:p w14:paraId="55534B48" w14:textId="77777777" w:rsidR="0054342C" w:rsidRPr="007B3B38" w:rsidRDefault="0054342C"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ProDominicana, a través de su Red Nacional de Exportación e Inversión impulsa un acercamiento sistemático con los agentes locales del desarrollo, a través de distintas actividades como los Foros Regionales de Exportación</w:t>
      </w:r>
      <w:r w:rsidRPr="007B3B38">
        <w:rPr>
          <w:rFonts w:ascii="Artifex CF Extra Light" w:hAnsi="Artifex CF Extra Light" w:cs="Times New Roman"/>
          <w:b/>
          <w:color w:val="1F4E79" w:themeColor="accent1" w:themeShade="80"/>
          <w:spacing w:val="10"/>
          <w:sz w:val="18"/>
          <w:szCs w:val="18"/>
          <w:lang w:val="es-DO"/>
        </w:rPr>
        <w:t xml:space="preserve">, </w:t>
      </w:r>
      <w:r w:rsidRPr="007B3B38">
        <w:rPr>
          <w:rFonts w:ascii="Artifex CF Extra Light" w:hAnsi="Artifex CF Extra Light" w:cs="Times New Roman"/>
          <w:color w:val="1F4E79" w:themeColor="accent1" w:themeShade="80"/>
          <w:spacing w:val="10"/>
          <w:sz w:val="18"/>
          <w:szCs w:val="18"/>
          <w:lang w:val="es-DO"/>
        </w:rPr>
        <w:t xml:space="preserve">estos encuentros regionales de articulación de actores económicos de todo el territorio nacional se realizan mediante </w:t>
      </w:r>
      <w:r w:rsidRPr="007B3B38">
        <w:rPr>
          <w:rFonts w:ascii="Artifex CF Extra Light" w:hAnsi="Artifex CF Extra Light" w:cs="Times New Roman"/>
          <w:color w:val="1F4E79" w:themeColor="accent1" w:themeShade="80"/>
          <w:spacing w:val="10"/>
          <w:sz w:val="18"/>
          <w:szCs w:val="18"/>
          <w:lang w:val="es-DO"/>
        </w:rPr>
        <w:lastRenderedPageBreak/>
        <w:t>el establecimiento de acuerdos de trabajo y apoyo entre la Dirección General de Cooperación Multilateral (DIGECOOM) y la Unión Europea con el Centro de Exportación e Inversión de la República Dominicana (ProDominicana).</w:t>
      </w:r>
    </w:p>
    <w:p w14:paraId="777BE5D7" w14:textId="77777777" w:rsidR="0054342C" w:rsidRPr="007B3B38" w:rsidRDefault="0054342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Para el 2020 se tenía programada la organización del Tercer Foro Regional, para la región “Cibao-Sur”, la cual está compuesta por las provincias: La Vega, Monseñor Nouel y Sánchez Ramírez, y donde se han identificado un total de 280 potenciales participantes. Pero debido la situación de pandemia que afecta la Republica Dominicana, por el COVID-19, se iniciaron los contactos de manera digital y web, a los fines de realizar un levantamiento de datos y contactos, para poder lograr la convocatoria. Hemos logrado un total de 53 potenciales confirmaciones en la región.</w:t>
      </w:r>
    </w:p>
    <w:p w14:paraId="672D5D64" w14:textId="77777777" w:rsidR="0054342C" w:rsidRPr="007B3B38" w:rsidRDefault="0054342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ese sentido, también se han llevado a cabo Webinar con FEDOCAMARAS a fines de preparación de Foros Regionales de exportación para fomentar la creación de una unidad de exportación en Cámara Comercio que funcione como un enlace entre ProDominicana y las empresas exportadoras locales para cada una de sus provincias.</w:t>
      </w:r>
    </w:p>
    <w:p w14:paraId="5264C1EF" w14:textId="77777777" w:rsidR="0054342C" w:rsidRPr="007B3B38" w:rsidRDefault="0054342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Otra de las actividades que la Red Nacional de Exportación e Inversión realiza visitar a aquellos grupos de productores que no estén formalizados para que comiencen su proceso de regularización para que formen parte de los beneficios que pueden ser provistos por el estado una vez se formalicen y que su producción pueda ser enfocado para la exportación. Los resultados de estas actividades han sido: </w:t>
      </w:r>
    </w:p>
    <w:p w14:paraId="7E70CA48" w14:textId="77777777" w:rsidR="0054342C" w:rsidRPr="00061E36" w:rsidRDefault="0054342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47 productores contactados vía telefónicas dándoles seguimiento a sus procesos de formalización.</w:t>
      </w:r>
    </w:p>
    <w:p w14:paraId="480D31E7" w14:textId="77777777" w:rsidR="0054342C" w:rsidRPr="00061E36" w:rsidRDefault="0054342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10 productores se formalizaron y pasaron al departamento MiPymes donde seguirán sus procesos para convertirse en nuevos exportadores.</w:t>
      </w:r>
    </w:p>
    <w:p w14:paraId="3D404D99" w14:textId="77777777" w:rsidR="0054342C" w:rsidRPr="00061E36" w:rsidRDefault="0054342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t>23 visitas a productores agrícolas agrupados en Asociaciones, Cooperativas.</w:t>
      </w:r>
    </w:p>
    <w:p w14:paraId="19DE651C" w14:textId="3150625A" w:rsidR="00C709DF" w:rsidRPr="00061E36" w:rsidRDefault="0054342C" w:rsidP="00333FDA">
      <w:pPr>
        <w:pStyle w:val="Prrafodelista"/>
        <w:numPr>
          <w:ilvl w:val="0"/>
          <w:numId w:val="20"/>
        </w:numPr>
        <w:spacing w:before="380" w:after="120" w:line="456" w:lineRule="auto"/>
        <w:ind w:left="284" w:hanging="284"/>
        <w:contextualSpacing w:val="0"/>
        <w:jc w:val="both"/>
        <w:rPr>
          <w:rFonts w:ascii="Artifex CF Extra Light" w:eastAsia="Montserrat" w:hAnsi="Artifex CF Extra Light" w:cs="Times New Roman"/>
          <w:bCs/>
          <w:color w:val="1F4E79" w:themeColor="accent1" w:themeShade="80"/>
          <w:spacing w:val="10"/>
          <w:sz w:val="18"/>
          <w:szCs w:val="18"/>
          <w:lang w:val="es-DO"/>
        </w:rPr>
      </w:pPr>
      <w:r w:rsidRPr="00061E36">
        <w:rPr>
          <w:rFonts w:ascii="Artifex CF Extra Light" w:eastAsia="Montserrat" w:hAnsi="Artifex CF Extra Light" w:cs="Times New Roman"/>
          <w:bCs/>
          <w:color w:val="1F4E79" w:themeColor="accent1" w:themeShade="80"/>
          <w:spacing w:val="10"/>
          <w:sz w:val="18"/>
          <w:szCs w:val="18"/>
          <w:lang w:val="es-DO"/>
        </w:rPr>
        <w:lastRenderedPageBreak/>
        <w:t>3 visitas a Cámaras de Comercio.</w:t>
      </w:r>
      <w:bookmarkStart w:id="73" w:name="_Toc58332460"/>
    </w:p>
    <w:p w14:paraId="07391B52" w14:textId="77777777" w:rsidR="0054342C" w:rsidRPr="00061E36" w:rsidRDefault="0054342C" w:rsidP="00220DB5">
      <w:pPr>
        <w:pStyle w:val="Prrafodelista"/>
        <w:numPr>
          <w:ilvl w:val="2"/>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20"/>
          <w:szCs w:val="20"/>
          <w:lang w:val="es-DO"/>
        </w:rPr>
      </w:pPr>
      <w:r w:rsidRPr="00061E36">
        <w:rPr>
          <w:rFonts w:ascii="Artifex CF Extra Light" w:hAnsi="Artifex CF Extra Light" w:cs="Times New Roman"/>
          <w:b/>
          <w:color w:val="1F4E79" w:themeColor="accent1" w:themeShade="80"/>
          <w:spacing w:val="10"/>
          <w:sz w:val="20"/>
          <w:szCs w:val="20"/>
          <w:lang w:val="es-DO"/>
        </w:rPr>
        <w:t>Encuentro</w:t>
      </w:r>
      <w:r w:rsidRPr="00061E36">
        <w:rPr>
          <w:rFonts w:ascii="Artifex CF Extra Light" w:hAnsi="Artifex CF Extra Light" w:cs="Times New Roman"/>
          <w:b/>
          <w:color w:val="1F4E79" w:themeColor="accent1" w:themeShade="80"/>
          <w:spacing w:val="10"/>
          <w:sz w:val="20"/>
          <w:szCs w:val="20"/>
          <w:lang w:val="es-ES"/>
        </w:rPr>
        <w:t xml:space="preserve"> Nacional “Mujeres en Exportación</w:t>
      </w:r>
      <w:r w:rsidRPr="00061E36">
        <w:rPr>
          <w:rFonts w:ascii="Artifex CF Extra Light" w:hAnsi="Artifex CF Extra Light" w:cs="Times New Roman"/>
          <w:color w:val="1F4E79" w:themeColor="accent1" w:themeShade="80"/>
          <w:spacing w:val="10"/>
          <w:sz w:val="20"/>
          <w:szCs w:val="20"/>
          <w:lang w:val="es-ES"/>
        </w:rPr>
        <w:t>”</w:t>
      </w:r>
    </w:p>
    <w:p w14:paraId="34D9C4A0" w14:textId="00650AD5" w:rsidR="0054342C" w:rsidRPr="007B3B38" w:rsidRDefault="0054342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7B3B38">
        <w:rPr>
          <w:rFonts w:ascii="Artifex CF Extra Light" w:hAnsi="Artifex CF Extra Light" w:cs="Times New Roman"/>
          <w:color w:val="1F4E79" w:themeColor="accent1" w:themeShade="80"/>
          <w:spacing w:val="10"/>
          <w:sz w:val="18"/>
          <w:szCs w:val="18"/>
          <w:lang w:val="es-ES"/>
        </w:rPr>
        <w:t xml:space="preserve">Encuentro Nacional “Mujeres en Exportación” consistió en el lanzamiento del estudio de las exportaciones de empresas lideradas por mujeres y su impacto en la economía dominicana, la inauguración de una exposición de productos de estas empresas que actualmente exportan y </w:t>
      </w:r>
      <w:r w:rsidR="00F71EE3" w:rsidRPr="007B3B38">
        <w:rPr>
          <w:rFonts w:ascii="Artifex CF Extra Light" w:hAnsi="Artifex CF Extra Light" w:cs="Times New Roman"/>
          <w:color w:val="1F4E79" w:themeColor="accent1" w:themeShade="80"/>
          <w:spacing w:val="10"/>
          <w:sz w:val="18"/>
          <w:szCs w:val="18"/>
          <w:lang w:val="es-ES"/>
        </w:rPr>
        <w:t>potenciales exportadores</w:t>
      </w:r>
      <w:r w:rsidRPr="007B3B38">
        <w:rPr>
          <w:rFonts w:ascii="Artifex CF Extra Light" w:hAnsi="Artifex CF Extra Light" w:cs="Times New Roman"/>
          <w:color w:val="1F4E79" w:themeColor="accent1" w:themeShade="80"/>
          <w:spacing w:val="10"/>
          <w:sz w:val="18"/>
          <w:szCs w:val="18"/>
          <w:lang w:val="es-ES"/>
        </w:rPr>
        <w:t xml:space="preserve">, así como el reconocimiento a las empresas lideradas por mujeres con destacado desempeño en las exportaciones en los últimos años.   </w:t>
      </w:r>
    </w:p>
    <w:p w14:paraId="2158EB92" w14:textId="77777777" w:rsidR="0054342C" w:rsidRPr="007B3B38" w:rsidRDefault="0054342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highlight w:val="yellow"/>
          <w:lang w:val="es-ES"/>
        </w:rPr>
      </w:pPr>
      <w:r w:rsidRPr="007B3B38">
        <w:rPr>
          <w:rFonts w:ascii="Artifex CF Extra Light" w:hAnsi="Artifex CF Extra Light" w:cs="Times New Roman"/>
          <w:color w:val="1F4E79" w:themeColor="accent1" w:themeShade="80"/>
          <w:spacing w:val="10"/>
          <w:sz w:val="18"/>
          <w:szCs w:val="18"/>
          <w:lang w:val="es-ES"/>
        </w:rPr>
        <w:t xml:space="preserve">Asimismo, se desarrolló un panel sobre temas esenciales vinculados a la participación de las mujeres en el sector exportador, con una óptica de empoderamiento y partiendo de las iniciativas y las ideas que han permitido el desarrollo de la mujer en dicho sector, para que puedan servir de impulso e inspiración para las mujeres que emprendan su camino en el sector empresarial, con el objetivo de conducirnos hacia la internacionalización y competitividad de las empresas lideradas por mujeres en nuestro país.    </w:t>
      </w:r>
    </w:p>
    <w:bookmarkEnd w:id="73"/>
    <w:p w14:paraId="505F1D30" w14:textId="1130EBC2" w:rsidR="00F700D2" w:rsidRPr="007B3B38" w:rsidRDefault="0054342C"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En el ámbito de los servicios desde ProDominicana se han ofrecido a toda la ciudadanía diversos servicios con los objetivos de formar y desarrollar nuevos exportadores, así mismo se han fortalecido de las plataformas de interacción con los clientes y se han brindado de manera oportuna servicios de trámites y registros para exportar e invertir.</w:t>
      </w:r>
    </w:p>
    <w:p w14:paraId="4B4B1AFD" w14:textId="77777777" w:rsidR="00220DB5" w:rsidRDefault="00220DB5">
      <w:pPr>
        <w:rPr>
          <w:rFonts w:ascii="Artifex CF Extra Light" w:hAnsi="Artifex CF Extra Light" w:cs="Times New Roman"/>
          <w:b/>
          <w:color w:val="1F4E79" w:themeColor="accent1" w:themeShade="80"/>
          <w:spacing w:val="10"/>
          <w:sz w:val="18"/>
          <w:szCs w:val="18"/>
          <w:lang w:val="es-DO"/>
        </w:rPr>
      </w:pPr>
      <w:r>
        <w:rPr>
          <w:rFonts w:ascii="Artifex CF Extra Light" w:hAnsi="Artifex CF Extra Light" w:cs="Times New Roman"/>
          <w:b/>
          <w:color w:val="1F4E79" w:themeColor="accent1" w:themeShade="80"/>
          <w:spacing w:val="10"/>
          <w:sz w:val="18"/>
          <w:szCs w:val="18"/>
          <w:lang w:val="es-DO"/>
        </w:rPr>
        <w:br w:type="page"/>
      </w:r>
    </w:p>
    <w:p w14:paraId="7BE13062" w14:textId="57E36FF6" w:rsidR="003B53BC" w:rsidRPr="007B3B38" w:rsidRDefault="00617E11" w:rsidP="00220DB5">
      <w:pPr>
        <w:pStyle w:val="Prrafodelista"/>
        <w:numPr>
          <w:ilvl w:val="0"/>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18"/>
          <w:szCs w:val="18"/>
          <w:lang w:val="es-DO"/>
        </w:rPr>
      </w:pPr>
      <w:r w:rsidRPr="007B3B38">
        <w:rPr>
          <w:rFonts w:ascii="Artifex CF Extra Light" w:hAnsi="Artifex CF Extra Light" w:cs="Times New Roman"/>
          <w:b/>
          <w:color w:val="1F4E79" w:themeColor="accent1" w:themeShade="80"/>
          <w:spacing w:val="10"/>
          <w:sz w:val="18"/>
          <w:szCs w:val="18"/>
          <w:lang w:val="es-DO"/>
        </w:rPr>
        <w:lastRenderedPageBreak/>
        <w:t>MARCA PAÍS</w:t>
      </w:r>
    </w:p>
    <w:p w14:paraId="43ED4457" w14:textId="2ECD6242"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Con la firma de un acuerdo interinstitucional entre: el Ministerio de Turismo (MITUR); el Centro de Exportación e Inversión (</w:t>
      </w:r>
      <w:r w:rsidR="0013740E" w:rsidRPr="007B3B38">
        <w:rPr>
          <w:rFonts w:ascii="Artifex CF Extra Light" w:hAnsi="Artifex CF Extra Light"/>
          <w:color w:val="1F4E79" w:themeColor="accent1" w:themeShade="80"/>
          <w:spacing w:val="10"/>
          <w:sz w:val="18"/>
          <w:szCs w:val="18"/>
          <w:lang w:val="es-ES"/>
        </w:rPr>
        <w:t>ProDominicana</w:t>
      </w:r>
      <w:r w:rsidRPr="007B3B38">
        <w:rPr>
          <w:rFonts w:ascii="Artifex CF Extra Light" w:hAnsi="Artifex CF Extra Light" w:cs="Times New Roman"/>
          <w:color w:val="1F4E79" w:themeColor="accent1" w:themeShade="80"/>
          <w:spacing w:val="10"/>
          <w:sz w:val="18"/>
          <w:szCs w:val="18"/>
          <w:lang w:val="es-DO"/>
        </w:rPr>
        <w:t>); y representantes del Sector Privado, el pasado 9 de septiembre, se dio un importante paso en la implementación de la marca país, conformándose luego una Comisión Multisectorial, mediante el Decreto No. 466-20, de fecha 11 de septiembre, donde se designa a ProDominicana como Secretario General de dicha comisión.</w:t>
      </w:r>
    </w:p>
    <w:p w14:paraId="0063853E" w14:textId="4F7E2291" w:rsidR="009069C8" w:rsidRPr="007B3B38" w:rsidRDefault="00617E11" w:rsidP="00220DB5">
      <w:pPr>
        <w:pStyle w:val="Prrafodelista"/>
        <w:numPr>
          <w:ilvl w:val="1"/>
          <w:numId w:val="6"/>
        </w:numPr>
        <w:spacing w:before="380" w:after="120" w:line="456" w:lineRule="auto"/>
        <w:ind w:left="284" w:hanging="284"/>
        <w:contextualSpacing w:val="0"/>
        <w:jc w:val="center"/>
        <w:rPr>
          <w:rFonts w:ascii="Artifex CF Extra Light" w:hAnsi="Artifex CF Extra Light" w:cs="Times New Roman"/>
          <w:b/>
          <w:color w:val="1F4E79" w:themeColor="accent1" w:themeShade="80"/>
          <w:spacing w:val="10"/>
          <w:sz w:val="18"/>
          <w:szCs w:val="18"/>
          <w:lang w:val="es-DO"/>
        </w:rPr>
      </w:pPr>
      <w:bookmarkStart w:id="74" w:name="_Toc58332478"/>
      <w:r w:rsidRPr="007B3B38">
        <w:rPr>
          <w:rFonts w:ascii="Artifex CF Extra Light" w:hAnsi="Artifex CF Extra Light" w:cs="Times New Roman"/>
          <w:b/>
          <w:color w:val="1F4E79" w:themeColor="accent1" w:themeShade="80"/>
          <w:spacing w:val="10"/>
          <w:sz w:val="18"/>
          <w:szCs w:val="18"/>
          <w:lang w:val="es-DO"/>
        </w:rPr>
        <w:t>LANZAMIENTO MARCA PAÍS</w:t>
      </w:r>
      <w:bookmarkEnd w:id="74"/>
    </w:p>
    <w:p w14:paraId="04FB4184" w14:textId="77777777"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20 de octubre se realizó el Lanzamiento de la Marca País de la República Dominicana, iniciativa que consistió en lanzar una estrategia que posicione y promocione las potencialidades de nuestro país, frente a competidores regionales que llevan al mundo una oferta similar a la nuestra, proporcionando valor al comercio, el turismo, la inversión, la ciudadanía y nuestra cultura, permitiendo unificar bajo un mismo concepto los productos y servicios dominicanos, así como maximizar las potencialidades turísticas, que reflejen en forma atractiva, y distintiva los elementos de la identidad dominicana de mayor interés. </w:t>
      </w:r>
    </w:p>
    <w:p w14:paraId="360D1BF4" w14:textId="2F9EF61D"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 xml:space="preserve">El proyecto Marca País pretende aunar los esfuerzos de todos los sectores productivos, creando una propuesta de valor sobre la base de los pilares que fomentan el crecimiento económico, y el desarrollo sostenible del país. </w:t>
      </w:r>
    </w:p>
    <w:p w14:paraId="124CBF55" w14:textId="24C74D59" w:rsidR="009069C8" w:rsidRPr="007B3B38" w:rsidRDefault="009069C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7B3B38">
        <w:rPr>
          <w:rFonts w:ascii="Artifex CF Extra Light" w:hAnsi="Artifex CF Extra Light" w:cs="Times New Roman"/>
          <w:color w:val="1F4E79" w:themeColor="accent1" w:themeShade="80"/>
          <w:spacing w:val="10"/>
          <w:sz w:val="18"/>
          <w:szCs w:val="18"/>
          <w:lang w:val="es-DO"/>
        </w:rPr>
        <w:t>Los miembros del sector privado de la Comisión Multisectorial han asumido la realización del concurso del logo</w:t>
      </w:r>
      <w:r w:rsidR="4EC3DAD1" w:rsidRPr="007B3B38">
        <w:rPr>
          <w:rFonts w:ascii="Artifex CF Extra Light" w:hAnsi="Artifex CF Extra Light" w:cs="Times New Roman"/>
          <w:color w:val="1F4E79" w:themeColor="accent1" w:themeShade="80"/>
          <w:spacing w:val="10"/>
          <w:sz w:val="18"/>
          <w:szCs w:val="18"/>
          <w:lang w:val="es-DO"/>
        </w:rPr>
        <w:t>,</w:t>
      </w:r>
      <w:r w:rsidRPr="007B3B38">
        <w:rPr>
          <w:rFonts w:ascii="Artifex CF Extra Light" w:hAnsi="Artifex CF Extra Light" w:cs="Times New Roman"/>
          <w:color w:val="1F4E79" w:themeColor="accent1" w:themeShade="80"/>
          <w:spacing w:val="10"/>
          <w:sz w:val="18"/>
          <w:szCs w:val="18"/>
          <w:lang w:val="es-DO"/>
        </w:rPr>
        <w:t xml:space="preserve"> </w:t>
      </w:r>
      <w:r w:rsidR="11073BB0" w:rsidRPr="007B3B38">
        <w:rPr>
          <w:rFonts w:ascii="Artifex CF Extra Light" w:hAnsi="Artifex CF Extra Light" w:cs="Times New Roman"/>
          <w:color w:val="1F4E79" w:themeColor="accent1" w:themeShade="80"/>
          <w:spacing w:val="10"/>
          <w:sz w:val="18"/>
          <w:szCs w:val="18"/>
          <w:lang w:val="es-DO"/>
        </w:rPr>
        <w:t>realizando</w:t>
      </w:r>
      <w:r w:rsidRPr="007B3B38">
        <w:rPr>
          <w:rFonts w:ascii="Artifex CF Extra Light" w:hAnsi="Artifex CF Extra Light" w:cs="Times New Roman"/>
          <w:color w:val="1F4E79" w:themeColor="accent1" w:themeShade="80"/>
          <w:spacing w:val="10"/>
          <w:sz w:val="18"/>
          <w:szCs w:val="18"/>
          <w:lang w:val="es-DO"/>
        </w:rPr>
        <w:t xml:space="preserve"> </w:t>
      </w:r>
      <w:r w:rsidR="003E5546" w:rsidRPr="007B3B38">
        <w:rPr>
          <w:rFonts w:ascii="Artifex CF Extra Light" w:hAnsi="Artifex CF Extra Light" w:cs="Times New Roman"/>
          <w:color w:val="1F4E79" w:themeColor="accent1" w:themeShade="80"/>
          <w:spacing w:val="10"/>
          <w:sz w:val="18"/>
          <w:szCs w:val="18"/>
          <w:lang w:val="es-DO"/>
        </w:rPr>
        <w:t>cuatro</w:t>
      </w:r>
      <w:r w:rsidRPr="007B3B38">
        <w:rPr>
          <w:rFonts w:ascii="Artifex CF Extra Light" w:hAnsi="Artifex CF Extra Light" w:cs="Times New Roman"/>
          <w:color w:val="1F4E79" w:themeColor="accent1" w:themeShade="80"/>
          <w:spacing w:val="10"/>
          <w:sz w:val="18"/>
          <w:szCs w:val="18"/>
          <w:lang w:val="es-DO"/>
        </w:rPr>
        <w:t xml:space="preserve"> (</w:t>
      </w:r>
      <w:r w:rsidR="003E5546" w:rsidRPr="007B3B38">
        <w:rPr>
          <w:rFonts w:ascii="Artifex CF Extra Light" w:hAnsi="Artifex CF Extra Light" w:cs="Times New Roman"/>
          <w:color w:val="1F4E79" w:themeColor="accent1" w:themeShade="80"/>
          <w:spacing w:val="10"/>
          <w:sz w:val="18"/>
          <w:szCs w:val="18"/>
          <w:lang w:val="es-DO"/>
        </w:rPr>
        <w:t>4</w:t>
      </w:r>
      <w:r w:rsidRPr="007B3B38">
        <w:rPr>
          <w:rFonts w:ascii="Artifex CF Extra Light" w:hAnsi="Artifex CF Extra Light" w:cs="Times New Roman"/>
          <w:color w:val="1F4E79" w:themeColor="accent1" w:themeShade="80"/>
          <w:spacing w:val="10"/>
          <w:sz w:val="18"/>
          <w:szCs w:val="18"/>
          <w:lang w:val="es-DO"/>
        </w:rPr>
        <w:t xml:space="preserve">) paneles, con la participación de grandes expertos en marca país donde se discutió que es y que no es la marca país, cómo es el proceso de la construcción y difusión de ésta y cuáles son los principales objetivos que debe alcanzar. Estos paneles </w:t>
      </w:r>
      <w:r w:rsidR="7E77C8D9" w:rsidRPr="007B3B38">
        <w:rPr>
          <w:rFonts w:ascii="Artifex CF Extra Light" w:hAnsi="Artifex CF Extra Light" w:cs="Times New Roman"/>
          <w:color w:val="1F4E79" w:themeColor="accent1" w:themeShade="80"/>
          <w:spacing w:val="10"/>
          <w:sz w:val="18"/>
          <w:szCs w:val="18"/>
          <w:lang w:val="es-DO"/>
        </w:rPr>
        <w:t>se llevaron a cabo</w:t>
      </w:r>
      <w:r w:rsidRPr="007B3B38">
        <w:rPr>
          <w:rFonts w:ascii="Artifex CF Extra Light" w:hAnsi="Artifex CF Extra Light" w:cs="Times New Roman"/>
          <w:color w:val="1F4E79" w:themeColor="accent1" w:themeShade="80"/>
          <w:spacing w:val="10"/>
          <w:sz w:val="18"/>
          <w:szCs w:val="18"/>
          <w:lang w:val="es-DO"/>
        </w:rPr>
        <w:t xml:space="preserve"> en Santo Domingo, </w:t>
      </w:r>
      <w:r w:rsidR="003E041B" w:rsidRPr="007B3B38">
        <w:rPr>
          <w:rFonts w:ascii="Artifex CF Extra Light" w:hAnsi="Artifex CF Extra Light" w:cs="Times New Roman"/>
          <w:color w:val="1F4E79" w:themeColor="accent1" w:themeShade="80"/>
          <w:spacing w:val="10"/>
          <w:sz w:val="18"/>
          <w:szCs w:val="18"/>
          <w:lang w:val="es-DO"/>
        </w:rPr>
        <w:t>Baní, Santiago</w:t>
      </w:r>
      <w:r w:rsidR="003E5546" w:rsidRPr="007B3B38">
        <w:rPr>
          <w:rFonts w:ascii="Artifex CF Extra Light" w:hAnsi="Artifex CF Extra Light" w:cs="Times New Roman"/>
          <w:color w:val="1F4E79" w:themeColor="accent1" w:themeShade="80"/>
          <w:spacing w:val="10"/>
          <w:sz w:val="18"/>
          <w:szCs w:val="18"/>
          <w:lang w:val="es-DO"/>
        </w:rPr>
        <w:t xml:space="preserve"> y Punta Ca</w:t>
      </w:r>
      <w:r w:rsidR="00C9328D" w:rsidRPr="007B3B38">
        <w:rPr>
          <w:rFonts w:ascii="Artifex CF Extra Light" w:hAnsi="Artifex CF Extra Light" w:cs="Times New Roman"/>
          <w:color w:val="1F4E79" w:themeColor="accent1" w:themeShade="80"/>
          <w:spacing w:val="10"/>
          <w:sz w:val="18"/>
          <w:szCs w:val="18"/>
          <w:lang w:val="es-DO"/>
        </w:rPr>
        <w:t>na</w:t>
      </w:r>
      <w:r w:rsidR="36C6881E" w:rsidRPr="007B3B38">
        <w:rPr>
          <w:rFonts w:ascii="Artifex CF Extra Light" w:hAnsi="Artifex CF Extra Light" w:cs="Times New Roman"/>
          <w:color w:val="1F4E79" w:themeColor="accent1" w:themeShade="80"/>
          <w:spacing w:val="10"/>
          <w:sz w:val="18"/>
          <w:szCs w:val="18"/>
          <w:lang w:val="es-DO"/>
        </w:rPr>
        <w:t xml:space="preserve"> respectivamente</w:t>
      </w:r>
      <w:r w:rsidRPr="007B3B38">
        <w:rPr>
          <w:rFonts w:ascii="Artifex CF Extra Light" w:hAnsi="Artifex CF Extra Light" w:cs="Times New Roman"/>
          <w:color w:val="1F4E79" w:themeColor="accent1" w:themeShade="80"/>
          <w:spacing w:val="10"/>
          <w:sz w:val="18"/>
          <w:szCs w:val="18"/>
          <w:lang w:val="es-DO"/>
        </w:rPr>
        <w:t>.</w:t>
      </w:r>
    </w:p>
    <w:p w14:paraId="0E04BAF7" w14:textId="2BD80FE8" w:rsidR="006649DE" w:rsidRPr="00061E36" w:rsidRDefault="00F95111" w:rsidP="00482753">
      <w:pPr>
        <w:pStyle w:val="Prrafodelista"/>
        <w:numPr>
          <w:ilvl w:val="0"/>
          <w:numId w:val="34"/>
        </w:numPr>
        <w:spacing w:before="380" w:after="120" w:line="456" w:lineRule="auto"/>
        <w:ind w:left="284" w:hanging="284"/>
        <w:contextualSpacing w:val="0"/>
        <w:jc w:val="center"/>
        <w:outlineLvl w:val="1"/>
        <w:rPr>
          <w:rFonts w:ascii="Artifex CF Extra Light" w:hAnsi="Artifex CF Extra Light" w:cs="Times New Roman"/>
          <w:b/>
          <w:bCs/>
          <w:color w:val="1F4E79" w:themeColor="accent1" w:themeShade="80"/>
          <w:spacing w:val="10"/>
          <w:sz w:val="18"/>
          <w:szCs w:val="18"/>
          <w:lang w:val="es-DO"/>
        </w:rPr>
      </w:pPr>
      <w:bookmarkStart w:id="75" w:name="_Toc54949059"/>
      <w:bookmarkStart w:id="76" w:name="_Toc58332501"/>
      <w:bookmarkStart w:id="77" w:name="_Toc59528089"/>
      <w:r w:rsidRPr="00061E36">
        <w:rPr>
          <w:rFonts w:ascii="Artifex CF Extra Light" w:hAnsi="Artifex CF Extra Light" w:cs="Times New Roman"/>
          <w:b/>
          <w:bCs/>
          <w:color w:val="1F4E79" w:themeColor="accent1" w:themeShade="80"/>
          <w:spacing w:val="10"/>
          <w:sz w:val="18"/>
          <w:szCs w:val="18"/>
          <w:lang w:val="es-DO"/>
        </w:rPr>
        <w:lastRenderedPageBreak/>
        <w:t>INDICADORES DE GESTIÓN</w:t>
      </w:r>
      <w:bookmarkEnd w:id="75"/>
      <w:bookmarkEnd w:id="76"/>
      <w:bookmarkEnd w:id="77"/>
    </w:p>
    <w:p w14:paraId="638CDF76" w14:textId="1F5ADF79" w:rsidR="00E850D7" w:rsidRPr="00061E36" w:rsidRDefault="00F95111" w:rsidP="00864966">
      <w:pPr>
        <w:pStyle w:val="Prrafodelista"/>
        <w:numPr>
          <w:ilvl w:val="1"/>
          <w:numId w:val="1"/>
        </w:numPr>
        <w:spacing w:before="380" w:after="120" w:line="456" w:lineRule="auto"/>
        <w:ind w:left="0" w:firstLine="284"/>
        <w:contextualSpacing w:val="0"/>
        <w:jc w:val="center"/>
        <w:outlineLvl w:val="3"/>
        <w:rPr>
          <w:rFonts w:ascii="Artifex CF Extra Light" w:hAnsi="Artifex CF Extra Light" w:cs="Times New Roman"/>
          <w:b/>
          <w:bCs/>
          <w:color w:val="1F4E79" w:themeColor="accent1" w:themeShade="80"/>
          <w:spacing w:val="10"/>
          <w:sz w:val="18"/>
          <w:szCs w:val="18"/>
          <w:lang w:val="es-DO"/>
        </w:rPr>
      </w:pPr>
      <w:bookmarkStart w:id="78" w:name="_Toc54949060"/>
      <w:bookmarkStart w:id="79" w:name="_Toc58332502"/>
      <w:bookmarkStart w:id="80" w:name="_Toc59528090"/>
      <w:r w:rsidRPr="00061E36">
        <w:rPr>
          <w:rFonts w:ascii="Artifex CF Extra Light" w:hAnsi="Artifex CF Extra Light" w:cs="Times New Roman"/>
          <w:b/>
          <w:bCs/>
          <w:color w:val="1F4E79" w:themeColor="accent1" w:themeShade="80"/>
          <w:spacing w:val="10"/>
          <w:sz w:val="18"/>
          <w:szCs w:val="18"/>
          <w:lang w:val="es-DO"/>
        </w:rPr>
        <w:t>PERSPECTIVA ESTRATÉGICA</w:t>
      </w:r>
      <w:bookmarkEnd w:id="78"/>
      <w:bookmarkEnd w:id="79"/>
      <w:bookmarkEnd w:id="80"/>
    </w:p>
    <w:p w14:paraId="2E659D04" w14:textId="17A4A7B5" w:rsidR="00E850D7"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rPr>
      </w:pPr>
      <w:bookmarkStart w:id="81" w:name="_Toc54949061"/>
      <w:bookmarkStart w:id="82" w:name="_Toc58332503"/>
      <w:bookmarkStart w:id="83" w:name="_Toc59528091"/>
      <w:r w:rsidRPr="00061E36">
        <w:rPr>
          <w:rFonts w:ascii="Artifex CF Extra Light" w:hAnsi="Artifex CF Extra Light" w:cs="Times New Roman"/>
          <w:b/>
          <w:bCs/>
          <w:color w:val="1F4E79" w:themeColor="accent1" w:themeShade="80"/>
          <w:spacing w:val="10"/>
          <w:sz w:val="18"/>
          <w:szCs w:val="18"/>
        </w:rPr>
        <w:t>METAS PRESIDENCIALES</w:t>
      </w:r>
      <w:bookmarkEnd w:id="81"/>
      <w:bookmarkEnd w:id="82"/>
      <w:bookmarkEnd w:id="83"/>
    </w:p>
    <w:p w14:paraId="0312415F" w14:textId="6E2BA312" w:rsidR="00BA037C" w:rsidRPr="00A40C82" w:rsidRDefault="00BA037C" w:rsidP="00220DB5">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En el 20</w:t>
      </w:r>
      <w:r w:rsidR="00594833" w:rsidRPr="00A40C82">
        <w:rPr>
          <w:rFonts w:ascii="Artifex CF Extra Light" w:hAnsi="Artifex CF Extra Light" w:cs="Times New Roman"/>
          <w:color w:val="1F4E79" w:themeColor="accent1" w:themeShade="80"/>
          <w:spacing w:val="10"/>
          <w:sz w:val="18"/>
          <w:szCs w:val="18"/>
          <w:lang w:val="es-DO"/>
        </w:rPr>
        <w:t>20</w:t>
      </w:r>
      <w:r w:rsidRPr="00A40C82">
        <w:rPr>
          <w:rFonts w:ascii="Artifex CF Extra Light" w:hAnsi="Artifex CF Extra Light" w:cs="Times New Roman"/>
          <w:color w:val="1F4E79" w:themeColor="accent1" w:themeShade="80"/>
          <w:spacing w:val="10"/>
          <w:sz w:val="18"/>
          <w:szCs w:val="18"/>
          <w:lang w:val="es-DO"/>
        </w:rPr>
        <w:t xml:space="preserve">, </w:t>
      </w:r>
      <w:r w:rsidR="00A140E6" w:rsidRPr="00A40C82">
        <w:rPr>
          <w:rFonts w:ascii="Artifex CF Extra Light" w:hAnsi="Artifex CF Extra Light" w:cs="Times New Roman"/>
          <w:color w:val="1F4E79" w:themeColor="accent1" w:themeShade="80"/>
          <w:spacing w:val="10"/>
          <w:sz w:val="18"/>
          <w:szCs w:val="18"/>
          <w:lang w:val="es-DO"/>
        </w:rPr>
        <w:t>ProDominicana</w:t>
      </w:r>
      <w:r w:rsidRPr="00A40C82">
        <w:rPr>
          <w:rFonts w:ascii="Artifex CF Extra Light" w:hAnsi="Artifex CF Extra Light" w:cs="Times New Roman"/>
          <w:color w:val="1F4E79" w:themeColor="accent1" w:themeShade="80"/>
          <w:spacing w:val="10"/>
          <w:sz w:val="18"/>
          <w:szCs w:val="18"/>
          <w:lang w:val="es-DO"/>
        </w:rPr>
        <w:t xml:space="preserve"> no poseía metas presidenciales asignadas de manera directa dentro del Sistema; No </w:t>
      </w:r>
      <w:r w:rsidR="00F05F76" w:rsidRPr="00A40C82">
        <w:rPr>
          <w:rFonts w:ascii="Artifex CF Extra Light" w:hAnsi="Artifex CF Extra Light" w:cs="Times New Roman"/>
          <w:color w:val="1F4E79" w:themeColor="accent1" w:themeShade="80"/>
          <w:spacing w:val="10"/>
          <w:sz w:val="18"/>
          <w:szCs w:val="18"/>
          <w:lang w:val="es-DO"/>
        </w:rPr>
        <w:t>obstante,</w:t>
      </w:r>
      <w:r w:rsidRPr="00A40C82">
        <w:rPr>
          <w:rFonts w:ascii="Artifex CF Extra Light" w:hAnsi="Artifex CF Extra Light" w:cs="Times New Roman"/>
          <w:color w:val="1F4E79" w:themeColor="accent1" w:themeShade="80"/>
          <w:spacing w:val="10"/>
          <w:sz w:val="18"/>
          <w:szCs w:val="18"/>
          <w:lang w:val="es-DO"/>
        </w:rPr>
        <w:t xml:space="preserve"> compartía responsabilidad de cinco (5) metas intermedias asignadas a la Meta Presidencial del Consejo Nacional de Competitividad (CNC) sobre la ´´Implementación de la Iniciativa para el Desarrollo Productivo y las Exportaciones´´. Estas cinco (5) metas intermedias se detallan a continuación: </w:t>
      </w:r>
    </w:p>
    <w:p w14:paraId="67DDEEC9" w14:textId="726CE108" w:rsidR="00AF7CA4" w:rsidRPr="00A40C82" w:rsidRDefault="005D07DF" w:rsidP="00BF1AA4">
      <w:pPr>
        <w:spacing w:before="380" w:after="120" w:line="456" w:lineRule="auto"/>
        <w:ind w:firstLine="284"/>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 xml:space="preserve">Meta1. </w:t>
      </w:r>
      <w:r w:rsidR="00BA037C" w:rsidRPr="00A40C82">
        <w:rPr>
          <w:rFonts w:ascii="Artifex CF Extra Light" w:hAnsi="Artifex CF Extra Light" w:cs="Times New Roman"/>
          <w:b/>
          <w:color w:val="1F4E79" w:themeColor="accent1" w:themeShade="80"/>
          <w:spacing w:val="10"/>
          <w:sz w:val="18"/>
          <w:szCs w:val="18"/>
          <w:lang w:val="es-DO"/>
        </w:rPr>
        <w:t>Procedimiento elaborado para crear y ejecutar Fondo de Promoción Exportaciones (Decreto No. 244-09):</w:t>
      </w:r>
    </w:p>
    <w:p w14:paraId="74540628" w14:textId="067A81E5" w:rsidR="00CC1596" w:rsidRPr="00A40C82" w:rsidRDefault="00AF7CA4" w:rsidP="00220DB5">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A40C82">
        <w:rPr>
          <w:rFonts w:ascii="Artifex CF Extra Light" w:eastAsia="Montserrat" w:hAnsi="Artifex CF Extra Light" w:cs="Times New Roman"/>
          <w:b/>
          <w:color w:val="1F4E79" w:themeColor="accent1" w:themeShade="80"/>
          <w:spacing w:val="10"/>
          <w:sz w:val="18"/>
          <w:szCs w:val="18"/>
          <w:lang w:val="es-DO"/>
        </w:rPr>
        <w:t>Porcentaje de avance:</w:t>
      </w:r>
      <w:r w:rsidR="00B116E8" w:rsidRPr="00A40C82">
        <w:rPr>
          <w:rFonts w:ascii="Artifex CF Extra Light" w:eastAsia="Montserrat" w:hAnsi="Artifex CF Extra Light" w:cs="Times New Roman"/>
          <w:b/>
          <w:color w:val="1F4E79" w:themeColor="accent1" w:themeShade="80"/>
          <w:spacing w:val="10"/>
          <w:sz w:val="18"/>
          <w:szCs w:val="18"/>
          <w:lang w:val="es-DO"/>
        </w:rPr>
        <w:t xml:space="preserve"> </w:t>
      </w:r>
      <w:r w:rsidRPr="00A40C82">
        <w:rPr>
          <w:rFonts w:ascii="Artifex CF Extra Light" w:eastAsia="Montserrat" w:hAnsi="Artifex CF Extra Light" w:cs="Times New Roman"/>
          <w:color w:val="1F4E79" w:themeColor="accent1" w:themeShade="80"/>
          <w:spacing w:val="10"/>
          <w:sz w:val="18"/>
          <w:szCs w:val="18"/>
          <w:lang w:val="es-DO"/>
        </w:rPr>
        <w:t>100%</w:t>
      </w:r>
      <w:r w:rsidR="00CC1596" w:rsidRPr="00A40C82">
        <w:rPr>
          <w:rFonts w:ascii="Artifex CF Extra Light" w:eastAsia="Montserrat" w:hAnsi="Artifex CF Extra Light" w:cs="Times New Roman"/>
          <w:color w:val="1F4E79" w:themeColor="accent1" w:themeShade="80"/>
          <w:spacing w:val="10"/>
          <w:sz w:val="18"/>
          <w:szCs w:val="18"/>
          <w:lang w:val="es-DO"/>
        </w:rPr>
        <w:t>.</w:t>
      </w:r>
    </w:p>
    <w:p w14:paraId="34958A0D" w14:textId="505E318D" w:rsidR="00AF7CA4" w:rsidRPr="00A40C82" w:rsidRDefault="00AF7CA4" w:rsidP="00220DB5">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A40C82">
        <w:rPr>
          <w:rFonts w:ascii="Artifex CF Extra Light" w:eastAsia="Montserrat" w:hAnsi="Artifex CF Extra Light" w:cs="Times New Roman"/>
          <w:b/>
          <w:color w:val="1F4E79" w:themeColor="accent1" w:themeShade="80"/>
          <w:spacing w:val="10"/>
          <w:sz w:val="18"/>
          <w:szCs w:val="18"/>
          <w:lang w:val="es-DO"/>
        </w:rPr>
        <w:t xml:space="preserve">Logros alcanzados: </w:t>
      </w:r>
      <w:r w:rsidRPr="00A40C82">
        <w:rPr>
          <w:rFonts w:ascii="Artifex CF Extra Light" w:eastAsia="Montserrat" w:hAnsi="Artifex CF Extra Light" w:cs="Times New Roman"/>
          <w:color w:val="1F4E79" w:themeColor="accent1" w:themeShade="80"/>
          <w:spacing w:val="10"/>
          <w:sz w:val="18"/>
          <w:szCs w:val="18"/>
          <w:lang w:val="es-DO"/>
        </w:rPr>
        <w:t>El borrador del decreto fue enviado para revisión al Ministerio Administrativo de la Presidencia y al Consejo Nacional de Competitividad.</w:t>
      </w:r>
    </w:p>
    <w:p w14:paraId="7A2ECD91" w14:textId="77777777" w:rsidR="000102FD" w:rsidRPr="00A40C82" w:rsidRDefault="000102FD" w:rsidP="00220DB5">
      <w:pPr>
        <w:spacing w:before="380" w:after="120" w:line="456" w:lineRule="auto"/>
        <w:ind w:firstLine="284"/>
        <w:rPr>
          <w:rFonts w:ascii="Artifex CF Extra Ligh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br w:type="page"/>
      </w:r>
    </w:p>
    <w:p w14:paraId="36F1D49F" w14:textId="459B8449" w:rsidR="00720476" w:rsidRPr="00A40C82" w:rsidRDefault="005D07DF" w:rsidP="00220DB5">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lastRenderedPageBreak/>
        <w:t xml:space="preserve">Meta 2. </w:t>
      </w:r>
      <w:r w:rsidR="00BA037C" w:rsidRPr="00A40C82">
        <w:rPr>
          <w:rFonts w:ascii="Artifex CF Extra Light" w:hAnsi="Artifex CF Extra Light" w:cs="Times New Roman"/>
          <w:b/>
          <w:color w:val="1F4E79" w:themeColor="accent1" w:themeShade="80"/>
          <w:spacing w:val="10"/>
          <w:sz w:val="18"/>
          <w:szCs w:val="18"/>
          <w:lang w:val="es-DO"/>
        </w:rPr>
        <w:t>Plan Nacional para Estrategia de Promoción Comercial en Mercados Estratégicos:</w:t>
      </w:r>
      <w:r w:rsidR="00720476" w:rsidRPr="00A40C82">
        <w:rPr>
          <w:rFonts w:ascii="Artifex CF Extra Light" w:hAnsi="Artifex CF Extra Light" w:cs="Times New Roman"/>
          <w:b/>
          <w:color w:val="1F4E79" w:themeColor="accent1" w:themeShade="80"/>
          <w:spacing w:val="10"/>
          <w:sz w:val="18"/>
          <w:szCs w:val="18"/>
          <w:lang w:val="es-DO"/>
        </w:rPr>
        <w:t xml:space="preserve"> </w:t>
      </w:r>
      <w:r w:rsidR="00720476" w:rsidRPr="00A40C82">
        <w:rPr>
          <w:rFonts w:ascii="Artifex CF Extra Light" w:hAnsi="Artifex CF Extra Light" w:cs="Times New Roman"/>
          <w:color w:val="1F4E79" w:themeColor="accent1" w:themeShade="80"/>
          <w:spacing w:val="10"/>
          <w:sz w:val="18"/>
          <w:szCs w:val="18"/>
          <w:bdr w:val="none" w:sz="0" w:space="0" w:color="auto" w:frame="1"/>
          <w:lang w:val="es-DO"/>
        </w:rPr>
        <w:t>Este proyecto busca impulsar la promoción de los productos dominicanos de alto potencial competitivo en mercados estratégicos internacionales, aportando para la República Dominicana una política pública focalizada, estratégica y comercial. Dicho de otra manera, contaremos con una promoción basada en inteligencia comercial.</w:t>
      </w:r>
    </w:p>
    <w:p w14:paraId="7676A456" w14:textId="25151F15" w:rsidR="00720476" w:rsidRPr="00A40C82" w:rsidRDefault="00AF7CA4" w:rsidP="00220DB5">
      <w:pPr>
        <w:pStyle w:val="xmsonormal"/>
        <w:shd w:val="clear" w:color="auto" w:fill="FFFFFF"/>
        <w:spacing w:before="380" w:beforeAutospacing="0" w:after="120" w:afterAutospacing="0" w:line="456" w:lineRule="auto"/>
        <w:ind w:firstLine="284"/>
        <w:jc w:val="both"/>
        <w:rPr>
          <w:rFonts w:ascii="Artifex CF Extra Light" w:hAnsi="Artifex CF Extra Light"/>
          <w:color w:val="1F4E79" w:themeColor="accent1" w:themeShade="80"/>
          <w:spacing w:val="10"/>
          <w:sz w:val="18"/>
          <w:szCs w:val="18"/>
        </w:rPr>
      </w:pPr>
      <w:r w:rsidRPr="00A40C82">
        <w:rPr>
          <w:rFonts w:ascii="Artifex CF Extra Light" w:hAnsi="Artifex CF Extra Light"/>
          <w:b/>
          <w:color w:val="1F4E79" w:themeColor="accent1" w:themeShade="80"/>
          <w:spacing w:val="10"/>
          <w:sz w:val="18"/>
          <w:szCs w:val="18"/>
          <w:bdr w:val="none" w:sz="0" w:space="0" w:color="auto" w:frame="1"/>
        </w:rPr>
        <w:t>Porcentaje de avance:</w:t>
      </w:r>
      <w:r w:rsidRPr="00A40C82">
        <w:rPr>
          <w:rFonts w:ascii="Artifex CF Extra Light" w:hAnsi="Artifex CF Extra Light"/>
          <w:color w:val="1F4E79" w:themeColor="accent1" w:themeShade="80"/>
          <w:spacing w:val="10"/>
          <w:sz w:val="18"/>
          <w:szCs w:val="18"/>
          <w:bdr w:val="none" w:sz="0" w:space="0" w:color="auto" w:frame="1"/>
        </w:rPr>
        <w:t xml:space="preserve"> 20%.</w:t>
      </w:r>
    </w:p>
    <w:p w14:paraId="408B6982" w14:textId="11C05D87" w:rsidR="00720476" w:rsidRPr="00A40C82" w:rsidRDefault="00AF7CA4" w:rsidP="00220DB5">
      <w:pPr>
        <w:pStyle w:val="xmsonormal"/>
        <w:shd w:val="clear" w:color="auto" w:fill="FFFFFF"/>
        <w:spacing w:before="380" w:beforeAutospacing="0" w:after="120" w:afterAutospacing="0" w:line="456" w:lineRule="auto"/>
        <w:ind w:firstLine="284"/>
        <w:jc w:val="both"/>
        <w:rPr>
          <w:rFonts w:ascii="Artifex CF Extra Light" w:hAnsi="Artifex CF Extra Light"/>
          <w:b/>
          <w:color w:val="1F4E79" w:themeColor="accent1" w:themeShade="80"/>
          <w:spacing w:val="10"/>
          <w:sz w:val="18"/>
          <w:szCs w:val="18"/>
        </w:rPr>
      </w:pPr>
      <w:r w:rsidRPr="00A40C82">
        <w:rPr>
          <w:rFonts w:ascii="Artifex CF Extra Light" w:hAnsi="Artifex CF Extra Light"/>
          <w:b/>
          <w:color w:val="1F4E79" w:themeColor="accent1" w:themeShade="80"/>
          <w:spacing w:val="10"/>
          <w:sz w:val="18"/>
          <w:szCs w:val="18"/>
          <w:bdr w:val="none" w:sz="0" w:space="0" w:color="auto" w:frame="1"/>
        </w:rPr>
        <w:t xml:space="preserve">Logros alcanzados: </w:t>
      </w:r>
    </w:p>
    <w:p w14:paraId="3F5B7A37" w14:textId="38961878" w:rsidR="00720476" w:rsidRPr="00A40C82" w:rsidRDefault="00720476"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 xml:space="preserve">Realización de </w:t>
      </w:r>
      <w:r w:rsidR="003D3681" w:rsidRPr="00A40C82">
        <w:rPr>
          <w:rFonts w:ascii="Artifex CF Extra Light" w:eastAsia="Times New Roman" w:hAnsi="Artifex CF Extra Light" w:cs="Calibri"/>
          <w:color w:val="1F4E79" w:themeColor="accent1" w:themeShade="80"/>
          <w:spacing w:val="10"/>
          <w:sz w:val="18"/>
          <w:szCs w:val="18"/>
          <w:lang w:val="es-ES" w:eastAsia="es-ES"/>
        </w:rPr>
        <w:t>estudio</w:t>
      </w:r>
      <w:r w:rsidRPr="00A40C82">
        <w:rPr>
          <w:rFonts w:ascii="Artifex CF Extra Light" w:eastAsia="Times New Roman" w:hAnsi="Artifex CF Extra Light" w:cs="Calibri"/>
          <w:color w:val="1F4E79" w:themeColor="accent1" w:themeShade="80"/>
          <w:spacing w:val="10"/>
          <w:sz w:val="18"/>
          <w:szCs w:val="18"/>
          <w:lang w:val="es-ES" w:eastAsia="es-ES"/>
        </w:rPr>
        <w:t xml:space="preserve"> por el área de Inteligencia para el establecimiento de países priorizados.</w:t>
      </w:r>
    </w:p>
    <w:p w14:paraId="520877AF" w14:textId="0E9201B3" w:rsidR="00B53970" w:rsidRPr="00A40C82" w:rsidRDefault="00720476" w:rsidP="00BF1AA4">
      <w:pPr>
        <w:pStyle w:val="Prrafodelista"/>
        <w:numPr>
          <w:ilvl w:val="0"/>
          <w:numId w:val="20"/>
        </w:numPr>
        <w:spacing w:before="380" w:after="120" w:line="456" w:lineRule="auto"/>
        <w:ind w:left="284" w:hanging="284"/>
        <w:contextualSpacing w:val="0"/>
        <w:jc w:val="both"/>
        <w:rPr>
          <w:rFonts w:ascii="Artifex CF Extra Light" w:hAnsi="Artifex CF Extra Light"/>
          <w:color w:val="1F4E79" w:themeColor="accent1" w:themeShade="80"/>
          <w:spacing w:val="10"/>
          <w:sz w:val="18"/>
          <w:szCs w:val="18"/>
          <w:lang w:val="es-ES"/>
        </w:rPr>
      </w:pPr>
      <w:r w:rsidRPr="00A40C82">
        <w:rPr>
          <w:rFonts w:ascii="Artifex CF Extra Light" w:eastAsia="Times New Roman" w:hAnsi="Artifex CF Extra Light" w:cs="Calibri"/>
          <w:color w:val="1F4E79" w:themeColor="accent1" w:themeShade="80"/>
          <w:spacing w:val="10"/>
          <w:sz w:val="18"/>
          <w:szCs w:val="18"/>
          <w:lang w:val="es-ES" w:eastAsia="es-ES"/>
        </w:rPr>
        <w:t>Realización</w:t>
      </w:r>
      <w:r w:rsidRPr="00A40C82">
        <w:rPr>
          <w:rFonts w:ascii="Artifex CF Extra Light" w:hAnsi="Artifex CF Extra Light"/>
          <w:color w:val="1F4E79" w:themeColor="accent1" w:themeShade="80"/>
          <w:spacing w:val="10"/>
          <w:sz w:val="18"/>
          <w:szCs w:val="18"/>
          <w:bdr w:val="none" w:sz="0" w:space="0" w:color="auto" w:frame="1"/>
          <w:lang w:val="es-ES"/>
        </w:rPr>
        <w:t xml:space="preserve"> de </w:t>
      </w:r>
      <w:r w:rsidR="003D3681" w:rsidRPr="00A40C82">
        <w:rPr>
          <w:rFonts w:ascii="Artifex CF Extra Light" w:hAnsi="Artifex CF Extra Light"/>
          <w:color w:val="1F4E79" w:themeColor="accent1" w:themeShade="80"/>
          <w:spacing w:val="10"/>
          <w:sz w:val="18"/>
          <w:szCs w:val="18"/>
          <w:bdr w:val="none" w:sz="0" w:space="0" w:color="auto" w:frame="1"/>
          <w:lang w:val="es-ES"/>
        </w:rPr>
        <w:t>estudio</w:t>
      </w:r>
      <w:r w:rsidRPr="00A40C82">
        <w:rPr>
          <w:rFonts w:ascii="Artifex CF Extra Light" w:hAnsi="Artifex CF Extra Light"/>
          <w:color w:val="1F4E79" w:themeColor="accent1" w:themeShade="80"/>
          <w:spacing w:val="10"/>
          <w:sz w:val="18"/>
          <w:szCs w:val="18"/>
          <w:bdr w:val="none" w:sz="0" w:space="0" w:color="auto" w:frame="1"/>
          <w:lang w:val="es-ES"/>
        </w:rPr>
        <w:t xml:space="preserve"> para la definición de productos priorizados.</w:t>
      </w:r>
    </w:p>
    <w:p w14:paraId="6B5235A4" w14:textId="67A57864" w:rsidR="00720476" w:rsidRPr="00A40C82" w:rsidRDefault="005D07DF" w:rsidP="00220DB5">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 xml:space="preserve">Meta 3. </w:t>
      </w:r>
      <w:r w:rsidR="00BA037C" w:rsidRPr="00A40C82">
        <w:rPr>
          <w:rFonts w:ascii="Artifex CF Extra Light" w:hAnsi="Artifex CF Extra Light" w:cs="Times New Roman"/>
          <w:b/>
          <w:color w:val="1F4E79" w:themeColor="accent1" w:themeShade="80"/>
          <w:spacing w:val="10"/>
          <w:sz w:val="18"/>
          <w:szCs w:val="18"/>
          <w:lang w:val="es-DO"/>
        </w:rPr>
        <w:t xml:space="preserve">Aplicar medidas para fortalecer </w:t>
      </w:r>
      <w:r w:rsidR="0013740E" w:rsidRPr="00A40C82">
        <w:rPr>
          <w:rFonts w:ascii="Artifex CF Extra Light" w:hAnsi="Artifex CF Extra Light" w:cs="Times New Roman"/>
          <w:b/>
          <w:color w:val="1F4E79" w:themeColor="accent1" w:themeShade="80"/>
          <w:spacing w:val="10"/>
          <w:sz w:val="18"/>
          <w:szCs w:val="18"/>
          <w:lang w:val="es-DO"/>
        </w:rPr>
        <w:t>ProDominicana</w:t>
      </w:r>
      <w:r w:rsidR="00BA037C" w:rsidRPr="00A40C82">
        <w:rPr>
          <w:rFonts w:ascii="Artifex CF Extra Light" w:hAnsi="Artifex CF Extra Light" w:cs="Times New Roman"/>
          <w:b/>
          <w:color w:val="1F4E79" w:themeColor="accent1" w:themeShade="80"/>
          <w:spacing w:val="10"/>
          <w:sz w:val="18"/>
          <w:szCs w:val="18"/>
          <w:lang w:val="es-DO"/>
        </w:rPr>
        <w:t>:</w:t>
      </w:r>
    </w:p>
    <w:p w14:paraId="09D73F46" w14:textId="24D5F12E" w:rsidR="00720476" w:rsidRPr="00A40C82" w:rsidRDefault="00720476" w:rsidP="00220DB5">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Porcentaje de avance:</w:t>
      </w:r>
      <w:r w:rsidRPr="00A40C82">
        <w:rPr>
          <w:rFonts w:ascii="Artifex CF Extra Light" w:hAnsi="Artifex CF Extra Light" w:cs="Times New Roman"/>
          <w:color w:val="1F4E79" w:themeColor="accent1" w:themeShade="80"/>
          <w:spacing w:val="10"/>
          <w:sz w:val="18"/>
          <w:szCs w:val="18"/>
          <w:lang w:val="es-DO"/>
        </w:rPr>
        <w:t xml:space="preserve"> 100%</w:t>
      </w:r>
    </w:p>
    <w:p w14:paraId="29F8456B" w14:textId="4BE0CAF7" w:rsidR="00720476" w:rsidRPr="00A40C82" w:rsidRDefault="00720476" w:rsidP="00220DB5">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Logros alcanzados:</w:t>
      </w:r>
    </w:p>
    <w:p w14:paraId="348BE061" w14:textId="2A83B03A" w:rsidR="00720476" w:rsidRPr="00A40C82" w:rsidRDefault="00720476" w:rsidP="00220DB5">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Se elaboró una circular administrativa informando al Consejo Directivo sobre la implementación de las siguientes medidas en el plan de trabajo de</w:t>
      </w:r>
      <w:r w:rsidR="00F17095" w:rsidRPr="00A40C82">
        <w:rPr>
          <w:rFonts w:ascii="Artifex CF Extra Light" w:hAnsi="Artifex CF Extra Light" w:cs="Times New Roman"/>
          <w:color w:val="1F4E79" w:themeColor="accent1" w:themeShade="80"/>
          <w:spacing w:val="10"/>
          <w:sz w:val="18"/>
          <w:szCs w:val="18"/>
          <w:lang w:val="es-DO"/>
        </w:rPr>
        <w:t xml:space="preserve"> Pro</w:t>
      </w:r>
      <w:r w:rsidR="00983A1E" w:rsidRPr="00A40C82">
        <w:rPr>
          <w:rFonts w:ascii="Artifex CF Extra Light" w:hAnsi="Artifex CF Extra Light" w:cs="Times New Roman"/>
          <w:color w:val="1F4E79" w:themeColor="accent1" w:themeShade="80"/>
          <w:spacing w:val="10"/>
          <w:sz w:val="18"/>
          <w:szCs w:val="18"/>
          <w:lang w:val="es-DO"/>
        </w:rPr>
        <w:t>D</w:t>
      </w:r>
      <w:r w:rsidR="009C7188" w:rsidRPr="00A40C82">
        <w:rPr>
          <w:rFonts w:ascii="Artifex CF Extra Light" w:hAnsi="Artifex CF Extra Light" w:cs="Times New Roman"/>
          <w:color w:val="1F4E79" w:themeColor="accent1" w:themeShade="80"/>
          <w:spacing w:val="10"/>
          <w:sz w:val="18"/>
          <w:szCs w:val="18"/>
          <w:lang w:val="es-DO"/>
        </w:rPr>
        <w:t>o</w:t>
      </w:r>
      <w:r w:rsidR="00983A1E" w:rsidRPr="00A40C82">
        <w:rPr>
          <w:rFonts w:ascii="Artifex CF Extra Light" w:hAnsi="Artifex CF Extra Light" w:cs="Times New Roman"/>
          <w:color w:val="1F4E79" w:themeColor="accent1" w:themeShade="80"/>
          <w:spacing w:val="10"/>
          <w:sz w:val="18"/>
          <w:szCs w:val="18"/>
          <w:lang w:val="es-DO"/>
        </w:rPr>
        <w:t>minicana</w:t>
      </w:r>
      <w:r w:rsidRPr="00A40C82">
        <w:rPr>
          <w:rFonts w:ascii="Artifex CF Extra Light" w:hAnsi="Artifex CF Extra Light" w:cs="Times New Roman"/>
          <w:color w:val="1F4E79" w:themeColor="accent1" w:themeShade="80"/>
          <w:spacing w:val="10"/>
          <w:sz w:val="18"/>
          <w:szCs w:val="18"/>
          <w:lang w:val="es-DO"/>
        </w:rPr>
        <w:t>:</w:t>
      </w:r>
    </w:p>
    <w:p w14:paraId="23E24AD8" w14:textId="77777777" w:rsidR="00B116E8" w:rsidRPr="00A40C82" w:rsidRDefault="00720476"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Plan de Promoción Comercial con el MIREX</w:t>
      </w:r>
    </w:p>
    <w:p w14:paraId="7E6154E6" w14:textId="77777777" w:rsidR="00B116E8" w:rsidRPr="00A40C82" w:rsidRDefault="00720476"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Plan de Marketing</w:t>
      </w:r>
    </w:p>
    <w:p w14:paraId="0F96357E" w14:textId="77777777" w:rsidR="00B116E8" w:rsidRPr="00A40C82" w:rsidRDefault="00720476"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Participación en ferias y misiones comerciales</w:t>
      </w:r>
    </w:p>
    <w:p w14:paraId="7FD60AB2" w14:textId="62A80339" w:rsidR="00B116E8" w:rsidRPr="00A40C82" w:rsidRDefault="00720476"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lastRenderedPageBreak/>
        <w:t>Implementación de un Sistema de Inteligencia Comercial (</w:t>
      </w:r>
      <w:r w:rsidR="00983A1E" w:rsidRPr="00A40C82">
        <w:rPr>
          <w:rFonts w:ascii="Artifex CF Extra Light" w:eastAsia="Times New Roman" w:hAnsi="Artifex CF Extra Light" w:cs="Calibri"/>
          <w:color w:val="1F4E79" w:themeColor="accent1" w:themeShade="80"/>
          <w:spacing w:val="10"/>
          <w:sz w:val="18"/>
          <w:szCs w:val="18"/>
          <w:lang w:val="es-ES" w:eastAsia="es-ES"/>
        </w:rPr>
        <w:t>ProDominicana</w:t>
      </w:r>
      <w:r w:rsidRPr="00A40C82">
        <w:rPr>
          <w:rFonts w:ascii="Artifex CF Extra Light" w:eastAsia="Times New Roman" w:hAnsi="Artifex CF Extra Light" w:cs="Calibri"/>
          <w:color w:val="1F4E79" w:themeColor="accent1" w:themeShade="80"/>
          <w:spacing w:val="10"/>
          <w:sz w:val="18"/>
          <w:szCs w:val="18"/>
          <w:lang w:val="es-ES" w:eastAsia="es-ES"/>
        </w:rPr>
        <w:t xml:space="preserve"> DataMarket)</w:t>
      </w:r>
    </w:p>
    <w:p w14:paraId="40543D2E" w14:textId="3B514187" w:rsidR="00720476" w:rsidRPr="00A40C82" w:rsidRDefault="00720476"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Plataforma de Comercio Online (</w:t>
      </w:r>
      <w:r w:rsidR="00983A1E" w:rsidRPr="00A40C82">
        <w:rPr>
          <w:rFonts w:ascii="Artifex CF Extra Light" w:eastAsia="Times New Roman" w:hAnsi="Artifex CF Extra Light" w:cs="Calibri"/>
          <w:color w:val="1F4E79" w:themeColor="accent1" w:themeShade="80"/>
          <w:spacing w:val="10"/>
          <w:sz w:val="18"/>
          <w:szCs w:val="18"/>
          <w:lang w:val="es-ES" w:eastAsia="es-ES"/>
        </w:rPr>
        <w:t>ProDominicana</w:t>
      </w:r>
      <w:r w:rsidRPr="00A40C82">
        <w:rPr>
          <w:rFonts w:ascii="Artifex CF Extra Light" w:eastAsia="Times New Roman" w:hAnsi="Artifex CF Extra Light" w:cs="Calibri"/>
          <w:color w:val="1F4E79" w:themeColor="accent1" w:themeShade="80"/>
          <w:spacing w:val="10"/>
          <w:sz w:val="18"/>
          <w:szCs w:val="18"/>
          <w:lang w:val="es-ES" w:eastAsia="es-ES"/>
        </w:rPr>
        <w:t xml:space="preserve"> </w:t>
      </w:r>
      <w:r w:rsidR="00F93424" w:rsidRPr="00A40C82">
        <w:rPr>
          <w:rFonts w:ascii="Artifex CF Extra Light" w:eastAsia="Times New Roman" w:hAnsi="Artifex CF Extra Light" w:cs="Calibri"/>
          <w:color w:val="1F4E79" w:themeColor="accent1" w:themeShade="80"/>
          <w:spacing w:val="10"/>
          <w:sz w:val="18"/>
          <w:szCs w:val="18"/>
          <w:lang w:val="es-ES" w:eastAsia="es-ES"/>
        </w:rPr>
        <w:t>Connect) Encadenamientos</w:t>
      </w:r>
      <w:r w:rsidRPr="00A40C82">
        <w:rPr>
          <w:rFonts w:ascii="Artifex CF Extra Light" w:eastAsia="Times New Roman" w:hAnsi="Artifex CF Extra Light" w:cs="Calibri"/>
          <w:color w:val="1F4E79" w:themeColor="accent1" w:themeShade="80"/>
          <w:spacing w:val="10"/>
          <w:sz w:val="18"/>
          <w:szCs w:val="18"/>
          <w:lang w:val="es-ES" w:eastAsia="es-ES"/>
        </w:rPr>
        <w:t xml:space="preserve"> Productivos</w:t>
      </w:r>
    </w:p>
    <w:p w14:paraId="5A21E73F" w14:textId="5BD41163" w:rsidR="00720476" w:rsidRPr="00A40C82" w:rsidRDefault="005D07DF" w:rsidP="00220DB5">
      <w:pPr>
        <w:spacing w:before="380" w:after="120" w:line="456" w:lineRule="auto"/>
        <w:ind w:firstLine="284"/>
        <w:jc w:val="both"/>
        <w:rPr>
          <w:rFonts w:ascii="Artifex CF Extra Light" w:eastAsia="Montserra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 xml:space="preserve">Meta 4. </w:t>
      </w:r>
      <w:r w:rsidR="00BA037C" w:rsidRPr="00A40C82">
        <w:rPr>
          <w:rFonts w:ascii="Artifex CF Extra Light" w:hAnsi="Artifex CF Extra Light" w:cs="Times New Roman"/>
          <w:b/>
          <w:color w:val="1F4E79" w:themeColor="accent1" w:themeShade="80"/>
          <w:spacing w:val="10"/>
          <w:sz w:val="18"/>
          <w:szCs w:val="18"/>
          <w:lang w:val="es-DO"/>
        </w:rPr>
        <w:t xml:space="preserve">Apoyo a </w:t>
      </w:r>
      <w:r w:rsidR="00983A1E" w:rsidRPr="00A40C82">
        <w:rPr>
          <w:rFonts w:ascii="Artifex CF Extra Light" w:hAnsi="Artifex CF Extra Light" w:cs="Times New Roman"/>
          <w:b/>
          <w:color w:val="1F4E79" w:themeColor="accent1" w:themeShade="80"/>
          <w:spacing w:val="10"/>
          <w:sz w:val="18"/>
          <w:szCs w:val="18"/>
          <w:lang w:val="es-DO"/>
        </w:rPr>
        <w:t>Pymes</w:t>
      </w:r>
      <w:r w:rsidR="00BA037C" w:rsidRPr="00A40C82">
        <w:rPr>
          <w:rFonts w:ascii="Artifex CF Extra Light" w:hAnsi="Artifex CF Extra Light" w:cs="Times New Roman"/>
          <w:b/>
          <w:color w:val="1F4E79" w:themeColor="accent1" w:themeShade="80"/>
          <w:spacing w:val="10"/>
          <w:sz w:val="18"/>
          <w:szCs w:val="18"/>
          <w:lang w:val="es-DO"/>
        </w:rPr>
        <w:t xml:space="preserve"> en la participación en ferias: </w:t>
      </w:r>
    </w:p>
    <w:p w14:paraId="49D8BBD7" w14:textId="790818A2" w:rsidR="00720476" w:rsidRPr="00A40C82" w:rsidRDefault="00720476" w:rsidP="00220DB5">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A40C82">
        <w:rPr>
          <w:rFonts w:ascii="Artifex CF Extra Light" w:eastAsia="Montserrat" w:hAnsi="Artifex CF Extra Light" w:cs="Times New Roman"/>
          <w:b/>
          <w:color w:val="1F4E79" w:themeColor="accent1" w:themeShade="80"/>
          <w:spacing w:val="10"/>
          <w:sz w:val="18"/>
          <w:szCs w:val="18"/>
          <w:lang w:val="es-DO"/>
        </w:rPr>
        <w:t>Porcentaje de avance:</w:t>
      </w:r>
      <w:r w:rsidR="00B116E8" w:rsidRPr="00A40C82">
        <w:rPr>
          <w:rFonts w:ascii="Artifex CF Extra Light" w:eastAsia="Montserrat" w:hAnsi="Artifex CF Extra Light" w:cs="Times New Roman"/>
          <w:b/>
          <w:color w:val="1F4E79" w:themeColor="accent1" w:themeShade="80"/>
          <w:spacing w:val="10"/>
          <w:sz w:val="18"/>
          <w:szCs w:val="18"/>
          <w:lang w:val="es-DO"/>
        </w:rPr>
        <w:t xml:space="preserve"> </w:t>
      </w:r>
      <w:r w:rsidRPr="00A40C82">
        <w:rPr>
          <w:rFonts w:ascii="Artifex CF Extra Light" w:eastAsia="Montserrat" w:hAnsi="Artifex CF Extra Light" w:cs="Times New Roman"/>
          <w:color w:val="1F4E79" w:themeColor="accent1" w:themeShade="80"/>
          <w:spacing w:val="10"/>
          <w:sz w:val="18"/>
          <w:szCs w:val="18"/>
          <w:lang w:val="es-DO"/>
        </w:rPr>
        <w:t>100%</w:t>
      </w:r>
    </w:p>
    <w:p w14:paraId="1AAB06DE" w14:textId="77777777" w:rsidR="00720476" w:rsidRPr="00A40C82" w:rsidRDefault="00720476" w:rsidP="00220DB5">
      <w:pPr>
        <w:spacing w:before="380" w:after="120" w:line="456" w:lineRule="auto"/>
        <w:ind w:firstLine="284"/>
        <w:jc w:val="both"/>
        <w:rPr>
          <w:rFonts w:ascii="Artifex CF Extra Light" w:eastAsia="Montserrat" w:hAnsi="Artifex CF Extra Light" w:cs="Times New Roman"/>
          <w:b/>
          <w:color w:val="1F4E79" w:themeColor="accent1" w:themeShade="80"/>
          <w:spacing w:val="10"/>
          <w:sz w:val="18"/>
          <w:szCs w:val="18"/>
          <w:lang w:val="es-DO"/>
        </w:rPr>
      </w:pPr>
      <w:r w:rsidRPr="00A40C82">
        <w:rPr>
          <w:rFonts w:ascii="Artifex CF Extra Light" w:eastAsia="Montserrat" w:hAnsi="Artifex CF Extra Light" w:cs="Times New Roman"/>
          <w:b/>
          <w:color w:val="1F4E79" w:themeColor="accent1" w:themeShade="80"/>
          <w:spacing w:val="10"/>
          <w:sz w:val="18"/>
          <w:szCs w:val="18"/>
          <w:lang w:val="es-DO"/>
        </w:rPr>
        <w:t>Logros alcanzados:</w:t>
      </w:r>
    </w:p>
    <w:p w14:paraId="2D99BEC4" w14:textId="2AFF1EB7" w:rsidR="00BA037C" w:rsidRPr="00A40C82" w:rsidRDefault="00983A1E" w:rsidP="00220DB5">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A40C82">
        <w:rPr>
          <w:rFonts w:ascii="Artifex CF Extra Light" w:eastAsia="Montserrat" w:hAnsi="Artifex CF Extra Light" w:cs="Times New Roman"/>
          <w:color w:val="1F4E79" w:themeColor="accent1" w:themeShade="80"/>
          <w:spacing w:val="10"/>
          <w:sz w:val="18"/>
          <w:szCs w:val="18"/>
          <w:lang w:val="es-DO"/>
        </w:rPr>
        <w:t>ProDominicana</w:t>
      </w:r>
      <w:r w:rsidR="00720476" w:rsidRPr="00A40C82">
        <w:rPr>
          <w:rFonts w:ascii="Artifex CF Extra Light" w:eastAsia="Montserrat" w:hAnsi="Artifex CF Extra Light" w:cs="Times New Roman"/>
          <w:color w:val="1F4E79" w:themeColor="accent1" w:themeShade="80"/>
          <w:spacing w:val="10"/>
          <w:sz w:val="18"/>
          <w:szCs w:val="18"/>
          <w:lang w:val="es-DO"/>
        </w:rPr>
        <w:t xml:space="preserve"> asumió el compromiso de apoyar a las pymes preparadas para la internacionalización, para que estas tengan una participación activa en las ferias internacionales. A raíz de la implementación de la medida, el Centro ha asumido en sus planes operativos el apoyo a las pymes para participar en ferias internacionales para que puedan exportar.</w:t>
      </w:r>
    </w:p>
    <w:p w14:paraId="09506393" w14:textId="1D431F8D" w:rsidR="00AF7CA4" w:rsidRPr="00A40C82" w:rsidRDefault="005D07DF" w:rsidP="00220DB5">
      <w:pPr>
        <w:spacing w:before="380" w:after="120" w:line="456" w:lineRule="auto"/>
        <w:ind w:firstLine="284"/>
        <w:jc w:val="both"/>
        <w:rPr>
          <w:rFonts w:ascii="Artifex CF Extra Light" w:eastAsia="Montserra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 xml:space="preserve">Meta 5. </w:t>
      </w:r>
      <w:r w:rsidR="00BA037C" w:rsidRPr="00A40C82">
        <w:rPr>
          <w:rFonts w:ascii="Artifex CF Extra Light" w:hAnsi="Artifex CF Extra Light" w:cs="Times New Roman"/>
          <w:b/>
          <w:color w:val="1F4E79" w:themeColor="accent1" w:themeShade="80"/>
          <w:spacing w:val="10"/>
          <w:sz w:val="18"/>
          <w:szCs w:val="18"/>
          <w:lang w:val="es-DO"/>
        </w:rPr>
        <w:t>Diseño e implementación de la Marca País con visión estratégica, mediante mecanismos público-privado:</w:t>
      </w:r>
    </w:p>
    <w:p w14:paraId="43A54A1B" w14:textId="46A602A6" w:rsidR="00A140E6" w:rsidRPr="00A40C82" w:rsidRDefault="00A140E6" w:rsidP="00220DB5">
      <w:pPr>
        <w:spacing w:before="380" w:after="120" w:line="456" w:lineRule="auto"/>
        <w:ind w:firstLine="284"/>
        <w:jc w:val="both"/>
        <w:rPr>
          <w:rFonts w:ascii="Artifex CF Extra Light" w:eastAsia="Montserrat" w:hAnsi="Artifex CF Extra Light" w:cs="Times New Roman"/>
          <w:color w:val="1F4E79" w:themeColor="accent1" w:themeShade="80"/>
          <w:spacing w:val="10"/>
          <w:sz w:val="18"/>
          <w:szCs w:val="18"/>
          <w:lang w:val="es-DO"/>
        </w:rPr>
      </w:pPr>
      <w:r w:rsidRPr="00A40C82">
        <w:rPr>
          <w:rFonts w:ascii="Artifex CF Extra Light" w:eastAsia="Montserrat" w:hAnsi="Artifex CF Extra Light" w:cs="Times New Roman"/>
          <w:b/>
          <w:color w:val="1F4E79" w:themeColor="accent1" w:themeShade="80"/>
          <w:spacing w:val="10"/>
          <w:sz w:val="18"/>
          <w:szCs w:val="18"/>
          <w:lang w:val="es-DO"/>
        </w:rPr>
        <w:t xml:space="preserve">Porcentaje de avance: </w:t>
      </w:r>
      <w:r w:rsidR="00AF7CA4" w:rsidRPr="00A40C82">
        <w:rPr>
          <w:rFonts w:ascii="Artifex CF Extra Light" w:eastAsia="Montserrat" w:hAnsi="Artifex CF Extra Light" w:cs="Times New Roman"/>
          <w:color w:val="1F4E79" w:themeColor="accent1" w:themeShade="80"/>
          <w:spacing w:val="10"/>
          <w:sz w:val="18"/>
          <w:szCs w:val="18"/>
          <w:lang w:val="es-DO"/>
        </w:rPr>
        <w:t>100</w:t>
      </w:r>
      <w:r w:rsidRPr="00A40C82">
        <w:rPr>
          <w:rFonts w:ascii="Artifex CF Extra Light" w:eastAsia="Montserrat" w:hAnsi="Artifex CF Extra Light" w:cs="Times New Roman"/>
          <w:color w:val="1F4E79" w:themeColor="accent1" w:themeShade="80"/>
          <w:spacing w:val="10"/>
          <w:sz w:val="18"/>
          <w:szCs w:val="18"/>
          <w:lang w:val="es-DO"/>
        </w:rPr>
        <w:t xml:space="preserve">%. </w:t>
      </w:r>
    </w:p>
    <w:p w14:paraId="7AD5C238" w14:textId="053C6B0E" w:rsidR="00AF7CA4" w:rsidRPr="00A40C82" w:rsidRDefault="00AF7CA4" w:rsidP="00220DB5">
      <w:pPr>
        <w:spacing w:before="380" w:after="120" w:line="456" w:lineRule="auto"/>
        <w:ind w:firstLine="284"/>
        <w:jc w:val="both"/>
        <w:rPr>
          <w:rFonts w:ascii="Artifex CF Extra Light" w:eastAsia="Montserrat" w:hAnsi="Artifex CF Extra Light" w:cs="Times New Roman"/>
          <w:b/>
          <w:color w:val="1F4E79" w:themeColor="accent1" w:themeShade="80"/>
          <w:spacing w:val="10"/>
          <w:sz w:val="18"/>
          <w:szCs w:val="18"/>
          <w:lang w:val="es-DO"/>
        </w:rPr>
      </w:pPr>
      <w:r w:rsidRPr="00A40C82">
        <w:rPr>
          <w:rFonts w:ascii="Artifex CF Extra Light" w:eastAsia="Montserrat" w:hAnsi="Artifex CF Extra Light" w:cs="Times New Roman"/>
          <w:b/>
          <w:color w:val="1F4E79" w:themeColor="accent1" w:themeShade="80"/>
          <w:spacing w:val="10"/>
          <w:sz w:val="18"/>
          <w:szCs w:val="18"/>
          <w:lang w:val="es-DO"/>
        </w:rPr>
        <w:t xml:space="preserve">Logros alcanzados: </w:t>
      </w:r>
    </w:p>
    <w:p w14:paraId="5EC33620" w14:textId="77777777" w:rsidR="002A7CDB" w:rsidRPr="00A40C82" w:rsidRDefault="006B23A5"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El 20 de octubre se realizó el Lanzamiento de la Marca País de la República Dominicana</w:t>
      </w:r>
      <w:r w:rsidR="002A7CDB" w:rsidRPr="00A40C82">
        <w:rPr>
          <w:rFonts w:ascii="Artifex CF Extra Light" w:eastAsia="Times New Roman" w:hAnsi="Artifex CF Extra Light" w:cs="Calibri"/>
          <w:color w:val="1F4E79" w:themeColor="accent1" w:themeShade="80"/>
          <w:spacing w:val="10"/>
          <w:sz w:val="18"/>
          <w:szCs w:val="18"/>
          <w:lang w:val="es-ES" w:eastAsia="es-ES"/>
        </w:rPr>
        <w:t>.</w:t>
      </w:r>
    </w:p>
    <w:p w14:paraId="407108A9" w14:textId="7A1E62EE" w:rsidR="005C6134" w:rsidRPr="00A40C82" w:rsidRDefault="002A7CDB"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 xml:space="preserve">Se firmo </w:t>
      </w:r>
      <w:r w:rsidR="006B23A5" w:rsidRPr="00A40C82">
        <w:rPr>
          <w:rFonts w:ascii="Artifex CF Extra Light" w:eastAsia="Times New Roman" w:hAnsi="Artifex CF Extra Light" w:cs="Calibri"/>
          <w:color w:val="1F4E79" w:themeColor="accent1" w:themeShade="80"/>
          <w:spacing w:val="10"/>
          <w:sz w:val="18"/>
          <w:szCs w:val="18"/>
          <w:lang w:val="es-ES" w:eastAsia="es-ES"/>
        </w:rPr>
        <w:t xml:space="preserve">un acuerdo interinstitucional entre: el Ministerio de Turismo (MITUR); </w:t>
      </w:r>
      <w:r w:rsidR="0013740E" w:rsidRPr="00A40C82">
        <w:rPr>
          <w:rFonts w:ascii="Artifex CF Extra Light" w:eastAsia="Times New Roman" w:hAnsi="Artifex CF Extra Light" w:cs="Calibri"/>
          <w:color w:val="1F4E79" w:themeColor="accent1" w:themeShade="80"/>
          <w:spacing w:val="10"/>
          <w:sz w:val="18"/>
          <w:szCs w:val="18"/>
          <w:lang w:val="es-ES" w:eastAsia="es-ES"/>
        </w:rPr>
        <w:t>ProDominicana</w:t>
      </w:r>
      <w:r w:rsidR="006B23A5" w:rsidRPr="00A40C82">
        <w:rPr>
          <w:rFonts w:ascii="Artifex CF Extra Light" w:eastAsia="Times New Roman" w:hAnsi="Artifex CF Extra Light" w:cs="Calibri"/>
          <w:color w:val="1F4E79" w:themeColor="accent1" w:themeShade="80"/>
          <w:spacing w:val="10"/>
          <w:sz w:val="18"/>
          <w:szCs w:val="18"/>
          <w:lang w:val="es-ES" w:eastAsia="es-ES"/>
        </w:rPr>
        <w:t xml:space="preserve">; y representantes del Sector Privado, el pasado 9 de septiembre, se dio un importante paso en la implementación de esta marca país, conformándose </w:t>
      </w:r>
      <w:r w:rsidR="006B23A5" w:rsidRPr="00A40C82">
        <w:rPr>
          <w:rFonts w:ascii="Artifex CF Extra Light" w:eastAsia="Times New Roman" w:hAnsi="Artifex CF Extra Light" w:cs="Calibri"/>
          <w:color w:val="1F4E79" w:themeColor="accent1" w:themeShade="80"/>
          <w:spacing w:val="10"/>
          <w:sz w:val="18"/>
          <w:szCs w:val="18"/>
          <w:lang w:val="es-ES" w:eastAsia="es-ES"/>
        </w:rPr>
        <w:lastRenderedPageBreak/>
        <w:t>luego una Comisión Multisectorial, mediante el Decreto No. 466-20, de fecha 11 de septiembre, donde se designa a ProDominicana como Secretario General de dicha comisión.</w:t>
      </w:r>
    </w:p>
    <w:p w14:paraId="22F07846" w14:textId="055EB13C" w:rsidR="00E24810" w:rsidRPr="00A40C82" w:rsidRDefault="006B23A5" w:rsidP="00BF1AA4">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Los miembros del sector privado de la Comisión Multisectorial han asumido la realización del concurso del logo y desde el lanzamiento se han realizado tres (3) paneles, con la participación de grandes expertos en marca país donde se discutió que es y que no es la marca país, cómo es el proceso de la construcción y difusión de ésta y cuáles son los principales objetivos que debe alcanzar. Estos paneles han sido organizados por el sector privado: en Santo Domingo, Baní y Santiago con la participación de expertos.</w:t>
      </w:r>
    </w:p>
    <w:p w14:paraId="1EB7E00B" w14:textId="7BCC2718" w:rsidR="00070F28"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rPr>
      </w:pPr>
      <w:bookmarkStart w:id="84" w:name="_Toc54949062"/>
      <w:bookmarkStart w:id="85" w:name="_Toc58332504"/>
      <w:bookmarkStart w:id="86" w:name="_Toc59528092"/>
      <w:r w:rsidRPr="00061E36">
        <w:rPr>
          <w:rFonts w:ascii="Artifex CF Extra Light" w:hAnsi="Artifex CF Extra Light" w:cs="Times New Roman"/>
          <w:b/>
          <w:bCs/>
          <w:color w:val="1F4E79" w:themeColor="accent1" w:themeShade="80"/>
          <w:spacing w:val="10"/>
          <w:sz w:val="18"/>
          <w:szCs w:val="18"/>
        </w:rPr>
        <w:t>OBJETIVOS DE DESARROLLO SOSTENIBLE</w:t>
      </w:r>
      <w:bookmarkEnd w:id="84"/>
      <w:bookmarkEnd w:id="85"/>
      <w:bookmarkEnd w:id="86"/>
    </w:p>
    <w:p w14:paraId="501DA850" w14:textId="3BF50743" w:rsidR="008D5E1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
        </w:rPr>
      </w:pPr>
      <w:r w:rsidRPr="00A40C82">
        <w:rPr>
          <w:rFonts w:ascii="Artifex CF Extra Light" w:hAnsi="Artifex CF Extra Light"/>
          <w:color w:val="1F4E79" w:themeColor="accent1" w:themeShade="80"/>
          <w:spacing w:val="10"/>
          <w:sz w:val="18"/>
          <w:szCs w:val="18"/>
          <w:lang w:val="es"/>
        </w:rPr>
        <w:t xml:space="preserve">Desde la adopción de la Estrategia Nacional de Desarrollo (END) 2030 y el Plan Plurianual del Sector Público (PNPSP- 2017-2020), República Dominicana dispone de la hoja de ruta con las directrices para alcanzar las metas presidenciales y los compromisos internacionales, asumidos en el marco del Sistema de las Naciones Unidas: sobre los «17 Objetivos de Desarrollo Sostenibles (ODS)» </w:t>
      </w:r>
    </w:p>
    <w:p w14:paraId="4AB6CE25" w14:textId="2C253F6F" w:rsidR="008D5E1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
        </w:rPr>
      </w:pPr>
      <w:r w:rsidRPr="00A40C82">
        <w:rPr>
          <w:rFonts w:ascii="Artifex CF Extra Light" w:hAnsi="Artifex CF Extra Light"/>
          <w:color w:val="1F4E79" w:themeColor="accent1" w:themeShade="80"/>
          <w:spacing w:val="10"/>
          <w:sz w:val="18"/>
          <w:szCs w:val="18"/>
          <w:lang w:val="es"/>
        </w:rPr>
        <w:t>P</w:t>
      </w:r>
      <w:r w:rsidR="00B6036B" w:rsidRPr="00A40C82">
        <w:rPr>
          <w:rFonts w:ascii="Artifex CF Extra Light" w:hAnsi="Artifex CF Extra Light"/>
          <w:color w:val="1F4E79" w:themeColor="accent1" w:themeShade="80"/>
          <w:spacing w:val="10"/>
          <w:sz w:val="18"/>
          <w:szCs w:val="18"/>
          <w:lang w:val="es"/>
        </w:rPr>
        <w:t>roDominicana</w:t>
      </w:r>
      <w:r w:rsidRPr="00A40C82">
        <w:rPr>
          <w:rFonts w:ascii="Artifex CF Extra Light" w:hAnsi="Artifex CF Extra Light"/>
          <w:color w:val="1F4E79" w:themeColor="accent1" w:themeShade="80"/>
          <w:spacing w:val="10"/>
          <w:sz w:val="18"/>
          <w:szCs w:val="18"/>
          <w:lang w:val="es"/>
        </w:rPr>
        <w:t xml:space="preserve">, </w:t>
      </w:r>
      <w:r w:rsidR="001D6663" w:rsidRPr="00A40C82">
        <w:rPr>
          <w:rFonts w:ascii="Artifex CF Extra Light" w:hAnsi="Artifex CF Extra Light"/>
          <w:color w:val="1F4E79" w:themeColor="accent1" w:themeShade="80"/>
          <w:spacing w:val="10"/>
          <w:sz w:val="18"/>
          <w:szCs w:val="18"/>
          <w:lang w:val="es"/>
        </w:rPr>
        <w:t>está</w:t>
      </w:r>
      <w:r w:rsidRPr="00A40C82">
        <w:rPr>
          <w:rFonts w:ascii="Artifex CF Extra Light" w:hAnsi="Artifex CF Extra Light"/>
          <w:color w:val="1F4E79" w:themeColor="accent1" w:themeShade="80"/>
          <w:spacing w:val="10"/>
          <w:sz w:val="18"/>
          <w:szCs w:val="18"/>
          <w:lang w:val="es"/>
        </w:rPr>
        <w:t xml:space="preserve"> llamada a trabajar según el PNPSP con el objetivo 8: Trabajo decente y crecimiento económico, estando </w:t>
      </w:r>
      <w:r w:rsidR="001D6663" w:rsidRPr="00A40C82">
        <w:rPr>
          <w:rFonts w:ascii="Artifex CF Extra Light" w:hAnsi="Artifex CF Extra Light"/>
          <w:color w:val="1F4E79" w:themeColor="accent1" w:themeShade="80"/>
          <w:spacing w:val="10"/>
          <w:sz w:val="18"/>
          <w:szCs w:val="18"/>
          <w:lang w:val="es"/>
        </w:rPr>
        <w:t>sus indicadores</w:t>
      </w:r>
      <w:r w:rsidRPr="00A40C82">
        <w:rPr>
          <w:rFonts w:ascii="Artifex CF Extra Light" w:hAnsi="Artifex CF Extra Light"/>
          <w:color w:val="1F4E79" w:themeColor="accent1" w:themeShade="80"/>
          <w:spacing w:val="10"/>
          <w:sz w:val="18"/>
          <w:szCs w:val="18"/>
          <w:lang w:val="es"/>
        </w:rPr>
        <w:t xml:space="preserve"> contenidos específicamente en el eje III, acápite 3.5.1 impulsan el desarrollo exportador sobre una base de inserción competitiva en los mercados internacionales. Además de coadyuvar a elevar la productividad, competitividad y sostenibilidad ambiental y financiera de las cadenas agro-productivas, con el fin de contribuir a la seguridad alimentaria y aprovechar el potencial exportador, lo cual, se traduce en generación de empleos e ingresos para la población rural (Objetivo específico N.º 26 y 27), capítulo XII sobre “Fomento a la producción integrada competitivamente a la economía global”.  </w:t>
      </w:r>
    </w:p>
    <w:p w14:paraId="537D20F4" w14:textId="7FFBD050" w:rsidR="00EE11A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
        </w:rPr>
      </w:pPr>
      <w:r w:rsidRPr="00A40C82">
        <w:rPr>
          <w:rFonts w:ascii="Artifex CF Extra Light" w:hAnsi="Artifex CF Extra Light"/>
          <w:color w:val="1F4E79" w:themeColor="accent1" w:themeShade="80"/>
          <w:spacing w:val="10"/>
          <w:sz w:val="18"/>
          <w:szCs w:val="18"/>
          <w:lang w:val="es"/>
        </w:rPr>
        <w:lastRenderedPageBreak/>
        <w:t>Teniendo como mandado dentro de este mismo acápite los puntos que nos convocan a:   Diseñar y poner en funcionamiento instancias de coordinación interinstitucional para elevar la efectividad de las iniciativas en apoyo a las exportaciones, incluida la Mesa Presidencial de Fomento a las Exportaciones y las delegaciones oficiales del país en el exterior. 3.5.1.6 y el 3.5.1.7 Crear marca-país para bienes y servicios de calidad garantizada que apoye la promoción de las exportaciones e inversiones.</w:t>
      </w:r>
    </w:p>
    <w:p w14:paraId="1ECCAC72" w14:textId="77F4036F" w:rsidR="00EE11A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DO"/>
        </w:rPr>
      </w:pPr>
      <w:r w:rsidRPr="00A40C82">
        <w:rPr>
          <w:rFonts w:ascii="Artifex CF Extra Light" w:hAnsi="Artifex CF Extra Light"/>
          <w:color w:val="1F4E79" w:themeColor="accent1" w:themeShade="80"/>
          <w:spacing w:val="10"/>
          <w:sz w:val="18"/>
          <w:szCs w:val="18"/>
          <w:lang w:val="es-DO"/>
        </w:rPr>
        <w:t xml:space="preserve">En consonancia con estas directrices, </w:t>
      </w:r>
      <w:r w:rsidR="00B6036B" w:rsidRPr="00A40C82">
        <w:rPr>
          <w:rFonts w:ascii="Artifex CF Extra Light" w:hAnsi="Artifex CF Extra Light"/>
          <w:color w:val="1F4E79" w:themeColor="accent1" w:themeShade="80"/>
          <w:spacing w:val="10"/>
          <w:sz w:val="18"/>
          <w:szCs w:val="18"/>
          <w:lang w:val="es-DO"/>
        </w:rPr>
        <w:t>ProDominicana</w:t>
      </w:r>
      <w:r w:rsidRPr="00A40C82">
        <w:rPr>
          <w:rFonts w:ascii="Artifex CF Extra Light" w:hAnsi="Artifex CF Extra Light"/>
          <w:color w:val="1F4E79" w:themeColor="accent1" w:themeShade="80"/>
          <w:spacing w:val="10"/>
          <w:sz w:val="18"/>
          <w:szCs w:val="18"/>
          <w:lang w:val="es-DO"/>
        </w:rPr>
        <w:t xml:space="preserve">, ha implementado durante el período 2017-2020, una serie de proyectos y actividades que han permitido el desarrollo de las relaciones internacionales, tanto con organismos homólogos, gobiernos, instituciones públicas y privadas, representaciones diplomáticas acreditadas en el país y en el extranjero, así como organismos de cooperación internacional. </w:t>
      </w:r>
    </w:p>
    <w:p w14:paraId="6A48F462" w14:textId="5601ABBF" w:rsidR="002C13AB"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DO"/>
        </w:rPr>
      </w:pPr>
      <w:r w:rsidRPr="00A40C82">
        <w:rPr>
          <w:rFonts w:ascii="Artifex CF Extra Light" w:hAnsi="Artifex CF Extra Light"/>
          <w:color w:val="1F4E79" w:themeColor="accent1" w:themeShade="80"/>
          <w:spacing w:val="10"/>
          <w:sz w:val="18"/>
          <w:szCs w:val="18"/>
          <w:lang w:val="es-DO"/>
        </w:rPr>
        <w:t xml:space="preserve">Dichas acciones han sido trabajadas acorde con las políticas y regulaciones del Ministerio de Economía Planificación y Desarrollo (MEPYD), Ministerio de Relaciones Exteriores (MIREX), Ministerio de </w:t>
      </w:r>
      <w:r w:rsidR="00F05F76" w:rsidRPr="00A40C82">
        <w:rPr>
          <w:rFonts w:ascii="Artifex CF Extra Light" w:hAnsi="Artifex CF Extra Light"/>
          <w:color w:val="1F4E79" w:themeColor="accent1" w:themeShade="80"/>
          <w:spacing w:val="10"/>
          <w:sz w:val="18"/>
          <w:szCs w:val="18"/>
          <w:lang w:val="es-DO"/>
        </w:rPr>
        <w:t>Hacienda, Ministerio</w:t>
      </w:r>
      <w:r w:rsidRPr="00A40C82">
        <w:rPr>
          <w:rFonts w:ascii="Artifex CF Extra Light" w:hAnsi="Artifex CF Extra Light"/>
          <w:color w:val="1F4E79" w:themeColor="accent1" w:themeShade="80"/>
          <w:spacing w:val="10"/>
          <w:sz w:val="18"/>
          <w:szCs w:val="18"/>
          <w:lang w:val="es-DO"/>
        </w:rPr>
        <w:t xml:space="preserve"> de Industria y Comercio y </w:t>
      </w:r>
      <w:r w:rsidR="00983A1E" w:rsidRPr="00A40C82">
        <w:rPr>
          <w:rFonts w:ascii="Artifex CF Extra Light" w:hAnsi="Artifex CF Extra Light"/>
          <w:color w:val="1F4E79" w:themeColor="accent1" w:themeShade="80"/>
          <w:spacing w:val="10"/>
          <w:sz w:val="18"/>
          <w:szCs w:val="18"/>
          <w:lang w:val="es-DO"/>
        </w:rPr>
        <w:t>MiPymes</w:t>
      </w:r>
      <w:r w:rsidRPr="00A40C82">
        <w:rPr>
          <w:rFonts w:ascii="Artifex CF Extra Light" w:hAnsi="Artifex CF Extra Light"/>
          <w:color w:val="1F4E79" w:themeColor="accent1" w:themeShade="80"/>
          <w:spacing w:val="10"/>
          <w:sz w:val="18"/>
          <w:szCs w:val="18"/>
          <w:lang w:val="es-DO"/>
        </w:rPr>
        <w:t xml:space="preserve"> (MICM), y con los organismos internacionales que financian los acuerdos de colaboración, </w:t>
      </w:r>
      <w:r w:rsidR="00CD0A75" w:rsidRPr="00A40C82">
        <w:rPr>
          <w:rFonts w:ascii="Artifex CF Extra Light" w:hAnsi="Artifex CF Extra Light"/>
          <w:color w:val="1F4E79" w:themeColor="accent1" w:themeShade="80"/>
          <w:spacing w:val="10"/>
          <w:sz w:val="18"/>
          <w:szCs w:val="18"/>
          <w:lang w:val="es-DO"/>
        </w:rPr>
        <w:t>garantizando la</w:t>
      </w:r>
      <w:r w:rsidRPr="00A40C82">
        <w:rPr>
          <w:rFonts w:ascii="Artifex CF Extra Light" w:hAnsi="Artifex CF Extra Light"/>
          <w:color w:val="1F4E79" w:themeColor="accent1" w:themeShade="80"/>
          <w:spacing w:val="10"/>
          <w:sz w:val="18"/>
          <w:szCs w:val="18"/>
          <w:lang w:val="es-DO"/>
        </w:rPr>
        <w:t xml:space="preserve"> ejecución de los proyectos de una manera eficaz, efectiva y sostenible.</w:t>
      </w:r>
    </w:p>
    <w:p w14:paraId="386064F2" w14:textId="22A6B795" w:rsidR="00596FBA" w:rsidRPr="00A40C82" w:rsidRDefault="00596FBA" w:rsidP="00864966">
      <w:pPr>
        <w:autoSpaceDE w:val="0"/>
        <w:autoSpaceDN w:val="0"/>
        <w:adjustRightInd w:val="0"/>
        <w:spacing w:before="380" w:after="120" w:line="456" w:lineRule="auto"/>
        <w:ind w:firstLine="284"/>
        <w:jc w:val="both"/>
        <w:rPr>
          <w:rFonts w:ascii="Artifex CF Extra Light" w:eastAsia="Calibri-Bold" w:hAnsi="Artifex CF Extra Light" w:cs="Calibri"/>
          <w:color w:val="1F4E79" w:themeColor="accent1" w:themeShade="80"/>
          <w:spacing w:val="10"/>
          <w:sz w:val="18"/>
          <w:szCs w:val="18"/>
          <w:lang w:val="es-DO" w:eastAsia="es-ES"/>
        </w:rPr>
      </w:pPr>
      <w:r w:rsidRPr="00A40C82">
        <w:rPr>
          <w:rFonts w:ascii="Artifex CF Extra Light" w:eastAsia="Calibri-Bold" w:hAnsi="Artifex CF Extra Light" w:cs="Calibri"/>
          <w:color w:val="1F4E79" w:themeColor="accent1" w:themeShade="80"/>
          <w:spacing w:val="10"/>
          <w:sz w:val="18"/>
          <w:szCs w:val="18"/>
          <w:lang w:val="es-DO" w:eastAsia="es-ES"/>
        </w:rPr>
        <w:t>Actualmente PRODOMINICANA apoyados de la cooperación implementa junto a nuestros socios estrategicos diversas iniciativas que contribuyen de manera significativa  al desarrollo del Plan E</w:t>
      </w:r>
      <w:r w:rsidRPr="00A40C82">
        <w:rPr>
          <w:rFonts w:ascii="Artifex CF Extra Light" w:eastAsia="Calibri-Bold" w:hAnsi="Artifex CF Extra Light" w:cs="Calibri-Bold"/>
          <w:color w:val="1F4E79" w:themeColor="accent1" w:themeShade="80"/>
          <w:spacing w:val="10"/>
          <w:sz w:val="18"/>
          <w:szCs w:val="18"/>
          <w:lang w:val="es-DO" w:eastAsia="es-ES"/>
        </w:rPr>
        <w:t>stratégicos</w:t>
      </w:r>
      <w:r w:rsidRPr="00A40C82">
        <w:rPr>
          <w:rFonts w:ascii="Artifex CF Extra Light" w:eastAsia="Calibri-Bold" w:hAnsi="Artifex CF Extra Light" w:cs="Calibri"/>
          <w:color w:val="1F4E79" w:themeColor="accent1" w:themeShade="80"/>
          <w:spacing w:val="10"/>
          <w:sz w:val="18"/>
          <w:szCs w:val="18"/>
          <w:lang w:val="es-DO" w:eastAsia="es-ES"/>
        </w:rPr>
        <w:t xml:space="preserve"> Institucional, cuyo contexto como hemos expuesto esta dado por la Estrategia Nacional de Desarrollo (END) 2010</w:t>
      </w:r>
      <w:r w:rsidRPr="00A40C82">
        <w:rPr>
          <w:rFonts w:ascii="Artifex CF Extra Light" w:eastAsia="Calibri-Bold" w:hAnsi="Artifex CF Extra Light" w:cs="Cambria Math"/>
          <w:color w:val="1F4E79" w:themeColor="accent1" w:themeShade="80"/>
          <w:spacing w:val="10"/>
          <w:sz w:val="18"/>
          <w:szCs w:val="18"/>
          <w:lang w:val="es-DO" w:eastAsia="es-ES"/>
        </w:rPr>
        <w:t>‐</w:t>
      </w:r>
      <w:r w:rsidRPr="00A40C82">
        <w:rPr>
          <w:rFonts w:ascii="Artifex CF Extra Light" w:eastAsia="Calibri-Bold" w:hAnsi="Artifex CF Extra Light" w:cs="Calibri"/>
          <w:color w:val="1F4E79" w:themeColor="accent1" w:themeShade="80"/>
          <w:spacing w:val="10"/>
          <w:sz w:val="18"/>
          <w:szCs w:val="18"/>
          <w:lang w:val="es-DO" w:eastAsia="es-ES"/>
        </w:rPr>
        <w:t xml:space="preserve">2030 y el Plan Prurianual del Sector Publico 2017-2020.  </w:t>
      </w:r>
      <w:bookmarkStart w:id="87" w:name="_Hlk57712834"/>
    </w:p>
    <w:p w14:paraId="0CEB72F3" w14:textId="77777777" w:rsidR="00BF1AA4" w:rsidRDefault="00BF1AA4">
      <w:pPr>
        <w:rPr>
          <w:rFonts w:ascii="Artifex CF Extra Light" w:eastAsia="Arial" w:hAnsi="Artifex CF Extra Light" w:cs="Arial"/>
          <w:b/>
          <w:color w:val="1F4E79" w:themeColor="accent1" w:themeShade="80"/>
          <w:spacing w:val="10"/>
          <w:sz w:val="18"/>
          <w:szCs w:val="18"/>
          <w:lang w:val="es-DO"/>
        </w:rPr>
      </w:pPr>
      <w:r>
        <w:rPr>
          <w:rFonts w:ascii="Artifex CF Extra Light" w:eastAsia="Arial" w:hAnsi="Artifex CF Extra Light" w:cs="Arial"/>
          <w:b/>
          <w:color w:val="1F4E79" w:themeColor="accent1" w:themeShade="80"/>
          <w:spacing w:val="10"/>
          <w:sz w:val="18"/>
          <w:szCs w:val="18"/>
          <w:lang w:val="es-DO"/>
        </w:rPr>
        <w:br w:type="page"/>
      </w:r>
    </w:p>
    <w:p w14:paraId="0E94DEED" w14:textId="637EA777" w:rsidR="00864535" w:rsidRPr="00A40C82" w:rsidRDefault="00596FBA" w:rsidP="00864966">
      <w:pPr>
        <w:pBdr>
          <w:top w:val="nil"/>
          <w:left w:val="nil"/>
          <w:bottom w:val="nil"/>
          <w:right w:val="nil"/>
          <w:between w:val="nil"/>
        </w:pBdr>
        <w:shd w:val="clear" w:color="auto" w:fill="FFFFFF"/>
        <w:spacing w:before="380" w:after="120" w:line="456" w:lineRule="auto"/>
        <w:ind w:firstLine="284"/>
        <w:jc w:val="both"/>
        <w:rPr>
          <w:rFonts w:ascii="Artifex CF Extra Light" w:hAnsi="Artifex CF Extra Light"/>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lastRenderedPageBreak/>
        <w:t>ODS 8: Promover el crecimiento económico inclusivo y sostenible, el empleo y el trabajo decente para todos</w:t>
      </w:r>
      <w:bookmarkEnd w:id="87"/>
    </w:p>
    <w:p w14:paraId="64B651A7" w14:textId="5A587532"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“El Programa de Fortalecimiento e Internacionalización de PYMES de la República Dominicana 2018-2020”</w:t>
      </w:r>
    </w:p>
    <w:p w14:paraId="41675287" w14:textId="77777777"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
        </w:rPr>
      </w:pPr>
      <w:r w:rsidRPr="00A40C82">
        <w:rPr>
          <w:rFonts w:ascii="Artifex CF Extra Light" w:hAnsi="Artifex CF Extra Light"/>
          <w:color w:val="1F4E79" w:themeColor="accent1" w:themeShade="80"/>
          <w:spacing w:val="10"/>
          <w:sz w:val="18"/>
          <w:szCs w:val="18"/>
          <w:lang w:val="es"/>
        </w:rPr>
        <w:t xml:space="preserve">Es financiado por una subvención de los fondos europeos, el mismo tiene como objetivo global contribuir a elevar la competitividad nacional través del desarrollo, fomento, promoción y diversificación de la oferta exportable de pequeñas y medianas empresas (PYMES) dominicanas y la implementación de políticas para incentivar las inversiones extranjeras directas (IED) que promuevan el desarrollo sostenible de la economía dominicana. </w:t>
      </w:r>
    </w:p>
    <w:p w14:paraId="33D5DD3C" w14:textId="45FAAE13" w:rsidR="00596FBA" w:rsidRPr="00A40C82" w:rsidRDefault="00983A1E"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lang w:val="es"/>
        </w:rPr>
        <w:t>Este</w:t>
      </w:r>
      <w:r w:rsidR="00596FBA" w:rsidRPr="00A40C82">
        <w:rPr>
          <w:rFonts w:ascii="Artifex CF Extra Light" w:hAnsi="Artifex CF Extra Light"/>
          <w:color w:val="1F4E79" w:themeColor="accent1" w:themeShade="80"/>
          <w:spacing w:val="10"/>
          <w:sz w:val="18"/>
          <w:szCs w:val="18"/>
          <w:shd w:val="clear" w:color="auto" w:fill="FFFFFF"/>
          <w:lang w:val="es-DO"/>
        </w:rPr>
        <w:t xml:space="preserve"> proyecto concentra sus intervenciones en cuatro componentes: I) Fortalecimiento de la capacidad tecnológica para la promoción de los productos y eficientización de los servicios del país; II) Desarrollo de programas de capacitación público y privado; III) Desarrollo de proyectos en apoyo a la promoción de las exportaciones y IV) Estrategia de </w:t>
      </w:r>
      <w:r w:rsidR="00596FBA" w:rsidRPr="00A40C82">
        <w:rPr>
          <w:rFonts w:ascii="Artifex CF Extra Light" w:hAnsi="Artifex CF Extra Light"/>
          <w:i/>
          <w:color w:val="1F4E79" w:themeColor="accent1" w:themeShade="80"/>
          <w:spacing w:val="10"/>
          <w:sz w:val="18"/>
          <w:szCs w:val="18"/>
          <w:shd w:val="clear" w:color="auto" w:fill="FFFFFF"/>
          <w:lang w:val="es-DO"/>
        </w:rPr>
        <w:t>i</w:t>
      </w:r>
      <w:r w:rsidR="00596FBA" w:rsidRPr="00A40C82">
        <w:rPr>
          <w:rFonts w:ascii="Artifex CF Extra Light" w:hAnsi="Artifex CF Extra Light"/>
          <w:color w:val="1F4E79" w:themeColor="accent1" w:themeShade="80"/>
          <w:spacing w:val="10"/>
          <w:sz w:val="18"/>
          <w:szCs w:val="18"/>
          <w:shd w:val="clear" w:color="auto" w:fill="FFFFFF"/>
          <w:lang w:val="es-DO"/>
        </w:rPr>
        <w:t>mplementación de la marca país.</w:t>
      </w:r>
    </w:p>
    <w:p w14:paraId="2E95189F" w14:textId="2D0F8C52"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 xml:space="preserve">Fortalecimiento de Capacidades, Estructura y Gestión de la Estrategia Marca País de la </w:t>
      </w:r>
      <w:r w:rsidR="00F05F76" w:rsidRPr="00A40C82">
        <w:rPr>
          <w:rFonts w:ascii="Artifex CF Extra Light" w:eastAsia="Times New Roman" w:hAnsi="Artifex CF Extra Light" w:cs="Calibri"/>
          <w:color w:val="1F4E79" w:themeColor="accent1" w:themeShade="80"/>
          <w:spacing w:val="10"/>
          <w:sz w:val="18"/>
          <w:szCs w:val="18"/>
          <w:lang w:val="es-ES" w:eastAsia="es-ES"/>
        </w:rPr>
        <w:t>República Dominicana</w:t>
      </w:r>
      <w:r w:rsidRPr="00A40C82">
        <w:rPr>
          <w:rFonts w:ascii="Artifex CF Extra Light" w:eastAsia="Times New Roman" w:hAnsi="Artifex CF Extra Light" w:cs="Calibri"/>
          <w:color w:val="1F4E79" w:themeColor="accent1" w:themeShade="80"/>
          <w:spacing w:val="10"/>
          <w:sz w:val="18"/>
          <w:szCs w:val="18"/>
          <w:lang w:val="es-ES" w:eastAsia="es-ES"/>
        </w:rPr>
        <w:t xml:space="preserve"> </w:t>
      </w:r>
      <w:bookmarkStart w:id="88" w:name="_Hlk57716097"/>
      <w:r w:rsidR="00CD0A75" w:rsidRPr="00A40C82">
        <w:rPr>
          <w:rFonts w:ascii="Artifex CF Extra Light" w:eastAsia="Times New Roman" w:hAnsi="Artifex CF Extra Light" w:cs="Calibri"/>
          <w:color w:val="1F4E79" w:themeColor="accent1" w:themeShade="80"/>
          <w:spacing w:val="10"/>
          <w:sz w:val="18"/>
          <w:szCs w:val="18"/>
          <w:lang w:val="es-ES" w:eastAsia="es-ES"/>
        </w:rPr>
        <w:t>/ Fortalecimiento</w:t>
      </w:r>
      <w:r w:rsidRPr="00A40C82">
        <w:rPr>
          <w:rFonts w:ascii="Artifex CF Extra Light" w:eastAsia="Times New Roman" w:hAnsi="Artifex CF Extra Light" w:cs="Calibri"/>
          <w:color w:val="1F4E79" w:themeColor="accent1" w:themeShade="80"/>
          <w:spacing w:val="10"/>
          <w:sz w:val="18"/>
          <w:szCs w:val="18"/>
          <w:lang w:val="es-ES" w:eastAsia="es-ES"/>
        </w:rPr>
        <w:t xml:space="preserve"> de Capacidades de PROMPERÚ para el Desarrollo y Gestión de una Film Commissions Nacional </w:t>
      </w:r>
      <w:bookmarkEnd w:id="88"/>
    </w:p>
    <w:p w14:paraId="28DE4CBA" w14:textId="77777777"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shd w:val="clear" w:color="auto" w:fill="FFFFFF"/>
          <w:lang w:val="es-DO"/>
        </w:rPr>
        <w:t xml:space="preserve">El objetivo de esta iniciativa es fortalecer la estructura y capacidades  de los recursos humanos de las entidades nacionales, que trabajan en la implementación de la “Estrategia de Marca País” permitiéndoles  emprender de manera articulada iniciativas público privadas que consoliden el potencial de República Dominicana en los mercados internacionales, fortaleciendo su posicionamiento en el contexto global, apoyados por la Agencia Peruana de Cooperación Internacional (APCI) y la  Comisión de Promoción del Perú para la Exportación y el Turismo – PROMPERÚ, la misma fue </w:t>
      </w:r>
      <w:r w:rsidRPr="00A40C82">
        <w:rPr>
          <w:rFonts w:ascii="Artifex CF Extra Light" w:hAnsi="Artifex CF Extra Light"/>
          <w:color w:val="1F4E79" w:themeColor="accent1" w:themeShade="80"/>
          <w:spacing w:val="10"/>
          <w:sz w:val="18"/>
          <w:szCs w:val="18"/>
          <w:shd w:val="clear" w:color="auto" w:fill="FFFFFF"/>
          <w:lang w:val="es-DO"/>
        </w:rPr>
        <w:lastRenderedPageBreak/>
        <w:t xml:space="preserve">gestionada vía el Ministerio de Economía, Planificación y Desarrollo (MEPYD) de la República Dominicana. </w:t>
      </w:r>
    </w:p>
    <w:p w14:paraId="4F1946A3" w14:textId="0717E79A" w:rsidR="002C13AB"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shd w:val="clear" w:color="auto" w:fill="FFFFFF"/>
          <w:lang w:val="es-DO"/>
        </w:rPr>
        <w:t xml:space="preserve">Dentro de este mismo proyecto República Dominicana a través de la DGCINE ofrece el apoyo al Ministerio de Cultura de Perú para el fortalecimiento de capacidades para el desarrollo y gestión de una Film Commissions Nacional. </w:t>
      </w:r>
    </w:p>
    <w:p w14:paraId="6A09B116" w14:textId="77777777"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Programa de Cooperación Binacional Haití-República Dominicana, en el marco del 11vo. Fondo Europeo para el Desarrollo (FED) implementado por Caribbean Export.</w:t>
      </w:r>
    </w:p>
    <w:p w14:paraId="5071C8CA" w14:textId="6A8DC169"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shd w:val="clear" w:color="auto" w:fill="FFFFFF"/>
          <w:lang w:val="es-DO"/>
        </w:rPr>
        <w:t xml:space="preserve">A través de la agencia Caribbean </w:t>
      </w:r>
      <w:r w:rsidR="00F05F76" w:rsidRPr="00A40C82">
        <w:rPr>
          <w:rFonts w:ascii="Artifex CF Extra Light" w:hAnsi="Artifex CF Extra Light"/>
          <w:color w:val="1F4E79" w:themeColor="accent1" w:themeShade="80"/>
          <w:spacing w:val="10"/>
          <w:sz w:val="18"/>
          <w:szCs w:val="18"/>
          <w:shd w:val="clear" w:color="auto" w:fill="FFFFFF"/>
          <w:lang w:val="es-DO"/>
        </w:rPr>
        <w:t>Export, PRODOMINICANA</w:t>
      </w:r>
      <w:r w:rsidRPr="00A40C82">
        <w:rPr>
          <w:rFonts w:ascii="Artifex CF Extra Light" w:hAnsi="Artifex CF Extra Light"/>
          <w:color w:val="1F4E79" w:themeColor="accent1" w:themeShade="80"/>
          <w:spacing w:val="10"/>
          <w:sz w:val="18"/>
          <w:szCs w:val="18"/>
          <w:shd w:val="clear" w:color="auto" w:fill="FFFFFF"/>
          <w:lang w:val="es-DO"/>
        </w:rPr>
        <w:t xml:space="preserve"> ha sido beneficiaria de actividades programadas por el componente de comercio para ambos países, en 2019-2020, este programa ha logrado </w:t>
      </w:r>
      <w:r w:rsidR="00CD0A75" w:rsidRPr="00A40C82">
        <w:rPr>
          <w:rFonts w:ascii="Artifex CF Extra Light" w:hAnsi="Artifex CF Extra Light"/>
          <w:color w:val="1F4E79" w:themeColor="accent1" w:themeShade="80"/>
          <w:spacing w:val="10"/>
          <w:sz w:val="18"/>
          <w:szCs w:val="18"/>
          <w:shd w:val="clear" w:color="auto" w:fill="FFFFFF"/>
          <w:lang w:val="es-DO"/>
        </w:rPr>
        <w:t xml:space="preserve">fortalecer la cooperación </w:t>
      </w:r>
      <w:r w:rsidR="00A01A89" w:rsidRPr="00A40C82">
        <w:rPr>
          <w:rFonts w:ascii="Artifex CF Extra Light" w:hAnsi="Artifex CF Extra Light"/>
          <w:color w:val="1F4E79" w:themeColor="accent1" w:themeShade="80"/>
          <w:spacing w:val="10"/>
          <w:sz w:val="18"/>
          <w:szCs w:val="18"/>
          <w:shd w:val="clear" w:color="auto" w:fill="FFFFFF"/>
          <w:lang w:val="es-DO"/>
        </w:rPr>
        <w:t>económica y</w:t>
      </w:r>
      <w:r w:rsidRPr="00A40C82">
        <w:rPr>
          <w:rFonts w:ascii="Artifex CF Extra Light" w:hAnsi="Artifex CF Extra Light"/>
          <w:color w:val="1F4E79" w:themeColor="accent1" w:themeShade="80"/>
          <w:spacing w:val="10"/>
          <w:sz w:val="18"/>
          <w:szCs w:val="18"/>
          <w:shd w:val="clear" w:color="auto" w:fill="FFFFFF"/>
          <w:lang w:val="es-DO"/>
        </w:rPr>
        <w:t xml:space="preserve"> comercial entre Haití y la República Dominicana de manera sostenible mediante el apoyo a iniciativas que puedan reducir los desequilibrios actuales a largo plazo y reducir los niveles de pobreza. A estos fines dentro del programa se contempló capacitaciones para </w:t>
      </w:r>
      <w:r w:rsidR="00F05F76" w:rsidRPr="00A40C82">
        <w:rPr>
          <w:rFonts w:ascii="Artifex CF Extra Light" w:hAnsi="Artifex CF Extra Light"/>
          <w:color w:val="1F4E79" w:themeColor="accent1" w:themeShade="80"/>
          <w:spacing w:val="10"/>
          <w:sz w:val="18"/>
          <w:szCs w:val="18"/>
          <w:shd w:val="clear" w:color="auto" w:fill="FFFFFF"/>
          <w:lang w:val="es-DO"/>
        </w:rPr>
        <w:t>el personal</w:t>
      </w:r>
      <w:r w:rsidRPr="00A40C82">
        <w:rPr>
          <w:rFonts w:ascii="Artifex CF Extra Light" w:hAnsi="Artifex CF Extra Light"/>
          <w:color w:val="1F4E79" w:themeColor="accent1" w:themeShade="80"/>
          <w:spacing w:val="10"/>
          <w:sz w:val="18"/>
          <w:szCs w:val="18"/>
          <w:shd w:val="clear" w:color="auto" w:fill="FFFFFF"/>
          <w:lang w:val="es-DO"/>
        </w:rPr>
        <w:t xml:space="preserve"> del Centro de Facilitación de Inversiones (CFI) y </w:t>
      </w:r>
      <w:r w:rsidR="0013740E" w:rsidRPr="00A40C82">
        <w:rPr>
          <w:rFonts w:ascii="Artifex CF Extra Light" w:hAnsi="Artifex CF Extra Light"/>
          <w:color w:val="1F4E79" w:themeColor="accent1" w:themeShade="80"/>
          <w:spacing w:val="10"/>
          <w:sz w:val="18"/>
          <w:szCs w:val="18"/>
          <w:shd w:val="clear" w:color="auto" w:fill="FFFFFF"/>
          <w:lang w:val="es-DO"/>
        </w:rPr>
        <w:t>ProDominicana</w:t>
      </w:r>
      <w:r w:rsidRPr="00A40C82">
        <w:rPr>
          <w:rFonts w:ascii="Artifex CF Extra Light" w:hAnsi="Artifex CF Extra Light"/>
          <w:color w:val="1F4E79" w:themeColor="accent1" w:themeShade="80"/>
          <w:spacing w:val="10"/>
          <w:sz w:val="18"/>
          <w:szCs w:val="18"/>
          <w:shd w:val="clear" w:color="auto" w:fill="FFFFFF"/>
          <w:lang w:val="es-DO"/>
        </w:rPr>
        <w:t xml:space="preserve">, </w:t>
      </w:r>
      <w:r w:rsidR="00CD0A75" w:rsidRPr="00A40C82">
        <w:rPr>
          <w:rFonts w:ascii="Artifex CF Extra Light" w:hAnsi="Artifex CF Extra Light"/>
          <w:color w:val="1F4E79" w:themeColor="accent1" w:themeShade="80"/>
          <w:spacing w:val="10"/>
          <w:sz w:val="18"/>
          <w:szCs w:val="18"/>
          <w:shd w:val="clear" w:color="auto" w:fill="FFFFFF"/>
          <w:lang w:val="es-DO"/>
        </w:rPr>
        <w:t>en Facilitación</w:t>
      </w:r>
      <w:r w:rsidRPr="00A40C82">
        <w:rPr>
          <w:rFonts w:ascii="Artifex CF Extra Light" w:hAnsi="Artifex CF Extra Light"/>
          <w:color w:val="1F4E79" w:themeColor="accent1" w:themeShade="80"/>
          <w:spacing w:val="10"/>
          <w:sz w:val="18"/>
          <w:szCs w:val="18"/>
          <w:shd w:val="clear" w:color="auto" w:fill="FFFFFF"/>
          <w:lang w:val="es-DO"/>
        </w:rPr>
        <w:t xml:space="preserve"> de Inversión y Desarrollo Sostenible. Del mismo modo, </w:t>
      </w:r>
      <w:r w:rsidR="0013740E" w:rsidRPr="00A40C82">
        <w:rPr>
          <w:rFonts w:ascii="Artifex CF Extra Light" w:hAnsi="Artifex CF Extra Light"/>
          <w:color w:val="1F4E79" w:themeColor="accent1" w:themeShade="80"/>
          <w:spacing w:val="10"/>
          <w:sz w:val="18"/>
          <w:szCs w:val="18"/>
          <w:shd w:val="clear" w:color="auto" w:fill="FFFFFF"/>
          <w:lang w:val="es-DO"/>
        </w:rPr>
        <w:t xml:space="preserve">ProDominicana </w:t>
      </w:r>
      <w:r w:rsidRPr="00A40C82">
        <w:rPr>
          <w:rFonts w:ascii="Artifex CF Extra Light" w:hAnsi="Artifex CF Extra Light"/>
          <w:color w:val="1F4E79" w:themeColor="accent1" w:themeShade="80"/>
          <w:spacing w:val="10"/>
          <w:sz w:val="18"/>
          <w:szCs w:val="18"/>
          <w:shd w:val="clear" w:color="auto" w:fill="FFFFFF"/>
          <w:lang w:val="es-DO"/>
        </w:rPr>
        <w:t xml:space="preserve">colaboró y </w:t>
      </w:r>
      <w:r w:rsidR="00F05F76" w:rsidRPr="00A40C82">
        <w:rPr>
          <w:rFonts w:ascii="Artifex CF Extra Light" w:hAnsi="Artifex CF Extra Light"/>
          <w:color w:val="1F4E79" w:themeColor="accent1" w:themeShade="80"/>
          <w:spacing w:val="10"/>
          <w:sz w:val="18"/>
          <w:szCs w:val="18"/>
          <w:shd w:val="clear" w:color="auto" w:fill="FFFFFF"/>
          <w:lang w:val="es-DO"/>
        </w:rPr>
        <w:t>recibió como</w:t>
      </w:r>
      <w:r w:rsidRPr="00A40C82">
        <w:rPr>
          <w:rFonts w:ascii="Artifex CF Extra Light" w:hAnsi="Artifex CF Extra Light"/>
          <w:color w:val="1F4E79" w:themeColor="accent1" w:themeShade="80"/>
          <w:spacing w:val="10"/>
          <w:sz w:val="18"/>
          <w:szCs w:val="18"/>
          <w:shd w:val="clear" w:color="auto" w:fill="FFFFFF"/>
          <w:lang w:val="es-DO"/>
        </w:rPr>
        <w:t xml:space="preserve"> insumo </w:t>
      </w:r>
      <w:r w:rsidR="00A01A89" w:rsidRPr="00A40C82">
        <w:rPr>
          <w:rFonts w:ascii="Artifex CF Extra Light" w:hAnsi="Artifex CF Extra Light"/>
          <w:color w:val="1F4E79" w:themeColor="accent1" w:themeShade="80"/>
          <w:spacing w:val="10"/>
          <w:sz w:val="18"/>
          <w:szCs w:val="18"/>
          <w:shd w:val="clear" w:color="auto" w:fill="FFFFFF"/>
          <w:lang w:val="es-DO"/>
        </w:rPr>
        <w:t>el diagnóstico</w:t>
      </w:r>
      <w:r w:rsidRPr="00A40C82">
        <w:rPr>
          <w:rFonts w:ascii="Artifex CF Extra Light" w:hAnsi="Artifex CF Extra Light"/>
          <w:color w:val="1F4E79" w:themeColor="accent1" w:themeShade="80"/>
          <w:spacing w:val="10"/>
          <w:sz w:val="18"/>
          <w:szCs w:val="18"/>
          <w:shd w:val="clear" w:color="auto" w:fill="FFFFFF"/>
          <w:lang w:val="es-DO"/>
        </w:rPr>
        <w:t xml:space="preserve"> con enfoque binacional </w:t>
      </w:r>
      <w:r w:rsidR="00CD0A75" w:rsidRPr="00A40C82">
        <w:rPr>
          <w:rFonts w:ascii="Artifex CF Extra Light" w:hAnsi="Artifex CF Extra Light"/>
          <w:color w:val="1F4E79" w:themeColor="accent1" w:themeShade="80"/>
          <w:spacing w:val="10"/>
          <w:sz w:val="18"/>
          <w:szCs w:val="18"/>
          <w:shd w:val="clear" w:color="auto" w:fill="FFFFFF"/>
          <w:lang w:val="es-DO"/>
        </w:rPr>
        <w:t>en 4 cadenas</w:t>
      </w:r>
      <w:r w:rsidRPr="00A40C82">
        <w:rPr>
          <w:rFonts w:ascii="Artifex CF Extra Light" w:hAnsi="Artifex CF Extra Light"/>
          <w:color w:val="1F4E79" w:themeColor="accent1" w:themeShade="80"/>
          <w:spacing w:val="10"/>
          <w:sz w:val="18"/>
          <w:szCs w:val="18"/>
          <w:shd w:val="clear" w:color="auto" w:fill="FFFFFF"/>
          <w:lang w:val="es-DO"/>
        </w:rPr>
        <w:t xml:space="preserve"> de valor y se determinaron las acciones y recomendaciones concretas para contribuir a la definición e implementación de planes estratégicos binacionales para fortalecer los sectores de:  Cacao-Chocolate, Aceites Esenciales, Cosméticos y Artesanía (Accesorios Joyería) y Miel.</w:t>
      </w:r>
    </w:p>
    <w:p w14:paraId="1FAF5B81" w14:textId="068F6839" w:rsidR="002C13AB"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shd w:val="clear" w:color="auto" w:fill="FFFFFF"/>
          <w:lang w:val="es-DO"/>
        </w:rPr>
        <w:t xml:space="preserve">Actualmente las Direcciones de Inteligencia Comercial y de Exportación, están trabajando juntos a la Cámara de Comercio e Industria de Haití (CCIH) y Caribbean Export en </w:t>
      </w:r>
      <w:r w:rsidR="00F05F76" w:rsidRPr="00A40C82">
        <w:rPr>
          <w:rFonts w:ascii="Artifex CF Extra Light" w:hAnsi="Artifex CF Extra Light"/>
          <w:color w:val="1F4E79" w:themeColor="accent1" w:themeShade="80"/>
          <w:spacing w:val="10"/>
          <w:sz w:val="18"/>
          <w:szCs w:val="18"/>
          <w:shd w:val="clear" w:color="auto" w:fill="FFFFFF"/>
          <w:lang w:val="es-DO"/>
        </w:rPr>
        <w:t>buscar posibles</w:t>
      </w:r>
      <w:r w:rsidRPr="00A40C82">
        <w:rPr>
          <w:rFonts w:ascii="Artifex CF Extra Light" w:hAnsi="Artifex CF Extra Light"/>
          <w:color w:val="1F4E79" w:themeColor="accent1" w:themeShade="80"/>
          <w:spacing w:val="10"/>
          <w:sz w:val="18"/>
          <w:szCs w:val="18"/>
          <w:shd w:val="clear" w:color="auto" w:fill="FFFFFF"/>
          <w:lang w:val="es-DO"/>
        </w:rPr>
        <w:t xml:space="preserve"> soluciones a las trabas encontradas por las Empresas </w:t>
      </w:r>
      <w:r w:rsidR="00CD0A75" w:rsidRPr="00A40C82">
        <w:rPr>
          <w:rFonts w:ascii="Artifex CF Extra Light" w:hAnsi="Artifex CF Extra Light"/>
          <w:color w:val="1F4E79" w:themeColor="accent1" w:themeShade="80"/>
          <w:spacing w:val="10"/>
          <w:sz w:val="18"/>
          <w:szCs w:val="18"/>
          <w:shd w:val="clear" w:color="auto" w:fill="FFFFFF"/>
          <w:lang w:val="es-DO"/>
        </w:rPr>
        <w:t>Haitianas para</w:t>
      </w:r>
      <w:r w:rsidRPr="00A40C82">
        <w:rPr>
          <w:rFonts w:ascii="Artifex CF Extra Light" w:hAnsi="Artifex CF Extra Light"/>
          <w:color w:val="1F4E79" w:themeColor="accent1" w:themeShade="80"/>
          <w:spacing w:val="10"/>
          <w:sz w:val="18"/>
          <w:szCs w:val="18"/>
          <w:shd w:val="clear" w:color="auto" w:fill="FFFFFF"/>
          <w:lang w:val="es-DO"/>
        </w:rPr>
        <w:t xml:space="preserve"> </w:t>
      </w:r>
      <w:r w:rsidR="00A15AFE" w:rsidRPr="00A40C82">
        <w:rPr>
          <w:rFonts w:ascii="Artifex CF Extra Light" w:hAnsi="Artifex CF Extra Light"/>
          <w:color w:val="1F4E79" w:themeColor="accent1" w:themeShade="80"/>
          <w:spacing w:val="10"/>
          <w:sz w:val="18"/>
          <w:szCs w:val="18"/>
          <w:shd w:val="clear" w:color="auto" w:fill="FFFFFF"/>
          <w:lang w:val="es-DO"/>
        </w:rPr>
        <w:t>Introducir</w:t>
      </w:r>
      <w:r w:rsidRPr="00A40C82">
        <w:rPr>
          <w:rFonts w:ascii="Artifex CF Extra Light" w:hAnsi="Artifex CF Extra Light"/>
          <w:color w:val="1F4E79" w:themeColor="accent1" w:themeShade="80"/>
          <w:spacing w:val="10"/>
          <w:sz w:val="18"/>
          <w:szCs w:val="18"/>
          <w:shd w:val="clear" w:color="auto" w:fill="FFFFFF"/>
          <w:lang w:val="es-DO"/>
        </w:rPr>
        <w:t xml:space="preserve"> sus productos al mercado dominicano.</w:t>
      </w:r>
    </w:p>
    <w:p w14:paraId="4CDCE2B5" w14:textId="77777777" w:rsidR="00BF1AA4" w:rsidRDefault="00BF1AA4">
      <w:pPr>
        <w:rPr>
          <w:rFonts w:ascii="Artifex CF Extra Light" w:eastAsia="Times New Roman" w:hAnsi="Artifex CF Extra Light" w:cs="Calibri"/>
          <w:color w:val="1F4E79" w:themeColor="accent1" w:themeShade="80"/>
          <w:spacing w:val="10"/>
          <w:sz w:val="18"/>
          <w:szCs w:val="18"/>
          <w:lang w:val="es-ES" w:eastAsia="es-ES"/>
        </w:rPr>
      </w:pPr>
      <w:r>
        <w:rPr>
          <w:rFonts w:ascii="Artifex CF Extra Light" w:eastAsia="Times New Roman" w:hAnsi="Artifex CF Extra Light" w:cs="Calibri"/>
          <w:color w:val="1F4E79" w:themeColor="accent1" w:themeShade="80"/>
          <w:spacing w:val="10"/>
          <w:sz w:val="18"/>
          <w:szCs w:val="18"/>
          <w:lang w:val="es-ES" w:eastAsia="es-ES"/>
        </w:rPr>
        <w:br w:type="page"/>
      </w:r>
    </w:p>
    <w:p w14:paraId="417D3135" w14:textId="3FA58B46"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lastRenderedPageBreak/>
        <w:t>Asociación Latinoamérica de Exportaciones de Servicios (ALES)</w:t>
      </w:r>
    </w:p>
    <w:p w14:paraId="7AD59DEF" w14:textId="77777777"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shd w:val="clear" w:color="auto" w:fill="FFFFFF"/>
          <w:lang w:val="es-DO"/>
        </w:rPr>
        <w:t xml:space="preserve">Durante la última década las exportaciones de servicios a nivel mundial se han acelerado, experimentando un crecimiento mayor que las exportaciones de bienes. En tal sentido, las oportunidades de inserción internacional son cada vez mayores, en particular para América Latina por su condición de plataforma nearshore. Esta gestión consciente de la importancia de este sector y de la planificación estratégica para la internacionalización y promoción de inversiones con una visión regional que permita generar acciones conjuntas,  forma parte de los planes de trabajo de la  Asociación Latinoamericana de Exportadores de Servicios (ALES), entidad que trabaja para desarrollar sinergias a través de la conformación de una red de gremiales empresariales e instituciones públicas y privadas, nacionales y sub-nacionales que actúen como puntos focales en cada uno de sus países para la promoción del sector exportador de servicios.  </w:t>
      </w:r>
    </w:p>
    <w:p w14:paraId="7511BC05" w14:textId="4474C8F7" w:rsidR="002C13AB"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shd w:val="clear" w:color="auto" w:fill="FFFFFF"/>
          <w:lang w:val="es-DO"/>
        </w:rPr>
        <w:t xml:space="preserve">Sus acciones son financiadas por el Banco Interamericano de Desarrollo (BID). En 2018 fuimos sede y organizadores junto a la Coalición de Servicios de la República </w:t>
      </w:r>
      <w:r w:rsidR="00F05F76" w:rsidRPr="00A40C82">
        <w:rPr>
          <w:rFonts w:ascii="Artifex CF Extra Light" w:hAnsi="Artifex CF Extra Light"/>
          <w:color w:val="1F4E79" w:themeColor="accent1" w:themeShade="80"/>
          <w:spacing w:val="10"/>
          <w:sz w:val="18"/>
          <w:szCs w:val="18"/>
          <w:shd w:val="clear" w:color="auto" w:fill="FFFFFF"/>
          <w:lang w:val="es-DO"/>
        </w:rPr>
        <w:t xml:space="preserve">Dominicana </w:t>
      </w:r>
      <w:r w:rsidR="00CD0A75" w:rsidRPr="00A40C82">
        <w:rPr>
          <w:rFonts w:ascii="Artifex CF Extra Light" w:hAnsi="Artifex CF Extra Light"/>
          <w:color w:val="1F4E79" w:themeColor="accent1" w:themeShade="80"/>
          <w:spacing w:val="10"/>
          <w:sz w:val="18"/>
          <w:szCs w:val="18"/>
          <w:shd w:val="clear" w:color="auto" w:fill="FFFFFF"/>
          <w:lang w:val="es-DO"/>
        </w:rPr>
        <w:t>de la</w:t>
      </w:r>
      <w:r w:rsidRPr="00A40C82">
        <w:rPr>
          <w:rFonts w:ascii="Artifex CF Extra Light" w:hAnsi="Artifex CF Extra Light"/>
          <w:color w:val="1F4E79" w:themeColor="accent1" w:themeShade="80"/>
          <w:spacing w:val="10"/>
          <w:sz w:val="18"/>
          <w:szCs w:val="18"/>
          <w:shd w:val="clear" w:color="auto" w:fill="FFFFFF"/>
          <w:lang w:val="es-DO"/>
        </w:rPr>
        <w:t xml:space="preserve"> VIII Convención Anual: "Cómo desarrollar exportaciones de servicios de alto valor agregado" evento celebrado en Santo Domingo, República </w:t>
      </w:r>
      <w:r w:rsidR="00CD0A75" w:rsidRPr="00A40C82">
        <w:rPr>
          <w:rFonts w:ascii="Artifex CF Extra Light" w:hAnsi="Artifex CF Extra Light"/>
          <w:color w:val="1F4E79" w:themeColor="accent1" w:themeShade="80"/>
          <w:spacing w:val="10"/>
          <w:sz w:val="18"/>
          <w:szCs w:val="18"/>
          <w:shd w:val="clear" w:color="auto" w:fill="FFFFFF"/>
          <w:lang w:val="es-DO"/>
        </w:rPr>
        <w:t>Dominicana, es</w:t>
      </w:r>
      <w:r w:rsidRPr="00A40C82">
        <w:rPr>
          <w:rFonts w:ascii="Artifex CF Extra Light" w:hAnsi="Artifex CF Extra Light"/>
          <w:color w:val="1F4E79" w:themeColor="accent1" w:themeShade="80"/>
          <w:spacing w:val="10"/>
          <w:sz w:val="18"/>
          <w:szCs w:val="18"/>
          <w:shd w:val="clear" w:color="auto" w:fill="FFFFFF"/>
          <w:lang w:val="es-DO"/>
        </w:rPr>
        <w:t xml:space="preserve"> una oportunidad clave para impulsar la posición de América Latina en el sector de servicios.</w:t>
      </w:r>
    </w:p>
    <w:p w14:paraId="042EF331" w14:textId="4E6331B1"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 xml:space="preserve">Promoción De Exportaciones e Inversiones Ferias y Misiones Comerciales Financiadas </w:t>
      </w:r>
      <w:r w:rsidR="00F05F76" w:rsidRPr="00A40C82">
        <w:rPr>
          <w:rFonts w:ascii="Artifex CF Extra Light" w:eastAsia="Times New Roman" w:hAnsi="Artifex CF Extra Light" w:cs="Calibri"/>
          <w:color w:val="1F4E79" w:themeColor="accent1" w:themeShade="80"/>
          <w:spacing w:val="10"/>
          <w:sz w:val="18"/>
          <w:szCs w:val="18"/>
          <w:lang w:val="es-ES" w:eastAsia="es-ES"/>
        </w:rPr>
        <w:t>por el</w:t>
      </w:r>
      <w:r w:rsidRPr="00A40C82">
        <w:rPr>
          <w:rFonts w:ascii="Artifex CF Extra Light" w:eastAsia="Times New Roman" w:hAnsi="Artifex CF Extra Light" w:cs="Calibri"/>
          <w:color w:val="1F4E79" w:themeColor="accent1" w:themeShade="80"/>
          <w:spacing w:val="10"/>
          <w:sz w:val="18"/>
          <w:szCs w:val="18"/>
          <w:lang w:val="es-ES" w:eastAsia="es-ES"/>
        </w:rPr>
        <w:t xml:space="preserve"> BID   </w:t>
      </w:r>
    </w:p>
    <w:p w14:paraId="183463F6" w14:textId="50036FF6"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shd w:val="clear" w:color="auto" w:fill="FFFFFF"/>
          <w:lang w:val="es-DO"/>
        </w:rPr>
        <w:t xml:space="preserve">El Banco Interamericano de Desarrollo (BID) con 11 ediciones realizadas, ya ha posicionado a LAC Flavors como el más importante evento de la región para reuniones de negocios presenciales del Sector de Alimentos y Bebidas. </w:t>
      </w:r>
      <w:r w:rsidR="00CD0A75" w:rsidRPr="00A40C82">
        <w:rPr>
          <w:rFonts w:ascii="Artifex CF Extra Light" w:hAnsi="Artifex CF Extra Light"/>
          <w:color w:val="1F4E79" w:themeColor="accent1" w:themeShade="80"/>
          <w:spacing w:val="10"/>
          <w:sz w:val="18"/>
          <w:szCs w:val="18"/>
          <w:shd w:val="clear" w:color="auto" w:fill="FFFFFF"/>
          <w:lang w:val="es-DO"/>
        </w:rPr>
        <w:t>Igualmente,</w:t>
      </w:r>
      <w:r w:rsidRPr="00A40C82">
        <w:rPr>
          <w:rFonts w:ascii="Artifex CF Extra Light" w:hAnsi="Artifex CF Extra Light"/>
          <w:color w:val="1F4E79" w:themeColor="accent1" w:themeShade="80"/>
          <w:spacing w:val="10"/>
          <w:sz w:val="18"/>
          <w:szCs w:val="18"/>
          <w:shd w:val="clear" w:color="auto" w:fill="FFFFFF"/>
          <w:lang w:val="es-DO"/>
        </w:rPr>
        <w:t xml:space="preserve"> el Banco es el organizador de OUTSOURCE2LAC: </w:t>
      </w:r>
      <w:r w:rsidR="00F05F76" w:rsidRPr="00A40C82">
        <w:rPr>
          <w:rFonts w:ascii="Artifex CF Extra Light" w:hAnsi="Artifex CF Extra Light"/>
          <w:color w:val="1F4E79" w:themeColor="accent1" w:themeShade="80"/>
          <w:spacing w:val="10"/>
          <w:sz w:val="18"/>
          <w:szCs w:val="18"/>
          <w:shd w:val="clear" w:color="auto" w:fill="FFFFFF"/>
          <w:lang w:val="es-DO"/>
        </w:rPr>
        <w:t>Su finalidad</w:t>
      </w:r>
      <w:r w:rsidRPr="00A40C82">
        <w:rPr>
          <w:rFonts w:ascii="Artifex CF Extra Light" w:hAnsi="Artifex CF Extra Light"/>
          <w:color w:val="1F4E79" w:themeColor="accent1" w:themeShade="80"/>
          <w:spacing w:val="10"/>
          <w:sz w:val="18"/>
          <w:szCs w:val="18"/>
          <w:shd w:val="clear" w:color="auto" w:fill="FFFFFF"/>
          <w:lang w:val="es-DO"/>
        </w:rPr>
        <w:t xml:space="preserve"> es promover la competitividad de los servicios y productos dominicanos en los mercados internacionales, brinda oportunidad a las Pymes de intercambiar las últimas tendencias en el sector de </w:t>
      </w:r>
      <w:r w:rsidRPr="00A40C82">
        <w:rPr>
          <w:rFonts w:ascii="Artifex CF Extra Light" w:hAnsi="Artifex CF Extra Light"/>
          <w:color w:val="1F4E79" w:themeColor="accent1" w:themeShade="80"/>
          <w:spacing w:val="10"/>
          <w:sz w:val="18"/>
          <w:szCs w:val="18"/>
          <w:shd w:val="clear" w:color="auto" w:fill="FFFFFF"/>
          <w:lang w:val="es-DO"/>
        </w:rPr>
        <w:lastRenderedPageBreak/>
        <w:t xml:space="preserve">servicios globales e identificar oportunidades de negocios en América Latina y el Caribe.  </w:t>
      </w:r>
    </w:p>
    <w:p w14:paraId="668A2FD0" w14:textId="11B444A0"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Fonts w:ascii="Artifex CF Extra Light" w:hAnsi="Artifex CF Extra Light"/>
          <w:color w:val="1F4E79" w:themeColor="accent1" w:themeShade="80"/>
          <w:spacing w:val="10"/>
          <w:sz w:val="18"/>
          <w:szCs w:val="18"/>
          <w:shd w:val="clear" w:color="auto" w:fill="FFFFFF"/>
          <w:lang w:val="es-DO"/>
        </w:rPr>
        <w:t xml:space="preserve">Del mismo modo, COREA-LAC, que es un foro de negocios que realiza el BID anualmente en diferentes destinos asiáticos, con la finalidad de reunir a líderes empresariales y altos funcionarios de los Gobiernos de Asia, América Latina y el Caribe. Al igual que CHINA-LAC que es una Cumbre Empresarial iniciativa del Consejo Chino para el Fomento del Comercio Internacional y el BID, donde se constituye la primera plataforma institucionalizada en China con el fin de promover la cooperación económico-comercial entre China y América Latina y el Caribe (LAC), la cual ha sido reconocida por el Gobierno chino como una marca estrella en la cooperación entre China y LAC.  En estos </w:t>
      </w:r>
      <w:r w:rsidR="00F05F76" w:rsidRPr="00A40C82">
        <w:rPr>
          <w:rFonts w:ascii="Artifex CF Extra Light" w:hAnsi="Artifex CF Extra Light"/>
          <w:color w:val="1F4E79" w:themeColor="accent1" w:themeShade="80"/>
          <w:spacing w:val="10"/>
          <w:sz w:val="18"/>
          <w:szCs w:val="18"/>
          <w:shd w:val="clear" w:color="auto" w:fill="FFFFFF"/>
          <w:lang w:val="es-DO"/>
        </w:rPr>
        <w:t>eventos BID</w:t>
      </w:r>
      <w:r w:rsidRPr="00A40C82">
        <w:rPr>
          <w:rFonts w:ascii="Artifex CF Extra Light" w:hAnsi="Artifex CF Extra Light"/>
          <w:color w:val="1F4E79" w:themeColor="accent1" w:themeShade="80"/>
          <w:spacing w:val="10"/>
          <w:sz w:val="18"/>
          <w:szCs w:val="18"/>
          <w:shd w:val="clear" w:color="auto" w:fill="FFFFFF"/>
          <w:lang w:val="es-DO"/>
        </w:rPr>
        <w:t xml:space="preserve"> dependiendo del alcance del acuerdo y las facilidades BID puede patrocinar desde boletos aéreos, alojamiento, así como también stands dentro de la actividad. </w:t>
      </w:r>
    </w:p>
    <w:p w14:paraId="093572D9" w14:textId="77777777" w:rsidR="00864535" w:rsidRPr="00A40C82" w:rsidRDefault="00596FBA" w:rsidP="00864966">
      <w:pPr>
        <w:pBdr>
          <w:top w:val="nil"/>
          <w:left w:val="nil"/>
          <w:bottom w:val="nil"/>
          <w:right w:val="nil"/>
          <w:between w:val="nil"/>
        </w:pBdr>
        <w:shd w:val="clear" w:color="auto" w:fill="FFFFFF"/>
        <w:spacing w:before="380" w:after="120" w:line="456" w:lineRule="auto"/>
        <w:ind w:firstLine="284"/>
        <w:jc w:val="both"/>
        <w:rPr>
          <w:rFonts w:ascii="Artifex CF Extra Light" w:hAnsi="Artifex CF Extra Light"/>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t>ODS</w:t>
      </w:r>
      <w:r w:rsidR="002C13AB" w:rsidRPr="00A40C82">
        <w:rPr>
          <w:rFonts w:ascii="Artifex CF Extra Light" w:eastAsia="Arial" w:hAnsi="Artifex CF Extra Light" w:cs="Arial"/>
          <w:b/>
          <w:color w:val="1F4E79" w:themeColor="accent1" w:themeShade="80"/>
          <w:spacing w:val="10"/>
          <w:sz w:val="18"/>
          <w:szCs w:val="18"/>
          <w:lang w:val="es-DO"/>
        </w:rPr>
        <w:t xml:space="preserve"> </w:t>
      </w:r>
      <w:r w:rsidRPr="00A40C82">
        <w:rPr>
          <w:rFonts w:ascii="Artifex CF Extra Light" w:eastAsia="Arial" w:hAnsi="Artifex CF Extra Light" w:cs="Arial"/>
          <w:b/>
          <w:color w:val="1F4E79" w:themeColor="accent1" w:themeShade="80"/>
          <w:spacing w:val="10"/>
          <w:sz w:val="18"/>
          <w:szCs w:val="18"/>
          <w:lang w:val="es-DO"/>
        </w:rPr>
        <w:t>8: Promover el crecimiento económico inclusivo y sostenible, el empleo y el trabajo decente para todos</w:t>
      </w:r>
    </w:p>
    <w:p w14:paraId="2AD8963B" w14:textId="1886DF69" w:rsidR="000B457D" w:rsidRPr="00A40C82" w:rsidRDefault="00596FBA" w:rsidP="00864966">
      <w:pPr>
        <w:pBdr>
          <w:top w:val="nil"/>
          <w:left w:val="nil"/>
          <w:bottom w:val="nil"/>
          <w:right w:val="nil"/>
          <w:between w:val="nil"/>
        </w:pBdr>
        <w:shd w:val="clear" w:color="auto" w:fill="FFFFFF"/>
        <w:spacing w:before="380" w:after="120" w:line="456" w:lineRule="auto"/>
        <w:ind w:firstLine="284"/>
        <w:jc w:val="both"/>
        <w:rPr>
          <w:rFonts w:ascii="Artifex CF Extra Light" w:hAnsi="Artifex CF Extra Light"/>
          <w:b/>
          <w:color w:val="1F4E79" w:themeColor="accent1" w:themeShade="80"/>
          <w:spacing w:val="10"/>
          <w:sz w:val="18"/>
          <w:szCs w:val="18"/>
          <w:lang w:val="es-DO"/>
        </w:rPr>
      </w:pPr>
      <w:r w:rsidRPr="00A40C82">
        <w:rPr>
          <w:rFonts w:ascii="Artifex CF Extra Light" w:hAnsi="Artifex CF Extra Light"/>
          <w:b/>
          <w:color w:val="1F4E79" w:themeColor="accent1" w:themeShade="80"/>
          <w:spacing w:val="10"/>
          <w:sz w:val="18"/>
          <w:szCs w:val="18"/>
          <w:lang w:val="es-DO"/>
        </w:rPr>
        <w:t>O</w:t>
      </w:r>
      <w:r w:rsidR="002C13AB" w:rsidRPr="00A40C82">
        <w:rPr>
          <w:rFonts w:ascii="Artifex CF Extra Light" w:hAnsi="Artifex CF Extra Light"/>
          <w:b/>
          <w:color w:val="1F4E79" w:themeColor="accent1" w:themeShade="80"/>
          <w:spacing w:val="10"/>
          <w:sz w:val="18"/>
          <w:szCs w:val="18"/>
          <w:lang w:val="es-DO"/>
        </w:rPr>
        <w:t xml:space="preserve">DS </w:t>
      </w:r>
      <w:r w:rsidRPr="00A40C82">
        <w:rPr>
          <w:rFonts w:ascii="Artifex CF Extra Light" w:hAnsi="Artifex CF Extra Light"/>
          <w:b/>
          <w:color w:val="1F4E79" w:themeColor="accent1" w:themeShade="80"/>
          <w:spacing w:val="10"/>
          <w:sz w:val="18"/>
          <w:szCs w:val="18"/>
          <w:lang w:val="es-DO"/>
        </w:rPr>
        <w:t>9: Construir infraestructuras resilientes, promover la industrialización sostenible y fomentar la innovación</w:t>
      </w:r>
    </w:p>
    <w:p w14:paraId="30924015" w14:textId="775FA20C"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Desarrollo de la Estrategia de Promoción de Inversiones / Organización de las Naciones Unidas para el Desarrollo Industrial (ONUDI)</w:t>
      </w:r>
    </w:p>
    <w:p w14:paraId="75B1435C" w14:textId="77777777"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
        </w:rPr>
      </w:pPr>
      <w:r w:rsidRPr="00A40C82">
        <w:rPr>
          <w:rFonts w:ascii="Artifex CF Extra Light" w:hAnsi="Artifex CF Extra Light"/>
          <w:color w:val="1F4E79" w:themeColor="accent1" w:themeShade="80"/>
          <w:spacing w:val="10"/>
          <w:sz w:val="18"/>
          <w:szCs w:val="18"/>
          <w:lang w:val="es"/>
        </w:rPr>
        <w:t xml:space="preserve">Este proyecto iniciado en el 2020, tiene como finalidad promover el desarrollo de una estrategia de priorización de inversiones, sustentada en impulsar ventajas competitivas, promover la innovación y generar un contexto de negocios estable que atraiga de forma consistente inversiones  privadas y fortalecer las capacidades de PRODOMINICANA conociendo  las mejores prácticas mundiales para mejorar el desarrollo de oportunidades de inversión y favorecer las fuerzas económicas tendentes a generar empleos e  ingresos. </w:t>
      </w:r>
    </w:p>
    <w:p w14:paraId="32B07C8F" w14:textId="734768CC"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
        </w:rPr>
      </w:pPr>
      <w:r w:rsidRPr="00A40C82">
        <w:rPr>
          <w:rFonts w:ascii="Artifex CF Extra Light" w:hAnsi="Artifex CF Extra Light"/>
          <w:color w:val="1F4E79" w:themeColor="accent1" w:themeShade="80"/>
          <w:spacing w:val="10"/>
          <w:sz w:val="18"/>
          <w:szCs w:val="18"/>
          <w:lang w:val="es"/>
        </w:rPr>
        <w:lastRenderedPageBreak/>
        <w:t xml:space="preserve">Este proyecto </w:t>
      </w:r>
      <w:r w:rsidR="001D6663" w:rsidRPr="00A40C82">
        <w:rPr>
          <w:rFonts w:ascii="Artifex CF Extra Light" w:hAnsi="Artifex CF Extra Light"/>
          <w:color w:val="1F4E79" w:themeColor="accent1" w:themeShade="80"/>
          <w:spacing w:val="10"/>
          <w:sz w:val="18"/>
          <w:szCs w:val="18"/>
          <w:lang w:val="es"/>
        </w:rPr>
        <w:t>está</w:t>
      </w:r>
      <w:r w:rsidRPr="00A40C82">
        <w:rPr>
          <w:rFonts w:ascii="Artifex CF Extra Light" w:hAnsi="Artifex CF Extra Light"/>
          <w:color w:val="1F4E79" w:themeColor="accent1" w:themeShade="80"/>
          <w:spacing w:val="10"/>
          <w:sz w:val="18"/>
          <w:szCs w:val="18"/>
          <w:lang w:val="es"/>
        </w:rPr>
        <w:t xml:space="preserve"> siendo apoyado por La Organización de las Naciones Unidas para el Desarrollo Industrial (ONUDI), la cual tiene como función esencial la prestación de ayuda a los países en desarrollo, en la forma de asistencia técnica para la creación de industrias inclusivas y sostenibles, </w:t>
      </w:r>
    </w:p>
    <w:p w14:paraId="0485C582" w14:textId="77777777" w:rsidR="000B457D" w:rsidRPr="00A40C82" w:rsidRDefault="002C13AB" w:rsidP="00864966">
      <w:pPr>
        <w:pBdr>
          <w:top w:val="nil"/>
          <w:left w:val="nil"/>
          <w:bottom w:val="nil"/>
          <w:right w:val="nil"/>
          <w:between w:val="nil"/>
        </w:pBdr>
        <w:shd w:val="clear" w:color="auto" w:fill="FFFFFF"/>
        <w:spacing w:before="380" w:after="120" w:line="456" w:lineRule="auto"/>
        <w:ind w:firstLine="284"/>
        <w:jc w:val="both"/>
        <w:rPr>
          <w:rFonts w:ascii="Artifex CF Extra Light" w:eastAsia="Arial" w:hAnsi="Artifex CF Extra Light" w:cs="Arial"/>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t xml:space="preserve">ODS </w:t>
      </w:r>
      <w:r w:rsidR="00596FBA" w:rsidRPr="00A40C82">
        <w:rPr>
          <w:rFonts w:ascii="Artifex CF Extra Light" w:eastAsia="Arial" w:hAnsi="Artifex CF Extra Light" w:cs="Arial"/>
          <w:b/>
          <w:color w:val="1F4E79" w:themeColor="accent1" w:themeShade="80"/>
          <w:spacing w:val="10"/>
          <w:sz w:val="18"/>
          <w:szCs w:val="18"/>
          <w:lang w:val="es-DO"/>
        </w:rPr>
        <w:t>12: Garantizar modalidades de consumo y producción sostenible</w:t>
      </w:r>
    </w:p>
    <w:p w14:paraId="31F7809C" w14:textId="77777777" w:rsidR="000B457D" w:rsidRPr="00A40C82" w:rsidRDefault="00596FBA" w:rsidP="00864966">
      <w:pPr>
        <w:pBdr>
          <w:top w:val="nil"/>
          <w:left w:val="nil"/>
          <w:bottom w:val="nil"/>
          <w:right w:val="nil"/>
          <w:between w:val="nil"/>
        </w:pBdr>
        <w:shd w:val="clear" w:color="auto" w:fill="FFFFFF"/>
        <w:spacing w:before="380" w:after="120" w:line="456" w:lineRule="auto"/>
        <w:ind w:firstLine="284"/>
        <w:jc w:val="both"/>
        <w:rPr>
          <w:rFonts w:ascii="Artifex CF Extra Light" w:eastAsia="Arial" w:hAnsi="Artifex CF Extra Light" w:cs="Arial"/>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t>O</w:t>
      </w:r>
      <w:r w:rsidR="002C13AB" w:rsidRPr="00A40C82">
        <w:rPr>
          <w:rFonts w:ascii="Artifex CF Extra Light" w:eastAsia="Arial" w:hAnsi="Artifex CF Extra Light" w:cs="Arial"/>
          <w:b/>
          <w:color w:val="1F4E79" w:themeColor="accent1" w:themeShade="80"/>
          <w:spacing w:val="10"/>
          <w:sz w:val="18"/>
          <w:szCs w:val="18"/>
          <w:lang w:val="es-DO"/>
        </w:rPr>
        <w:t>DS</w:t>
      </w:r>
      <w:r w:rsidRPr="00A40C82">
        <w:rPr>
          <w:rFonts w:ascii="Artifex CF Extra Light" w:eastAsia="Arial" w:hAnsi="Artifex CF Extra Light" w:cs="Arial"/>
          <w:b/>
          <w:color w:val="1F4E79" w:themeColor="accent1" w:themeShade="80"/>
          <w:spacing w:val="10"/>
          <w:sz w:val="18"/>
          <w:szCs w:val="18"/>
          <w:lang w:val="es-DO"/>
        </w:rPr>
        <w:t xml:space="preserve"> 13: Adoptar medidas urgentes para combatir el cambio climático y sus efectos</w:t>
      </w:r>
    </w:p>
    <w:p w14:paraId="4E4674E9" w14:textId="7E12CAB5"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 xml:space="preserve">Proyecto: "Inventario De Gases De Efecto Invernadero En Empresas Exportadoras En Centroamérica </w:t>
      </w:r>
    </w:p>
    <w:p w14:paraId="1A47060A" w14:textId="57428743" w:rsidR="00596FBA" w:rsidRPr="00A40C82" w:rsidRDefault="00596FBA" w:rsidP="00864966">
      <w:pPr>
        <w:spacing w:before="380" w:after="120" w:line="456" w:lineRule="auto"/>
        <w:ind w:firstLine="284"/>
        <w:jc w:val="both"/>
        <w:rPr>
          <w:rFonts w:ascii="Artifex CF Extra Light" w:eastAsia="Arial" w:hAnsi="Artifex CF Extra Light" w:cs="Arial"/>
          <w:color w:val="1F4E79" w:themeColor="accent1" w:themeShade="80"/>
          <w:spacing w:val="10"/>
          <w:sz w:val="18"/>
          <w:szCs w:val="18"/>
          <w:lang w:val="es-DO"/>
        </w:rPr>
      </w:pPr>
      <w:r w:rsidRPr="00A40C82">
        <w:rPr>
          <w:rFonts w:ascii="Artifex CF Extra Light" w:eastAsia="Arial" w:hAnsi="Artifex CF Extra Light" w:cs="Arial"/>
          <w:color w:val="1F4E79" w:themeColor="accent1" w:themeShade="80"/>
          <w:spacing w:val="10"/>
          <w:sz w:val="18"/>
          <w:szCs w:val="18"/>
          <w:lang w:val="es-DO"/>
        </w:rPr>
        <w:t xml:space="preserve">Desde el 2012, PRODOMINICANA consciente de que el cambio climático es consecuencia de la actividad humana y está amenazando nuestra forma de vida y el futuro de nuestro planeta y sabiendo que las empresas pueden ser parte de la solución si se comprometen a eliminar las emisiones de carbono de sus operaciones y cadenas de suministro, hemos  trabajado en varios proyectos vinculados a este tema, el más reciente (2015-2020) es el Proyecto Inventario de Gases de Efecto Invernadero (GEI) en Empresas Exportadoras en Centroamérica, financiado por  los </w:t>
      </w:r>
      <w:r w:rsidRPr="00A40C82">
        <w:rPr>
          <w:rFonts w:ascii="Artifex CF Extra Light" w:eastAsia="Palatino Linotype" w:hAnsi="Artifex CF Extra Light" w:cs="Palatino Linotype"/>
          <w:color w:val="1F4E79" w:themeColor="accent1" w:themeShade="80"/>
          <w:spacing w:val="10"/>
          <w:sz w:val="18"/>
          <w:szCs w:val="18"/>
          <w:lang w:val="es"/>
        </w:rPr>
        <w:t xml:space="preserve"> Servicios Holandeses de Cooperación al Desarrollo (SNV)</w:t>
      </w:r>
      <w:r w:rsidRPr="00A40C82">
        <w:rPr>
          <w:rFonts w:ascii="Artifex CF Extra Light" w:eastAsia="Cambria" w:hAnsi="Artifex CF Extra Light" w:cs="Cambria"/>
          <w:color w:val="1F4E79" w:themeColor="accent1" w:themeShade="80"/>
          <w:spacing w:val="10"/>
          <w:sz w:val="18"/>
          <w:szCs w:val="18"/>
          <w:lang w:val="es-DO"/>
        </w:rPr>
        <w:t xml:space="preserve"> y el </w:t>
      </w:r>
      <w:r w:rsidRPr="00A40C82">
        <w:rPr>
          <w:rFonts w:ascii="Artifex CF Extra Light" w:eastAsia="Arial" w:hAnsi="Artifex CF Extra Light" w:cs="Arial"/>
          <w:color w:val="1F4E79" w:themeColor="accent1" w:themeShade="80"/>
          <w:spacing w:val="10"/>
          <w:sz w:val="18"/>
          <w:szCs w:val="18"/>
          <w:lang w:val="es-DO"/>
        </w:rPr>
        <w:t>Banco Interamericano de Desarrollo (BID).</w:t>
      </w:r>
    </w:p>
    <w:p w14:paraId="188123E1" w14:textId="0C556414" w:rsidR="00596FBA" w:rsidRPr="00A40C82" w:rsidRDefault="00596FBA" w:rsidP="00864966">
      <w:pPr>
        <w:spacing w:before="380" w:after="120" w:line="456" w:lineRule="auto"/>
        <w:ind w:firstLine="284"/>
        <w:jc w:val="both"/>
        <w:rPr>
          <w:rFonts w:ascii="Artifex CF Extra Light" w:eastAsia="Arial" w:hAnsi="Artifex CF Extra Light" w:cs="Arial"/>
          <w:color w:val="1F4E79" w:themeColor="accent1" w:themeShade="80"/>
          <w:spacing w:val="10"/>
          <w:sz w:val="18"/>
          <w:szCs w:val="18"/>
          <w:lang w:val="es-DO"/>
        </w:rPr>
      </w:pPr>
      <w:r w:rsidRPr="00A40C82">
        <w:rPr>
          <w:rFonts w:ascii="Artifex CF Extra Light" w:eastAsia="Arial" w:hAnsi="Artifex CF Extra Light" w:cs="Arial"/>
          <w:color w:val="1F4E79" w:themeColor="accent1" w:themeShade="80"/>
          <w:spacing w:val="10"/>
          <w:sz w:val="18"/>
          <w:szCs w:val="18"/>
          <w:lang w:val="es-DO"/>
        </w:rPr>
        <w:t>El GEI</w:t>
      </w:r>
      <w:r w:rsidRPr="00A40C82">
        <w:rPr>
          <w:rFonts w:ascii="Artifex CF Extra Light" w:eastAsia="Arial" w:hAnsi="Artifex CF Extra Light" w:cs="Arial"/>
          <w:color w:val="1F4E79" w:themeColor="accent1" w:themeShade="80"/>
          <w:spacing w:val="10"/>
          <w:sz w:val="18"/>
          <w:szCs w:val="18"/>
          <w:lang w:val="es-ES"/>
        </w:rPr>
        <w:t xml:space="preserve"> tiene como </w:t>
      </w:r>
      <w:r w:rsidRPr="00A40C82">
        <w:rPr>
          <w:rFonts w:ascii="Artifex CF Extra Light" w:eastAsia="Arial" w:hAnsi="Artifex CF Extra Light" w:cs="Arial"/>
          <w:color w:val="1F4E79" w:themeColor="accent1" w:themeShade="80"/>
          <w:spacing w:val="10"/>
          <w:sz w:val="18"/>
          <w:szCs w:val="18"/>
          <w:lang w:val="es-DO"/>
        </w:rPr>
        <w:t xml:space="preserve">objetivo crear </w:t>
      </w:r>
      <w:r w:rsidRPr="00A40C82">
        <w:rPr>
          <w:rFonts w:ascii="Artifex CF Extra Light" w:eastAsia="Arial" w:hAnsi="Artifex CF Extra Light" w:cs="Arial"/>
          <w:color w:val="1F4E79" w:themeColor="accent1" w:themeShade="80"/>
          <w:spacing w:val="10"/>
          <w:sz w:val="18"/>
          <w:szCs w:val="18"/>
          <w:lang w:val="es-ES"/>
        </w:rPr>
        <w:t xml:space="preserve">un marco normativo regional adecuado para emprender los procesos de inventariado, reducción y carbono-neutralidad que sea reconocido por los diferentes mercados regionales e internacionales, logrando promover exportaciones con una reducida o neutral huella de carbono.  Dicho proyecto también </w:t>
      </w:r>
      <w:r w:rsidRPr="00A40C82">
        <w:rPr>
          <w:rFonts w:ascii="Artifex CF Extra Light" w:eastAsia="Arial" w:hAnsi="Artifex CF Extra Light" w:cs="Arial"/>
          <w:color w:val="1F4E79" w:themeColor="accent1" w:themeShade="80"/>
          <w:spacing w:val="10"/>
          <w:sz w:val="18"/>
          <w:szCs w:val="18"/>
          <w:lang w:val="es-DO"/>
        </w:rPr>
        <w:t>refuerza las capacidades de los gobiernos y exportadores de alimentos para adaptarse a los requisitos del cambio climático.</w:t>
      </w:r>
    </w:p>
    <w:p w14:paraId="718D63E6" w14:textId="77777777" w:rsidR="00BF1AA4" w:rsidRDefault="00BF1AA4">
      <w:pPr>
        <w:rPr>
          <w:rFonts w:ascii="Artifex CF Extra Light" w:eastAsia="Times New Roman" w:hAnsi="Artifex CF Extra Light" w:cs="Calibri"/>
          <w:color w:val="1F4E79" w:themeColor="accent1" w:themeShade="80"/>
          <w:spacing w:val="10"/>
          <w:sz w:val="18"/>
          <w:szCs w:val="18"/>
          <w:lang w:val="es-ES" w:eastAsia="es-ES"/>
        </w:rPr>
      </w:pPr>
      <w:r>
        <w:rPr>
          <w:rFonts w:ascii="Artifex CF Extra Light" w:eastAsia="Times New Roman" w:hAnsi="Artifex CF Extra Light" w:cs="Calibri"/>
          <w:color w:val="1F4E79" w:themeColor="accent1" w:themeShade="80"/>
          <w:spacing w:val="10"/>
          <w:sz w:val="18"/>
          <w:szCs w:val="18"/>
          <w:lang w:val="es-ES" w:eastAsia="es-ES"/>
        </w:rPr>
        <w:br w:type="page"/>
      </w:r>
    </w:p>
    <w:p w14:paraId="0FA22E92" w14:textId="50F21145"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lastRenderedPageBreak/>
        <w:t>Red Latinoamericana y del Caribe de la Huella Ambiental del Café en la Unión Europea</w:t>
      </w:r>
    </w:p>
    <w:p w14:paraId="6D5BF6F7" w14:textId="40D1160C" w:rsidR="00596FBA" w:rsidRPr="00A40C82" w:rsidRDefault="00596FBA" w:rsidP="00864966">
      <w:pPr>
        <w:pStyle w:val="NormalWeb"/>
        <w:spacing w:before="380" w:beforeAutospacing="0" w:after="120" w:afterAutospacing="0" w:line="456" w:lineRule="auto"/>
        <w:ind w:firstLine="284"/>
        <w:jc w:val="both"/>
        <w:rPr>
          <w:rFonts w:ascii="Artifex CF Extra Light" w:eastAsia="Arial" w:hAnsi="Artifex CF Extra Light" w:cs="Arial"/>
          <w:color w:val="1F4E79" w:themeColor="accent1" w:themeShade="80"/>
          <w:spacing w:val="10"/>
          <w:sz w:val="18"/>
          <w:szCs w:val="18"/>
          <w:lang w:val="es-ES"/>
        </w:rPr>
      </w:pPr>
      <w:r w:rsidRPr="00A40C82">
        <w:rPr>
          <w:rFonts w:ascii="Artifex CF Extra Light" w:eastAsia="Palatino Linotype" w:hAnsi="Artifex CF Extra Light" w:cs="Palatino Linotype"/>
          <w:color w:val="1F4E79" w:themeColor="accent1" w:themeShade="80"/>
          <w:spacing w:val="10"/>
          <w:sz w:val="18"/>
          <w:szCs w:val="18"/>
          <w:lang w:val="es"/>
        </w:rPr>
        <w:t xml:space="preserve">Del mismo modo, sumado a este esfuerzo, formamos parte de la Red Latinoamericana y del Caribe </w:t>
      </w:r>
      <w:r w:rsidRPr="00A40C82">
        <w:rPr>
          <w:rFonts w:ascii="Artifex CF Extra Light" w:hAnsi="Artifex CF Extra Light" w:cs="Arial"/>
          <w:color w:val="1F4E79" w:themeColor="accent1" w:themeShade="80"/>
          <w:spacing w:val="10"/>
          <w:sz w:val="18"/>
          <w:szCs w:val="18"/>
          <w:shd w:val="clear" w:color="auto" w:fill="FFFFFF"/>
          <w:lang w:val="es-ES"/>
        </w:rPr>
        <w:t>de la </w:t>
      </w:r>
      <w:r w:rsidRPr="00A40C82">
        <w:rPr>
          <w:rStyle w:val="nfasis"/>
          <w:rFonts w:ascii="Artifex CF Extra Light" w:hAnsi="Artifex CF Extra Light" w:cs="Arial"/>
          <w:color w:val="1F4E79" w:themeColor="accent1" w:themeShade="80"/>
          <w:spacing w:val="10"/>
          <w:sz w:val="18"/>
          <w:szCs w:val="18"/>
          <w:shd w:val="clear" w:color="auto" w:fill="FFFFFF"/>
          <w:lang w:val="es-ES"/>
        </w:rPr>
        <w:t>Huella Ambiental</w:t>
      </w:r>
      <w:r w:rsidRPr="00A40C82">
        <w:rPr>
          <w:rFonts w:ascii="Artifex CF Extra Light" w:hAnsi="Artifex CF Extra Light" w:cs="Arial"/>
          <w:color w:val="1F4E79" w:themeColor="accent1" w:themeShade="80"/>
          <w:spacing w:val="10"/>
          <w:sz w:val="18"/>
          <w:szCs w:val="18"/>
          <w:shd w:val="clear" w:color="auto" w:fill="FFFFFF"/>
          <w:lang w:val="es-ES"/>
        </w:rPr>
        <w:t> del </w:t>
      </w:r>
      <w:r w:rsidRPr="00A40C82">
        <w:rPr>
          <w:rStyle w:val="nfasis"/>
          <w:rFonts w:ascii="Artifex CF Extra Light" w:hAnsi="Artifex CF Extra Light" w:cs="Arial"/>
          <w:color w:val="1F4E79" w:themeColor="accent1" w:themeShade="80"/>
          <w:spacing w:val="10"/>
          <w:sz w:val="18"/>
          <w:szCs w:val="18"/>
          <w:shd w:val="clear" w:color="auto" w:fill="FFFFFF"/>
          <w:lang w:val="es-ES"/>
        </w:rPr>
        <w:t>Café</w:t>
      </w:r>
      <w:r w:rsidRPr="00A40C82">
        <w:rPr>
          <w:rFonts w:ascii="Artifex CF Extra Light" w:hAnsi="Artifex CF Extra Light" w:cs="Arial"/>
          <w:color w:val="1F4E79" w:themeColor="accent1" w:themeShade="80"/>
          <w:spacing w:val="10"/>
          <w:sz w:val="18"/>
          <w:szCs w:val="18"/>
          <w:shd w:val="clear" w:color="auto" w:fill="FFFFFF"/>
          <w:lang w:val="es-ES"/>
        </w:rPr>
        <w:t> </w:t>
      </w:r>
      <w:r w:rsidRPr="00A40C82">
        <w:rPr>
          <w:rFonts w:ascii="Artifex CF Extra Light" w:eastAsia="Arial" w:hAnsi="Artifex CF Extra Light" w:cs="Arial"/>
          <w:color w:val="1F4E79" w:themeColor="accent1" w:themeShade="80"/>
          <w:spacing w:val="10"/>
          <w:sz w:val="18"/>
          <w:szCs w:val="18"/>
          <w:lang w:val="es-ES"/>
        </w:rPr>
        <w:t xml:space="preserve">en la Unión Europea” orientada al desarrollo de un estándar para definir los criterios mínimos (Reglas de Categoría de </w:t>
      </w:r>
      <w:r w:rsidR="001D6663" w:rsidRPr="00A40C82">
        <w:rPr>
          <w:rFonts w:ascii="Artifex CF Extra Light" w:eastAsia="Arial" w:hAnsi="Artifex CF Extra Light" w:cs="Arial"/>
          <w:color w:val="1F4E79" w:themeColor="accent1" w:themeShade="80"/>
          <w:spacing w:val="10"/>
          <w:sz w:val="18"/>
          <w:szCs w:val="18"/>
          <w:lang w:val="es-ES"/>
        </w:rPr>
        <w:t>Productos) para</w:t>
      </w:r>
      <w:r w:rsidRPr="00A40C82">
        <w:rPr>
          <w:rFonts w:ascii="Artifex CF Extra Light" w:eastAsia="Arial" w:hAnsi="Artifex CF Extra Light" w:cs="Arial"/>
          <w:color w:val="1F4E79" w:themeColor="accent1" w:themeShade="80"/>
          <w:spacing w:val="10"/>
          <w:sz w:val="18"/>
          <w:szCs w:val="18"/>
          <w:lang w:val="es-ES"/>
        </w:rPr>
        <w:t xml:space="preserve"> la medición de la huella ambiental (PEF) de dicho producto, al tiempo que fomenta y coordina la participación de los países de la región como partes interesadas (stakeholders) en el proceso de elaboración. El programa piloto es financiado por CEPAL y la Unión Europea, quienes (estos últimos) son los interesados en definir el estándar que debe cumplir este producto para </w:t>
      </w:r>
      <w:r w:rsidR="00B55A44" w:rsidRPr="00A40C82">
        <w:rPr>
          <w:rFonts w:ascii="Artifex CF Extra Light" w:eastAsia="Arial" w:hAnsi="Artifex CF Extra Light" w:cs="Arial"/>
          <w:color w:val="1F4E79" w:themeColor="accent1" w:themeShade="80"/>
          <w:spacing w:val="10"/>
          <w:sz w:val="18"/>
          <w:szCs w:val="18"/>
          <w:lang w:val="es-ES"/>
        </w:rPr>
        <w:t>acceder</w:t>
      </w:r>
      <w:r w:rsidRPr="00A40C82">
        <w:rPr>
          <w:rFonts w:ascii="Artifex CF Extra Light" w:eastAsia="Arial" w:hAnsi="Artifex CF Extra Light" w:cs="Arial"/>
          <w:color w:val="1F4E79" w:themeColor="accent1" w:themeShade="80"/>
          <w:spacing w:val="10"/>
          <w:sz w:val="18"/>
          <w:szCs w:val="18"/>
          <w:lang w:val="es-ES"/>
        </w:rPr>
        <w:t xml:space="preserve"> a su mercado como un producto verde. </w:t>
      </w:r>
    </w:p>
    <w:p w14:paraId="3552178E" w14:textId="504887DE"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Mesa del Consejo Nacional para el Cambio Climático y Mecanismo de Desarrollo Limpio de la República Dominicana</w:t>
      </w:r>
    </w:p>
    <w:p w14:paraId="58704ECA" w14:textId="6A36BE0B" w:rsidR="00596FBA" w:rsidRPr="00A40C82" w:rsidRDefault="00596FBA" w:rsidP="00864966">
      <w:pPr>
        <w:pStyle w:val="NormalWeb"/>
        <w:spacing w:before="380" w:beforeAutospacing="0" w:after="120" w:afterAutospacing="0" w:line="456" w:lineRule="auto"/>
        <w:ind w:firstLine="284"/>
        <w:jc w:val="both"/>
        <w:rPr>
          <w:rFonts w:ascii="Artifex CF Extra Light" w:hAnsi="Artifex CF Extra Light"/>
          <w:color w:val="1F4E79" w:themeColor="accent1" w:themeShade="80"/>
          <w:spacing w:val="10"/>
          <w:sz w:val="18"/>
          <w:szCs w:val="18"/>
          <w:lang w:val="es-ES"/>
        </w:rPr>
      </w:pPr>
      <w:r w:rsidRPr="00A40C82">
        <w:rPr>
          <w:rFonts w:ascii="Artifex CF Extra Light" w:hAnsi="Artifex CF Extra Light"/>
          <w:color w:val="1F4E79" w:themeColor="accent1" w:themeShade="80"/>
          <w:spacing w:val="10"/>
          <w:sz w:val="18"/>
          <w:szCs w:val="18"/>
          <w:lang w:val="es-ES"/>
        </w:rPr>
        <w:t xml:space="preserve">Igualmente pertenecemos a la Mesa del Consejo Nacional para el Cambio Climático y Mecanismo de Desarrollo Limpio de la República Dominicana, desde la cual se formulan, diseñan y ejecutan las políticas públicas necesarias para la prevención y mitigación de las emisiones de los gases de efecto invernadero y la adaptación a los efectos adversos del cambio climático. </w:t>
      </w:r>
    </w:p>
    <w:p w14:paraId="6A40A76E" w14:textId="77777777" w:rsidR="00BF1AA4" w:rsidRDefault="00BF1AA4">
      <w:pPr>
        <w:rPr>
          <w:rFonts w:ascii="Artifex CF Extra Light" w:eastAsia="Arial" w:hAnsi="Artifex CF Extra Light" w:cs="Arial"/>
          <w:b/>
          <w:color w:val="1F4E79" w:themeColor="accent1" w:themeShade="80"/>
          <w:spacing w:val="10"/>
          <w:sz w:val="18"/>
          <w:szCs w:val="18"/>
          <w:lang w:val="es-DO"/>
        </w:rPr>
      </w:pPr>
      <w:r>
        <w:rPr>
          <w:rFonts w:ascii="Artifex CF Extra Light" w:eastAsia="Arial" w:hAnsi="Artifex CF Extra Light" w:cs="Arial"/>
          <w:b/>
          <w:color w:val="1F4E79" w:themeColor="accent1" w:themeShade="80"/>
          <w:spacing w:val="10"/>
          <w:sz w:val="18"/>
          <w:szCs w:val="18"/>
          <w:lang w:val="es-DO"/>
        </w:rPr>
        <w:br w:type="page"/>
      </w:r>
    </w:p>
    <w:p w14:paraId="7587E67E" w14:textId="583E549B" w:rsidR="0042626C" w:rsidRPr="00A40C82" w:rsidRDefault="002C13AB" w:rsidP="00864966">
      <w:pPr>
        <w:pBdr>
          <w:top w:val="nil"/>
          <w:left w:val="nil"/>
          <w:bottom w:val="nil"/>
          <w:right w:val="nil"/>
          <w:between w:val="nil"/>
        </w:pBdr>
        <w:shd w:val="clear" w:color="auto" w:fill="FFFFFF"/>
        <w:spacing w:before="380" w:after="120" w:line="456" w:lineRule="auto"/>
        <w:ind w:firstLine="284"/>
        <w:jc w:val="both"/>
        <w:rPr>
          <w:rFonts w:ascii="Artifex CF Extra Light" w:hAnsi="Artifex CF Extra Light"/>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lastRenderedPageBreak/>
        <w:t>ODS</w:t>
      </w:r>
      <w:r w:rsidR="00596FBA" w:rsidRPr="00A40C82">
        <w:rPr>
          <w:rFonts w:ascii="Artifex CF Extra Light" w:eastAsia="Arial" w:hAnsi="Artifex CF Extra Light" w:cs="Arial"/>
          <w:b/>
          <w:color w:val="1F4E79" w:themeColor="accent1" w:themeShade="80"/>
          <w:spacing w:val="10"/>
          <w:sz w:val="18"/>
          <w:szCs w:val="18"/>
          <w:lang w:val="es-DO"/>
        </w:rPr>
        <w:t xml:space="preserve"> 5: Lograr la igualdad entre los géneros y empoderar a todas las mujeres y las niñas</w:t>
      </w:r>
      <w:r w:rsidR="00596FBA" w:rsidRPr="00A40C82">
        <w:rPr>
          <w:rFonts w:ascii="Artifex CF Extra Light" w:hAnsi="Artifex CF Extra Light"/>
          <w:color w:val="1F4E79" w:themeColor="accent1" w:themeShade="80"/>
          <w:spacing w:val="10"/>
          <w:sz w:val="18"/>
          <w:szCs w:val="18"/>
          <w:lang w:val="es-DO"/>
        </w:rPr>
        <w:t xml:space="preserve"> </w:t>
      </w:r>
    </w:p>
    <w:p w14:paraId="261C4F20" w14:textId="77777777" w:rsidR="0042626C" w:rsidRPr="00A40C82" w:rsidRDefault="002C13AB" w:rsidP="00864966">
      <w:pPr>
        <w:pBdr>
          <w:top w:val="nil"/>
          <w:left w:val="nil"/>
          <w:bottom w:val="nil"/>
          <w:right w:val="nil"/>
          <w:between w:val="nil"/>
        </w:pBdr>
        <w:shd w:val="clear" w:color="auto" w:fill="FFFFFF"/>
        <w:spacing w:before="380" w:after="120" w:line="456" w:lineRule="auto"/>
        <w:ind w:firstLine="284"/>
        <w:jc w:val="both"/>
        <w:rPr>
          <w:rFonts w:ascii="Artifex CF Extra Light" w:hAnsi="Artifex CF Extra Light"/>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t>ODS</w:t>
      </w:r>
      <w:r w:rsidR="00596FBA" w:rsidRPr="00A40C82">
        <w:rPr>
          <w:rFonts w:ascii="Artifex CF Extra Light" w:eastAsia="Arial" w:hAnsi="Artifex CF Extra Light" w:cs="Arial"/>
          <w:b/>
          <w:color w:val="1F4E79" w:themeColor="accent1" w:themeShade="80"/>
          <w:spacing w:val="10"/>
          <w:sz w:val="18"/>
          <w:szCs w:val="18"/>
          <w:lang w:val="es-DO"/>
        </w:rPr>
        <w:t xml:space="preserve"> 8: Promover el crecimiento económico inclusivo y sostenible, el empleo y el trabajo decente para todos</w:t>
      </w:r>
    </w:p>
    <w:p w14:paraId="559F9384" w14:textId="1246183B"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Programa “Fortalecimiento de las Capacidades Empresariales para el Comercio Internacional de los Emprendimientos Femeninos en República Dominicana.”, apoyado por la Comisión Económica para América Latina y el Caribe -CEPAL</w:t>
      </w:r>
    </w:p>
    <w:p w14:paraId="65EB1F0B" w14:textId="3959F9A8" w:rsidR="00596FBA" w:rsidRPr="00A40C82" w:rsidRDefault="00596FBA" w:rsidP="00864966">
      <w:pPr>
        <w:spacing w:before="380" w:after="120" w:line="456" w:lineRule="auto"/>
        <w:ind w:firstLine="284"/>
        <w:jc w:val="both"/>
        <w:rPr>
          <w:rFonts w:ascii="Artifex CF Extra Light" w:eastAsia="Times New Roman" w:hAnsi="Artifex CF Extra Light"/>
          <w:color w:val="1F4E79" w:themeColor="accent1" w:themeShade="80"/>
          <w:spacing w:val="10"/>
          <w:sz w:val="18"/>
          <w:szCs w:val="18"/>
          <w:lang w:val="es-ES"/>
        </w:rPr>
      </w:pPr>
      <w:r w:rsidRPr="00A40C82">
        <w:rPr>
          <w:rFonts w:ascii="Artifex CF Extra Light" w:eastAsia="Times New Roman" w:hAnsi="Artifex CF Extra Light"/>
          <w:color w:val="1F4E79" w:themeColor="accent1" w:themeShade="80"/>
          <w:spacing w:val="10"/>
          <w:sz w:val="18"/>
          <w:szCs w:val="18"/>
          <w:lang w:val="es-ES"/>
        </w:rPr>
        <w:t xml:space="preserve">Desde el 2019, el tema </w:t>
      </w:r>
      <w:r w:rsidR="00C91AC7" w:rsidRPr="00A40C82">
        <w:rPr>
          <w:rFonts w:ascii="Artifex CF Extra Light" w:eastAsia="Times New Roman" w:hAnsi="Artifex CF Extra Light"/>
          <w:color w:val="1F4E79" w:themeColor="accent1" w:themeShade="80"/>
          <w:spacing w:val="10"/>
          <w:sz w:val="18"/>
          <w:szCs w:val="18"/>
          <w:lang w:val="es-ES"/>
        </w:rPr>
        <w:t>de igualdad</w:t>
      </w:r>
      <w:r w:rsidRPr="00A40C82">
        <w:rPr>
          <w:rFonts w:ascii="Artifex CF Extra Light" w:eastAsia="Times New Roman" w:hAnsi="Artifex CF Extra Light"/>
          <w:color w:val="1F4E79" w:themeColor="accent1" w:themeShade="80"/>
          <w:spacing w:val="10"/>
          <w:sz w:val="18"/>
          <w:szCs w:val="18"/>
          <w:lang w:val="es-ES"/>
        </w:rPr>
        <w:t xml:space="preserve"> de género forma parte de </w:t>
      </w:r>
      <w:r w:rsidR="001D6663" w:rsidRPr="00A40C82">
        <w:rPr>
          <w:rFonts w:ascii="Artifex CF Extra Light" w:eastAsia="Times New Roman" w:hAnsi="Artifex CF Extra Light"/>
          <w:color w:val="1F4E79" w:themeColor="accent1" w:themeShade="80"/>
          <w:spacing w:val="10"/>
          <w:sz w:val="18"/>
          <w:szCs w:val="18"/>
          <w:lang w:val="es-ES"/>
        </w:rPr>
        <w:t>la agenda</w:t>
      </w:r>
      <w:r w:rsidRPr="00A40C82">
        <w:rPr>
          <w:rFonts w:ascii="Artifex CF Extra Light" w:eastAsia="Times New Roman" w:hAnsi="Artifex CF Extra Light"/>
          <w:color w:val="1F4E79" w:themeColor="accent1" w:themeShade="80"/>
          <w:spacing w:val="10"/>
          <w:sz w:val="18"/>
          <w:szCs w:val="18"/>
          <w:lang w:val="es-ES"/>
        </w:rPr>
        <w:t xml:space="preserve"> estratégica del </w:t>
      </w:r>
      <w:r w:rsidR="0076107D" w:rsidRPr="00A40C82">
        <w:rPr>
          <w:rFonts w:ascii="Artifex CF Extra Light" w:hAnsi="Artifex CF Extra Light"/>
          <w:color w:val="1F4E79" w:themeColor="accent1" w:themeShade="80"/>
          <w:spacing w:val="10"/>
          <w:sz w:val="18"/>
          <w:szCs w:val="18"/>
          <w:lang w:val="es-ES"/>
        </w:rPr>
        <w:t>ProDominicana</w:t>
      </w:r>
      <w:r w:rsidRPr="00A40C82">
        <w:rPr>
          <w:rFonts w:ascii="Artifex CF Extra Light" w:eastAsia="Times New Roman" w:hAnsi="Artifex CF Extra Light"/>
          <w:color w:val="1F4E79" w:themeColor="accent1" w:themeShade="80"/>
          <w:spacing w:val="10"/>
          <w:sz w:val="18"/>
          <w:szCs w:val="18"/>
          <w:lang w:val="es-ES"/>
        </w:rPr>
        <w:t xml:space="preserve">, buscando la transversalización del enfoque de género en los </w:t>
      </w:r>
      <w:r w:rsidR="001D6663" w:rsidRPr="00A40C82">
        <w:rPr>
          <w:rFonts w:ascii="Artifex CF Extra Light" w:eastAsia="Times New Roman" w:hAnsi="Artifex CF Extra Light"/>
          <w:color w:val="1F4E79" w:themeColor="accent1" w:themeShade="80"/>
          <w:spacing w:val="10"/>
          <w:sz w:val="18"/>
          <w:szCs w:val="18"/>
          <w:lang w:val="es-ES"/>
        </w:rPr>
        <w:t>diferentes programas</w:t>
      </w:r>
      <w:r w:rsidRPr="00A40C82">
        <w:rPr>
          <w:rFonts w:ascii="Artifex CF Extra Light" w:eastAsia="Times New Roman" w:hAnsi="Artifex CF Extra Light"/>
          <w:color w:val="1F4E79" w:themeColor="accent1" w:themeShade="80"/>
          <w:spacing w:val="10"/>
          <w:sz w:val="18"/>
          <w:szCs w:val="18"/>
          <w:lang w:val="es-ES"/>
        </w:rPr>
        <w:t xml:space="preserve"> de promoción de exportaciones, sobre todo en el sector de las </w:t>
      </w:r>
      <w:r w:rsidR="00B55A44" w:rsidRPr="00A40C82">
        <w:rPr>
          <w:rFonts w:ascii="Artifex CF Extra Light" w:eastAsia="Times New Roman" w:hAnsi="Artifex CF Extra Light"/>
          <w:color w:val="1F4E79" w:themeColor="accent1" w:themeShade="80"/>
          <w:spacing w:val="10"/>
          <w:sz w:val="18"/>
          <w:szCs w:val="18"/>
          <w:lang w:val="es-ES"/>
        </w:rPr>
        <w:t>MiPymes</w:t>
      </w:r>
      <w:r w:rsidRPr="00A40C82">
        <w:rPr>
          <w:rFonts w:ascii="Artifex CF Extra Light" w:eastAsia="Times New Roman" w:hAnsi="Artifex CF Extra Light"/>
          <w:color w:val="1F4E79" w:themeColor="accent1" w:themeShade="80"/>
          <w:spacing w:val="10"/>
          <w:sz w:val="18"/>
          <w:szCs w:val="18"/>
          <w:lang w:val="es-ES"/>
        </w:rPr>
        <w:t xml:space="preserve">. Para esta iniciativa no solo aunamos esfuerzo con CEPAL, sino también con las entidades nacionales vinculantes al tema, con quienes se coordina una mesa de trabajo interinstitucional entre ellas se destaca el papel del Ministerio de la Mujer, Relaciones Exteriores, Ministerio de Industria Comercio y </w:t>
      </w:r>
      <w:r w:rsidR="00C91AC7" w:rsidRPr="00A40C82">
        <w:rPr>
          <w:rFonts w:ascii="Artifex CF Extra Light" w:eastAsia="Times New Roman" w:hAnsi="Artifex CF Extra Light"/>
          <w:color w:val="1F4E79" w:themeColor="accent1" w:themeShade="80"/>
          <w:spacing w:val="10"/>
          <w:sz w:val="18"/>
          <w:szCs w:val="18"/>
          <w:lang w:val="es-ES"/>
        </w:rPr>
        <w:t>MIPYMES, Banco</w:t>
      </w:r>
      <w:r w:rsidRPr="00A40C82">
        <w:rPr>
          <w:rFonts w:ascii="Artifex CF Extra Light" w:eastAsia="Times New Roman" w:hAnsi="Artifex CF Extra Light"/>
          <w:color w:val="1F4E79" w:themeColor="accent1" w:themeShade="80"/>
          <w:spacing w:val="10"/>
          <w:sz w:val="18"/>
          <w:szCs w:val="18"/>
          <w:lang w:val="es-ES"/>
        </w:rPr>
        <w:t xml:space="preserve"> de Reservas, </w:t>
      </w:r>
      <w:r w:rsidR="001D6663" w:rsidRPr="00A40C82">
        <w:rPr>
          <w:rFonts w:ascii="Artifex CF Extra Light" w:eastAsia="Times New Roman" w:hAnsi="Artifex CF Extra Light"/>
          <w:color w:val="1F4E79" w:themeColor="accent1" w:themeShade="80"/>
          <w:spacing w:val="10"/>
          <w:sz w:val="18"/>
          <w:szCs w:val="18"/>
          <w:lang w:val="es-ES"/>
        </w:rPr>
        <w:t>Aduana, Dirección</w:t>
      </w:r>
      <w:r w:rsidRPr="00A40C82">
        <w:rPr>
          <w:rFonts w:ascii="Artifex CF Extra Light" w:eastAsia="Times New Roman" w:hAnsi="Artifex CF Extra Light"/>
          <w:color w:val="1F4E79" w:themeColor="accent1" w:themeShade="80"/>
          <w:spacing w:val="10"/>
          <w:sz w:val="18"/>
          <w:szCs w:val="18"/>
          <w:lang w:val="es-ES"/>
        </w:rPr>
        <w:t xml:space="preserve"> General de Compras y </w:t>
      </w:r>
      <w:r w:rsidR="001D6663" w:rsidRPr="00A40C82">
        <w:rPr>
          <w:rFonts w:ascii="Artifex CF Extra Light" w:eastAsia="Times New Roman" w:hAnsi="Artifex CF Extra Light"/>
          <w:color w:val="1F4E79" w:themeColor="accent1" w:themeShade="80"/>
          <w:spacing w:val="10"/>
          <w:sz w:val="18"/>
          <w:szCs w:val="18"/>
          <w:lang w:val="es-ES"/>
        </w:rPr>
        <w:t>Contrataciones Públicas</w:t>
      </w:r>
      <w:r w:rsidRPr="00A40C82">
        <w:rPr>
          <w:rFonts w:ascii="Artifex CF Extra Light" w:eastAsia="Times New Roman" w:hAnsi="Artifex CF Extra Light"/>
          <w:color w:val="1F4E79" w:themeColor="accent1" w:themeShade="80"/>
          <w:spacing w:val="10"/>
          <w:sz w:val="18"/>
          <w:szCs w:val="18"/>
          <w:lang w:val="es-ES"/>
        </w:rPr>
        <w:t xml:space="preserve"> y la Oficina Nacional de Estadísticas. </w:t>
      </w:r>
    </w:p>
    <w:p w14:paraId="0812DF03" w14:textId="347C19F0" w:rsidR="00596FBA" w:rsidRPr="00A40C82" w:rsidRDefault="00596FBA" w:rsidP="00864966">
      <w:pPr>
        <w:spacing w:before="380" w:after="120" w:line="456" w:lineRule="auto"/>
        <w:ind w:firstLine="284"/>
        <w:jc w:val="both"/>
        <w:rPr>
          <w:rFonts w:ascii="Artifex CF Extra Light" w:eastAsia="Times New Roman" w:hAnsi="Artifex CF Extra Light"/>
          <w:color w:val="1F4E79" w:themeColor="accent1" w:themeShade="80"/>
          <w:spacing w:val="10"/>
          <w:sz w:val="18"/>
          <w:szCs w:val="18"/>
          <w:lang w:val="es-ES"/>
        </w:rPr>
      </w:pPr>
      <w:r w:rsidRPr="00A40C82">
        <w:rPr>
          <w:rFonts w:ascii="Artifex CF Extra Light" w:eastAsia="Times New Roman" w:hAnsi="Artifex CF Extra Light"/>
          <w:color w:val="1F4E79" w:themeColor="accent1" w:themeShade="80"/>
          <w:spacing w:val="10"/>
          <w:sz w:val="18"/>
          <w:szCs w:val="18"/>
          <w:lang w:val="es-ES"/>
        </w:rPr>
        <w:t xml:space="preserve">En los próximos meses PRODOMINICANA trabaja en la conformación de la “Red de Mujeres Exportadoras”, coordinada por el </w:t>
      </w:r>
      <w:r w:rsidR="0076107D" w:rsidRPr="00A40C82">
        <w:rPr>
          <w:rFonts w:ascii="Artifex CF Extra Light" w:eastAsia="Times New Roman" w:hAnsi="Artifex CF Extra Light"/>
          <w:color w:val="1F4E79" w:themeColor="accent1" w:themeShade="80"/>
          <w:spacing w:val="10"/>
          <w:sz w:val="18"/>
          <w:szCs w:val="18"/>
          <w:lang w:val="es-ES"/>
        </w:rPr>
        <w:t>ProDominicana</w:t>
      </w:r>
      <w:r w:rsidRPr="00A40C82">
        <w:rPr>
          <w:rFonts w:ascii="Artifex CF Extra Light" w:eastAsia="Times New Roman" w:hAnsi="Artifex CF Extra Light"/>
          <w:color w:val="1F4E79" w:themeColor="accent1" w:themeShade="80"/>
          <w:spacing w:val="10"/>
          <w:sz w:val="18"/>
          <w:szCs w:val="18"/>
          <w:lang w:val="es-ES"/>
        </w:rPr>
        <w:t>, con participación de organizaciones gremiales empresariales y empresarias, que abordarán los principales obstáculos que enfrentan sus beneficiarias en los mercados internacionales.</w:t>
      </w:r>
    </w:p>
    <w:p w14:paraId="15567268" w14:textId="77777777" w:rsidR="00BF1AA4" w:rsidRDefault="00BF1AA4">
      <w:pPr>
        <w:rPr>
          <w:rFonts w:ascii="Artifex CF Extra Light" w:eastAsia="Times New Roman" w:hAnsi="Artifex CF Extra Light" w:cs="Calibri"/>
          <w:color w:val="1F4E79" w:themeColor="accent1" w:themeShade="80"/>
          <w:spacing w:val="10"/>
          <w:sz w:val="18"/>
          <w:szCs w:val="18"/>
          <w:lang w:val="es-ES" w:eastAsia="es-ES"/>
        </w:rPr>
      </w:pPr>
      <w:r>
        <w:rPr>
          <w:rFonts w:ascii="Artifex CF Extra Light" w:eastAsia="Times New Roman" w:hAnsi="Artifex CF Extra Light" w:cs="Calibri"/>
          <w:color w:val="1F4E79" w:themeColor="accent1" w:themeShade="80"/>
          <w:spacing w:val="10"/>
          <w:sz w:val="18"/>
          <w:szCs w:val="18"/>
          <w:lang w:val="es-ES" w:eastAsia="es-ES"/>
        </w:rPr>
        <w:br w:type="page"/>
      </w:r>
    </w:p>
    <w:p w14:paraId="57022CC9" w14:textId="4D642118" w:rsidR="00596FBA" w:rsidRPr="00A40C82" w:rsidRDefault="00596FB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lastRenderedPageBreak/>
        <w:t>Red Iberoamericana de Entidades de Promoción de Exportaciones y Atracción de Inversiones (Red Ibero) / P</w:t>
      </w:r>
      <w:r w:rsidR="00B36AAD" w:rsidRPr="00A40C82">
        <w:rPr>
          <w:rFonts w:ascii="Artifex CF Extra Light" w:eastAsia="Times New Roman" w:hAnsi="Artifex CF Extra Light" w:cs="Calibri"/>
          <w:color w:val="1F4E79" w:themeColor="accent1" w:themeShade="80"/>
          <w:spacing w:val="10"/>
          <w:sz w:val="18"/>
          <w:szCs w:val="18"/>
          <w:lang w:val="es-ES" w:eastAsia="es-ES"/>
        </w:rPr>
        <w:t>programa</w:t>
      </w:r>
      <w:r w:rsidRPr="00A40C82">
        <w:rPr>
          <w:rFonts w:ascii="Artifex CF Extra Light" w:eastAsia="Times New Roman" w:hAnsi="Artifex CF Extra Light" w:cs="Calibri"/>
          <w:color w:val="1F4E79" w:themeColor="accent1" w:themeShade="80"/>
          <w:spacing w:val="10"/>
          <w:sz w:val="18"/>
          <w:szCs w:val="18"/>
          <w:lang w:val="es-ES" w:eastAsia="es-ES"/>
        </w:rPr>
        <w:t xml:space="preserve"> “Ganar-Ganar: La igualdad de género es un buen negocio”.</w:t>
      </w:r>
    </w:p>
    <w:p w14:paraId="097D0BCA" w14:textId="082A597E" w:rsidR="00596FBA"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DO"/>
        </w:rPr>
      </w:pPr>
      <w:r w:rsidRPr="00A40C82">
        <w:rPr>
          <w:rFonts w:ascii="Artifex CF Extra Light" w:hAnsi="Artifex CF Extra Light"/>
          <w:color w:val="1F4E79" w:themeColor="accent1" w:themeShade="80"/>
          <w:spacing w:val="10"/>
          <w:sz w:val="18"/>
          <w:szCs w:val="18"/>
          <w:lang w:val="es-DO"/>
        </w:rPr>
        <w:t xml:space="preserve">RED-IBERO: ESTRATEGIA REGIONAL DE PROMOCIÓN DE EXPORTACIONES Y ATRACCIÓN DE INVERSION. Es un Proyecto de Integración </w:t>
      </w:r>
      <w:r w:rsidR="00CD0A75" w:rsidRPr="00A40C82">
        <w:rPr>
          <w:rFonts w:ascii="Artifex CF Extra Light" w:hAnsi="Artifex CF Extra Light"/>
          <w:color w:val="1F4E79" w:themeColor="accent1" w:themeShade="80"/>
          <w:spacing w:val="10"/>
          <w:sz w:val="18"/>
          <w:szCs w:val="18"/>
          <w:lang w:val="es-DO"/>
        </w:rPr>
        <w:t>Regional (</w:t>
      </w:r>
      <w:r w:rsidRPr="00A40C82">
        <w:rPr>
          <w:rFonts w:ascii="Artifex CF Extra Light" w:hAnsi="Artifex CF Extra Light"/>
          <w:color w:val="1F4E79" w:themeColor="accent1" w:themeShade="80"/>
          <w:spacing w:val="10"/>
          <w:sz w:val="18"/>
          <w:szCs w:val="18"/>
          <w:lang w:val="es-DO"/>
        </w:rPr>
        <w:t xml:space="preserve">Bienes Públicos Regionales BPR -BID) que </w:t>
      </w:r>
      <w:r w:rsidR="00CD0A75" w:rsidRPr="00A40C82">
        <w:rPr>
          <w:rFonts w:ascii="Artifex CF Extra Light" w:hAnsi="Artifex CF Extra Light"/>
          <w:color w:val="1F4E79" w:themeColor="accent1" w:themeShade="80"/>
          <w:spacing w:val="10"/>
          <w:sz w:val="18"/>
          <w:szCs w:val="18"/>
          <w:lang w:val="es-DO"/>
        </w:rPr>
        <w:t>contribuye a</w:t>
      </w:r>
      <w:r w:rsidRPr="00A40C82">
        <w:rPr>
          <w:rFonts w:ascii="Artifex CF Extra Light" w:hAnsi="Artifex CF Extra Light"/>
          <w:color w:val="1F4E79" w:themeColor="accent1" w:themeShade="80"/>
          <w:spacing w:val="10"/>
          <w:sz w:val="18"/>
          <w:szCs w:val="18"/>
          <w:lang w:val="es-DO"/>
        </w:rPr>
        <w:t xml:space="preserve"> la intensificación de las relaciones económicas, comerciales y de inversión entre las agencias de los países iberoamericanos, a través del intercambio de experiencias, el debate de temas de interés común, el desarrollo de proyectos conjuntos y cualquier otra iniciativa que se considere de interés. </w:t>
      </w:r>
    </w:p>
    <w:p w14:paraId="28CEF0DE" w14:textId="7060F830" w:rsidR="00070F28" w:rsidRPr="00A40C82" w:rsidRDefault="00596FBA"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DO"/>
        </w:rPr>
      </w:pPr>
      <w:r w:rsidRPr="00A40C82">
        <w:rPr>
          <w:rFonts w:ascii="Artifex CF Extra Light" w:eastAsia="Times New Roman" w:hAnsi="Artifex CF Extra Light"/>
          <w:color w:val="1F4E79" w:themeColor="accent1" w:themeShade="80"/>
          <w:spacing w:val="10"/>
          <w:sz w:val="18"/>
          <w:szCs w:val="18"/>
          <w:lang w:val="es-ES"/>
        </w:rPr>
        <w:t>En el 2018, en el marco de la II reunión anual de la Red Iberoamericana de Entidades de Promoción de Exportaciones y Atracción de Inversiones (Red Ibero), se firmó en Buenos Aires, Argentina, un acuerdo con ONU Mujeres para apoyar el programa “Ganar-Ganar: La igualdad de género es un buen negocio”. La Red que tiene un eje de trabajo enfocado en promover la igualdad de género y el fortalecimiento de las empresas lideradas por mujeres, junto a la ONU, la Organización Internacional del Trabajo y la Unión Europea  implementan el programa regional Ganar-Ganar, con el cual están apostando por unir esfuerzos para fortalecer las capacidades de las agencias de promoción de exportación para impulsar el empoderamiento económico de las mujeres y la internacionalización de las empresas lideradas por ellas.</w:t>
      </w:r>
      <w:r w:rsidRPr="00A40C82">
        <w:rPr>
          <w:rFonts w:ascii="Artifex CF Extra Light" w:hAnsi="Artifex CF Extra Light"/>
          <w:color w:val="1F4E79" w:themeColor="accent1" w:themeShade="80"/>
          <w:spacing w:val="10"/>
          <w:sz w:val="18"/>
          <w:szCs w:val="18"/>
          <w:lang w:val="es-DO"/>
        </w:rPr>
        <w:t xml:space="preserve"> </w:t>
      </w:r>
    </w:p>
    <w:p w14:paraId="016588F9" w14:textId="5F7AC3DC" w:rsidR="00F66CCF" w:rsidRPr="00A40C82" w:rsidRDefault="002C13AB"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 xml:space="preserve">Por otro lado, ProDominicana </w:t>
      </w:r>
      <w:r w:rsidR="00070F28" w:rsidRPr="00A40C82">
        <w:rPr>
          <w:rFonts w:ascii="Artifex CF Extra Light" w:hAnsi="Artifex CF Extra Light" w:cs="Times New Roman"/>
          <w:color w:val="1F4E79" w:themeColor="accent1" w:themeShade="80"/>
          <w:spacing w:val="10"/>
          <w:sz w:val="18"/>
          <w:szCs w:val="18"/>
          <w:lang w:val="es-DO"/>
        </w:rPr>
        <w:t xml:space="preserve">ha puesto en marcha varios planes y acciones que buscan intensificar los esfuerzos por el logro de la agenda 2030. </w:t>
      </w:r>
      <w:r w:rsidR="00F07D5A" w:rsidRPr="00A40C82">
        <w:rPr>
          <w:rFonts w:ascii="Artifex CF Extra Light" w:hAnsi="Artifex CF Extra Light" w:cs="Times New Roman"/>
          <w:color w:val="1F4E79" w:themeColor="accent1" w:themeShade="80"/>
          <w:spacing w:val="10"/>
          <w:sz w:val="18"/>
          <w:szCs w:val="18"/>
          <w:lang w:val="es-DO"/>
        </w:rPr>
        <w:t>E</w:t>
      </w:r>
      <w:r w:rsidR="00B45B0A" w:rsidRPr="00A40C82">
        <w:rPr>
          <w:rFonts w:ascii="Artifex CF Extra Light" w:hAnsi="Artifex CF Extra Light" w:cs="Times New Roman"/>
          <w:color w:val="1F4E79" w:themeColor="accent1" w:themeShade="80"/>
          <w:spacing w:val="10"/>
          <w:sz w:val="18"/>
          <w:szCs w:val="18"/>
          <w:lang w:val="es-DO"/>
        </w:rPr>
        <w:t xml:space="preserve">stos proyectos y acciones son: </w:t>
      </w:r>
    </w:p>
    <w:p w14:paraId="4C336EFF" w14:textId="77777777" w:rsidR="00BF1AA4" w:rsidRDefault="00BF1AA4">
      <w:pPr>
        <w:rPr>
          <w:rFonts w:ascii="Artifex CF Extra Light" w:eastAsia="Arial" w:hAnsi="Artifex CF Extra Light" w:cs="Arial"/>
          <w:b/>
          <w:color w:val="1F4E79" w:themeColor="accent1" w:themeShade="80"/>
          <w:spacing w:val="10"/>
          <w:sz w:val="18"/>
          <w:szCs w:val="18"/>
          <w:lang w:val="es-DO"/>
        </w:rPr>
      </w:pPr>
      <w:r>
        <w:rPr>
          <w:rFonts w:ascii="Artifex CF Extra Light" w:eastAsia="Arial" w:hAnsi="Artifex CF Extra Light" w:cs="Arial"/>
          <w:b/>
          <w:color w:val="1F4E79" w:themeColor="accent1" w:themeShade="80"/>
          <w:spacing w:val="10"/>
          <w:sz w:val="18"/>
          <w:szCs w:val="18"/>
          <w:lang w:val="es-DO"/>
        </w:rPr>
        <w:br w:type="page"/>
      </w:r>
    </w:p>
    <w:p w14:paraId="0ADF3202" w14:textId="306FCDB5" w:rsidR="0042626C" w:rsidRPr="00A40C82" w:rsidRDefault="00E51868" w:rsidP="00864966">
      <w:pPr>
        <w:pBdr>
          <w:top w:val="nil"/>
          <w:left w:val="nil"/>
          <w:bottom w:val="nil"/>
          <w:right w:val="nil"/>
          <w:between w:val="nil"/>
        </w:pBdr>
        <w:shd w:val="clear" w:color="auto" w:fill="FFFFFF"/>
        <w:spacing w:before="380" w:after="120" w:line="456" w:lineRule="auto"/>
        <w:ind w:firstLine="284"/>
        <w:jc w:val="both"/>
        <w:rPr>
          <w:rFonts w:ascii="Artifex CF Extra Light" w:eastAsia="Arial" w:hAnsi="Artifex CF Extra Light" w:cs="Arial"/>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lastRenderedPageBreak/>
        <w:t xml:space="preserve">ODS </w:t>
      </w:r>
      <w:r w:rsidR="00E011CD" w:rsidRPr="00A40C82">
        <w:rPr>
          <w:rFonts w:ascii="Artifex CF Extra Light" w:eastAsia="Arial" w:hAnsi="Artifex CF Extra Light" w:cs="Arial"/>
          <w:b/>
          <w:color w:val="1F4E79" w:themeColor="accent1" w:themeShade="80"/>
          <w:spacing w:val="10"/>
          <w:sz w:val="18"/>
          <w:szCs w:val="18"/>
          <w:lang w:val="es-DO"/>
        </w:rPr>
        <w:t>3</w:t>
      </w:r>
      <w:r w:rsidRPr="00A40C82">
        <w:rPr>
          <w:rFonts w:ascii="Artifex CF Extra Light" w:eastAsia="Arial" w:hAnsi="Artifex CF Extra Light" w:cs="Arial"/>
          <w:b/>
          <w:color w:val="1F4E79" w:themeColor="accent1" w:themeShade="80"/>
          <w:spacing w:val="10"/>
          <w:sz w:val="18"/>
          <w:szCs w:val="18"/>
          <w:lang w:val="es-DO"/>
        </w:rPr>
        <w:t xml:space="preserve">: </w:t>
      </w:r>
      <w:r w:rsidR="00E011CD" w:rsidRPr="00A40C82">
        <w:rPr>
          <w:rFonts w:ascii="Artifex CF Extra Light" w:hAnsi="Artifex CF Extra Light" w:cs="Times New Roman"/>
          <w:b/>
          <w:color w:val="1F4E79" w:themeColor="accent1" w:themeShade="80"/>
          <w:spacing w:val="10"/>
          <w:sz w:val="18"/>
          <w:szCs w:val="18"/>
          <w:lang w:val="es-DO"/>
        </w:rPr>
        <w:t>Garantizar una vida sana y promover el bienestar de todos a todas las edades.</w:t>
      </w:r>
    </w:p>
    <w:p w14:paraId="1EA041C5" w14:textId="77777777" w:rsidR="0042626C" w:rsidRPr="00A40C82" w:rsidRDefault="00E51868" w:rsidP="00864966">
      <w:pPr>
        <w:pBdr>
          <w:top w:val="nil"/>
          <w:left w:val="nil"/>
          <w:bottom w:val="nil"/>
          <w:right w:val="nil"/>
          <w:between w:val="nil"/>
        </w:pBdr>
        <w:shd w:val="clear" w:color="auto" w:fill="FFFFFF"/>
        <w:spacing w:before="380" w:after="120" w:line="456" w:lineRule="auto"/>
        <w:ind w:firstLine="284"/>
        <w:jc w:val="both"/>
        <w:rPr>
          <w:rFonts w:ascii="Artifex CF Extra Light" w:eastAsia="Arial" w:hAnsi="Artifex CF Extra Light" w:cs="Arial"/>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t>ODS 1</w:t>
      </w:r>
      <w:r w:rsidR="00E011CD" w:rsidRPr="00A40C82">
        <w:rPr>
          <w:rFonts w:ascii="Artifex CF Extra Light" w:eastAsia="Arial" w:hAnsi="Artifex CF Extra Light" w:cs="Arial"/>
          <w:b/>
          <w:color w:val="1F4E79" w:themeColor="accent1" w:themeShade="80"/>
          <w:spacing w:val="10"/>
          <w:sz w:val="18"/>
          <w:szCs w:val="18"/>
          <w:lang w:val="es-DO"/>
        </w:rPr>
        <w:t>1</w:t>
      </w:r>
      <w:r w:rsidRPr="00A40C82">
        <w:rPr>
          <w:rFonts w:ascii="Artifex CF Extra Light" w:eastAsia="Arial" w:hAnsi="Artifex CF Extra Light" w:cs="Arial"/>
          <w:b/>
          <w:color w:val="1F4E79" w:themeColor="accent1" w:themeShade="80"/>
          <w:spacing w:val="10"/>
          <w:sz w:val="18"/>
          <w:szCs w:val="18"/>
          <w:lang w:val="es-DO"/>
        </w:rPr>
        <w:t xml:space="preserve">: </w:t>
      </w:r>
      <w:r w:rsidR="00E011CD" w:rsidRPr="00A40C82">
        <w:rPr>
          <w:rFonts w:ascii="Artifex CF Extra Light" w:hAnsi="Artifex CF Extra Light" w:cs="Times New Roman"/>
          <w:b/>
          <w:color w:val="1F4E79" w:themeColor="accent1" w:themeShade="80"/>
          <w:spacing w:val="10"/>
          <w:sz w:val="18"/>
          <w:szCs w:val="18"/>
          <w:lang w:val="es-DO"/>
        </w:rPr>
        <w:t>Lograr que las ciudades y los asentamientos humanos sean inclusivos, seguros, resilientes y sostenibles.</w:t>
      </w:r>
    </w:p>
    <w:p w14:paraId="23550629" w14:textId="77777777" w:rsidR="0042626C" w:rsidRPr="00A40C82" w:rsidRDefault="00E011CD" w:rsidP="00864966">
      <w:pPr>
        <w:pBdr>
          <w:top w:val="nil"/>
          <w:left w:val="nil"/>
          <w:bottom w:val="nil"/>
          <w:right w:val="nil"/>
          <w:between w:val="nil"/>
        </w:pBdr>
        <w:shd w:val="clear" w:color="auto" w:fill="FFFFFF"/>
        <w:spacing w:before="380" w:after="120" w:line="456" w:lineRule="auto"/>
        <w:ind w:firstLine="284"/>
        <w:jc w:val="both"/>
        <w:rPr>
          <w:rFonts w:ascii="Artifex CF Extra Light" w:eastAsia="Arial" w:hAnsi="Artifex CF Extra Light" w:cs="Arial"/>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t>ODS 13: Adoptar medidas urgentes para combatir el cambio climático y sus efectos</w:t>
      </w:r>
    </w:p>
    <w:p w14:paraId="6D35B548" w14:textId="46C23416" w:rsidR="00F66CCF" w:rsidRPr="00A40C82" w:rsidRDefault="00070F28"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Ciclo parqueadero o parqueo de bicicletas</w:t>
      </w:r>
    </w:p>
    <w:p w14:paraId="7CAFB138" w14:textId="63949BAD" w:rsidR="000E3A21" w:rsidRPr="00A40C82" w:rsidRDefault="49236323"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 xml:space="preserve">Este proyecto </w:t>
      </w:r>
      <w:r w:rsidR="78E607FE" w:rsidRPr="00A40C82">
        <w:rPr>
          <w:rFonts w:ascii="Artifex CF Extra Light" w:hAnsi="Artifex CF Extra Light" w:cs="Times New Roman"/>
          <w:color w:val="1F4E79" w:themeColor="accent1" w:themeShade="80"/>
          <w:spacing w:val="10"/>
          <w:sz w:val="18"/>
          <w:szCs w:val="18"/>
          <w:lang w:val="es-DO"/>
        </w:rPr>
        <w:t>consistió</w:t>
      </w:r>
      <w:r w:rsidRPr="00A40C82">
        <w:rPr>
          <w:rFonts w:ascii="Artifex CF Extra Light" w:hAnsi="Artifex CF Extra Light" w:cs="Times New Roman"/>
          <w:color w:val="1F4E79" w:themeColor="accent1" w:themeShade="80"/>
          <w:spacing w:val="10"/>
          <w:sz w:val="18"/>
          <w:szCs w:val="18"/>
          <w:lang w:val="es-DO"/>
        </w:rPr>
        <w:t xml:space="preserve"> en </w:t>
      </w:r>
      <w:r w:rsidR="000E3A21" w:rsidRPr="00A40C82">
        <w:rPr>
          <w:rFonts w:ascii="Artifex CF Extra Light" w:hAnsi="Artifex CF Extra Light" w:cs="Times New Roman"/>
          <w:color w:val="1F4E79" w:themeColor="accent1" w:themeShade="80"/>
          <w:spacing w:val="10"/>
          <w:sz w:val="18"/>
          <w:szCs w:val="18"/>
          <w:lang w:val="es-DO"/>
        </w:rPr>
        <w:t>destina</w:t>
      </w:r>
      <w:r w:rsidR="30FDC4F5" w:rsidRPr="00A40C82">
        <w:rPr>
          <w:rFonts w:ascii="Artifex CF Extra Light" w:hAnsi="Artifex CF Extra Light" w:cs="Times New Roman"/>
          <w:color w:val="1F4E79" w:themeColor="accent1" w:themeShade="80"/>
          <w:spacing w:val="10"/>
          <w:sz w:val="18"/>
          <w:szCs w:val="18"/>
          <w:lang w:val="es-DO"/>
        </w:rPr>
        <w:t>r</w:t>
      </w:r>
      <w:r w:rsidR="000E3A21" w:rsidRPr="00A40C82">
        <w:rPr>
          <w:rFonts w:ascii="Artifex CF Extra Light" w:hAnsi="Artifex CF Extra Light" w:cs="Times New Roman"/>
          <w:color w:val="1F4E79" w:themeColor="accent1" w:themeShade="80"/>
          <w:spacing w:val="10"/>
          <w:sz w:val="18"/>
          <w:szCs w:val="18"/>
          <w:lang w:val="es-DO"/>
        </w:rPr>
        <w:t xml:space="preserve"> un espacio en Pro</w:t>
      </w:r>
      <w:r w:rsidR="00A15AFE" w:rsidRPr="00A40C82">
        <w:rPr>
          <w:rFonts w:ascii="Artifex CF Extra Light" w:hAnsi="Artifex CF Extra Light" w:cs="Times New Roman"/>
          <w:color w:val="1F4E79" w:themeColor="accent1" w:themeShade="80"/>
          <w:spacing w:val="10"/>
          <w:sz w:val="18"/>
          <w:szCs w:val="18"/>
          <w:lang w:val="es-DO"/>
        </w:rPr>
        <w:t>D</w:t>
      </w:r>
      <w:r w:rsidR="000E3A21" w:rsidRPr="00A40C82">
        <w:rPr>
          <w:rFonts w:ascii="Artifex CF Extra Light" w:hAnsi="Artifex CF Extra Light" w:cs="Times New Roman"/>
          <w:color w:val="1F4E79" w:themeColor="accent1" w:themeShade="80"/>
          <w:spacing w:val="10"/>
          <w:sz w:val="18"/>
          <w:szCs w:val="18"/>
          <w:lang w:val="es-DO"/>
        </w:rPr>
        <w:t>ominicana, para el estacionamiento de bicicletas, de modo tal que los colaboradores que cuenten con este vehículo puedan pues tener este espacio con garantía de disponibilidad, seguridad y confort. Siendo esta una iniciativa que promueve la sostenibilidad y cuidado del medio ambiente, como el uso de las bicicletas, ya que se trata de un medio de transporte sostenible.</w:t>
      </w:r>
    </w:p>
    <w:p w14:paraId="226DB981" w14:textId="48EB2280" w:rsidR="00863FD7" w:rsidRPr="00A40C82" w:rsidRDefault="000E3A21"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El tener un ciclo parqueadero en la institución garantiza que al usar la bicicleta como medio de transporte por parte de los colaboradores, visitantes de Pro</w:t>
      </w:r>
      <w:r w:rsidR="00A15AFE" w:rsidRPr="00A40C82">
        <w:rPr>
          <w:rFonts w:ascii="Artifex CF Extra Light" w:hAnsi="Artifex CF Extra Light" w:cs="Times New Roman"/>
          <w:color w:val="1F4E79" w:themeColor="accent1" w:themeShade="80"/>
          <w:spacing w:val="10"/>
          <w:sz w:val="18"/>
          <w:szCs w:val="18"/>
          <w:lang w:val="es-DO"/>
        </w:rPr>
        <w:t>D</w:t>
      </w:r>
      <w:r w:rsidRPr="00A40C82">
        <w:rPr>
          <w:rFonts w:ascii="Artifex CF Extra Light" w:hAnsi="Artifex CF Extra Light" w:cs="Times New Roman"/>
          <w:color w:val="1F4E79" w:themeColor="accent1" w:themeShade="80"/>
          <w:spacing w:val="10"/>
          <w:sz w:val="18"/>
          <w:szCs w:val="18"/>
          <w:lang w:val="es-DO"/>
        </w:rPr>
        <w:t>ominicana, un impact</w:t>
      </w:r>
      <w:r w:rsidR="00863FD7" w:rsidRPr="00A40C82">
        <w:rPr>
          <w:rFonts w:ascii="Artifex CF Extra Light" w:hAnsi="Artifex CF Extra Light" w:cs="Times New Roman"/>
          <w:color w:val="1F4E79" w:themeColor="accent1" w:themeShade="80"/>
          <w:spacing w:val="10"/>
          <w:sz w:val="18"/>
          <w:szCs w:val="18"/>
          <w:lang w:val="es-DO"/>
        </w:rPr>
        <w:t xml:space="preserve">o </w:t>
      </w:r>
      <w:r w:rsidRPr="00A40C82">
        <w:rPr>
          <w:rFonts w:ascii="Artifex CF Extra Light" w:hAnsi="Artifex CF Extra Light" w:cs="Times New Roman"/>
          <w:color w:val="1F4E79" w:themeColor="accent1" w:themeShade="80"/>
          <w:spacing w:val="10"/>
          <w:sz w:val="18"/>
          <w:szCs w:val="18"/>
          <w:lang w:val="es-DO"/>
        </w:rPr>
        <w:t>directo en el logro de los objetivos de desarrollo sostenible</w:t>
      </w:r>
      <w:r w:rsidR="00812633" w:rsidRPr="00A40C82">
        <w:rPr>
          <w:rFonts w:ascii="Artifex CF Extra Light" w:hAnsi="Artifex CF Extra Light" w:cs="Times New Roman"/>
          <w:color w:val="1F4E79" w:themeColor="accent1" w:themeShade="80"/>
          <w:spacing w:val="10"/>
          <w:sz w:val="18"/>
          <w:szCs w:val="18"/>
          <w:lang w:val="es-DO"/>
        </w:rPr>
        <w:t>.</w:t>
      </w:r>
    </w:p>
    <w:p w14:paraId="7380976B" w14:textId="64D6E074" w:rsidR="000E3A21" w:rsidRPr="00A40C82" w:rsidRDefault="000E3A21"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Es importante destacar también, que en seguimiento al impacto de la actual pandemia</w:t>
      </w:r>
    </w:p>
    <w:p w14:paraId="547342CF" w14:textId="46AC6485" w:rsidR="00863FD7" w:rsidRPr="00A40C82" w:rsidRDefault="000E3A21"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mundial COVID-19, la incorporación de los estacionamientos de bicicletas y el incentivo a los</w:t>
      </w:r>
      <w:r w:rsidR="00863FD7" w:rsidRPr="00A40C82">
        <w:rPr>
          <w:rFonts w:ascii="Artifex CF Extra Light" w:hAnsi="Artifex CF Extra Light" w:cs="Times New Roman"/>
          <w:color w:val="1F4E79" w:themeColor="accent1" w:themeShade="80"/>
          <w:spacing w:val="10"/>
          <w:sz w:val="18"/>
          <w:szCs w:val="18"/>
          <w:lang w:val="es-DO"/>
        </w:rPr>
        <w:t xml:space="preserve"> </w:t>
      </w:r>
      <w:r w:rsidRPr="00A40C82">
        <w:rPr>
          <w:rFonts w:ascii="Artifex CF Extra Light" w:hAnsi="Artifex CF Extra Light" w:cs="Times New Roman"/>
          <w:color w:val="1F4E79" w:themeColor="accent1" w:themeShade="80"/>
          <w:spacing w:val="10"/>
          <w:sz w:val="18"/>
          <w:szCs w:val="18"/>
          <w:lang w:val="es-DO"/>
        </w:rPr>
        <w:t>colaboradores del uso de este medio de transporte, aporta también al apoyo de las medidas</w:t>
      </w:r>
      <w:r w:rsidR="00863FD7" w:rsidRPr="00A40C82">
        <w:rPr>
          <w:rFonts w:ascii="Artifex CF Extra Light" w:hAnsi="Artifex CF Extra Light" w:cs="Times New Roman"/>
          <w:color w:val="1F4E79" w:themeColor="accent1" w:themeShade="80"/>
          <w:spacing w:val="10"/>
          <w:sz w:val="18"/>
          <w:szCs w:val="18"/>
          <w:lang w:val="es-DO"/>
        </w:rPr>
        <w:t xml:space="preserve"> </w:t>
      </w:r>
      <w:r w:rsidRPr="00A40C82">
        <w:rPr>
          <w:rFonts w:ascii="Artifex CF Extra Light" w:hAnsi="Artifex CF Extra Light" w:cs="Times New Roman"/>
          <w:color w:val="1F4E79" w:themeColor="accent1" w:themeShade="80"/>
          <w:spacing w:val="10"/>
          <w:sz w:val="18"/>
          <w:szCs w:val="18"/>
          <w:lang w:val="es-DO"/>
        </w:rPr>
        <w:t>que previenen el contagio del COVID-19, puesto que la bicicleta tiene la característica de ser</w:t>
      </w:r>
      <w:r w:rsidR="00863FD7" w:rsidRPr="00A40C82">
        <w:rPr>
          <w:rFonts w:ascii="Artifex CF Extra Light" w:hAnsi="Artifex CF Extra Light" w:cs="Times New Roman"/>
          <w:color w:val="1F4E79" w:themeColor="accent1" w:themeShade="80"/>
          <w:spacing w:val="10"/>
          <w:sz w:val="18"/>
          <w:szCs w:val="18"/>
          <w:lang w:val="es-DO"/>
        </w:rPr>
        <w:t xml:space="preserve"> </w:t>
      </w:r>
      <w:r w:rsidRPr="00A40C82">
        <w:rPr>
          <w:rFonts w:ascii="Artifex CF Extra Light" w:hAnsi="Artifex CF Extra Light" w:cs="Times New Roman"/>
          <w:color w:val="1F4E79" w:themeColor="accent1" w:themeShade="80"/>
          <w:spacing w:val="10"/>
          <w:sz w:val="18"/>
          <w:szCs w:val="18"/>
          <w:lang w:val="es-DO"/>
        </w:rPr>
        <w:t>un medio de transporte o vehículo individual, permitiendo la distancia entre las personas,</w:t>
      </w:r>
      <w:r w:rsidR="00863FD7" w:rsidRPr="00A40C82">
        <w:rPr>
          <w:rFonts w:ascii="Artifex CF Extra Light" w:hAnsi="Artifex CF Extra Light" w:cs="Times New Roman"/>
          <w:color w:val="1F4E79" w:themeColor="accent1" w:themeShade="80"/>
          <w:spacing w:val="10"/>
          <w:sz w:val="18"/>
          <w:szCs w:val="18"/>
          <w:lang w:val="es-DO"/>
        </w:rPr>
        <w:t xml:space="preserve"> </w:t>
      </w:r>
      <w:r w:rsidRPr="00A40C82">
        <w:rPr>
          <w:rFonts w:ascii="Artifex CF Extra Light" w:hAnsi="Artifex CF Extra Light" w:cs="Times New Roman"/>
          <w:color w:val="1F4E79" w:themeColor="accent1" w:themeShade="80"/>
          <w:spacing w:val="10"/>
          <w:sz w:val="18"/>
          <w:szCs w:val="18"/>
          <w:lang w:val="es-DO"/>
        </w:rPr>
        <w:t xml:space="preserve">además es económico y no contamina el </w:t>
      </w:r>
      <w:r w:rsidRPr="00A40C82">
        <w:rPr>
          <w:rFonts w:ascii="Artifex CF Extra Light" w:hAnsi="Artifex CF Extra Light" w:cs="Times New Roman"/>
          <w:color w:val="1F4E79" w:themeColor="accent1" w:themeShade="80"/>
          <w:spacing w:val="10"/>
          <w:sz w:val="18"/>
          <w:szCs w:val="18"/>
          <w:lang w:val="es-DO"/>
        </w:rPr>
        <w:lastRenderedPageBreak/>
        <w:t>aire, factor que agrava los problemas respiratorios</w:t>
      </w:r>
      <w:r w:rsidR="00863FD7" w:rsidRPr="00A40C82">
        <w:rPr>
          <w:rFonts w:ascii="Artifex CF Extra Light" w:hAnsi="Artifex CF Extra Light" w:cs="Times New Roman"/>
          <w:color w:val="1F4E79" w:themeColor="accent1" w:themeShade="80"/>
          <w:spacing w:val="10"/>
          <w:sz w:val="18"/>
          <w:szCs w:val="18"/>
          <w:lang w:val="es-DO"/>
        </w:rPr>
        <w:t xml:space="preserve"> </w:t>
      </w:r>
      <w:r w:rsidRPr="00A40C82">
        <w:rPr>
          <w:rFonts w:ascii="Artifex CF Extra Light" w:hAnsi="Artifex CF Extra Light" w:cs="Times New Roman"/>
          <w:color w:val="1F4E79" w:themeColor="accent1" w:themeShade="80"/>
          <w:spacing w:val="10"/>
          <w:sz w:val="18"/>
          <w:szCs w:val="18"/>
          <w:lang w:val="es-DO"/>
        </w:rPr>
        <w:t>ocasionados por el virus según la OPS/OMS.</w:t>
      </w:r>
    </w:p>
    <w:p w14:paraId="69C95A40" w14:textId="3617144A" w:rsidR="00975B67" w:rsidRPr="00A40C82" w:rsidRDefault="000E3A21"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Actualmente contamos para con los estacionamientos debidamente identificados y</w:t>
      </w:r>
      <w:r w:rsidR="00863FD7" w:rsidRPr="00A40C82">
        <w:rPr>
          <w:rFonts w:ascii="Artifex CF Extra Light" w:hAnsi="Artifex CF Extra Light" w:cs="Times New Roman"/>
          <w:color w:val="1F4E79" w:themeColor="accent1" w:themeShade="80"/>
          <w:spacing w:val="10"/>
          <w:sz w:val="18"/>
          <w:szCs w:val="18"/>
          <w:lang w:val="es-DO"/>
        </w:rPr>
        <w:t xml:space="preserve"> </w:t>
      </w:r>
      <w:r w:rsidRPr="00A40C82">
        <w:rPr>
          <w:rFonts w:ascii="Artifex CF Extra Light" w:hAnsi="Artifex CF Extra Light" w:cs="Times New Roman"/>
          <w:color w:val="1F4E79" w:themeColor="accent1" w:themeShade="80"/>
          <w:spacing w:val="10"/>
          <w:sz w:val="18"/>
          <w:szCs w:val="18"/>
          <w:lang w:val="es-DO"/>
        </w:rPr>
        <w:t>disponibles para su uso.</w:t>
      </w:r>
    </w:p>
    <w:p w14:paraId="501CBFBE" w14:textId="77777777" w:rsidR="0042626C" w:rsidRPr="00A40C82" w:rsidRDefault="00975B67" w:rsidP="00864966">
      <w:pPr>
        <w:pBdr>
          <w:top w:val="nil"/>
          <w:left w:val="nil"/>
          <w:bottom w:val="nil"/>
          <w:right w:val="nil"/>
          <w:between w:val="nil"/>
        </w:pBdr>
        <w:shd w:val="clear" w:color="auto" w:fill="FFFFFF"/>
        <w:spacing w:before="380" w:after="120" w:line="456" w:lineRule="auto"/>
        <w:ind w:firstLine="284"/>
        <w:jc w:val="both"/>
        <w:rPr>
          <w:rFonts w:ascii="Artifex CF Extra Light" w:eastAsia="Arial" w:hAnsi="Artifex CF Extra Light" w:cs="Arial"/>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t xml:space="preserve">ODS 11: </w:t>
      </w:r>
      <w:r w:rsidRPr="00A40C82">
        <w:rPr>
          <w:rFonts w:ascii="Artifex CF Extra Light" w:hAnsi="Artifex CF Extra Light" w:cs="Times New Roman"/>
          <w:b/>
          <w:color w:val="1F4E79" w:themeColor="accent1" w:themeShade="80"/>
          <w:spacing w:val="10"/>
          <w:sz w:val="18"/>
          <w:szCs w:val="18"/>
          <w:lang w:val="es-DO"/>
        </w:rPr>
        <w:t>Lograr que las ciudades y los asentamientos humanos sean inclusivos, seguros, resilientes y sostenibles</w:t>
      </w:r>
      <w:r w:rsidR="0042626C" w:rsidRPr="00A40C82">
        <w:rPr>
          <w:rFonts w:ascii="Artifex CF Extra Light" w:hAnsi="Artifex CF Extra Light" w:cs="Times New Roman"/>
          <w:b/>
          <w:color w:val="1F4E79" w:themeColor="accent1" w:themeShade="80"/>
          <w:spacing w:val="10"/>
          <w:sz w:val="18"/>
          <w:szCs w:val="18"/>
          <w:lang w:val="es-DO"/>
        </w:rPr>
        <w:t>.</w:t>
      </w:r>
    </w:p>
    <w:p w14:paraId="4C86AD60" w14:textId="77777777" w:rsidR="0042626C" w:rsidRPr="00A40C82" w:rsidRDefault="00975B67" w:rsidP="00864966">
      <w:pPr>
        <w:pBdr>
          <w:top w:val="nil"/>
          <w:left w:val="nil"/>
          <w:bottom w:val="nil"/>
          <w:right w:val="nil"/>
          <w:between w:val="nil"/>
        </w:pBdr>
        <w:shd w:val="clear" w:color="auto" w:fill="FFFFFF"/>
        <w:spacing w:before="380" w:after="120" w:line="456" w:lineRule="auto"/>
        <w:ind w:firstLine="284"/>
        <w:jc w:val="both"/>
        <w:rPr>
          <w:rFonts w:ascii="Artifex CF Extra Light" w:eastAsia="Arial" w:hAnsi="Artifex CF Extra Light" w:cs="Arial"/>
          <w:b/>
          <w:color w:val="1F4E79" w:themeColor="accent1" w:themeShade="80"/>
          <w:spacing w:val="10"/>
          <w:sz w:val="18"/>
          <w:szCs w:val="18"/>
          <w:lang w:val="es-DO"/>
        </w:rPr>
      </w:pPr>
      <w:r w:rsidRPr="00A40C82">
        <w:rPr>
          <w:rFonts w:ascii="Artifex CF Extra Light" w:eastAsia="Arial" w:hAnsi="Artifex CF Extra Light" w:cs="Arial"/>
          <w:b/>
          <w:color w:val="1F4E79" w:themeColor="accent1" w:themeShade="80"/>
          <w:spacing w:val="10"/>
          <w:sz w:val="18"/>
          <w:szCs w:val="18"/>
          <w:lang w:val="es-DO"/>
        </w:rPr>
        <w:t>ODS 13: Adoptar medidas urgentes para combatir el cambio climático y sus efectos</w:t>
      </w:r>
    </w:p>
    <w:p w14:paraId="185B879C" w14:textId="21F198FC" w:rsidR="00D2202B" w:rsidRPr="00A40C82" w:rsidRDefault="00070F28"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Estaciones de carga para vehículos eléctricos</w:t>
      </w:r>
    </w:p>
    <w:p w14:paraId="24E7CFC0" w14:textId="147E058E" w:rsidR="008545A8" w:rsidRPr="00A40C82" w:rsidRDefault="00404F7F"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 xml:space="preserve">ProDominicana se suma nuevamente al cumplimiento de los objetivos marcados y al Plan Estratégico Nacional de Movilidad Eléctrica, el cual surge como parte de los objetivos principales de formación de una mesa de trabajo en energía alternativa al transporte, la cual da respuesta al compromiso asumido por el país en la declaración y el llamado a la acción de París sobre la movilidad eléctrica y el cambio climático (COP21), con el </w:t>
      </w:r>
      <w:r w:rsidR="59AEBE01" w:rsidRPr="00A40C82">
        <w:rPr>
          <w:rFonts w:ascii="Artifex CF Extra Light" w:hAnsi="Artifex CF Extra Light" w:cs="Times New Roman"/>
          <w:color w:val="1F4E79" w:themeColor="accent1" w:themeShade="80"/>
          <w:spacing w:val="10"/>
          <w:sz w:val="18"/>
          <w:szCs w:val="18"/>
          <w:lang w:val="es-DO"/>
        </w:rPr>
        <w:t>fin</w:t>
      </w:r>
      <w:r w:rsidRPr="00A40C82">
        <w:rPr>
          <w:rFonts w:ascii="Artifex CF Extra Light" w:hAnsi="Artifex CF Extra Light" w:cs="Times New Roman"/>
          <w:color w:val="1F4E79" w:themeColor="accent1" w:themeShade="80"/>
          <w:spacing w:val="10"/>
          <w:sz w:val="18"/>
          <w:szCs w:val="18"/>
          <w:lang w:val="es-DO"/>
        </w:rPr>
        <w:t xml:space="preserve"> de reducir en un 25% las emisiones de gases de efecto invernadero (GEI), al 2030. </w:t>
      </w:r>
    </w:p>
    <w:p w14:paraId="0DA1F0B5" w14:textId="317E0312" w:rsidR="005A077F" w:rsidRPr="00A40C82" w:rsidRDefault="00404F7F"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 xml:space="preserve">Para ello se firma un acuerdo con INTERENERGY SYSTEMS, de modo que juntos formemos una alianza para apoyar e impulsar la movilidad sostenible a través de la instalación de estaciones de carga Evergo e INTERENERGY SYSTEMS. </w:t>
      </w:r>
    </w:p>
    <w:p w14:paraId="3252F403" w14:textId="0AD2CA5E" w:rsidR="005A077F" w:rsidRPr="00A40C82" w:rsidRDefault="00404F7F"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Desde Pro</w:t>
      </w:r>
      <w:r w:rsidR="00433E24" w:rsidRPr="00A40C82">
        <w:rPr>
          <w:rFonts w:ascii="Artifex CF Extra Light" w:hAnsi="Artifex CF Extra Light" w:cs="Times New Roman"/>
          <w:color w:val="1F4E79" w:themeColor="accent1" w:themeShade="80"/>
          <w:spacing w:val="10"/>
          <w:sz w:val="18"/>
          <w:szCs w:val="18"/>
          <w:lang w:val="es-DO"/>
        </w:rPr>
        <w:t>D</w:t>
      </w:r>
      <w:r w:rsidRPr="00A40C82">
        <w:rPr>
          <w:rFonts w:ascii="Artifex CF Extra Light" w:hAnsi="Artifex CF Extra Light" w:cs="Times New Roman"/>
          <w:color w:val="1F4E79" w:themeColor="accent1" w:themeShade="80"/>
          <w:spacing w:val="10"/>
          <w:sz w:val="18"/>
          <w:szCs w:val="18"/>
          <w:lang w:val="es-DO"/>
        </w:rPr>
        <w:t xml:space="preserve">ominicana </w:t>
      </w:r>
      <w:r w:rsidR="06616ACF" w:rsidRPr="00A40C82">
        <w:rPr>
          <w:rFonts w:ascii="Artifex CF Extra Light" w:hAnsi="Artifex CF Extra Light" w:cs="Times New Roman"/>
          <w:color w:val="1F4E79" w:themeColor="accent1" w:themeShade="80"/>
          <w:spacing w:val="10"/>
          <w:sz w:val="18"/>
          <w:szCs w:val="18"/>
          <w:lang w:val="es-DO"/>
        </w:rPr>
        <w:t>se brindarán</w:t>
      </w:r>
      <w:r w:rsidRPr="00A40C82">
        <w:rPr>
          <w:rFonts w:ascii="Artifex CF Extra Light" w:hAnsi="Artifex CF Extra Light" w:cs="Times New Roman"/>
          <w:color w:val="1F4E79" w:themeColor="accent1" w:themeShade="80"/>
          <w:spacing w:val="10"/>
          <w:sz w:val="18"/>
          <w:szCs w:val="18"/>
          <w:lang w:val="es-DO"/>
        </w:rPr>
        <w:t xml:space="preserve"> las condiciones para la instalación de los cargadores o estación de carga, aportaríamos la energía eléctrica de la cual recibiríamos el 5% de reembolso gracias al apoyo de INTERENERGY SYSTEMS, así como también estaríamos a cargo de cuidar y resguardar la seguridad física de los equipos. </w:t>
      </w:r>
    </w:p>
    <w:p w14:paraId="4A83BB4B" w14:textId="2A4A8307" w:rsidR="00CB3F97" w:rsidRPr="00BF1AA4" w:rsidRDefault="00404F7F" w:rsidP="00BF1AA4">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lastRenderedPageBreak/>
        <w:t xml:space="preserve">Ya se han socializado los contratos y los puntos sobre el acuerdo, </w:t>
      </w:r>
      <w:r w:rsidR="00EF3E7A" w:rsidRPr="00A40C82">
        <w:rPr>
          <w:rFonts w:ascii="Artifex CF Extra Light" w:hAnsi="Artifex CF Extra Light" w:cs="Times New Roman"/>
          <w:color w:val="1F4E79" w:themeColor="accent1" w:themeShade="80"/>
          <w:spacing w:val="10"/>
          <w:sz w:val="18"/>
          <w:szCs w:val="18"/>
          <w:lang w:val="es-DO"/>
        </w:rPr>
        <w:t>y se instalaron</w:t>
      </w:r>
      <w:r w:rsidRPr="00A40C82">
        <w:rPr>
          <w:rFonts w:ascii="Artifex CF Extra Light" w:hAnsi="Artifex CF Extra Light" w:cs="Times New Roman"/>
          <w:color w:val="1F4E79" w:themeColor="accent1" w:themeShade="80"/>
          <w:spacing w:val="10"/>
          <w:sz w:val="18"/>
          <w:szCs w:val="18"/>
          <w:lang w:val="es-DO"/>
        </w:rPr>
        <w:t xml:space="preserve"> las estaciones de </w:t>
      </w:r>
      <w:r w:rsidR="00EF3E7A" w:rsidRPr="00A40C82">
        <w:rPr>
          <w:rFonts w:ascii="Artifex CF Extra Light" w:hAnsi="Artifex CF Extra Light" w:cs="Times New Roman"/>
          <w:color w:val="1F4E79" w:themeColor="accent1" w:themeShade="80"/>
          <w:spacing w:val="10"/>
          <w:sz w:val="18"/>
          <w:szCs w:val="18"/>
          <w:lang w:val="es-DO"/>
        </w:rPr>
        <w:t>carga.</w:t>
      </w:r>
    </w:p>
    <w:p w14:paraId="2118A802" w14:textId="4DA4E8CC" w:rsidR="0042626C" w:rsidRPr="00A40C82" w:rsidRDefault="00975B67"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ODS 11: Lograr que las ciudades y los asentamientos humanos sean inclusivos, seguros, resilientes y sostenibles.</w:t>
      </w:r>
    </w:p>
    <w:p w14:paraId="57223283" w14:textId="77777777" w:rsidR="0042626C" w:rsidRPr="00A40C82" w:rsidRDefault="00975B67"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 xml:space="preserve">ODS 12: </w:t>
      </w:r>
      <w:r w:rsidRPr="00A40C82">
        <w:rPr>
          <w:rFonts w:ascii="Artifex CF Extra Light" w:eastAsia="Times New Roman" w:hAnsi="Artifex CF Extra Light" w:cs="Times New Roman"/>
          <w:b/>
          <w:color w:val="1F4E79" w:themeColor="accent1" w:themeShade="80"/>
          <w:spacing w:val="10"/>
          <w:sz w:val="18"/>
          <w:szCs w:val="18"/>
          <w:lang w:val="es-DO" w:eastAsia="es-DO"/>
        </w:rPr>
        <w:t>Garantizar las pautas de consumo y de producción sostenibles.</w:t>
      </w:r>
    </w:p>
    <w:p w14:paraId="71330040" w14:textId="77777777" w:rsidR="0042626C" w:rsidRPr="00A40C82" w:rsidRDefault="00975B67"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ODS 13. Adoptar medidas urgentes para combatir el cambio climático y sus efectos</w:t>
      </w:r>
      <w:r w:rsidR="0042626C" w:rsidRPr="00A40C82">
        <w:rPr>
          <w:rFonts w:ascii="Artifex CF Extra Light" w:hAnsi="Artifex CF Extra Light" w:cs="Times New Roman"/>
          <w:b/>
          <w:color w:val="1F4E79" w:themeColor="accent1" w:themeShade="80"/>
          <w:spacing w:val="10"/>
          <w:sz w:val="18"/>
          <w:szCs w:val="18"/>
          <w:lang w:val="es-DO"/>
        </w:rPr>
        <w:t>.</w:t>
      </w:r>
    </w:p>
    <w:p w14:paraId="2A092979" w14:textId="77777777" w:rsidR="0042626C" w:rsidRPr="00A40C82" w:rsidRDefault="00975B67"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A40C82">
        <w:rPr>
          <w:rFonts w:ascii="Artifex CF Extra Light" w:eastAsia="Times New Roman" w:hAnsi="Artifex CF Extra Light" w:cs="Times New Roman"/>
          <w:b/>
          <w:color w:val="1F4E79" w:themeColor="accent1" w:themeShade="80"/>
          <w:spacing w:val="10"/>
          <w:sz w:val="18"/>
          <w:szCs w:val="18"/>
          <w:lang w:val="es-ES" w:eastAsia="es-DO"/>
        </w:rPr>
        <w:t xml:space="preserve">ODS 14: </w:t>
      </w:r>
      <w:r w:rsidRPr="00A40C82">
        <w:rPr>
          <w:rFonts w:ascii="Artifex CF Extra Light" w:eastAsia="Times New Roman" w:hAnsi="Artifex CF Extra Light" w:cs="Arial"/>
          <w:b/>
          <w:color w:val="1F4E79" w:themeColor="accent1" w:themeShade="80"/>
          <w:spacing w:val="10"/>
          <w:sz w:val="18"/>
          <w:szCs w:val="18"/>
          <w:lang w:val="es-DO" w:eastAsia="es-DO"/>
        </w:rPr>
        <w:t>Conservar y utilizar de forma sostenible los océanos, mares y recursos marinos para lograr el desarrollo sostenible.</w:t>
      </w:r>
    </w:p>
    <w:p w14:paraId="48BD3D7C" w14:textId="77777777" w:rsidR="0042626C" w:rsidRPr="00A40C82" w:rsidRDefault="00975B67"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rPr>
      </w:pPr>
      <w:r w:rsidRPr="00A40C82">
        <w:rPr>
          <w:rFonts w:ascii="Artifex CF Extra Light" w:eastAsia="Times New Roman" w:hAnsi="Artifex CF Extra Light" w:cs="Times New Roman"/>
          <w:b/>
          <w:color w:val="1F4E79" w:themeColor="accent1" w:themeShade="80"/>
          <w:spacing w:val="10"/>
          <w:sz w:val="18"/>
          <w:szCs w:val="18"/>
          <w:lang w:val="es-ES" w:eastAsia="es-DO"/>
        </w:rPr>
        <w:t xml:space="preserve">ODS 15: </w:t>
      </w:r>
      <w:r w:rsidRPr="00A40C82">
        <w:rPr>
          <w:rFonts w:ascii="Artifex CF Extra Light" w:eastAsia="Times New Roman" w:hAnsi="Artifex CF Extra Light" w:cs="Arial"/>
          <w:b/>
          <w:color w:val="1F4E79" w:themeColor="accent1" w:themeShade="80"/>
          <w:spacing w:val="10"/>
          <w:sz w:val="18"/>
          <w:szCs w:val="18"/>
          <w:lang w:val="es-DO" w:eastAsia="es-DO"/>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3F4E8BC6" w14:textId="53358F09" w:rsidR="00E1161F" w:rsidRPr="00A40C82" w:rsidRDefault="0058615A" w:rsidP="00CB3F97">
      <w:pPr>
        <w:pStyle w:val="Prrafodelista"/>
        <w:numPr>
          <w:ilvl w:val="0"/>
          <w:numId w:val="20"/>
        </w:numPr>
        <w:spacing w:before="380" w:after="120" w:line="456" w:lineRule="auto"/>
        <w:ind w:left="284" w:hanging="284"/>
        <w:contextualSpacing w:val="0"/>
        <w:jc w:val="both"/>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Proyecto NUVI</w:t>
      </w:r>
      <w:r w:rsidRPr="00A40C82">
        <w:rPr>
          <w:rFonts w:ascii="Calibri" w:eastAsia="Times New Roman" w:hAnsi="Calibri" w:cs="Calibri"/>
          <w:color w:val="1F4E79" w:themeColor="accent1" w:themeShade="80"/>
          <w:spacing w:val="10"/>
          <w:sz w:val="18"/>
          <w:szCs w:val="18"/>
          <w:lang w:val="es-ES" w:eastAsia="es-ES"/>
        </w:rPr>
        <w:t> </w:t>
      </w:r>
    </w:p>
    <w:p w14:paraId="3D71DF80" w14:textId="4341754E" w:rsidR="005632D1" w:rsidRPr="00A40C82" w:rsidRDefault="7858B9B5" w:rsidP="00864966">
      <w:pPr>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DO"/>
        </w:rPr>
      </w:pPr>
      <w:r w:rsidRPr="00A40C82">
        <w:rPr>
          <w:rFonts w:ascii="Artifex CF Extra Light" w:eastAsia="Times New Roman" w:hAnsi="Artifex CF Extra Light" w:cs="Times New Roman"/>
          <w:color w:val="1F4E79" w:themeColor="accent1" w:themeShade="80"/>
          <w:spacing w:val="10"/>
          <w:sz w:val="18"/>
          <w:szCs w:val="18"/>
          <w:lang w:val="es-ES" w:eastAsia="es-DO"/>
        </w:rPr>
        <w:t xml:space="preserve">En </w:t>
      </w:r>
      <w:r w:rsidR="00660EC0" w:rsidRPr="00A40C82">
        <w:rPr>
          <w:rFonts w:ascii="Artifex CF Extra Light" w:eastAsia="Times New Roman" w:hAnsi="Artifex CF Extra Light" w:cs="Times New Roman"/>
          <w:color w:val="1F4E79" w:themeColor="accent1" w:themeShade="80"/>
          <w:spacing w:val="10"/>
          <w:sz w:val="18"/>
          <w:szCs w:val="18"/>
          <w:lang w:val="es-ES" w:eastAsia="es-DO"/>
        </w:rPr>
        <w:t>el mes de junio</w:t>
      </w:r>
      <w:r w:rsidR="005632D1" w:rsidRPr="00A40C82">
        <w:rPr>
          <w:rFonts w:ascii="Artifex CF Extra Light" w:eastAsia="Times New Roman" w:hAnsi="Artifex CF Extra Light" w:cs="Times New Roman"/>
          <w:color w:val="1F4E79" w:themeColor="accent1" w:themeShade="80"/>
          <w:spacing w:val="10"/>
          <w:sz w:val="18"/>
          <w:szCs w:val="18"/>
          <w:lang w:val="es-ES" w:eastAsia="es-DO"/>
        </w:rPr>
        <w:t xml:space="preserve"> fue firmado un convenio con la Asociación de Industrias de la República Dominicana (AIRD), para la colocación de puntos NUVI en la institución. Este proyecto tiene el objetivo de crear una cultura de reducción, reutilización y reciclaje. En este primer sistema, se trabajarán las botellitas plásticas de tipo PET con el propósito de darles una nueva vida convirtiéndolas en nuevas materias primas.</w:t>
      </w:r>
      <w:r w:rsidR="005632D1" w:rsidRPr="00A40C82">
        <w:rPr>
          <w:rFonts w:ascii="Artifex CF Extra Light" w:eastAsia="Times New Roman" w:hAnsi="Artifex CF Extra Light" w:cs="Times New Roman"/>
          <w:color w:val="1F4E79" w:themeColor="accent1" w:themeShade="80"/>
          <w:spacing w:val="10"/>
          <w:sz w:val="18"/>
          <w:szCs w:val="18"/>
          <w:lang w:val="es-DO" w:eastAsia="es-DO"/>
        </w:rPr>
        <w:t> </w:t>
      </w:r>
    </w:p>
    <w:p w14:paraId="63A74786" w14:textId="5FAEDDF8" w:rsidR="00623DCC" w:rsidRPr="00A40C82" w:rsidRDefault="00623DCC" w:rsidP="00864966">
      <w:pPr>
        <w:spacing w:before="380" w:after="120" w:line="456" w:lineRule="auto"/>
        <w:ind w:firstLine="284"/>
        <w:jc w:val="both"/>
        <w:textAlignment w:val="baseline"/>
        <w:rPr>
          <w:rFonts w:ascii="Artifex CF Extra Light" w:eastAsia="Times New Roman" w:hAnsi="Artifex CF Extra Light" w:cs="Times New Roman"/>
          <w:color w:val="1F4E79" w:themeColor="accent1" w:themeShade="80"/>
          <w:spacing w:val="10"/>
          <w:sz w:val="18"/>
          <w:szCs w:val="18"/>
          <w:lang w:val="es-DO" w:eastAsia="es-DO"/>
        </w:rPr>
      </w:pPr>
      <w:r w:rsidRPr="00A40C82">
        <w:rPr>
          <w:rFonts w:ascii="Artifex CF Extra Light" w:eastAsia="Times New Roman" w:hAnsi="Artifex CF Extra Light" w:cs="Times New Roman"/>
          <w:color w:val="1F4E79" w:themeColor="accent1" w:themeShade="80"/>
          <w:spacing w:val="10"/>
          <w:sz w:val="18"/>
          <w:szCs w:val="18"/>
          <w:lang w:val="es-DO" w:eastAsia="es-DO"/>
        </w:rPr>
        <w:t xml:space="preserve">ProDominicana </w:t>
      </w:r>
      <w:r w:rsidR="001D6663" w:rsidRPr="00A40C82">
        <w:rPr>
          <w:rFonts w:ascii="Artifex CF Extra Light" w:eastAsia="Times New Roman" w:hAnsi="Artifex CF Extra Light" w:cs="Times New Roman"/>
          <w:color w:val="1F4E79" w:themeColor="accent1" w:themeShade="80"/>
          <w:spacing w:val="10"/>
          <w:sz w:val="18"/>
          <w:szCs w:val="18"/>
          <w:lang w:val="es-DO" w:eastAsia="es-DO"/>
        </w:rPr>
        <w:t>se</w:t>
      </w:r>
      <w:r w:rsidR="005632D1" w:rsidRPr="00A40C82">
        <w:rPr>
          <w:rFonts w:ascii="Artifex CF Extra Light" w:eastAsia="Times New Roman" w:hAnsi="Artifex CF Extra Light" w:cs="Times New Roman"/>
          <w:color w:val="1F4E79" w:themeColor="accent1" w:themeShade="80"/>
          <w:spacing w:val="10"/>
          <w:sz w:val="18"/>
          <w:szCs w:val="18"/>
          <w:lang w:val="es-ES" w:eastAsia="es-DO"/>
        </w:rPr>
        <w:t xml:space="preserve"> ha valido de campañas de sensibilización para crear una concientización sobre este proyecto. Hasta el momento la institución ha logrado reciclar </w:t>
      </w:r>
      <w:r w:rsidR="005632D1" w:rsidRPr="00A40C82">
        <w:rPr>
          <w:rFonts w:ascii="Artifex CF Extra Light" w:eastAsia="Times New Roman" w:hAnsi="Artifex CF Extra Light" w:cs="Times New Roman"/>
          <w:b/>
          <w:color w:val="1F4E79" w:themeColor="accent1" w:themeShade="80"/>
          <w:spacing w:val="10"/>
          <w:sz w:val="18"/>
          <w:szCs w:val="18"/>
          <w:lang w:val="es-ES" w:eastAsia="es-DO"/>
        </w:rPr>
        <w:t>55.79 kg </w:t>
      </w:r>
      <w:r w:rsidR="005632D1" w:rsidRPr="00A40C82">
        <w:rPr>
          <w:rFonts w:ascii="Artifex CF Extra Light" w:eastAsia="Times New Roman" w:hAnsi="Artifex CF Extra Light" w:cs="Times New Roman"/>
          <w:color w:val="1F4E79" w:themeColor="accent1" w:themeShade="80"/>
          <w:spacing w:val="10"/>
          <w:sz w:val="18"/>
          <w:szCs w:val="18"/>
          <w:lang w:val="es-ES" w:eastAsia="es-DO"/>
        </w:rPr>
        <w:t>de botellitas PET, ahorrándole al medio ambiente lo equivalente a:</w:t>
      </w:r>
      <w:r w:rsidR="005632D1" w:rsidRPr="00A40C82">
        <w:rPr>
          <w:rFonts w:ascii="Artifex CF Extra Light" w:eastAsia="Times New Roman" w:hAnsi="Artifex CF Extra Light" w:cs="Times New Roman"/>
          <w:color w:val="1F4E79" w:themeColor="accent1" w:themeShade="80"/>
          <w:spacing w:val="10"/>
          <w:sz w:val="18"/>
          <w:szCs w:val="18"/>
          <w:lang w:val="es-DO" w:eastAsia="es-DO"/>
        </w:rPr>
        <w:t> </w:t>
      </w:r>
    </w:p>
    <w:p w14:paraId="6DE8BC05" w14:textId="77777777" w:rsidR="00623DCC" w:rsidRPr="00A40C82" w:rsidRDefault="005632D1" w:rsidP="00CB3F97">
      <w:pPr>
        <w:pStyle w:val="Prrafodelista"/>
        <w:numPr>
          <w:ilvl w:val="1"/>
          <w:numId w:val="11"/>
        </w:numPr>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eastAsia="es-DO"/>
        </w:rPr>
      </w:pPr>
      <w:r w:rsidRPr="00A40C82">
        <w:rPr>
          <w:rFonts w:ascii="Artifex CF Extra Light" w:eastAsia="Times New Roman" w:hAnsi="Artifex CF Extra Light" w:cs="Times New Roman"/>
          <w:color w:val="1F4E79" w:themeColor="accent1" w:themeShade="80"/>
          <w:spacing w:val="10"/>
          <w:sz w:val="18"/>
          <w:szCs w:val="18"/>
          <w:lang w:val="es-ES" w:eastAsia="es-DO"/>
        </w:rPr>
        <w:lastRenderedPageBreak/>
        <w:t>El agua que </w:t>
      </w:r>
      <w:r w:rsidRPr="00A40C82">
        <w:rPr>
          <w:rFonts w:ascii="Artifex CF Extra Light" w:eastAsia="Times New Roman" w:hAnsi="Artifex CF Extra Light" w:cs="Times New Roman"/>
          <w:b/>
          <w:color w:val="1F4E79" w:themeColor="accent1" w:themeShade="80"/>
          <w:spacing w:val="10"/>
          <w:sz w:val="18"/>
          <w:szCs w:val="18"/>
          <w:lang w:val="es-ES" w:eastAsia="es-DO"/>
        </w:rPr>
        <w:t>11 </w:t>
      </w:r>
      <w:r w:rsidRPr="00A40C82">
        <w:rPr>
          <w:rFonts w:ascii="Artifex CF Extra Light" w:eastAsia="Times New Roman" w:hAnsi="Artifex CF Extra Light" w:cs="Times New Roman"/>
          <w:color w:val="1F4E79" w:themeColor="accent1" w:themeShade="80"/>
          <w:spacing w:val="10"/>
          <w:sz w:val="18"/>
          <w:szCs w:val="18"/>
          <w:lang w:val="es-ES" w:eastAsia="es-DO"/>
        </w:rPr>
        <w:t>personas utilizarían en duchas de 10 minutos.</w:t>
      </w:r>
      <w:r w:rsidRPr="00A40C82">
        <w:rPr>
          <w:rFonts w:ascii="Artifex CF Extra Light" w:eastAsia="Times New Roman" w:hAnsi="Artifex CF Extra Light" w:cs="Times New Roman"/>
          <w:color w:val="1F4E79" w:themeColor="accent1" w:themeShade="80"/>
          <w:spacing w:val="10"/>
          <w:sz w:val="18"/>
          <w:szCs w:val="18"/>
          <w:lang w:val="es-DO" w:eastAsia="es-DO"/>
        </w:rPr>
        <w:t> </w:t>
      </w:r>
    </w:p>
    <w:p w14:paraId="2835A11A" w14:textId="77777777" w:rsidR="00623DCC" w:rsidRPr="00A40C82" w:rsidRDefault="005632D1" w:rsidP="00CB3F97">
      <w:pPr>
        <w:pStyle w:val="Prrafodelista"/>
        <w:numPr>
          <w:ilvl w:val="1"/>
          <w:numId w:val="11"/>
        </w:numPr>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ES" w:eastAsia="es-DO"/>
        </w:rPr>
      </w:pPr>
      <w:r w:rsidRPr="00A40C82">
        <w:rPr>
          <w:rFonts w:ascii="Artifex CF Extra Light" w:eastAsia="Times New Roman" w:hAnsi="Artifex CF Extra Light" w:cs="Times New Roman"/>
          <w:color w:val="1F4E79" w:themeColor="accent1" w:themeShade="80"/>
          <w:spacing w:val="10"/>
          <w:sz w:val="18"/>
          <w:szCs w:val="18"/>
          <w:lang w:val="es-ES" w:eastAsia="es-DO"/>
        </w:rPr>
        <w:t>Mantener encendido 100 refrigeradores durante 6</w:t>
      </w:r>
      <w:r w:rsidRPr="00A40C82">
        <w:rPr>
          <w:rFonts w:ascii="Calibri" w:eastAsia="Times New Roman" w:hAnsi="Calibri" w:cs="Calibri"/>
          <w:color w:val="1F4E79" w:themeColor="accent1" w:themeShade="80"/>
          <w:spacing w:val="10"/>
          <w:sz w:val="18"/>
          <w:szCs w:val="18"/>
          <w:lang w:val="es-ES" w:eastAsia="es-DO"/>
        </w:rPr>
        <w:t> </w:t>
      </w:r>
      <w:r w:rsidRPr="00A40C82">
        <w:rPr>
          <w:rFonts w:ascii="Artifex CF Extra Light" w:eastAsia="Times New Roman" w:hAnsi="Artifex CF Extra Light" w:cs="Times New Roman"/>
          <w:color w:val="1F4E79" w:themeColor="accent1" w:themeShade="80"/>
          <w:spacing w:val="10"/>
          <w:sz w:val="18"/>
          <w:szCs w:val="18"/>
          <w:lang w:val="es-ES" w:eastAsia="es-DO"/>
        </w:rPr>
        <w:t>días y noches.</w:t>
      </w:r>
      <w:r w:rsidRPr="00A40C82">
        <w:rPr>
          <w:rFonts w:ascii="Calibri" w:eastAsia="Times New Roman" w:hAnsi="Calibri" w:cs="Calibri"/>
          <w:color w:val="1F4E79" w:themeColor="accent1" w:themeShade="80"/>
          <w:spacing w:val="10"/>
          <w:sz w:val="18"/>
          <w:szCs w:val="18"/>
          <w:lang w:val="es-ES" w:eastAsia="es-DO"/>
        </w:rPr>
        <w:t> </w:t>
      </w:r>
    </w:p>
    <w:p w14:paraId="031F95A3" w14:textId="77777777" w:rsidR="00623DCC" w:rsidRPr="00A40C82" w:rsidRDefault="005632D1" w:rsidP="00CB3F97">
      <w:pPr>
        <w:pStyle w:val="Prrafodelista"/>
        <w:numPr>
          <w:ilvl w:val="1"/>
          <w:numId w:val="11"/>
        </w:numPr>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ES" w:eastAsia="es-DO"/>
        </w:rPr>
      </w:pPr>
      <w:r w:rsidRPr="00A40C82">
        <w:rPr>
          <w:rFonts w:ascii="Artifex CF Extra Light" w:eastAsia="Times New Roman" w:hAnsi="Artifex CF Extra Light" w:cs="Times New Roman"/>
          <w:color w:val="1F4E79" w:themeColor="accent1" w:themeShade="80"/>
          <w:spacing w:val="10"/>
          <w:sz w:val="18"/>
          <w:szCs w:val="18"/>
          <w:lang w:val="es-ES" w:eastAsia="es-DO"/>
        </w:rPr>
        <w:t>La emisión de 185</w:t>
      </w:r>
      <w:r w:rsidRPr="00A40C82">
        <w:rPr>
          <w:rFonts w:ascii="Calibri" w:eastAsia="Times New Roman" w:hAnsi="Calibri" w:cs="Calibri"/>
          <w:color w:val="1F4E79" w:themeColor="accent1" w:themeShade="80"/>
          <w:spacing w:val="10"/>
          <w:sz w:val="18"/>
          <w:szCs w:val="18"/>
          <w:lang w:val="es-ES" w:eastAsia="es-DO"/>
        </w:rPr>
        <w:t> </w:t>
      </w:r>
      <w:r w:rsidRPr="00A40C82">
        <w:rPr>
          <w:rFonts w:ascii="Artifex CF Extra Light" w:eastAsia="Times New Roman" w:hAnsi="Artifex CF Extra Light" w:cs="Times New Roman"/>
          <w:color w:val="1F4E79" w:themeColor="accent1" w:themeShade="80"/>
          <w:spacing w:val="10"/>
          <w:sz w:val="18"/>
          <w:szCs w:val="18"/>
          <w:lang w:val="es-ES" w:eastAsia="es-DO"/>
        </w:rPr>
        <w:t>kg de CO2 equivalente, gas que contribuye al cambio climático global.</w:t>
      </w:r>
      <w:r w:rsidRPr="00A40C82">
        <w:rPr>
          <w:rFonts w:ascii="Calibri" w:eastAsia="Times New Roman" w:hAnsi="Calibri" w:cs="Calibri"/>
          <w:color w:val="1F4E79" w:themeColor="accent1" w:themeShade="80"/>
          <w:spacing w:val="10"/>
          <w:sz w:val="18"/>
          <w:szCs w:val="18"/>
          <w:lang w:val="es-ES" w:eastAsia="es-DO"/>
        </w:rPr>
        <w:t> </w:t>
      </w:r>
    </w:p>
    <w:p w14:paraId="05983453" w14:textId="249804DA" w:rsidR="00623DCC" w:rsidRPr="00A40C82" w:rsidRDefault="005632D1" w:rsidP="00CB3F97">
      <w:pPr>
        <w:pStyle w:val="Prrafodelista"/>
        <w:numPr>
          <w:ilvl w:val="1"/>
          <w:numId w:val="11"/>
        </w:numPr>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ES" w:eastAsia="es-DO"/>
        </w:rPr>
      </w:pPr>
      <w:r w:rsidRPr="00A40C82">
        <w:rPr>
          <w:rFonts w:ascii="Artifex CF Extra Light" w:eastAsia="Times New Roman" w:hAnsi="Artifex CF Extra Light" w:cs="Times New Roman"/>
          <w:color w:val="1F4E79" w:themeColor="accent1" w:themeShade="80"/>
          <w:spacing w:val="10"/>
          <w:sz w:val="18"/>
          <w:szCs w:val="18"/>
          <w:lang w:val="es-ES" w:eastAsia="es-DO"/>
        </w:rPr>
        <w:t>El combustible necesario para recorrer 202</w:t>
      </w:r>
      <w:r w:rsidRPr="00A40C82">
        <w:rPr>
          <w:rFonts w:ascii="Calibri" w:eastAsia="Times New Roman" w:hAnsi="Calibri" w:cs="Calibri"/>
          <w:color w:val="1F4E79" w:themeColor="accent1" w:themeShade="80"/>
          <w:spacing w:val="10"/>
          <w:sz w:val="18"/>
          <w:szCs w:val="18"/>
          <w:lang w:val="es-ES" w:eastAsia="es-DO"/>
        </w:rPr>
        <w:t> </w:t>
      </w:r>
      <w:r w:rsidRPr="00A40C82">
        <w:rPr>
          <w:rFonts w:ascii="Artifex CF Extra Light" w:eastAsia="Times New Roman" w:hAnsi="Artifex CF Extra Light" w:cs="Times New Roman"/>
          <w:color w:val="1F4E79" w:themeColor="accent1" w:themeShade="80"/>
          <w:spacing w:val="10"/>
          <w:sz w:val="18"/>
          <w:szCs w:val="18"/>
          <w:lang w:val="es-ES" w:eastAsia="es-DO"/>
        </w:rPr>
        <w:t>km en automóvil.</w:t>
      </w:r>
      <w:r w:rsidRPr="00A40C82">
        <w:rPr>
          <w:rFonts w:ascii="Calibri" w:eastAsia="Times New Roman" w:hAnsi="Calibri" w:cs="Calibri"/>
          <w:color w:val="1F4E79" w:themeColor="accent1" w:themeShade="80"/>
          <w:spacing w:val="10"/>
          <w:sz w:val="18"/>
          <w:szCs w:val="18"/>
          <w:lang w:val="es-ES" w:eastAsia="es-DO"/>
        </w:rPr>
        <w:t> </w:t>
      </w:r>
    </w:p>
    <w:p w14:paraId="3A2CBF0A" w14:textId="38DBE781" w:rsidR="00B53970" w:rsidRPr="00A40C82" w:rsidRDefault="005632D1" w:rsidP="00CB3F97">
      <w:pPr>
        <w:pStyle w:val="Prrafodelista"/>
        <w:numPr>
          <w:ilvl w:val="1"/>
          <w:numId w:val="11"/>
        </w:numPr>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ES" w:eastAsia="es-DO"/>
        </w:rPr>
      </w:pPr>
      <w:r w:rsidRPr="00A40C82">
        <w:rPr>
          <w:rFonts w:ascii="Artifex CF Extra Light" w:eastAsia="Times New Roman" w:hAnsi="Artifex CF Extra Light" w:cs="Times New Roman"/>
          <w:color w:val="1F4E79" w:themeColor="accent1" w:themeShade="80"/>
          <w:spacing w:val="10"/>
          <w:sz w:val="18"/>
          <w:szCs w:val="18"/>
          <w:lang w:val="es-ES" w:eastAsia="es-DO"/>
        </w:rPr>
        <w:t>Llenar 0.1 camiones de basura.</w:t>
      </w:r>
    </w:p>
    <w:p w14:paraId="1847A663" w14:textId="114A90E8" w:rsidR="00F57648" w:rsidRPr="006F2F51" w:rsidRDefault="00F95111" w:rsidP="00864966">
      <w:pPr>
        <w:pStyle w:val="Prrafodelista"/>
        <w:numPr>
          <w:ilvl w:val="2"/>
          <w:numId w:val="1"/>
        </w:numPr>
        <w:spacing w:before="380" w:after="120" w:line="456" w:lineRule="auto"/>
        <w:ind w:left="0" w:firstLine="284"/>
        <w:contextualSpacing w:val="0"/>
        <w:jc w:val="center"/>
        <w:outlineLvl w:val="4"/>
        <w:rPr>
          <w:rFonts w:ascii="Gotham HTF Light" w:hAnsi="Gotham HTF Light" w:cs="Times New Roman"/>
          <w:b/>
          <w:bCs/>
          <w:color w:val="1F4E79" w:themeColor="accent1" w:themeShade="80"/>
          <w:spacing w:val="10"/>
          <w:sz w:val="16"/>
          <w:szCs w:val="16"/>
          <w:lang w:val="es-ES"/>
        </w:rPr>
      </w:pPr>
      <w:bookmarkStart w:id="89" w:name="_Toc54949063"/>
      <w:bookmarkStart w:id="90" w:name="_Toc58332505"/>
      <w:bookmarkStart w:id="91" w:name="_Toc59528093"/>
      <w:r w:rsidRPr="006F2F51">
        <w:rPr>
          <w:rFonts w:ascii="Gotham HTF Light" w:hAnsi="Gotham HTF Light" w:cs="Times New Roman"/>
          <w:b/>
          <w:bCs/>
          <w:color w:val="1F4E79" w:themeColor="accent1" w:themeShade="80"/>
          <w:spacing w:val="10"/>
          <w:sz w:val="16"/>
          <w:szCs w:val="16"/>
          <w:lang w:val="es-ES"/>
        </w:rPr>
        <w:t>SISTEMA DE MONITOREO Y MEDICIÓN DE LA GESTIÓN PÚBLICA (SMMGP)</w:t>
      </w:r>
      <w:bookmarkEnd w:id="89"/>
      <w:bookmarkEnd w:id="90"/>
      <w:bookmarkEnd w:id="91"/>
    </w:p>
    <w:p w14:paraId="1BD2958F" w14:textId="32396A1A" w:rsidR="00955EB2" w:rsidRPr="00A40C82" w:rsidRDefault="00955EB2"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color w:val="1F4E79" w:themeColor="accent1" w:themeShade="80"/>
          <w:spacing w:val="10"/>
          <w:sz w:val="18"/>
          <w:szCs w:val="18"/>
        </w:rPr>
        <w:t>ProDominicana</w:t>
      </w:r>
      <w:r w:rsidR="27C8CC7E" w:rsidRPr="00A40C82">
        <w:rPr>
          <w:rFonts w:ascii="Artifex CF Extra Light" w:hAnsi="Artifex CF Extra Light" w:cs="Times New Roman"/>
          <w:color w:val="1F4E79" w:themeColor="accent1" w:themeShade="80"/>
          <w:spacing w:val="10"/>
          <w:sz w:val="18"/>
          <w:szCs w:val="18"/>
        </w:rPr>
        <w:t>,</w:t>
      </w:r>
      <w:r w:rsidRPr="00A40C82">
        <w:rPr>
          <w:rFonts w:ascii="Artifex CF Extra Light" w:hAnsi="Artifex CF Extra Light" w:cs="Times New Roman"/>
          <w:color w:val="1F4E79" w:themeColor="accent1" w:themeShade="80"/>
          <w:spacing w:val="10"/>
          <w:sz w:val="18"/>
          <w:szCs w:val="18"/>
        </w:rPr>
        <w:t xml:space="preserve"> en apego a sus </w:t>
      </w:r>
      <w:r w:rsidR="270B73D8" w:rsidRPr="00A40C82">
        <w:rPr>
          <w:rFonts w:ascii="Artifex CF Extra Light" w:hAnsi="Artifex CF Extra Light" w:cs="Times New Roman"/>
          <w:color w:val="1F4E79" w:themeColor="accent1" w:themeShade="80"/>
          <w:spacing w:val="10"/>
          <w:sz w:val="18"/>
          <w:szCs w:val="18"/>
        </w:rPr>
        <w:t>valore</w:t>
      </w:r>
      <w:r w:rsidRPr="00A40C82">
        <w:rPr>
          <w:rFonts w:ascii="Artifex CF Extra Light" w:hAnsi="Artifex CF Extra Light" w:cs="Times New Roman"/>
          <w:color w:val="1F4E79" w:themeColor="accent1" w:themeShade="80"/>
          <w:spacing w:val="10"/>
          <w:sz w:val="18"/>
          <w:szCs w:val="18"/>
        </w:rPr>
        <w:t>s, y en cumplimiento a las disposiciones establecidas por los órganos rectores que conforman el Sistema de Monitoreo y Medición de la Gestión</w:t>
      </w:r>
      <w:r w:rsidR="16CD5A70" w:rsidRPr="00A40C82">
        <w:rPr>
          <w:rFonts w:ascii="Artifex CF Extra Light" w:hAnsi="Artifex CF Extra Light" w:cs="Times New Roman"/>
          <w:color w:val="1F4E79" w:themeColor="accent1" w:themeShade="80"/>
          <w:spacing w:val="10"/>
          <w:sz w:val="18"/>
          <w:szCs w:val="18"/>
        </w:rPr>
        <w:t xml:space="preserve"> Pública (SMMGP)</w:t>
      </w:r>
      <w:r w:rsidRPr="00A40C82">
        <w:rPr>
          <w:rFonts w:ascii="Artifex CF Extra Light" w:hAnsi="Artifex CF Extra Light" w:cs="Times New Roman"/>
          <w:color w:val="1F4E79" w:themeColor="accent1" w:themeShade="80"/>
          <w:spacing w:val="10"/>
          <w:sz w:val="18"/>
          <w:szCs w:val="18"/>
        </w:rPr>
        <w:t>, ha asegurado la transparencia, eficiencia y eficacia en el quehacer institucional.</w:t>
      </w:r>
    </w:p>
    <w:p w14:paraId="0262458B" w14:textId="6C0C10D5" w:rsidR="00955EB2" w:rsidRPr="00A40C82" w:rsidRDefault="00955EB2"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color w:val="1F4E79" w:themeColor="accent1" w:themeShade="80"/>
          <w:spacing w:val="10"/>
          <w:sz w:val="18"/>
          <w:szCs w:val="18"/>
        </w:rPr>
        <w:t>Los indicadores que integran el SMMGP trabajados por ProDominicana son los siguientes:</w:t>
      </w:r>
    </w:p>
    <w:p w14:paraId="03C8A108" w14:textId="2046C93B" w:rsidR="00BF1AA4" w:rsidRPr="00BF1AA4" w:rsidRDefault="00B30772" w:rsidP="00BF1AA4">
      <w:pPr>
        <w:pStyle w:val="Prrafodelista"/>
        <w:numPr>
          <w:ilvl w:val="0"/>
          <w:numId w:val="20"/>
        </w:numPr>
        <w:spacing w:before="380" w:after="120" w:line="456" w:lineRule="auto"/>
        <w:ind w:left="284" w:hanging="284"/>
        <w:contextualSpacing w:val="0"/>
        <w:jc w:val="both"/>
        <w:rPr>
          <w:rStyle w:val="eop"/>
          <w:rFonts w:ascii="Artifex CF Extra Light" w:hAnsi="Artifex CF Extra Light" w:cs="Times New Roman"/>
          <w:color w:val="1F4E79" w:themeColor="accent1" w:themeShade="80"/>
          <w:spacing w:val="10"/>
          <w:sz w:val="18"/>
          <w:szCs w:val="18"/>
          <w:lang w:val="es-DO"/>
        </w:rPr>
      </w:pPr>
      <w:r w:rsidRPr="00A40C82">
        <w:rPr>
          <w:rStyle w:val="normaltextrun"/>
          <w:rFonts w:ascii="Artifex CF Extra Light" w:hAnsi="Artifex CF Extra Light"/>
          <w:b/>
          <w:color w:val="1F4E79" w:themeColor="accent1" w:themeShade="80"/>
          <w:spacing w:val="10"/>
          <w:sz w:val="18"/>
          <w:szCs w:val="18"/>
          <w:shd w:val="clear" w:color="auto" w:fill="FFFFFF"/>
          <w:lang w:val="es-ES"/>
        </w:rPr>
        <w:t>Í</w:t>
      </w:r>
      <w:r w:rsidRPr="00A40C82">
        <w:rPr>
          <w:rStyle w:val="normaltextrun"/>
          <w:rFonts w:ascii="Artifex CF Extra Light" w:hAnsi="Artifex CF Extra Light"/>
          <w:b/>
          <w:color w:val="1F4E79" w:themeColor="accent1" w:themeShade="80"/>
          <w:spacing w:val="10"/>
          <w:sz w:val="18"/>
          <w:szCs w:val="18"/>
          <w:shd w:val="clear" w:color="auto" w:fill="FFFFFF"/>
          <w:lang w:val="es-DO"/>
        </w:rPr>
        <w:t>ndice de Tecnologías de la Información y la Comunicación del Gobierno Electrónico (ITCGE)</w:t>
      </w:r>
      <w:r w:rsidRPr="00A40C82">
        <w:rPr>
          <w:rStyle w:val="normaltextrun"/>
          <w:rFonts w:ascii="Artifex CF Extra Light" w:hAnsi="Artifex CF Extra Light"/>
          <w:color w:val="1F4E79" w:themeColor="accent1" w:themeShade="80"/>
          <w:spacing w:val="10"/>
          <w:sz w:val="18"/>
          <w:szCs w:val="18"/>
          <w:shd w:val="clear" w:color="auto" w:fill="FFFFFF"/>
          <w:lang w:val="es-DO"/>
        </w:rPr>
        <w:t>, que evalúa la eficiencia en el uso de las Tecnologías e Implementación de Gobierno Electrónico; en el 2020 la institución obtuvo la Certificación NORTIC A2, de estandarización de los portales y el sub-portal de transparencia, alcanzando un porcentaje de cumplimiento de un 94%.</w:t>
      </w:r>
    </w:p>
    <w:p w14:paraId="4F65F6F0" w14:textId="77777777" w:rsidR="004B3CF6" w:rsidRPr="00061E36" w:rsidRDefault="0027030D" w:rsidP="00CB3F97">
      <w:pPr>
        <w:pStyle w:val="Prrafodelista"/>
        <w:numPr>
          <w:ilvl w:val="0"/>
          <w:numId w:val="20"/>
        </w:numPr>
        <w:spacing w:before="380" w:after="120" w:line="456" w:lineRule="auto"/>
        <w:ind w:left="284" w:hanging="284"/>
        <w:contextualSpacing w:val="0"/>
        <w:jc w:val="both"/>
        <w:rPr>
          <w:rStyle w:val="normaltextrun"/>
          <w:rFonts w:ascii="Artifex CF Extra Light" w:hAnsi="Artifex CF Extra Light"/>
          <w:bCs/>
          <w:color w:val="1F4E79" w:themeColor="accent1" w:themeShade="80"/>
          <w:spacing w:val="10"/>
          <w:sz w:val="18"/>
          <w:szCs w:val="18"/>
          <w:shd w:val="clear" w:color="auto" w:fill="FFFFFF"/>
          <w:lang w:val="es-ES"/>
        </w:rPr>
      </w:pPr>
      <w:r w:rsidRPr="00061E36">
        <w:rPr>
          <w:rStyle w:val="normaltextrun"/>
          <w:rFonts w:ascii="Artifex CF Extra Light" w:hAnsi="Artifex CF Extra Light"/>
          <w:bCs/>
          <w:color w:val="1F4E79" w:themeColor="accent1" w:themeShade="80"/>
          <w:spacing w:val="10"/>
          <w:sz w:val="18"/>
          <w:szCs w:val="18"/>
          <w:shd w:val="clear" w:color="auto" w:fill="FFFFFF"/>
          <w:lang w:val="es-ES"/>
        </w:rPr>
        <w:t>Normas Básicas de Control Interno (NOBACI),</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estas normas miden el grado de cumplimiento del Sistema de Control Interno, instituido en la Ley No. 10-07;</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para el 2020,</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ProDominicana</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 xml:space="preserve">mantuvo un porcentaje de un 92%, habiendo culminado de </w:t>
      </w:r>
      <w:r w:rsidRPr="00061E36">
        <w:rPr>
          <w:rStyle w:val="normaltextrun"/>
          <w:rFonts w:ascii="Artifex CF Extra Light" w:hAnsi="Artifex CF Extra Light"/>
          <w:bCs/>
          <w:color w:val="1F4E79" w:themeColor="accent1" w:themeShade="80"/>
          <w:spacing w:val="10"/>
          <w:sz w:val="18"/>
          <w:szCs w:val="18"/>
          <w:shd w:val="clear" w:color="auto" w:fill="FFFFFF"/>
          <w:lang w:val="es-ES"/>
        </w:rPr>
        <w:lastRenderedPageBreak/>
        <w:t>manera completa la elaboración del Manual de Políticas y Procedimientos del área de Gestión Humana.</w:t>
      </w:r>
      <w:r w:rsidRPr="00061E36">
        <w:rPr>
          <w:rStyle w:val="normaltextrun"/>
          <w:rFonts w:ascii="Calibri" w:hAnsi="Calibri" w:cs="Calibri"/>
          <w:bCs/>
          <w:color w:val="1F4E79" w:themeColor="accent1" w:themeShade="80"/>
          <w:spacing w:val="10"/>
          <w:sz w:val="18"/>
          <w:szCs w:val="18"/>
          <w:shd w:val="clear" w:color="auto" w:fill="FFFFFF"/>
          <w:lang w:val="es-ES"/>
        </w:rPr>
        <w:t> </w:t>
      </w:r>
    </w:p>
    <w:p w14:paraId="6BFCB951" w14:textId="77777777" w:rsidR="005C0C78" w:rsidRPr="00061E36" w:rsidRDefault="004B3CF6" w:rsidP="00CB3F97">
      <w:pPr>
        <w:pStyle w:val="Prrafodelista"/>
        <w:numPr>
          <w:ilvl w:val="0"/>
          <w:numId w:val="20"/>
        </w:numPr>
        <w:spacing w:before="380" w:after="120" w:line="456" w:lineRule="auto"/>
        <w:ind w:left="284" w:hanging="284"/>
        <w:contextualSpacing w:val="0"/>
        <w:jc w:val="both"/>
        <w:rPr>
          <w:rStyle w:val="normaltextrun"/>
          <w:bCs/>
          <w:spacing w:val="10"/>
          <w:shd w:val="clear" w:color="auto" w:fill="FFFFFF"/>
          <w:lang w:val="es-ES"/>
        </w:rPr>
      </w:pPr>
      <w:r w:rsidRPr="00061E36">
        <w:rPr>
          <w:rStyle w:val="normaltextrun"/>
          <w:rFonts w:ascii="Artifex CF Extra Light" w:hAnsi="Artifex CF Extra Light"/>
          <w:bCs/>
          <w:color w:val="1F4E79" w:themeColor="accent1" w:themeShade="80"/>
          <w:spacing w:val="10"/>
          <w:sz w:val="18"/>
          <w:szCs w:val="18"/>
          <w:shd w:val="clear" w:color="auto" w:fill="FFFFFF"/>
          <w:lang w:val="es-ES"/>
        </w:rPr>
        <w:t>Cumplimiento de la Ley No. 200-04, que mide el cumplimiento de</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la</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Ley No. 200-04, sobre la Ley general de libre acceso a la</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informaci</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ó</w:t>
      </w:r>
      <w:r w:rsidRPr="00061E36">
        <w:rPr>
          <w:rStyle w:val="normaltextrun"/>
          <w:rFonts w:ascii="Artifex CF Extra Light" w:hAnsi="Artifex CF Extra Light"/>
          <w:bCs/>
          <w:color w:val="1F4E79" w:themeColor="accent1" w:themeShade="80"/>
          <w:spacing w:val="10"/>
          <w:sz w:val="18"/>
          <w:szCs w:val="18"/>
          <w:shd w:val="clear" w:color="auto" w:fill="FFFFFF"/>
          <w:lang w:val="es-ES"/>
        </w:rPr>
        <w:t>n</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OAI;</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durante el año 2020, la institución mantuvo una puntuación</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promedio de</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98%</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finalizando el a</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ñ</w:t>
      </w:r>
      <w:r w:rsidRPr="00061E36">
        <w:rPr>
          <w:rStyle w:val="normaltextrun"/>
          <w:rFonts w:ascii="Artifex CF Extra Light" w:hAnsi="Artifex CF Extra Light"/>
          <w:bCs/>
          <w:color w:val="1F4E79" w:themeColor="accent1" w:themeShade="80"/>
          <w:spacing w:val="10"/>
          <w:sz w:val="18"/>
          <w:szCs w:val="18"/>
          <w:shd w:val="clear" w:color="auto" w:fill="FFFFFF"/>
          <w:lang w:val="es-ES"/>
        </w:rPr>
        <w:t>o con este porcentaje.</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bCs/>
          <w:spacing w:val="10"/>
          <w:lang w:val="es-ES"/>
        </w:rPr>
        <w:t> </w:t>
      </w:r>
    </w:p>
    <w:p w14:paraId="49C02C24" w14:textId="77777777" w:rsidR="005C0C78" w:rsidRPr="00061E36" w:rsidRDefault="004B3CF6" w:rsidP="00CB3F97">
      <w:pPr>
        <w:pStyle w:val="Prrafodelista"/>
        <w:numPr>
          <w:ilvl w:val="0"/>
          <w:numId w:val="20"/>
        </w:numPr>
        <w:spacing w:before="380" w:after="120" w:line="456" w:lineRule="auto"/>
        <w:ind w:left="284" w:hanging="284"/>
        <w:contextualSpacing w:val="0"/>
        <w:jc w:val="both"/>
        <w:rPr>
          <w:rStyle w:val="normaltextrun"/>
          <w:bCs/>
          <w:spacing w:val="10"/>
          <w:shd w:val="clear" w:color="auto" w:fill="FFFFFF"/>
          <w:lang w:val="es-ES"/>
        </w:rPr>
      </w:pPr>
      <w:r w:rsidRPr="00061E36">
        <w:rPr>
          <w:rStyle w:val="normaltextrun"/>
          <w:rFonts w:ascii="Artifex CF Extra Light" w:hAnsi="Artifex CF Extra Light"/>
          <w:bCs/>
          <w:color w:val="1F4E79" w:themeColor="accent1" w:themeShade="80"/>
          <w:spacing w:val="10"/>
          <w:sz w:val="18"/>
          <w:szCs w:val="18"/>
          <w:shd w:val="clear" w:color="auto" w:fill="FFFFFF"/>
          <w:lang w:val="es-ES"/>
        </w:rPr>
        <w:t>Índice</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Gesti</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ó</w:t>
      </w:r>
      <w:r w:rsidRPr="00061E36">
        <w:rPr>
          <w:rStyle w:val="normaltextrun"/>
          <w:rFonts w:ascii="Artifex CF Extra Light" w:hAnsi="Artifex CF Extra Light"/>
          <w:bCs/>
          <w:color w:val="1F4E79" w:themeColor="accent1" w:themeShade="80"/>
          <w:spacing w:val="10"/>
          <w:sz w:val="18"/>
          <w:szCs w:val="18"/>
          <w:shd w:val="clear" w:color="auto" w:fill="FFFFFF"/>
          <w:lang w:val="es-ES"/>
        </w:rPr>
        <w:t>n Presupuestaria</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(IGP),</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La misma mide</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vinculaci</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ó</w:t>
      </w:r>
      <w:r w:rsidRPr="00061E36">
        <w:rPr>
          <w:rStyle w:val="normaltextrun"/>
          <w:rFonts w:ascii="Artifex CF Extra Light" w:hAnsi="Artifex CF Extra Light"/>
          <w:bCs/>
          <w:color w:val="1F4E79" w:themeColor="accent1" w:themeShade="80"/>
          <w:spacing w:val="10"/>
          <w:sz w:val="18"/>
          <w:szCs w:val="18"/>
          <w:shd w:val="clear" w:color="auto" w:fill="FFFFFF"/>
          <w:lang w:val="es-ES"/>
        </w:rPr>
        <w:t>n entre el presupuesto institucional</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y</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las metas físicas</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que tiene la instituci</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ó</w:t>
      </w:r>
      <w:r w:rsidRPr="00061E36">
        <w:rPr>
          <w:rStyle w:val="normaltextrun"/>
          <w:rFonts w:ascii="Artifex CF Extra Light" w:hAnsi="Artifex CF Extra Light"/>
          <w:bCs/>
          <w:color w:val="1F4E79" w:themeColor="accent1" w:themeShade="80"/>
          <w:spacing w:val="10"/>
          <w:sz w:val="18"/>
          <w:szCs w:val="18"/>
          <w:shd w:val="clear" w:color="auto" w:fill="FFFFFF"/>
          <w:lang w:val="es-ES"/>
        </w:rPr>
        <w:t>n, durante el a</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ñ</w:t>
      </w:r>
      <w:r w:rsidRPr="00061E36">
        <w:rPr>
          <w:rStyle w:val="normaltextrun"/>
          <w:rFonts w:ascii="Artifex CF Extra Light" w:hAnsi="Artifex CF Extra Light"/>
          <w:bCs/>
          <w:color w:val="1F4E79" w:themeColor="accent1" w:themeShade="80"/>
          <w:spacing w:val="10"/>
          <w:sz w:val="18"/>
          <w:szCs w:val="18"/>
          <w:shd w:val="clear" w:color="auto" w:fill="FFFFFF"/>
          <w:lang w:val="es-ES"/>
        </w:rPr>
        <w:t>o 2020,</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la instituci</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ó</w:t>
      </w:r>
      <w:r w:rsidRPr="00061E36">
        <w:rPr>
          <w:rStyle w:val="normaltextrun"/>
          <w:rFonts w:ascii="Artifex CF Extra Light" w:hAnsi="Artifex CF Extra Light"/>
          <w:bCs/>
          <w:color w:val="1F4E79" w:themeColor="accent1" w:themeShade="80"/>
          <w:spacing w:val="10"/>
          <w:sz w:val="18"/>
          <w:szCs w:val="18"/>
          <w:shd w:val="clear" w:color="auto" w:fill="FFFFFF"/>
          <w:lang w:val="es-ES"/>
        </w:rPr>
        <w:t>n se mantuvo en</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un porcentaje promedio</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93% proyectado al cierre de a</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ñ</w:t>
      </w:r>
      <w:r w:rsidRPr="00061E36">
        <w:rPr>
          <w:rStyle w:val="normaltextrun"/>
          <w:rFonts w:ascii="Artifex CF Extra Light" w:hAnsi="Artifex CF Extra Light"/>
          <w:bCs/>
          <w:color w:val="1F4E79" w:themeColor="accent1" w:themeShade="80"/>
          <w:spacing w:val="10"/>
          <w:sz w:val="18"/>
          <w:szCs w:val="18"/>
          <w:shd w:val="clear" w:color="auto" w:fill="FFFFFF"/>
          <w:lang w:val="es-ES"/>
        </w:rPr>
        <w:t xml:space="preserve">o, la baja de los </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ú</w:t>
      </w:r>
      <w:r w:rsidRPr="00061E36">
        <w:rPr>
          <w:rStyle w:val="normaltextrun"/>
          <w:rFonts w:ascii="Artifex CF Extra Light" w:hAnsi="Artifex CF Extra Light"/>
          <w:bCs/>
          <w:color w:val="1F4E79" w:themeColor="accent1" w:themeShade="80"/>
          <w:spacing w:val="10"/>
          <w:sz w:val="18"/>
          <w:szCs w:val="18"/>
          <w:shd w:val="clear" w:color="auto" w:fill="FFFFFF"/>
          <w:lang w:val="es-ES"/>
        </w:rPr>
        <w:t>ltimos</w:t>
      </w:r>
      <w:r w:rsidRPr="00061E36">
        <w:rPr>
          <w:rStyle w:val="normaltextrun"/>
          <w:rFonts w:ascii="Calibri" w:hAnsi="Calibri" w:cs="Calibri"/>
          <w:bCs/>
          <w:color w:val="1F4E79" w:themeColor="accent1" w:themeShade="80"/>
          <w:spacing w:val="10"/>
          <w:sz w:val="18"/>
          <w:szCs w:val="18"/>
          <w:shd w:val="clear" w:color="auto" w:fill="FFFFFF"/>
          <w:lang w:val="es-ES"/>
        </w:rPr>
        <w:t> </w:t>
      </w:r>
      <w:r w:rsidR="006316F6" w:rsidRPr="00061E36">
        <w:rPr>
          <w:rStyle w:val="normaltextrun"/>
          <w:rFonts w:ascii="Artifex CF Extra Light" w:hAnsi="Artifex CF Extra Light"/>
          <w:bCs/>
          <w:color w:val="1F4E79" w:themeColor="accent1" w:themeShade="80"/>
          <w:spacing w:val="10"/>
          <w:sz w:val="18"/>
          <w:szCs w:val="18"/>
          <w:shd w:val="clear" w:color="auto" w:fill="FFFFFF"/>
          <w:lang w:val="es-ES"/>
        </w:rPr>
        <w:t>dos trimestres</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tuvo incidencia en virtud de los proyectos de inversi</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ó</w:t>
      </w:r>
      <w:r w:rsidRPr="00061E36">
        <w:rPr>
          <w:rStyle w:val="normaltextrun"/>
          <w:rFonts w:ascii="Artifex CF Extra Light" w:hAnsi="Artifex CF Extra Light"/>
          <w:bCs/>
          <w:color w:val="1F4E79" w:themeColor="accent1" w:themeShade="80"/>
          <w:spacing w:val="10"/>
          <w:sz w:val="18"/>
          <w:szCs w:val="18"/>
          <w:shd w:val="clear" w:color="auto" w:fill="FFFFFF"/>
          <w:lang w:val="es-ES"/>
        </w:rPr>
        <w:t>n que no fueron cerrados,</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debido a la declaraci</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ó</w:t>
      </w:r>
      <w:r w:rsidRPr="00061E36">
        <w:rPr>
          <w:rStyle w:val="normaltextrun"/>
          <w:rFonts w:ascii="Artifex CF Extra Light" w:hAnsi="Artifex CF Extra Light"/>
          <w:bCs/>
          <w:color w:val="1F4E79" w:themeColor="accent1" w:themeShade="80"/>
          <w:spacing w:val="10"/>
          <w:sz w:val="18"/>
          <w:szCs w:val="18"/>
          <w:shd w:val="clear" w:color="auto" w:fill="FFFFFF"/>
          <w:lang w:val="es-ES"/>
        </w:rPr>
        <w:t>n de Pandemia a nivel mundial, esto afecto las metas físicas</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de la instituci</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ó</w:t>
      </w:r>
      <w:r w:rsidRPr="00061E36">
        <w:rPr>
          <w:rStyle w:val="normaltextrun"/>
          <w:rFonts w:ascii="Artifex CF Extra Light" w:hAnsi="Artifex CF Extra Light"/>
          <w:bCs/>
          <w:color w:val="1F4E79" w:themeColor="accent1" w:themeShade="80"/>
          <w:spacing w:val="10"/>
          <w:sz w:val="18"/>
          <w:szCs w:val="18"/>
          <w:shd w:val="clear" w:color="auto" w:fill="FFFFFF"/>
          <w:lang w:val="es-ES"/>
        </w:rPr>
        <w:t>n en gran medida.</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bCs/>
          <w:spacing w:val="10"/>
          <w:lang w:val="es-ES"/>
        </w:rPr>
        <w:t> </w:t>
      </w:r>
    </w:p>
    <w:p w14:paraId="628A5E60" w14:textId="77777777" w:rsidR="005C0C78" w:rsidRPr="00061E36" w:rsidRDefault="006316F6" w:rsidP="00CB3F97">
      <w:pPr>
        <w:pStyle w:val="Prrafodelista"/>
        <w:numPr>
          <w:ilvl w:val="0"/>
          <w:numId w:val="20"/>
        </w:numPr>
        <w:spacing w:before="380" w:after="120" w:line="456" w:lineRule="auto"/>
        <w:ind w:left="284" w:hanging="284"/>
        <w:contextualSpacing w:val="0"/>
        <w:jc w:val="both"/>
        <w:rPr>
          <w:rStyle w:val="normaltextrun"/>
          <w:rFonts w:ascii="Artifex CF Extra Light" w:hAnsi="Artifex CF Extra Light"/>
          <w:bCs/>
          <w:color w:val="1F4E79" w:themeColor="accent1" w:themeShade="80"/>
          <w:spacing w:val="10"/>
          <w:sz w:val="18"/>
          <w:szCs w:val="18"/>
          <w:shd w:val="clear" w:color="auto" w:fill="FFFFFF"/>
          <w:lang w:val="es-ES"/>
        </w:rPr>
      </w:pPr>
      <w:r w:rsidRPr="00061E36">
        <w:rPr>
          <w:rStyle w:val="normaltextrun"/>
          <w:rFonts w:ascii="Artifex CF Extra Light" w:hAnsi="Artifex CF Extra Light"/>
          <w:bCs/>
          <w:color w:val="1F4E79" w:themeColor="accent1" w:themeShade="80"/>
          <w:spacing w:val="10"/>
          <w:sz w:val="18"/>
          <w:szCs w:val="18"/>
          <w:shd w:val="clear" w:color="auto" w:fill="FFFFFF"/>
          <w:lang w:val="es-ES"/>
        </w:rPr>
        <w:t>Gestión Compras Institucionales - SISCOMPRAS, que mide la gestión de las compras</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y</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contrataciones, en t</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é</w:t>
      </w:r>
      <w:r w:rsidRPr="00061E36">
        <w:rPr>
          <w:rStyle w:val="normaltextrun"/>
          <w:rFonts w:ascii="Artifex CF Extra Light" w:hAnsi="Artifex CF Extra Light"/>
          <w:bCs/>
          <w:color w:val="1F4E79" w:themeColor="accent1" w:themeShade="80"/>
          <w:spacing w:val="10"/>
          <w:sz w:val="18"/>
          <w:szCs w:val="18"/>
          <w:shd w:val="clear" w:color="auto" w:fill="FFFFFF"/>
          <w:lang w:val="es-ES"/>
        </w:rPr>
        <w:t>rminos de transparencia y eficiencia,</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en</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correspondencia con el marco normativo y procedimental vigente;</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y el comportamiento dentro del Portal Transaccional, para este a</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ñ</w:t>
      </w:r>
      <w:r w:rsidRPr="00061E36">
        <w:rPr>
          <w:rStyle w:val="normaltextrun"/>
          <w:rFonts w:ascii="Artifex CF Extra Light" w:hAnsi="Artifex CF Extra Light"/>
          <w:bCs/>
          <w:color w:val="1F4E79" w:themeColor="accent1" w:themeShade="80"/>
          <w:spacing w:val="10"/>
          <w:sz w:val="18"/>
          <w:szCs w:val="18"/>
          <w:shd w:val="clear" w:color="auto" w:fill="FFFFFF"/>
          <w:lang w:val="es-ES"/>
        </w:rPr>
        <w:t>o se mantuvo un porcentaje promedio de 94% al cierre del</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a</w:t>
      </w:r>
      <w:r w:rsidRPr="00061E36">
        <w:rPr>
          <w:rStyle w:val="normaltextrun"/>
          <w:rFonts w:ascii="Artifex CF Extra Light" w:hAnsi="Artifex CF Extra Light" w:cs="Artifex CF Extra Light"/>
          <w:bCs/>
          <w:color w:val="1F4E79" w:themeColor="accent1" w:themeShade="80"/>
          <w:spacing w:val="10"/>
          <w:sz w:val="18"/>
          <w:szCs w:val="18"/>
          <w:shd w:val="clear" w:color="auto" w:fill="FFFFFF"/>
          <w:lang w:val="es-ES"/>
        </w:rPr>
        <w:t>ñ</w:t>
      </w:r>
      <w:r w:rsidRPr="00061E36">
        <w:rPr>
          <w:rStyle w:val="normaltextrun"/>
          <w:rFonts w:ascii="Artifex CF Extra Light" w:hAnsi="Artifex CF Extra Light"/>
          <w:bCs/>
          <w:color w:val="1F4E79" w:themeColor="accent1" w:themeShade="80"/>
          <w:spacing w:val="10"/>
          <w:sz w:val="18"/>
          <w:szCs w:val="18"/>
          <w:shd w:val="clear" w:color="auto" w:fill="FFFFFF"/>
          <w:lang w:val="es-ES"/>
        </w:rPr>
        <w:t>o.</w:t>
      </w:r>
    </w:p>
    <w:p w14:paraId="5BCCFB5A" w14:textId="5B137A7E" w:rsidR="00C61899" w:rsidRPr="00061E36" w:rsidRDefault="006316F6" w:rsidP="008B24B7">
      <w:pPr>
        <w:pStyle w:val="Prrafodelista"/>
        <w:numPr>
          <w:ilvl w:val="0"/>
          <w:numId w:val="20"/>
        </w:numPr>
        <w:spacing w:before="380" w:after="120" w:line="456" w:lineRule="auto"/>
        <w:ind w:left="284" w:hanging="284"/>
        <w:contextualSpacing w:val="0"/>
        <w:jc w:val="both"/>
        <w:rPr>
          <w:rStyle w:val="eop"/>
          <w:bCs/>
          <w:spacing w:val="10"/>
          <w:shd w:val="clear" w:color="auto" w:fill="FFFFFF"/>
          <w:lang w:val="es-ES"/>
        </w:rPr>
      </w:pPr>
      <w:r w:rsidRPr="00061E36">
        <w:rPr>
          <w:rStyle w:val="normaltextrun"/>
          <w:rFonts w:ascii="Artifex CF Extra Light" w:hAnsi="Artifex CF Extra Light"/>
          <w:bCs/>
          <w:color w:val="1F4E79" w:themeColor="accent1" w:themeShade="80"/>
          <w:spacing w:val="10"/>
          <w:sz w:val="18"/>
          <w:szCs w:val="18"/>
          <w:shd w:val="clear" w:color="auto" w:fill="FFFFFF"/>
          <w:lang w:val="es-ES"/>
        </w:rPr>
        <w:t>Transparencia Gubernamental,</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dicho indicador se compone con los componentes de transparencia de los indicadores anteriores,</w:t>
      </w:r>
      <w:r w:rsidRPr="00061E36">
        <w:rPr>
          <w:rStyle w:val="normaltextrun"/>
          <w:rFonts w:ascii="Calibri" w:hAnsi="Calibri" w:cs="Calibri"/>
          <w:bCs/>
          <w:color w:val="1F4E79" w:themeColor="accent1" w:themeShade="80"/>
          <w:spacing w:val="10"/>
          <w:sz w:val="18"/>
          <w:szCs w:val="18"/>
          <w:shd w:val="clear" w:color="auto" w:fill="FFFFFF"/>
          <w:lang w:val="es-ES"/>
        </w:rPr>
        <w:t> </w:t>
      </w:r>
      <w:r w:rsidRPr="00061E36">
        <w:rPr>
          <w:rStyle w:val="normaltextrun"/>
          <w:rFonts w:ascii="Artifex CF Extra Light" w:hAnsi="Artifex CF Extra Light"/>
          <w:bCs/>
          <w:color w:val="1F4E79" w:themeColor="accent1" w:themeShade="80"/>
          <w:spacing w:val="10"/>
          <w:sz w:val="18"/>
          <w:szCs w:val="18"/>
          <w:shd w:val="clear" w:color="auto" w:fill="FFFFFF"/>
          <w:lang w:val="es-ES"/>
        </w:rPr>
        <w:t>en el 2020, dicho indicador mantuvo un porcentaje promedio de un 96% al cierre.</w:t>
      </w:r>
      <w:r w:rsidRPr="00061E36">
        <w:rPr>
          <w:rStyle w:val="normaltextrun"/>
          <w:bCs/>
          <w:spacing w:val="10"/>
          <w:lang w:val="es-ES"/>
        </w:rPr>
        <w:t> </w:t>
      </w:r>
    </w:p>
    <w:p w14:paraId="35C54BD3" w14:textId="77777777" w:rsidR="00BF1AA4" w:rsidRPr="006F2F51" w:rsidRDefault="00BF1AA4">
      <w:pPr>
        <w:rPr>
          <w:rFonts w:ascii="Artifex CF Extra Light" w:hAnsi="Artifex CF Extra Light" w:cs="Times New Roman"/>
          <w:b/>
          <w:color w:val="1F4E79" w:themeColor="accent1" w:themeShade="80"/>
          <w:spacing w:val="10"/>
          <w:sz w:val="18"/>
          <w:szCs w:val="18"/>
          <w:lang w:val="es-ES"/>
        </w:rPr>
      </w:pPr>
      <w:r w:rsidRPr="006F2F51">
        <w:rPr>
          <w:rFonts w:ascii="Artifex CF Extra Light" w:hAnsi="Artifex CF Extra Light" w:cs="Times New Roman"/>
          <w:b/>
          <w:color w:val="1F4E79" w:themeColor="accent1" w:themeShade="80"/>
          <w:spacing w:val="10"/>
          <w:sz w:val="18"/>
          <w:szCs w:val="18"/>
          <w:lang w:val="es-ES"/>
        </w:rPr>
        <w:br w:type="page"/>
      </w:r>
    </w:p>
    <w:p w14:paraId="4503576D" w14:textId="56A291EE" w:rsidR="00161E84" w:rsidRPr="00A40C82" w:rsidRDefault="008E0DAF" w:rsidP="00BF1AA4">
      <w:pPr>
        <w:widowControl w:val="0"/>
        <w:tabs>
          <w:tab w:val="left" w:pos="2365"/>
        </w:tabs>
        <w:autoSpaceDE w:val="0"/>
        <w:autoSpaceDN w:val="0"/>
        <w:spacing w:before="380" w:after="120" w:line="456" w:lineRule="auto"/>
        <w:ind w:firstLine="284"/>
        <w:jc w:val="center"/>
        <w:rPr>
          <w:rFonts w:ascii="Artifex CF Extra Light" w:hAnsi="Artifex CF Extra Light" w:cs="Times New Roman"/>
          <w:b/>
          <w:color w:val="1F4E79" w:themeColor="accent1" w:themeShade="80"/>
          <w:spacing w:val="10"/>
          <w:sz w:val="18"/>
          <w:szCs w:val="18"/>
        </w:rPr>
      </w:pPr>
      <w:r w:rsidRPr="00A40C82">
        <w:rPr>
          <w:rFonts w:ascii="Artifex CF Extra Light" w:hAnsi="Artifex CF Extra Light" w:cs="Times New Roman"/>
          <w:b/>
          <w:color w:val="1F4E79" w:themeColor="accent1" w:themeShade="80"/>
          <w:spacing w:val="10"/>
          <w:sz w:val="18"/>
          <w:szCs w:val="18"/>
        </w:rPr>
        <w:lastRenderedPageBreak/>
        <w:t>Gráfico 1. Indicadores del SMMGP</w:t>
      </w:r>
    </w:p>
    <w:p w14:paraId="571F184B" w14:textId="4643B088" w:rsidR="00161E84" w:rsidRPr="00A40C82" w:rsidRDefault="008E0DAF" w:rsidP="00864966">
      <w:pPr>
        <w:widowControl w:val="0"/>
        <w:tabs>
          <w:tab w:val="left" w:pos="2365"/>
        </w:tabs>
        <w:autoSpaceDE w:val="0"/>
        <w:autoSpaceDN w:val="0"/>
        <w:spacing w:before="380" w:after="120" w:line="456" w:lineRule="auto"/>
        <w:ind w:firstLine="284"/>
        <w:jc w:val="both"/>
        <w:rPr>
          <w:rFonts w:ascii="Artifex CF Extra Light" w:hAnsi="Artifex CF Extra Light" w:cs="Times New Roman"/>
          <w:color w:val="1F4E79" w:themeColor="accent1" w:themeShade="80"/>
          <w:spacing w:val="10"/>
          <w:sz w:val="18"/>
          <w:szCs w:val="18"/>
          <w:lang w:val="es-ES"/>
        </w:rPr>
      </w:pPr>
      <w:r w:rsidRPr="00A40C82">
        <w:rPr>
          <w:rFonts w:ascii="Artifex CF Extra Light" w:hAnsi="Artifex CF Extra Light" w:cs="Times New Roman"/>
          <w:b/>
          <w:color w:val="1F4E79" w:themeColor="accent1" w:themeShade="80"/>
          <w:spacing w:val="10"/>
          <w:sz w:val="18"/>
          <w:szCs w:val="18"/>
        </w:rPr>
        <w:t xml:space="preserve"> </w:t>
      </w:r>
      <w:r w:rsidR="00161E84" w:rsidRPr="00A40C82">
        <w:rPr>
          <w:rFonts w:ascii="Artifex CF Extra Light" w:hAnsi="Artifex CF Extra Light"/>
          <w:noProof/>
          <w:color w:val="1F4E79" w:themeColor="accent1" w:themeShade="80"/>
          <w:spacing w:val="10"/>
          <w:sz w:val="18"/>
          <w:szCs w:val="18"/>
          <w:shd w:val="clear" w:color="auto" w:fill="E6E6E6"/>
        </w:rPr>
        <w:drawing>
          <wp:inline distT="0" distB="0" distL="0" distR="0" wp14:anchorId="4D493B33" wp14:editId="28CDD760">
            <wp:extent cx="4701540" cy="2636520"/>
            <wp:effectExtent l="0" t="0" r="3810" b="11430"/>
            <wp:docPr id="6" name="Gráfico 6">
              <a:extLst xmlns:a="http://schemas.openxmlformats.org/drawingml/2006/main">
                <a:ext uri="{FF2B5EF4-FFF2-40B4-BE49-F238E27FC236}">
                  <a16:creationId xmlns:a16="http://schemas.microsoft.com/office/drawing/2014/main" id="{711FE9C6-A74F-4E5B-AB1C-ABA3A9EEB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97DB3E" w14:textId="7F3A605E" w:rsidR="00161E84" w:rsidRPr="00A40C82" w:rsidRDefault="00C32D53" w:rsidP="000B6FE0">
      <w:pPr>
        <w:pStyle w:val="Textoindependiente"/>
        <w:spacing w:after="0" w:line="456" w:lineRule="auto"/>
        <w:ind w:firstLine="284"/>
        <w:jc w:val="both"/>
        <w:rPr>
          <w:rStyle w:val="eop"/>
          <w:rFonts w:ascii="Artifex CF Extra Light" w:hAnsi="Artifex CF Extra Light"/>
          <w:color w:val="1F4E79" w:themeColor="accent1" w:themeShade="80"/>
          <w:spacing w:val="10"/>
          <w:sz w:val="18"/>
          <w:szCs w:val="18"/>
          <w:shd w:val="clear" w:color="auto" w:fill="FFFFFF"/>
        </w:rPr>
      </w:pPr>
      <w:r w:rsidRPr="00A40C82">
        <w:rPr>
          <w:rStyle w:val="normaltextrun"/>
          <w:rFonts w:ascii="Artifex CF Extra Light" w:hAnsi="Artifex CF Extra Light"/>
          <w:color w:val="1F4E79" w:themeColor="accent1" w:themeShade="80"/>
          <w:spacing w:val="10"/>
          <w:sz w:val="18"/>
          <w:szCs w:val="18"/>
          <w:shd w:val="clear" w:color="auto" w:fill="FFFFFF"/>
          <w:lang w:val="es-DO"/>
        </w:rPr>
        <w:t>Fuente: Elaboración Gerencia de Planificación y Gestión</w:t>
      </w:r>
      <w:r w:rsidR="008E0DAF" w:rsidRPr="00A40C82">
        <w:rPr>
          <w:rStyle w:val="eop"/>
          <w:rFonts w:ascii="Artifex CF Extra Light" w:hAnsi="Artifex CF Extra Light"/>
          <w:color w:val="1F4E79" w:themeColor="accent1" w:themeShade="80"/>
          <w:spacing w:val="10"/>
          <w:sz w:val="18"/>
          <w:szCs w:val="18"/>
          <w:shd w:val="clear" w:color="auto" w:fill="FFFFFF"/>
        </w:rPr>
        <w:t>.</w:t>
      </w:r>
    </w:p>
    <w:p w14:paraId="40DCE458" w14:textId="768547E3" w:rsidR="00C220AF" w:rsidRPr="00A40C82" w:rsidRDefault="00385397" w:rsidP="000B6FE0">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Nota: Los datos para el T4 son proyecciones.</w:t>
      </w:r>
    </w:p>
    <w:p w14:paraId="65F38B66" w14:textId="050210AA" w:rsidR="000811BA"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lang w:val="es-ES"/>
        </w:rPr>
      </w:pPr>
      <w:bookmarkStart w:id="92" w:name="_Toc58332506"/>
      <w:bookmarkStart w:id="93" w:name="_Toc59528094"/>
      <w:r w:rsidRPr="00061E36">
        <w:rPr>
          <w:rFonts w:ascii="Artifex CF Extra Light" w:hAnsi="Artifex CF Extra Light" w:cs="Times New Roman"/>
          <w:b/>
          <w:bCs/>
          <w:color w:val="1F4E79" w:themeColor="accent1" w:themeShade="80"/>
          <w:spacing w:val="10"/>
          <w:sz w:val="18"/>
          <w:szCs w:val="18"/>
          <w:lang w:val="es-ES"/>
        </w:rPr>
        <w:t>SISTEMA DE MONITOREO DE LA ADMINISTRACIÓN PÚBLICA (SISMAP)</w:t>
      </w:r>
      <w:bookmarkEnd w:id="92"/>
      <w:bookmarkEnd w:id="93"/>
    </w:p>
    <w:p w14:paraId="3CACDD6B" w14:textId="4249AFA0" w:rsidR="00D86E34" w:rsidRPr="00A40C82" w:rsidRDefault="0076107D"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ProDominicana</w:t>
      </w:r>
      <w:r w:rsidR="00D86E34"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se rige por el Código de Trabajo de la República Dominicana, por lo que la Ley 41-08, no aplica bajo el ámbito en que los indicadores se encuentran monitoreados. No obstante, la institución cumple dentro de sus operaciones con el marco de la administración de gestión humana y se toman como buenas prácticas para una mejor gestión, algunos indicadores del Sistema de Monitoreo de la Administración Pública, establecidos por el Ministerio de Administración Pública (MAP).</w:t>
      </w:r>
    </w:p>
    <w:p w14:paraId="39D78539" w14:textId="66371812" w:rsidR="00F70097" w:rsidRPr="00A40C82" w:rsidRDefault="00D86E34"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A </w:t>
      </w:r>
      <w:r w:rsidR="00C91AC7" w:rsidRPr="00A40C82">
        <w:rPr>
          <w:rFonts w:ascii="Artifex CF Extra Light" w:eastAsia="Times New Roman" w:hAnsi="Artifex CF Extra Light" w:cs="Times New Roman"/>
          <w:color w:val="1F4E79" w:themeColor="accent1" w:themeShade="80"/>
          <w:spacing w:val="10"/>
          <w:sz w:val="18"/>
          <w:szCs w:val="18"/>
          <w:lang w:val="es-ES" w:eastAsia="es-ES" w:bidi="es-ES"/>
        </w:rPr>
        <w:t>continuación,</w:t>
      </w: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se presentan las informaciones ejecutadas durante el año 2020, dentro del marco de los subindicadores del SISMAP:</w:t>
      </w:r>
    </w:p>
    <w:p w14:paraId="45A586E3" w14:textId="77777777" w:rsidR="00061E36" w:rsidRDefault="00061E36">
      <w:pPr>
        <w:rPr>
          <w:rFonts w:ascii="Artifex CF Extra Light" w:hAnsi="Artifex CF Extra Light" w:cs="Times New Roman"/>
          <w:b/>
          <w:color w:val="1F4E79" w:themeColor="accent1" w:themeShade="80"/>
          <w:spacing w:val="10"/>
          <w:sz w:val="18"/>
          <w:szCs w:val="18"/>
          <w:lang w:val="es-DO"/>
        </w:rPr>
      </w:pPr>
      <w:bookmarkStart w:id="94" w:name="_Toc58332507"/>
      <w:r>
        <w:rPr>
          <w:rFonts w:ascii="Artifex CF Extra Light" w:hAnsi="Artifex CF Extra Light" w:cs="Times New Roman"/>
          <w:b/>
          <w:color w:val="1F4E79" w:themeColor="accent1" w:themeShade="80"/>
          <w:spacing w:val="10"/>
          <w:sz w:val="18"/>
          <w:szCs w:val="18"/>
          <w:lang w:val="es-DO"/>
        </w:rPr>
        <w:br w:type="page"/>
      </w:r>
    </w:p>
    <w:p w14:paraId="4930D30F" w14:textId="65BAADAC" w:rsidR="00F70097" w:rsidRPr="00A40C82" w:rsidRDefault="00F70097"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lastRenderedPageBreak/>
        <w:t>Gestión de la Calidad y Servicios</w:t>
      </w:r>
      <w:bookmarkEnd w:id="94"/>
    </w:p>
    <w:p w14:paraId="5F9F625B" w14:textId="7523DF09" w:rsidR="00E92E4E" w:rsidRPr="00A40C82" w:rsidRDefault="5A24B709"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Con</w:t>
      </w:r>
      <w:r w:rsidR="00E92E4E"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apoyo del Instituto Nacional de Administración Pública (INAP), </w:t>
      </w:r>
      <w:r w:rsidR="2BA79F0D"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se </w:t>
      </w:r>
      <w:r w:rsidR="00F71EE3" w:rsidRPr="00A40C82">
        <w:rPr>
          <w:rFonts w:ascii="Artifex CF Extra Light" w:eastAsia="Times New Roman" w:hAnsi="Artifex CF Extra Light" w:cs="Times New Roman"/>
          <w:color w:val="1F4E79" w:themeColor="accent1" w:themeShade="80"/>
          <w:spacing w:val="10"/>
          <w:sz w:val="18"/>
          <w:szCs w:val="18"/>
          <w:lang w:val="es-ES" w:eastAsia="es-ES" w:bidi="es-ES"/>
        </w:rPr>
        <w:t>realizó</w:t>
      </w:r>
      <w:r w:rsidR="2BA79F0D"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w:t>
      </w:r>
      <w:r w:rsidR="00E92E4E"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la charla de Sensibilización para una República Digital con el objetivo de dar a conocer el impacto de las TIC en el desempeño de nuestras labores. </w:t>
      </w:r>
    </w:p>
    <w:p w14:paraId="3FA5E7E0" w14:textId="6D3E6168" w:rsidR="00E92E4E" w:rsidRPr="00A40C82" w:rsidRDefault="00E92E4E"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En esta misma línea </w:t>
      </w:r>
      <w:r w:rsidR="1616EAFC" w:rsidRPr="00A40C82">
        <w:rPr>
          <w:rFonts w:ascii="Artifex CF Extra Light" w:eastAsia="Times New Roman" w:hAnsi="Artifex CF Extra Light" w:cs="Times New Roman"/>
          <w:color w:val="1F4E79" w:themeColor="accent1" w:themeShade="80"/>
          <w:spacing w:val="10"/>
          <w:sz w:val="18"/>
          <w:szCs w:val="18"/>
          <w:lang w:val="es-ES" w:eastAsia="es-ES" w:bidi="es-ES"/>
        </w:rPr>
        <w:t>d</w:t>
      </w: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e acción se coordinó el Curso Básico de </w:t>
      </w:r>
      <w:r w:rsidR="00986237" w:rsidRPr="00A40C82">
        <w:rPr>
          <w:rFonts w:ascii="Artifex CF Extra Light" w:eastAsia="Times New Roman" w:hAnsi="Artifex CF Extra Light" w:cs="Times New Roman"/>
          <w:color w:val="1F4E79" w:themeColor="accent1" w:themeShade="80"/>
          <w:spacing w:val="10"/>
          <w:sz w:val="18"/>
          <w:szCs w:val="18"/>
          <w:lang w:val="es-ES" w:eastAsia="es-ES" w:bidi="es-ES"/>
        </w:rPr>
        <w:t>chino</w:t>
      </w:r>
      <w:r w:rsidRPr="00A40C82">
        <w:rPr>
          <w:rFonts w:ascii="Artifex CF Extra Light" w:eastAsia="Times New Roman" w:hAnsi="Artifex CF Extra Light" w:cs="Times New Roman"/>
          <w:color w:val="1F4E79" w:themeColor="accent1" w:themeShade="80"/>
          <w:spacing w:val="10"/>
          <w:sz w:val="18"/>
          <w:szCs w:val="18"/>
          <w:lang w:val="es-ES" w:eastAsia="es-ES" w:bidi="es-ES"/>
        </w:rPr>
        <w:t>-</w:t>
      </w:r>
      <w:r w:rsidR="001D6663" w:rsidRPr="00A40C82">
        <w:rPr>
          <w:rFonts w:ascii="Artifex CF Extra Light" w:eastAsia="Times New Roman" w:hAnsi="Artifex CF Extra Light" w:cs="Times New Roman"/>
          <w:color w:val="1F4E79" w:themeColor="accent1" w:themeShade="80"/>
          <w:spacing w:val="10"/>
          <w:sz w:val="18"/>
          <w:szCs w:val="18"/>
          <w:lang w:val="es-ES" w:eastAsia="es-ES" w:bidi="es-ES"/>
        </w:rPr>
        <w:t>mandarín</w:t>
      </w: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para Negocios, con el propósito de capacitar al talento humano vinculado a las áreas mision</w:t>
      </w:r>
      <w:r w:rsidR="10E72AA4" w:rsidRPr="00A40C82">
        <w:rPr>
          <w:rFonts w:ascii="Artifex CF Extra Light" w:eastAsia="Times New Roman" w:hAnsi="Artifex CF Extra Light" w:cs="Times New Roman"/>
          <w:color w:val="1F4E79" w:themeColor="accent1" w:themeShade="80"/>
          <w:spacing w:val="10"/>
          <w:sz w:val="18"/>
          <w:szCs w:val="18"/>
          <w:lang w:val="es-ES" w:eastAsia="es-ES" w:bidi="es-ES"/>
        </w:rPr>
        <w:t>al</w:t>
      </w: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es de </w:t>
      </w:r>
      <w:r w:rsidR="3447694A" w:rsidRPr="00A40C82">
        <w:rPr>
          <w:rFonts w:ascii="Artifex CF Extra Light" w:eastAsia="Times New Roman" w:hAnsi="Artifex CF Extra Light" w:cs="Times New Roman"/>
          <w:color w:val="1F4E79" w:themeColor="accent1" w:themeShade="80"/>
          <w:spacing w:val="10"/>
          <w:sz w:val="18"/>
          <w:szCs w:val="18"/>
          <w:lang w:val="es-ES" w:eastAsia="es-ES" w:bidi="es-ES"/>
        </w:rPr>
        <w:t>la institución</w:t>
      </w: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w:t>
      </w:r>
    </w:p>
    <w:p w14:paraId="29E6D88B" w14:textId="5BE3972F" w:rsidR="00E92E4E" w:rsidRPr="00A40C82" w:rsidRDefault="739EF265"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Capacitación en </w:t>
      </w:r>
      <w:r w:rsidR="00E92E4E" w:rsidRPr="00A40C82">
        <w:rPr>
          <w:rFonts w:ascii="Artifex CF Extra Light" w:eastAsia="Times New Roman" w:hAnsi="Artifex CF Extra Light" w:cs="Times New Roman"/>
          <w:color w:val="1F4E79" w:themeColor="accent1" w:themeShade="80"/>
          <w:spacing w:val="10"/>
          <w:sz w:val="18"/>
          <w:szCs w:val="18"/>
          <w:lang w:val="es-ES" w:eastAsia="es-ES" w:bidi="es-ES"/>
        </w:rPr>
        <w:t>Gestión por Resultados</w:t>
      </w:r>
      <w:r w:rsidR="25815F8B" w:rsidRPr="00A40C82">
        <w:rPr>
          <w:rFonts w:ascii="Artifex CF Extra Light" w:eastAsia="Times New Roman" w:hAnsi="Artifex CF Extra Light" w:cs="Times New Roman"/>
          <w:color w:val="1F4E79" w:themeColor="accent1" w:themeShade="80"/>
          <w:spacing w:val="10"/>
          <w:sz w:val="18"/>
          <w:szCs w:val="18"/>
          <w:lang w:val="es-ES" w:eastAsia="es-ES" w:bidi="es-ES"/>
        </w:rPr>
        <w:t>, buscando</w:t>
      </w:r>
      <w:r w:rsidR="00E92E4E"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orientar los esfuerzos a las actividades que generan mayor impacto en el servicio que </w:t>
      </w:r>
      <w:r w:rsidR="58212556" w:rsidRPr="00A40C82">
        <w:rPr>
          <w:rFonts w:ascii="Artifex CF Extra Light" w:eastAsia="Times New Roman" w:hAnsi="Artifex CF Extra Light" w:cs="Times New Roman"/>
          <w:color w:val="1F4E79" w:themeColor="accent1" w:themeShade="80"/>
          <w:spacing w:val="10"/>
          <w:sz w:val="18"/>
          <w:szCs w:val="18"/>
          <w:lang w:val="es-ES" w:eastAsia="es-ES" w:bidi="es-ES"/>
        </w:rPr>
        <w:t>brinda la institución</w:t>
      </w:r>
      <w:r w:rsidR="00E92E4E"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w:t>
      </w:r>
    </w:p>
    <w:p w14:paraId="71350AAC" w14:textId="18E3E6B0" w:rsidR="00E92E4E" w:rsidRPr="00A40C82" w:rsidRDefault="2B63C3CD"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Taller de Servicio Extraordinario y Protocolos de Atención y Servicio: </w:t>
      </w:r>
      <w:r w:rsidR="00E92E4E"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Con el objetivo de formar equipos multidisciplinarios de trabajo y lograr una verdadera diferenciación a través del servicio, como también incorporar los nuevos conocimientos a la práctica diaria, dar a conocer los nuevos abordajes para el ejercicio de servicio al cliente, adquirir mayor compromiso con la calidad y satisfacer plenamente al cliente, se realizaron las actividades formativas. </w:t>
      </w:r>
    </w:p>
    <w:p w14:paraId="2BF573A0" w14:textId="3AD67F50" w:rsidR="00F70097" w:rsidRPr="00A40C82" w:rsidRDefault="00E92E4E"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En este mismo tenor se elaboró la Matriz de Descripción de Servicio de Gestión Humana, en la cual se indica el tiempo para proporcionar el servicio. Esto permite una mayor eficiencia en la gestión de las diferentes solicitudes de los colaboradores.</w:t>
      </w:r>
    </w:p>
    <w:p w14:paraId="27E2A676" w14:textId="638BEE1A" w:rsidR="00F70097" w:rsidRPr="00A40C82" w:rsidRDefault="00F70097"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bookmarkStart w:id="95" w:name="_Toc58332508"/>
      <w:r w:rsidRPr="00A40C82">
        <w:rPr>
          <w:rFonts w:ascii="Artifex CF Extra Light" w:hAnsi="Artifex CF Extra Light" w:cs="Times New Roman"/>
          <w:b/>
          <w:color w:val="1F4E79" w:themeColor="accent1" w:themeShade="80"/>
          <w:spacing w:val="10"/>
          <w:sz w:val="18"/>
          <w:szCs w:val="18"/>
          <w:lang w:val="es-DO"/>
        </w:rPr>
        <w:t>Organización de la Función de Recursos Humanos</w:t>
      </w:r>
      <w:bookmarkEnd w:id="95"/>
    </w:p>
    <w:p w14:paraId="63E22900" w14:textId="13FBDAF7" w:rsidR="00383828" w:rsidRPr="00A40C82" w:rsidRDefault="00383828"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En el transcurso del año 2020 se llevaron a cabo una serie de acciones que han propiciado el fortalecimiento de los procesos, estructura, capacidades y competencias del talento humano. Esto con la finalidad de convertir a</w:t>
      </w:r>
      <w:r w:rsidR="44D34A6D"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w:t>
      </w:r>
      <w:r w:rsidR="00DD279F" w:rsidRPr="00A40C82">
        <w:rPr>
          <w:rFonts w:ascii="Artifex CF Extra Light" w:eastAsia="Times New Roman" w:hAnsi="Artifex CF Extra Light" w:cs="Times New Roman"/>
          <w:color w:val="1F4E79" w:themeColor="accent1" w:themeShade="80"/>
          <w:spacing w:val="10"/>
          <w:sz w:val="18"/>
          <w:szCs w:val="18"/>
          <w:lang w:val="es-ES" w:eastAsia="es-ES" w:bidi="es-ES"/>
        </w:rPr>
        <w:t>ProDominicana</w:t>
      </w: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en una institución de vanguardia en cuanto a la prestación de servicios.</w:t>
      </w:r>
    </w:p>
    <w:p w14:paraId="5691057D" w14:textId="3C77B18A" w:rsidR="00383828" w:rsidRPr="00A40C82" w:rsidRDefault="00383828"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lastRenderedPageBreak/>
        <w:t xml:space="preserve">En este aspecto se elaboró el cuadro de las competencias cardinales, se actualizaron los perfiles del Manual de Descripción de Puestos y fueron revisados y actualizados los procesos y flujogramas de la gerencia, según detalle: </w:t>
      </w:r>
    </w:p>
    <w:p w14:paraId="148C6102" w14:textId="77777777"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Aplicación de medidas disciplinarias</w:t>
      </w:r>
    </w:p>
    <w:p w14:paraId="68723FF9" w14:textId="77777777"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 xml:space="preserve">Gestión de certificaciones </w:t>
      </w:r>
    </w:p>
    <w:p w14:paraId="020D20C8" w14:textId="77777777"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 xml:space="preserve">Movimiento de personal </w:t>
      </w:r>
    </w:p>
    <w:p w14:paraId="4CAF4CA8" w14:textId="77777777"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 xml:space="preserve">Contratación de personal  </w:t>
      </w:r>
    </w:p>
    <w:p w14:paraId="7C1CA51E" w14:textId="77777777"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 xml:space="preserve">Programación de vacaciones anuales </w:t>
      </w:r>
    </w:p>
    <w:p w14:paraId="3BA2F20E" w14:textId="4E0A81F1"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Evaluación del período probatorio</w:t>
      </w:r>
    </w:p>
    <w:p w14:paraId="5643B4D6" w14:textId="0E5BBE14" w:rsidR="00383828" w:rsidRPr="00061E36" w:rsidRDefault="00383828" w:rsidP="00061E36">
      <w:pPr>
        <w:pStyle w:val="Prrafodelista"/>
        <w:spacing w:before="380" w:after="120" w:line="456" w:lineRule="auto"/>
        <w:ind w:left="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 xml:space="preserve">En adiciona fueron actualizados algunos programas que impactan la gestión, como son: </w:t>
      </w:r>
    </w:p>
    <w:p w14:paraId="7E7D592B" w14:textId="77777777"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Plan de Retribución y Compensación</w:t>
      </w:r>
      <w:r w:rsidRPr="00061E36">
        <w:rPr>
          <w:rFonts w:ascii="Calibri" w:hAnsi="Calibri" w:cs="Calibri"/>
          <w:bCs/>
          <w:color w:val="1F4E79" w:themeColor="accent1" w:themeShade="80"/>
          <w:spacing w:val="10"/>
          <w:sz w:val="18"/>
          <w:szCs w:val="18"/>
          <w:lang w:val="es-DO"/>
        </w:rPr>
        <w:t> </w:t>
      </w:r>
    </w:p>
    <w:p w14:paraId="29D2C840" w14:textId="77777777"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Manual de Voluntariado</w:t>
      </w:r>
      <w:r w:rsidRPr="00061E36">
        <w:rPr>
          <w:rFonts w:ascii="Calibri" w:hAnsi="Calibri" w:cs="Calibri"/>
          <w:bCs/>
          <w:color w:val="1F4E79" w:themeColor="accent1" w:themeShade="80"/>
          <w:spacing w:val="10"/>
          <w:sz w:val="18"/>
          <w:szCs w:val="18"/>
          <w:lang w:val="es-DO"/>
        </w:rPr>
        <w:t> </w:t>
      </w:r>
    </w:p>
    <w:p w14:paraId="1658FC05" w14:textId="77777777"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Manual de Programa de Pasantías</w:t>
      </w:r>
      <w:r w:rsidRPr="00061E36">
        <w:rPr>
          <w:rFonts w:ascii="Calibri" w:hAnsi="Calibri" w:cs="Calibri"/>
          <w:bCs/>
          <w:color w:val="1F4E79" w:themeColor="accent1" w:themeShade="80"/>
          <w:spacing w:val="10"/>
          <w:sz w:val="18"/>
          <w:szCs w:val="18"/>
          <w:lang w:val="es-DO"/>
        </w:rPr>
        <w:t> </w:t>
      </w:r>
    </w:p>
    <w:p w14:paraId="31BFBD5B" w14:textId="7D8A26A5" w:rsidR="00383828" w:rsidRPr="00061E36" w:rsidRDefault="00383828"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Cs/>
          <w:color w:val="1F4E79" w:themeColor="accent1" w:themeShade="80"/>
          <w:spacing w:val="10"/>
          <w:sz w:val="18"/>
          <w:szCs w:val="18"/>
          <w:lang w:val="es-DO"/>
        </w:rPr>
      </w:pPr>
      <w:r w:rsidRPr="00061E36">
        <w:rPr>
          <w:rFonts w:ascii="Artifex CF Extra Light" w:hAnsi="Artifex CF Extra Light" w:cs="Times New Roman"/>
          <w:bCs/>
          <w:color w:val="1F4E79" w:themeColor="accent1" w:themeShade="80"/>
          <w:spacing w:val="10"/>
          <w:sz w:val="18"/>
          <w:szCs w:val="18"/>
          <w:lang w:val="es-DO"/>
        </w:rPr>
        <w:t>Modelo de Sucesión</w:t>
      </w:r>
      <w:r w:rsidRPr="00061E36">
        <w:rPr>
          <w:rFonts w:ascii="Calibri" w:hAnsi="Calibri" w:cs="Calibri"/>
          <w:bCs/>
          <w:color w:val="1F4E79" w:themeColor="accent1" w:themeShade="80"/>
          <w:spacing w:val="10"/>
          <w:sz w:val="18"/>
          <w:szCs w:val="18"/>
          <w:lang w:val="es-DO"/>
        </w:rPr>
        <w:t> </w:t>
      </w:r>
    </w:p>
    <w:p w14:paraId="13B53FC5" w14:textId="75BDC48A" w:rsidR="00383828" w:rsidRPr="00A40C82" w:rsidRDefault="6DAE5509"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También s</w:t>
      </w:r>
      <w:r w:rsidR="561D93A3" w:rsidRPr="00A40C82">
        <w:rPr>
          <w:rFonts w:ascii="Artifex CF Extra Light" w:eastAsia="Times New Roman" w:hAnsi="Artifex CF Extra Light" w:cs="Times New Roman"/>
          <w:color w:val="1F4E79" w:themeColor="accent1" w:themeShade="80"/>
          <w:spacing w:val="10"/>
          <w:sz w:val="18"/>
          <w:szCs w:val="18"/>
          <w:lang w:val="es-ES" w:eastAsia="es-ES" w:bidi="es-ES"/>
        </w:rPr>
        <w:t>e elaboró un</w:t>
      </w:r>
      <w:r w:rsidR="00383828"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Plan Individual de Desarrollo</w:t>
      </w:r>
      <w:r w:rsidR="1147BA34"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w:t>
      </w:r>
      <w:r w:rsidR="00383828"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para </w:t>
      </w:r>
      <w:r w:rsidR="1147BA34" w:rsidRPr="00A40C82">
        <w:rPr>
          <w:rFonts w:ascii="Artifex CF Extra Light" w:eastAsia="Times New Roman" w:hAnsi="Artifex CF Extra Light" w:cs="Times New Roman"/>
          <w:color w:val="1F4E79" w:themeColor="accent1" w:themeShade="80"/>
          <w:spacing w:val="10"/>
          <w:sz w:val="18"/>
          <w:szCs w:val="18"/>
          <w:lang w:val="es-ES" w:eastAsia="es-ES" w:bidi="es-ES"/>
        </w:rPr>
        <w:t>cada directivo</w:t>
      </w:r>
      <w:r w:rsidR="00383828" w:rsidRPr="00A40C82">
        <w:rPr>
          <w:rFonts w:ascii="Artifex CF Extra Light" w:eastAsia="Times New Roman" w:hAnsi="Artifex CF Extra Light" w:cs="Times New Roman"/>
          <w:color w:val="1F4E79" w:themeColor="accent1" w:themeShade="80"/>
          <w:spacing w:val="10"/>
          <w:sz w:val="18"/>
          <w:szCs w:val="18"/>
          <w:lang w:val="es-ES" w:eastAsia="es-ES" w:bidi="es-ES"/>
        </w:rPr>
        <w:t>, plasma</w:t>
      </w:r>
      <w:r w:rsidR="29270B96" w:rsidRPr="00A40C82">
        <w:rPr>
          <w:rFonts w:ascii="Artifex CF Extra Light" w:eastAsia="Times New Roman" w:hAnsi="Artifex CF Extra Light" w:cs="Times New Roman"/>
          <w:color w:val="1F4E79" w:themeColor="accent1" w:themeShade="80"/>
          <w:spacing w:val="10"/>
          <w:sz w:val="18"/>
          <w:szCs w:val="18"/>
          <w:lang w:val="es-ES" w:eastAsia="es-ES" w:bidi="es-ES"/>
        </w:rPr>
        <w:t>ndo</w:t>
      </w:r>
      <w:r w:rsidR="00383828"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las actividades que le ayudarán a fortalecer las competencias evaluadas que presentaron oportunidades de mejora</w:t>
      </w:r>
      <w:r w:rsidR="2E6180AA"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en el levantamiento realizado para tales fines.</w:t>
      </w:r>
    </w:p>
    <w:p w14:paraId="1A405F99" w14:textId="29F9AEF7" w:rsidR="00F70097" w:rsidRPr="00A40C82" w:rsidRDefault="00F70097"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bookmarkStart w:id="96" w:name="_Toc58332510"/>
      <w:r w:rsidRPr="00A40C82">
        <w:rPr>
          <w:rFonts w:ascii="Artifex CF Extra Light" w:hAnsi="Artifex CF Extra Light" w:cs="Times New Roman"/>
          <w:b/>
          <w:color w:val="1F4E79" w:themeColor="accent1" w:themeShade="80"/>
          <w:spacing w:val="10"/>
          <w:sz w:val="18"/>
          <w:szCs w:val="18"/>
          <w:lang w:val="es-DO"/>
        </w:rPr>
        <w:lastRenderedPageBreak/>
        <w:t>Gestión de las Compensaciones y Beneficios</w:t>
      </w:r>
      <w:bookmarkEnd w:id="96"/>
    </w:p>
    <w:p w14:paraId="73B18018" w14:textId="705DD276" w:rsidR="0004772D" w:rsidRPr="00A40C82" w:rsidRDefault="00DD279F"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ProDominicana</w:t>
      </w:r>
      <w:r w:rsidR="0004772D"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 se encuentra en el proceso de elaboración de una agenda de trabajo para revisar y analizar la estructura organizacional, y en base a los resultados arrojados, en lo adelante realizar las mejoras pertinentes en las compensaciones y beneficios de los colaboradores. </w:t>
      </w:r>
    </w:p>
    <w:p w14:paraId="275B6B3B" w14:textId="6B0C347F" w:rsidR="00F70097" w:rsidRPr="00A40C82" w:rsidRDefault="00F70097"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bookmarkStart w:id="97" w:name="_Toc58332511"/>
      <w:r w:rsidRPr="00A40C82">
        <w:rPr>
          <w:rFonts w:ascii="Artifex CF Extra Light" w:hAnsi="Artifex CF Extra Light" w:cs="Times New Roman"/>
          <w:b/>
          <w:color w:val="1F4E79" w:themeColor="accent1" w:themeShade="80"/>
          <w:spacing w:val="10"/>
          <w:sz w:val="18"/>
          <w:szCs w:val="18"/>
          <w:lang w:val="es-DO"/>
        </w:rPr>
        <w:t>Gestión del Rendimiento</w:t>
      </w:r>
      <w:bookmarkEnd w:id="97"/>
    </w:p>
    <w:p w14:paraId="5636AB64" w14:textId="52FE65F1" w:rsidR="001859D0" w:rsidRPr="00A40C82" w:rsidRDefault="0E9C3953" w:rsidP="00864966">
      <w:pPr>
        <w:spacing w:before="380" w:after="120" w:line="456" w:lineRule="auto"/>
        <w:ind w:firstLine="284"/>
        <w:jc w:val="both"/>
        <w:rPr>
          <w:rFonts w:ascii="Artifex CF Extra Light" w:eastAsia="Times New Roman" w:hAnsi="Artifex CF Extra Light" w:cs="Times New Roman"/>
          <w:b/>
          <w:color w:val="1F4E79" w:themeColor="accent1" w:themeShade="80"/>
          <w:spacing w:val="10"/>
          <w:sz w:val="18"/>
          <w:szCs w:val="18"/>
          <w:lang w:val="es-ES"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S</w:t>
      </w:r>
      <w:r w:rsidR="001859D0" w:rsidRPr="00A40C82">
        <w:rPr>
          <w:rFonts w:ascii="Artifex CF Extra Light" w:eastAsia="Times New Roman" w:hAnsi="Artifex CF Extra Light" w:cs="Times New Roman"/>
          <w:color w:val="1F4E79" w:themeColor="accent1" w:themeShade="80"/>
          <w:spacing w:val="10"/>
          <w:sz w:val="18"/>
          <w:szCs w:val="18"/>
          <w:lang w:val="es-ES" w:eastAsia="es-ES" w:bidi="es-ES"/>
        </w:rPr>
        <w:t>e</w:t>
      </w:r>
      <w:r w:rsidR="001859D0" w:rsidRPr="00A40C82">
        <w:rPr>
          <w:rFonts w:ascii="Artifex CF Extra Light" w:eastAsia="Times New Roman" w:hAnsi="Artifex CF Extra Light" w:cs="Times New Roman"/>
          <w:color w:val="1F4E79" w:themeColor="accent1" w:themeShade="80"/>
          <w:spacing w:val="10"/>
          <w:sz w:val="18"/>
          <w:szCs w:val="18"/>
          <w:lang w:val="es-DO"/>
        </w:rPr>
        <w:t xml:space="preserve"> </w:t>
      </w:r>
      <w:r w:rsidR="00672E4C" w:rsidRPr="00A40C82">
        <w:rPr>
          <w:rFonts w:ascii="Artifex CF Extra Light" w:eastAsia="Times New Roman" w:hAnsi="Artifex CF Extra Light" w:cs="Times New Roman"/>
          <w:color w:val="1F4E79" w:themeColor="accent1" w:themeShade="80"/>
          <w:spacing w:val="10"/>
          <w:sz w:val="18"/>
          <w:szCs w:val="18"/>
          <w:lang w:val="es-DO"/>
        </w:rPr>
        <w:t>dio</w:t>
      </w:r>
      <w:r w:rsidR="001859D0" w:rsidRPr="00A40C82">
        <w:rPr>
          <w:rFonts w:ascii="Artifex CF Extra Light" w:eastAsia="Times New Roman" w:hAnsi="Artifex CF Extra Light" w:cs="Times New Roman"/>
          <w:color w:val="1F4E79" w:themeColor="accent1" w:themeShade="80"/>
          <w:spacing w:val="10"/>
          <w:sz w:val="18"/>
          <w:szCs w:val="18"/>
          <w:lang w:val="es-DO"/>
        </w:rPr>
        <w:t xml:space="preserve"> inicio al Plan de Detección de Necesidades</w:t>
      </w:r>
      <w:r w:rsidR="59109BC4" w:rsidRPr="00A40C82">
        <w:rPr>
          <w:rFonts w:ascii="Artifex CF Extra Light" w:eastAsia="Times New Roman" w:hAnsi="Artifex CF Extra Light" w:cs="Times New Roman"/>
          <w:color w:val="1F4E79" w:themeColor="accent1" w:themeShade="80"/>
          <w:spacing w:val="10"/>
          <w:sz w:val="18"/>
          <w:szCs w:val="18"/>
          <w:lang w:val="es-DO"/>
        </w:rPr>
        <w:t xml:space="preserve">, </w:t>
      </w:r>
      <w:r w:rsidR="001859D0" w:rsidRPr="00A40C82">
        <w:rPr>
          <w:rFonts w:ascii="Artifex CF Extra Light" w:eastAsia="Times New Roman" w:hAnsi="Artifex CF Extra Light" w:cs="Times New Roman"/>
          <w:color w:val="1F4E79" w:themeColor="accent1" w:themeShade="80"/>
          <w:spacing w:val="10"/>
          <w:sz w:val="18"/>
          <w:szCs w:val="18"/>
          <w:lang w:val="es-DO"/>
        </w:rPr>
        <w:t>delimita</w:t>
      </w:r>
      <w:r w:rsidR="5099A0D1" w:rsidRPr="00A40C82">
        <w:rPr>
          <w:rFonts w:ascii="Artifex CF Extra Light" w:eastAsia="Times New Roman" w:hAnsi="Artifex CF Extra Light" w:cs="Times New Roman"/>
          <w:color w:val="1F4E79" w:themeColor="accent1" w:themeShade="80"/>
          <w:spacing w:val="10"/>
          <w:sz w:val="18"/>
          <w:szCs w:val="18"/>
          <w:lang w:val="es-DO"/>
        </w:rPr>
        <w:t xml:space="preserve">ndo </w:t>
      </w:r>
      <w:r w:rsidR="001859D0" w:rsidRPr="00A40C82">
        <w:rPr>
          <w:rFonts w:ascii="Artifex CF Extra Light" w:eastAsia="Times New Roman" w:hAnsi="Artifex CF Extra Light" w:cs="Times New Roman"/>
          <w:color w:val="1F4E79" w:themeColor="accent1" w:themeShade="80"/>
          <w:spacing w:val="10"/>
          <w:sz w:val="18"/>
          <w:szCs w:val="18"/>
          <w:lang w:val="es-DO"/>
        </w:rPr>
        <w:t>y categoriza</w:t>
      </w:r>
      <w:r w:rsidR="10B3037E" w:rsidRPr="00A40C82">
        <w:rPr>
          <w:rFonts w:ascii="Artifex CF Extra Light" w:eastAsia="Times New Roman" w:hAnsi="Artifex CF Extra Light" w:cs="Times New Roman"/>
          <w:color w:val="1F4E79" w:themeColor="accent1" w:themeShade="80"/>
          <w:spacing w:val="10"/>
          <w:sz w:val="18"/>
          <w:szCs w:val="18"/>
          <w:lang w:val="es-DO"/>
        </w:rPr>
        <w:t>ndo</w:t>
      </w:r>
      <w:r w:rsidR="001859D0" w:rsidRPr="00A40C82">
        <w:rPr>
          <w:rFonts w:ascii="Artifex CF Extra Light" w:eastAsia="Times New Roman" w:hAnsi="Artifex CF Extra Light" w:cs="Times New Roman"/>
          <w:color w:val="1F4E79" w:themeColor="accent1" w:themeShade="80"/>
          <w:spacing w:val="10"/>
          <w:sz w:val="18"/>
          <w:szCs w:val="18"/>
          <w:lang w:val="es-DO"/>
        </w:rPr>
        <w:t xml:space="preserve"> las </w:t>
      </w:r>
      <w:r w:rsidR="502CF647" w:rsidRPr="00A40C82">
        <w:rPr>
          <w:rFonts w:ascii="Artifex CF Extra Light" w:eastAsia="Times New Roman" w:hAnsi="Artifex CF Extra Light" w:cs="Times New Roman"/>
          <w:color w:val="1F4E79" w:themeColor="accent1" w:themeShade="80"/>
          <w:spacing w:val="10"/>
          <w:sz w:val="18"/>
          <w:szCs w:val="18"/>
          <w:lang w:val="es-DO"/>
        </w:rPr>
        <w:t xml:space="preserve">necesidades </w:t>
      </w:r>
      <w:r w:rsidR="3211E171" w:rsidRPr="00A40C82">
        <w:rPr>
          <w:rFonts w:ascii="Artifex CF Extra Light" w:eastAsia="Times New Roman" w:hAnsi="Artifex CF Extra Light" w:cs="Times New Roman"/>
          <w:color w:val="1F4E79" w:themeColor="accent1" w:themeShade="80"/>
          <w:spacing w:val="10"/>
          <w:sz w:val="18"/>
          <w:szCs w:val="18"/>
          <w:lang w:val="es-DO"/>
        </w:rPr>
        <w:t>de desarrollo humano</w:t>
      </w:r>
      <w:r w:rsidR="001859D0" w:rsidRPr="00A40C82">
        <w:rPr>
          <w:rFonts w:ascii="Artifex CF Extra Light" w:eastAsia="Times New Roman" w:hAnsi="Artifex CF Extra Light" w:cs="Times New Roman"/>
          <w:color w:val="1F4E79" w:themeColor="accent1" w:themeShade="80"/>
          <w:spacing w:val="10"/>
          <w:sz w:val="18"/>
          <w:szCs w:val="18"/>
          <w:lang w:val="es-DO"/>
        </w:rPr>
        <w:t xml:space="preserve"> de manera estructurada. En adición se diseñó el “Formulario Compromiso de Formación”, con la finalidad de mantener la asistencia y el compromiso de los colaboradores con las capacitaciones identificadas para su desarrollo.</w:t>
      </w:r>
      <w:r w:rsidR="001859D0" w:rsidRPr="00A40C82">
        <w:rPr>
          <w:rFonts w:ascii="Artifex CF Extra Light" w:eastAsia="Times New Roman" w:hAnsi="Artifex CF Extra Light" w:cs="Times New Roman"/>
          <w:color w:val="1F4E79" w:themeColor="accent1" w:themeShade="80"/>
          <w:spacing w:val="10"/>
          <w:sz w:val="18"/>
          <w:szCs w:val="18"/>
          <w:lang w:val="es-ES"/>
        </w:rPr>
        <w:t> </w:t>
      </w:r>
    </w:p>
    <w:p w14:paraId="692A0D41" w14:textId="39650C5F" w:rsidR="001859D0" w:rsidRPr="00A40C82" w:rsidRDefault="001859D0" w:rsidP="00864966">
      <w:pPr>
        <w:spacing w:before="380" w:after="120" w:line="456" w:lineRule="auto"/>
        <w:ind w:firstLine="284"/>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Queda pendiente incluir en el Plan de Capacitación las acciones de capacitación producto de la Evaluación de Desempeño 360, </w:t>
      </w:r>
      <w:r w:rsidR="26426431" w:rsidRPr="00A40C82">
        <w:rPr>
          <w:rFonts w:ascii="Artifex CF Extra Light" w:eastAsia="Times New Roman" w:hAnsi="Artifex CF Extra Light" w:cs="Times New Roman"/>
          <w:color w:val="1F4E79" w:themeColor="accent1" w:themeShade="80"/>
          <w:spacing w:val="10"/>
          <w:sz w:val="18"/>
          <w:szCs w:val="18"/>
          <w:lang w:val="es-DO"/>
        </w:rPr>
        <w:t>el cual fue pospuesto para el 2021.</w:t>
      </w:r>
    </w:p>
    <w:p w14:paraId="1D777841" w14:textId="46C7A450" w:rsidR="00F70097" w:rsidRPr="00A40C82" w:rsidRDefault="00F70097" w:rsidP="000B6FE0">
      <w:pPr>
        <w:pStyle w:val="Prrafodelista"/>
        <w:numPr>
          <w:ilvl w:val="0"/>
          <w:numId w:val="20"/>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bookmarkStart w:id="98" w:name="_Toc58332512"/>
      <w:r w:rsidRPr="00A40C82">
        <w:rPr>
          <w:rFonts w:ascii="Artifex CF Extra Light" w:hAnsi="Artifex CF Extra Light" w:cs="Times New Roman"/>
          <w:b/>
          <w:color w:val="1F4E79" w:themeColor="accent1" w:themeShade="80"/>
          <w:spacing w:val="10"/>
          <w:sz w:val="18"/>
          <w:szCs w:val="18"/>
          <w:lang w:val="es-DO"/>
        </w:rPr>
        <w:t>Gestión de Relaciones Humanas y Sociales</w:t>
      </w:r>
      <w:bookmarkEnd w:id="98"/>
    </w:p>
    <w:p w14:paraId="4EB10112" w14:textId="1519E87E" w:rsidR="00D13134" w:rsidRPr="00A40C82" w:rsidRDefault="00D13134" w:rsidP="00864966">
      <w:pPr>
        <w:widowControl w:val="0"/>
        <w:autoSpaceDE w:val="0"/>
        <w:autoSpaceDN w:val="0"/>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ES" w:bidi="es-ES"/>
        </w:rPr>
      </w:pPr>
      <w:r w:rsidRPr="00A40C82">
        <w:rPr>
          <w:rFonts w:ascii="Artifex CF Extra Light" w:eastAsia="Times New Roman" w:hAnsi="Artifex CF Extra Light" w:cs="Times New Roman"/>
          <w:color w:val="1F4E79" w:themeColor="accent1" w:themeShade="80"/>
          <w:spacing w:val="10"/>
          <w:sz w:val="18"/>
          <w:szCs w:val="18"/>
          <w:lang w:val="es-ES" w:eastAsia="es-ES" w:bidi="es-ES"/>
        </w:rPr>
        <w:t xml:space="preserve">A los fines de trabajar en la mejora del clima organizacional y mejorar las relaciones humanas, desde la gerencia se elaboró el Plan de Actividades y Operativos 2020. Las acciones de este plan se implementaron en pro de impactar positivamente el bienestar integral de nuestros colaboradores. En este tenor se desarrollaron las detalladas a continuación: </w:t>
      </w:r>
    </w:p>
    <w:p w14:paraId="7782ED92"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Entrega de juguetes a 70 niños del Hogar Caritas de Ángeles, actividad del Programa de Voluntariado. </w:t>
      </w:r>
    </w:p>
    <w:p w14:paraId="74E0F8AA"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En el marco de las acciones de promoción y prevención de la salud, se elaboró y coordino el cronograma de actividades en lo relativo a las charlas y operativos </w:t>
      </w:r>
      <w:r w:rsidRPr="00A40C82">
        <w:rPr>
          <w:rFonts w:ascii="Artifex CF Extra Light" w:eastAsia="Times New Roman" w:hAnsi="Artifex CF Extra Light" w:cs="Times New Roman"/>
          <w:color w:val="1F4E79" w:themeColor="accent1" w:themeShade="80"/>
          <w:spacing w:val="10"/>
          <w:sz w:val="18"/>
          <w:szCs w:val="18"/>
          <w:lang w:val="es-DO"/>
        </w:rPr>
        <w:lastRenderedPageBreak/>
        <w:t xml:space="preserve">con la colaboración de ARS Humano. </w:t>
      </w:r>
    </w:p>
    <w:p w14:paraId="75B0910F"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Creación de un Coro Institucional para realizar presentaciones de música latinoamericana en las actividades interna. </w:t>
      </w:r>
    </w:p>
    <w:p w14:paraId="11B9DDAB"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Coordinación de actividad del Día Internacional de la Mujer. </w:t>
      </w:r>
    </w:p>
    <w:p w14:paraId="311FCCBC" w14:textId="0B90FC45"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Coordinación y realización de la Charla Hábitos Saludables. </w:t>
      </w:r>
    </w:p>
    <w:p w14:paraId="4D59C271" w14:textId="23151F30"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En aras de preservar la salud de </w:t>
      </w:r>
      <w:r w:rsidR="56B96891" w:rsidRPr="00A40C82">
        <w:rPr>
          <w:rFonts w:ascii="Artifex CF Extra Light" w:eastAsia="Times New Roman" w:hAnsi="Artifex CF Extra Light" w:cs="Times New Roman"/>
          <w:color w:val="1F4E79" w:themeColor="accent1" w:themeShade="80"/>
          <w:spacing w:val="10"/>
          <w:sz w:val="18"/>
          <w:szCs w:val="18"/>
          <w:lang w:val="es-DO"/>
        </w:rPr>
        <w:t>los colaboradores de la institución, se desarrollaron</w:t>
      </w:r>
      <w:r w:rsidRPr="00A40C82">
        <w:rPr>
          <w:rFonts w:ascii="Artifex CF Extra Light" w:eastAsia="Times New Roman" w:hAnsi="Artifex CF Extra Light" w:cs="Times New Roman"/>
          <w:color w:val="1F4E79" w:themeColor="accent1" w:themeShade="80"/>
          <w:spacing w:val="10"/>
          <w:sz w:val="18"/>
          <w:szCs w:val="18"/>
          <w:lang w:val="es-DO"/>
        </w:rPr>
        <w:t xml:space="preserve"> </w:t>
      </w:r>
      <w:r w:rsidR="56B96891" w:rsidRPr="00A40C82">
        <w:rPr>
          <w:rFonts w:ascii="Artifex CF Extra Light" w:eastAsia="Times New Roman" w:hAnsi="Artifex CF Extra Light" w:cs="Times New Roman"/>
          <w:color w:val="1F4E79" w:themeColor="accent1" w:themeShade="80"/>
          <w:spacing w:val="10"/>
          <w:sz w:val="18"/>
          <w:szCs w:val="18"/>
          <w:lang w:val="es-DO"/>
        </w:rPr>
        <w:t xml:space="preserve">las siguientes </w:t>
      </w:r>
      <w:r w:rsidRPr="00A40C82">
        <w:rPr>
          <w:rFonts w:ascii="Artifex CF Extra Light" w:eastAsia="Times New Roman" w:hAnsi="Artifex CF Extra Light" w:cs="Times New Roman"/>
          <w:color w:val="1F4E79" w:themeColor="accent1" w:themeShade="80"/>
          <w:spacing w:val="10"/>
          <w:sz w:val="18"/>
          <w:szCs w:val="18"/>
          <w:lang w:val="es-DO"/>
        </w:rPr>
        <w:t xml:space="preserve">iniciativas: </w:t>
      </w:r>
    </w:p>
    <w:p w14:paraId="078541B2"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Campaña de prevención del Covid-19. </w:t>
      </w:r>
    </w:p>
    <w:p w14:paraId="1E35F892"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Socialización con todo el personal dando a conocer las acciones y el protocolo que estaría implementando la institución ante el virus, basado en los criterios emitidos por la OMS. </w:t>
      </w:r>
    </w:p>
    <w:p w14:paraId="178DC7A4"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Coordinación de la logística y ejecución de las charlas: Prevención Covid-19 y el Coronavirus y el correcto lavado de manos, con el Departamento de Epidemióloga del Ministerio de Salud.</w:t>
      </w:r>
    </w:p>
    <w:p w14:paraId="3530A6CF" w14:textId="590FB8B2"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Colocación de afiches y Dispensadores de alcohol y manitas limpias en todos los espacios de la institución. </w:t>
      </w:r>
    </w:p>
    <w:p w14:paraId="267C30F0"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Instalación de un túnel de desinfección para los colaboradores y clientes. </w:t>
      </w:r>
    </w:p>
    <w:p w14:paraId="056E2395" w14:textId="77777777"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 xml:space="preserve">Entrega a cada colaborador de un Kit preventivo (mascarillas, alcohol y manitas limpias). </w:t>
      </w:r>
    </w:p>
    <w:p w14:paraId="7650E79E" w14:textId="2716A84A" w:rsidR="0099238E"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Operativos de PCR y pruebas rápidas, a los fines de resguardar la salud de los colaboradores.</w:t>
      </w:r>
    </w:p>
    <w:p w14:paraId="0EDAEE80" w14:textId="28EBBA25" w:rsidR="00D13134" w:rsidRPr="00A40C82" w:rsidRDefault="00D13134" w:rsidP="00864966">
      <w:pPr>
        <w:widowControl w:val="0"/>
        <w:autoSpaceDE w:val="0"/>
        <w:autoSpaceDN w:val="0"/>
        <w:spacing w:before="380" w:after="120" w:line="456" w:lineRule="auto"/>
        <w:ind w:firstLine="284"/>
        <w:jc w:val="both"/>
        <w:rPr>
          <w:rFonts w:ascii="Artifex CF Extra Light" w:hAnsi="Artifex CF Extra Light" w:cs="Times New Roman"/>
          <w:color w:val="1F4E79" w:themeColor="accent1" w:themeShade="80"/>
          <w:spacing w:val="10"/>
          <w:sz w:val="18"/>
          <w:szCs w:val="18"/>
          <w:shd w:val="clear" w:color="auto" w:fill="FFFFFF"/>
          <w:lang w:val="es-ES"/>
        </w:rPr>
      </w:pPr>
      <w:r w:rsidRPr="00A40C82">
        <w:rPr>
          <w:rFonts w:ascii="Artifex CF Extra Light" w:hAnsi="Artifex CF Extra Light" w:cs="Times New Roman"/>
          <w:color w:val="1F4E79" w:themeColor="accent1" w:themeShade="80"/>
          <w:spacing w:val="10"/>
          <w:sz w:val="18"/>
          <w:szCs w:val="18"/>
          <w:shd w:val="clear" w:color="auto" w:fill="FFFFFF"/>
          <w:lang w:val="es-ES"/>
        </w:rPr>
        <w:lastRenderedPageBreak/>
        <w:t xml:space="preserve">En este indicador de gestión se realizaron otras actividades en pro del desarrollo integral y competitivo del talento humano, como: </w:t>
      </w:r>
    </w:p>
    <w:p w14:paraId="6C04101B" w14:textId="5FAD52CC" w:rsidR="00D13134" w:rsidRPr="00A40C82" w:rsidRDefault="7E032E82"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Habilitación Sala de Lactancia ProDominicana</w:t>
      </w:r>
    </w:p>
    <w:p w14:paraId="363E5FFD" w14:textId="6570F033" w:rsidR="00D13134" w:rsidRPr="00A40C82" w:rsidRDefault="7E032E82" w:rsidP="00864966">
      <w:pPr>
        <w:widowControl w:val="0"/>
        <w:autoSpaceDE w:val="0"/>
        <w:autoSpaceDN w:val="0"/>
        <w:spacing w:before="380" w:after="120" w:line="456" w:lineRule="auto"/>
        <w:ind w:firstLine="284"/>
        <w:jc w:val="both"/>
        <w:textAlignment w:val="baseline"/>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 xml:space="preserve">Se ha establecido un salón con los requerimientos necesarios para que nuestras colaboradoras que están en proceso de amamantar dispongan de un espacio idóneo para los fines, con todas las comodidades y protocolo de lugar. </w:t>
      </w:r>
    </w:p>
    <w:p w14:paraId="7AEFA371" w14:textId="0450BF43" w:rsidR="00D13134" w:rsidRPr="00A40C82" w:rsidRDefault="00D13134" w:rsidP="000B6FE0">
      <w:pPr>
        <w:pStyle w:val="Prrafodelista"/>
        <w:widowControl w:val="0"/>
        <w:numPr>
          <w:ilvl w:val="1"/>
          <w:numId w:val="20"/>
        </w:numPr>
        <w:autoSpaceDE w:val="0"/>
        <w:autoSpaceDN w:val="0"/>
        <w:spacing w:before="380" w:after="120" w:line="456" w:lineRule="auto"/>
        <w:ind w:left="568" w:hanging="284"/>
        <w:contextualSpacing w:val="0"/>
        <w:jc w:val="both"/>
        <w:textAlignment w:val="baseline"/>
        <w:rPr>
          <w:rFonts w:ascii="Artifex CF Extra Light" w:eastAsia="Times New Roman" w:hAnsi="Artifex CF Extra Light" w:cs="Times New Roman"/>
          <w:color w:val="1F4E79" w:themeColor="accent1" w:themeShade="80"/>
          <w:spacing w:val="10"/>
          <w:sz w:val="18"/>
          <w:szCs w:val="18"/>
          <w:lang w:val="es-DO"/>
        </w:rPr>
      </w:pPr>
      <w:r w:rsidRPr="00A40C82">
        <w:rPr>
          <w:rFonts w:ascii="Artifex CF Extra Light" w:eastAsia="Times New Roman" w:hAnsi="Artifex CF Extra Light" w:cs="Times New Roman"/>
          <w:color w:val="1F4E79" w:themeColor="accent1" w:themeShade="80"/>
          <w:spacing w:val="10"/>
          <w:sz w:val="18"/>
          <w:szCs w:val="18"/>
          <w:lang w:val="es-DO"/>
        </w:rPr>
        <w:t>Fortalecimiento del sentido de protección al Medioambiente</w:t>
      </w:r>
    </w:p>
    <w:p w14:paraId="3C7FE727" w14:textId="18696ACA" w:rsidR="00D13134" w:rsidRPr="00A40C82" w:rsidRDefault="00D13134"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Compartimos un mensaje de concientización sobre la responsabilidad social y medioambiental, a través de la entrega personalizada de termos ProDominicana para contribuir con la reducción del uso de botellas plásticas.</w:t>
      </w:r>
    </w:p>
    <w:p w14:paraId="687EE276" w14:textId="77777777" w:rsidR="00BF1AA4" w:rsidRPr="006F2F51" w:rsidRDefault="00BF1AA4">
      <w:pPr>
        <w:rPr>
          <w:rFonts w:ascii="Gotham HTF Light" w:hAnsi="Gotham HTF Light" w:cs="Times New Roman"/>
          <w:color w:val="1F4E79" w:themeColor="accent1" w:themeShade="80"/>
          <w:spacing w:val="10"/>
          <w:sz w:val="16"/>
          <w:szCs w:val="16"/>
          <w:lang w:val="es-ES"/>
        </w:rPr>
      </w:pPr>
      <w:bookmarkStart w:id="99" w:name="_Toc54949065"/>
      <w:bookmarkStart w:id="100" w:name="_Toc58332513"/>
      <w:r w:rsidRPr="006F2F51">
        <w:rPr>
          <w:rFonts w:ascii="Gotham HTF Light" w:hAnsi="Gotham HTF Light" w:cs="Times New Roman"/>
          <w:color w:val="1F4E79" w:themeColor="accent1" w:themeShade="80"/>
          <w:spacing w:val="10"/>
          <w:sz w:val="16"/>
          <w:szCs w:val="16"/>
          <w:lang w:val="es-ES"/>
        </w:rPr>
        <w:br w:type="page"/>
      </w:r>
    </w:p>
    <w:p w14:paraId="20B386B6" w14:textId="7BCC5251" w:rsidR="00E850D7" w:rsidRPr="00061E36" w:rsidRDefault="00F95111" w:rsidP="00864966">
      <w:pPr>
        <w:pStyle w:val="Prrafodelista"/>
        <w:numPr>
          <w:ilvl w:val="1"/>
          <w:numId w:val="1"/>
        </w:numPr>
        <w:spacing w:before="380" w:after="120" w:line="456" w:lineRule="auto"/>
        <w:ind w:left="0" w:firstLine="284"/>
        <w:contextualSpacing w:val="0"/>
        <w:jc w:val="center"/>
        <w:outlineLvl w:val="3"/>
        <w:rPr>
          <w:rFonts w:ascii="Artifex CF Extra Light" w:hAnsi="Artifex CF Extra Light" w:cs="Times New Roman"/>
          <w:b/>
          <w:bCs/>
          <w:color w:val="1F4E79" w:themeColor="accent1" w:themeShade="80"/>
          <w:spacing w:val="10"/>
          <w:sz w:val="18"/>
          <w:szCs w:val="18"/>
        </w:rPr>
      </w:pPr>
      <w:bookmarkStart w:id="101" w:name="_Toc59528095"/>
      <w:r w:rsidRPr="00061E36">
        <w:rPr>
          <w:rFonts w:ascii="Artifex CF Extra Light" w:hAnsi="Artifex CF Extra Light" w:cs="Times New Roman"/>
          <w:b/>
          <w:bCs/>
          <w:color w:val="1F4E79" w:themeColor="accent1" w:themeShade="80"/>
          <w:spacing w:val="10"/>
          <w:sz w:val="18"/>
          <w:szCs w:val="18"/>
        </w:rPr>
        <w:lastRenderedPageBreak/>
        <w:t>PERSPECTIVA OPERATIVA</w:t>
      </w:r>
      <w:bookmarkEnd w:id="99"/>
      <w:bookmarkEnd w:id="100"/>
      <w:bookmarkEnd w:id="101"/>
    </w:p>
    <w:p w14:paraId="183FA1F2" w14:textId="5788BD11" w:rsidR="00FC3AB3"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rPr>
      </w:pPr>
      <w:bookmarkStart w:id="102" w:name="_Toc54949066"/>
      <w:bookmarkStart w:id="103" w:name="_Toc58332514"/>
      <w:bookmarkStart w:id="104" w:name="_Toc59528096"/>
      <w:r w:rsidRPr="00061E36">
        <w:rPr>
          <w:rFonts w:ascii="Artifex CF Extra Light" w:hAnsi="Artifex CF Extra Light" w:cs="Times New Roman"/>
          <w:b/>
          <w:bCs/>
          <w:color w:val="1F4E79" w:themeColor="accent1" w:themeShade="80"/>
          <w:spacing w:val="10"/>
          <w:sz w:val="18"/>
          <w:szCs w:val="18"/>
        </w:rPr>
        <w:t>ÍNDICE DE TRANSPARENCIA</w:t>
      </w:r>
      <w:bookmarkEnd w:id="102"/>
      <w:bookmarkEnd w:id="103"/>
      <w:bookmarkEnd w:id="104"/>
    </w:p>
    <w:p w14:paraId="4B4476BE" w14:textId="19C92390" w:rsidR="00041E9C" w:rsidRPr="00A40C82" w:rsidRDefault="00041E9C" w:rsidP="000674D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bidi="es-ES"/>
        </w:rPr>
      </w:pPr>
      <w:r w:rsidRPr="00A40C82">
        <w:rPr>
          <w:rFonts w:ascii="Artifex CF Extra Light" w:hAnsi="Artifex CF Extra Light" w:cs="Times New Roman"/>
          <w:color w:val="1F4E79" w:themeColor="accent1" w:themeShade="80"/>
          <w:spacing w:val="10"/>
          <w:sz w:val="18"/>
          <w:szCs w:val="18"/>
          <w:lang w:val="es-DO" w:bidi="es-ES"/>
        </w:rPr>
        <w:t>La Oficina de Acceso a la Información (OAI) de ProDominicana, mantiene a disposición de los ciudadanos las informaciones requeridas por la Ley General de Libre Acceso a la Información No. 200-04, a través del portal de transparencia institucional de manera constante, a fin de transparentar la gestión bajo las nuevas formas de gobierno, lo cual queda evidenciado con las evaluaciones mensuales realizadas por la Dirección General de Ética e Integridad Gubernamental (DIGEIG) a dicho portal en el periodo comprendido entre el mes de enero y octubre del año en curso, cuyos resultados se reflejan en el gráfico presentado a continuación:</w:t>
      </w:r>
    </w:p>
    <w:p w14:paraId="6D3BCF3B" w14:textId="0FFD4639" w:rsidR="00AF09E0" w:rsidRPr="00A40C82" w:rsidRDefault="0225DC52" w:rsidP="00864966">
      <w:pPr>
        <w:spacing w:before="380" w:after="120" w:line="456" w:lineRule="auto"/>
        <w:ind w:firstLine="284"/>
        <w:jc w:val="both"/>
        <w:rPr>
          <w:rFonts w:ascii="Artifex CF Extra Light" w:hAnsi="Artifex CF Extra Light" w:cs="Times New Roman"/>
          <w:b/>
          <w:color w:val="1F4E79" w:themeColor="accent1" w:themeShade="80"/>
          <w:spacing w:val="10"/>
          <w:sz w:val="18"/>
          <w:szCs w:val="18"/>
          <w:lang w:val="es-DO" w:bidi="es-ES"/>
        </w:rPr>
      </w:pPr>
      <w:r w:rsidRPr="00A40C82">
        <w:rPr>
          <w:rFonts w:ascii="Artifex CF Extra Light" w:hAnsi="Artifex CF Extra Light" w:cs="Times New Roman"/>
          <w:b/>
          <w:color w:val="1F4E79" w:themeColor="accent1" w:themeShade="80"/>
          <w:spacing w:val="10"/>
          <w:sz w:val="18"/>
          <w:szCs w:val="18"/>
          <w:lang w:val="es-DO" w:bidi="es-ES"/>
        </w:rPr>
        <w:t>Gráfico</w:t>
      </w:r>
      <w:r w:rsidR="00AF09E0" w:rsidRPr="00A40C82">
        <w:rPr>
          <w:rFonts w:ascii="Artifex CF Extra Light" w:hAnsi="Artifex CF Extra Light" w:cs="Times New Roman"/>
          <w:b/>
          <w:color w:val="1F4E79" w:themeColor="accent1" w:themeShade="80"/>
          <w:spacing w:val="10"/>
          <w:sz w:val="18"/>
          <w:szCs w:val="18"/>
          <w:lang w:val="es-DO" w:bidi="es-ES"/>
        </w:rPr>
        <w:t xml:space="preserve"> 2. Evaluaciones</w:t>
      </w:r>
      <w:r w:rsidR="00D909DC" w:rsidRPr="00A40C82">
        <w:rPr>
          <w:rFonts w:ascii="Artifex CF Extra Light" w:hAnsi="Artifex CF Extra Light" w:cs="Times New Roman"/>
          <w:b/>
          <w:color w:val="1F4E79" w:themeColor="accent1" w:themeShade="80"/>
          <w:spacing w:val="10"/>
          <w:sz w:val="18"/>
          <w:szCs w:val="18"/>
          <w:lang w:val="es-DO" w:bidi="es-ES"/>
        </w:rPr>
        <w:t xml:space="preserve"> del portal de transparencia</w:t>
      </w:r>
    </w:p>
    <w:p w14:paraId="649D2AA3" w14:textId="58865C9D" w:rsidR="00CD253E" w:rsidRPr="00A40C82" w:rsidRDefault="00041E9C" w:rsidP="00864966">
      <w:pPr>
        <w:spacing w:before="380" w:after="120" w:line="456" w:lineRule="auto"/>
        <w:ind w:firstLine="284"/>
        <w:jc w:val="center"/>
        <w:rPr>
          <w:rFonts w:ascii="Artifex CF Extra Light" w:hAnsi="Artifex CF Extra Light" w:cs="Times New Roman"/>
          <w:color w:val="1F4E79" w:themeColor="accent1" w:themeShade="80"/>
          <w:spacing w:val="10"/>
          <w:sz w:val="18"/>
          <w:szCs w:val="18"/>
          <w:lang w:bidi="es-ES"/>
        </w:rPr>
      </w:pPr>
      <w:r w:rsidRPr="00A40C82">
        <w:rPr>
          <w:rFonts w:ascii="Artifex CF Extra Light" w:hAnsi="Artifex CF Extra Light" w:cs="Times New Roman"/>
          <w:noProof/>
          <w:color w:val="1F4E79" w:themeColor="accent1" w:themeShade="80"/>
          <w:spacing w:val="10"/>
          <w:sz w:val="18"/>
          <w:szCs w:val="18"/>
          <w:shd w:val="clear" w:color="auto" w:fill="E6E6E6"/>
        </w:rPr>
        <w:drawing>
          <wp:inline distT="0" distB="0" distL="0" distR="0" wp14:anchorId="471EF845" wp14:editId="66C2BE94">
            <wp:extent cx="5029200" cy="1821180"/>
            <wp:effectExtent l="0" t="0" r="0" b="762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6A90C0" w14:textId="6B29B481" w:rsidR="00981DE3" w:rsidRPr="00A40C82" w:rsidRDefault="00EA5BC8" w:rsidP="00BF1AA4">
      <w:pPr>
        <w:pStyle w:val="Textoindependiente"/>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Style w:val="normaltextrun"/>
          <w:rFonts w:ascii="Artifex CF Extra Light" w:hAnsi="Artifex CF Extra Light"/>
          <w:color w:val="1F4E79" w:themeColor="accent1" w:themeShade="80"/>
          <w:spacing w:val="10"/>
          <w:sz w:val="18"/>
          <w:szCs w:val="18"/>
          <w:shd w:val="clear" w:color="auto" w:fill="FFFFFF"/>
          <w:lang w:val="es-DO"/>
        </w:rPr>
        <w:t xml:space="preserve">Fuente: Elaboración </w:t>
      </w:r>
      <w:r w:rsidR="00342A29" w:rsidRPr="00A40C82">
        <w:rPr>
          <w:rStyle w:val="normaltextrun"/>
          <w:rFonts w:ascii="Artifex CF Extra Light" w:hAnsi="Artifex CF Extra Light"/>
          <w:color w:val="1F4E79" w:themeColor="accent1" w:themeShade="80"/>
          <w:spacing w:val="10"/>
          <w:sz w:val="18"/>
          <w:szCs w:val="18"/>
          <w:shd w:val="clear" w:color="auto" w:fill="FFFFFF"/>
          <w:lang w:val="es-DO"/>
        </w:rPr>
        <w:t>OAI.</w:t>
      </w:r>
    </w:p>
    <w:p w14:paraId="787F5BFE" w14:textId="77777777" w:rsidR="00BF1AA4" w:rsidRDefault="00BF1AA4">
      <w:pPr>
        <w:rPr>
          <w:rFonts w:ascii="Artifex CF Extra Light" w:hAnsi="Artifex CF Extra Light" w:cs="Times New Roman"/>
          <w:b/>
          <w:color w:val="1F4E79" w:themeColor="accent1" w:themeShade="80"/>
          <w:spacing w:val="10"/>
          <w:sz w:val="18"/>
          <w:szCs w:val="18"/>
          <w:lang w:val="es-DO"/>
        </w:rPr>
      </w:pPr>
      <w:r>
        <w:rPr>
          <w:rFonts w:ascii="Artifex CF Extra Light" w:hAnsi="Artifex CF Extra Light" w:cs="Times New Roman"/>
          <w:b/>
          <w:color w:val="1F4E79" w:themeColor="accent1" w:themeShade="80"/>
          <w:spacing w:val="10"/>
          <w:sz w:val="18"/>
          <w:szCs w:val="18"/>
          <w:lang w:val="es-DO"/>
        </w:rPr>
        <w:br w:type="page"/>
      </w:r>
    </w:p>
    <w:p w14:paraId="1F6900E9" w14:textId="39FEA150" w:rsidR="009A27A4" w:rsidRPr="00A40C82" w:rsidRDefault="009A27A4" w:rsidP="00864966">
      <w:pPr>
        <w:pStyle w:val="Prrafodelista"/>
        <w:numPr>
          <w:ilvl w:val="0"/>
          <w:numId w:val="20"/>
        </w:numPr>
        <w:spacing w:before="380" w:after="120" w:line="456" w:lineRule="auto"/>
        <w:ind w:left="0" w:firstLine="284"/>
        <w:contextualSpacing w:val="0"/>
        <w:jc w:val="both"/>
        <w:rPr>
          <w:rFonts w:ascii="Artifex CF Extra Light" w:hAnsi="Artifex CF Extra Light" w:cs="Times New Roman"/>
          <w:b/>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lastRenderedPageBreak/>
        <w:t>Informe de Gestión, Logro y Proyección de la OAI</w:t>
      </w:r>
    </w:p>
    <w:p w14:paraId="397920C7" w14:textId="36CAD2ED" w:rsidR="00B53970" w:rsidRPr="00A40C82" w:rsidRDefault="009A27A4"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color w:val="1F4E79" w:themeColor="accent1" w:themeShade="80"/>
          <w:spacing w:val="10"/>
          <w:sz w:val="18"/>
          <w:szCs w:val="18"/>
        </w:rPr>
        <w:t>El Centro de Exportación e Inversión de la República Dominicana (</w:t>
      </w:r>
      <w:r w:rsidR="00FF464E" w:rsidRPr="00A40C82">
        <w:rPr>
          <w:rFonts w:ascii="Artifex CF Extra Light" w:hAnsi="Artifex CF Extra Light" w:cs="Times New Roman"/>
          <w:color w:val="1F4E79" w:themeColor="accent1" w:themeShade="80"/>
          <w:spacing w:val="10"/>
          <w:sz w:val="18"/>
          <w:szCs w:val="18"/>
        </w:rPr>
        <w:t>ProDominicana</w:t>
      </w:r>
      <w:r w:rsidRPr="00A40C82">
        <w:rPr>
          <w:rFonts w:ascii="Artifex CF Extra Light" w:hAnsi="Artifex CF Extra Light" w:cs="Times New Roman"/>
          <w:color w:val="1F4E79" w:themeColor="accent1" w:themeShade="80"/>
          <w:spacing w:val="10"/>
          <w:sz w:val="18"/>
          <w:szCs w:val="18"/>
        </w:rPr>
        <w:t xml:space="preserve">) a través de la Oficina de Acceso a la Información (OAI), recibió y tramitó un total de cincuenta y una (51) solicitudes de información, de manera oportuna cumpliendo con el plazo establecido por la Ley General de Libre Acceso a la Información Pública, No. 200-04. </w:t>
      </w:r>
    </w:p>
    <w:p w14:paraId="5BBD9AD7" w14:textId="43EEF428" w:rsidR="009A27A4" w:rsidRPr="00A40C82" w:rsidRDefault="009A27A4"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color w:val="1F4E79" w:themeColor="accent1" w:themeShade="80"/>
          <w:spacing w:val="10"/>
          <w:sz w:val="18"/>
          <w:szCs w:val="18"/>
        </w:rPr>
        <w:t>En tal sentido, a continuación, las estadísticas de manera gráfica:</w:t>
      </w:r>
    </w:p>
    <w:p w14:paraId="41198A15" w14:textId="1AD5A5A6" w:rsidR="00715122" w:rsidRPr="00A40C82" w:rsidRDefault="00715122" w:rsidP="00864966">
      <w:pPr>
        <w:pStyle w:val="Textoindependiente"/>
        <w:spacing w:before="380" w:after="120" w:line="456" w:lineRule="auto"/>
        <w:ind w:firstLine="284"/>
        <w:jc w:val="both"/>
        <w:rPr>
          <w:rFonts w:ascii="Artifex CF Extra Light" w:hAnsi="Artifex CF Extra Light" w:cs="Times New Roman"/>
          <w:b/>
          <w:color w:val="1F4E79" w:themeColor="accent1" w:themeShade="80"/>
          <w:spacing w:val="10"/>
          <w:sz w:val="18"/>
          <w:szCs w:val="18"/>
        </w:rPr>
      </w:pPr>
      <w:r w:rsidRPr="00A40C82">
        <w:rPr>
          <w:rFonts w:ascii="Artifex CF Extra Light" w:hAnsi="Artifex CF Extra Light" w:cs="Times New Roman"/>
          <w:b/>
          <w:color w:val="1F4E79" w:themeColor="accent1" w:themeShade="80"/>
          <w:spacing w:val="10"/>
          <w:sz w:val="18"/>
          <w:szCs w:val="18"/>
        </w:rPr>
        <w:t>Gr</w:t>
      </w:r>
      <w:r w:rsidR="00B53970" w:rsidRPr="00A40C82">
        <w:rPr>
          <w:rFonts w:ascii="Artifex CF Extra Light" w:hAnsi="Artifex CF Extra Light" w:cs="Times New Roman"/>
          <w:b/>
          <w:color w:val="1F4E79" w:themeColor="accent1" w:themeShade="80"/>
          <w:spacing w:val="10"/>
          <w:sz w:val="18"/>
          <w:szCs w:val="18"/>
        </w:rPr>
        <w:t>á</w:t>
      </w:r>
      <w:r w:rsidRPr="00A40C82">
        <w:rPr>
          <w:rFonts w:ascii="Artifex CF Extra Light" w:hAnsi="Artifex CF Extra Light" w:cs="Times New Roman"/>
          <w:b/>
          <w:color w:val="1F4E79" w:themeColor="accent1" w:themeShade="80"/>
          <w:spacing w:val="10"/>
          <w:sz w:val="18"/>
          <w:szCs w:val="18"/>
        </w:rPr>
        <w:t xml:space="preserve">fico 3. </w:t>
      </w:r>
      <w:r w:rsidR="00B353ED" w:rsidRPr="00A40C82">
        <w:rPr>
          <w:rFonts w:ascii="Artifex CF Extra Light" w:hAnsi="Artifex CF Extra Light" w:cs="Times New Roman"/>
          <w:b/>
          <w:color w:val="1F4E79" w:themeColor="accent1" w:themeShade="80"/>
          <w:spacing w:val="10"/>
          <w:sz w:val="18"/>
          <w:szCs w:val="18"/>
        </w:rPr>
        <w:t>Solicitudes a la OAI</w:t>
      </w:r>
      <w:r w:rsidR="00B53970" w:rsidRPr="00A40C82">
        <w:rPr>
          <w:rFonts w:ascii="Artifex CF Extra Light" w:hAnsi="Artifex CF Extra Light" w:cs="Times New Roman"/>
          <w:b/>
          <w:color w:val="1F4E79" w:themeColor="accent1" w:themeShade="80"/>
          <w:spacing w:val="10"/>
          <w:sz w:val="18"/>
          <w:szCs w:val="18"/>
        </w:rPr>
        <w:t>.</w:t>
      </w:r>
    </w:p>
    <w:p w14:paraId="17BF5D62" w14:textId="0D7A9571" w:rsidR="009A27A4" w:rsidRPr="00A40C82" w:rsidRDefault="009A27A4"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lang w:val="en-US" w:eastAsia="en-US" w:bidi="ar-SA"/>
        </w:rPr>
      </w:pPr>
      <w:r w:rsidRPr="00A40C82">
        <w:rPr>
          <w:rFonts w:ascii="Artifex CF Extra Light" w:eastAsia="Times New Roman" w:hAnsi="Artifex CF Extra Light" w:cs="Times New Roman"/>
          <w:noProof/>
          <w:color w:val="1F4E79" w:themeColor="accent1" w:themeShade="80"/>
          <w:spacing w:val="10"/>
          <w:sz w:val="18"/>
          <w:szCs w:val="18"/>
          <w:shd w:val="clear" w:color="auto" w:fill="E6E6E6"/>
        </w:rPr>
        <w:drawing>
          <wp:inline distT="0" distB="0" distL="0" distR="0" wp14:anchorId="2C5839B3" wp14:editId="64D74BA5">
            <wp:extent cx="4785360" cy="2286000"/>
            <wp:effectExtent l="0" t="0" r="1524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813F8D" w14:textId="1DCDA8D5" w:rsidR="00161E84" w:rsidRPr="00A40C82" w:rsidRDefault="003176D3" w:rsidP="00864966">
      <w:pPr>
        <w:pStyle w:val="Textoindependiente"/>
        <w:spacing w:before="380" w:after="120" w:line="456" w:lineRule="auto"/>
        <w:ind w:firstLine="284"/>
        <w:jc w:val="both"/>
        <w:rPr>
          <w:rFonts w:ascii="Artifex CF Extra Light" w:hAnsi="Artifex CF Extra Light"/>
          <w:color w:val="1F4E79" w:themeColor="accent1" w:themeShade="80"/>
          <w:spacing w:val="10"/>
          <w:sz w:val="18"/>
          <w:szCs w:val="18"/>
          <w:shd w:val="clear" w:color="auto" w:fill="FFFFFF"/>
          <w:lang w:val="es-DO"/>
        </w:rPr>
      </w:pPr>
      <w:r w:rsidRPr="00A40C82">
        <w:rPr>
          <w:rStyle w:val="normaltextrun"/>
          <w:rFonts w:ascii="Artifex CF Extra Light" w:hAnsi="Artifex CF Extra Light"/>
          <w:color w:val="1F4E79" w:themeColor="accent1" w:themeShade="80"/>
          <w:spacing w:val="10"/>
          <w:sz w:val="18"/>
          <w:szCs w:val="18"/>
          <w:shd w:val="clear" w:color="auto" w:fill="FFFFFF"/>
          <w:lang w:val="es-DO"/>
        </w:rPr>
        <w:t>Fuente: Elaboración OAI.</w:t>
      </w:r>
    </w:p>
    <w:p w14:paraId="5918B956" w14:textId="705026AA" w:rsidR="009A27A4" w:rsidRPr="00A40C82" w:rsidRDefault="00B53970"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color w:val="1F4E79" w:themeColor="accent1" w:themeShade="80"/>
          <w:spacing w:val="10"/>
          <w:sz w:val="18"/>
          <w:szCs w:val="18"/>
        </w:rPr>
        <w:t>De acuerdo con</w:t>
      </w:r>
      <w:r w:rsidR="009A27A4" w:rsidRPr="00A40C82">
        <w:rPr>
          <w:rFonts w:ascii="Artifex CF Extra Light" w:hAnsi="Artifex CF Extra Light" w:cs="Times New Roman"/>
          <w:color w:val="1F4E79" w:themeColor="accent1" w:themeShade="80"/>
          <w:spacing w:val="10"/>
          <w:sz w:val="18"/>
          <w:szCs w:val="18"/>
        </w:rPr>
        <w:t xml:space="preserve"> estas solicitudes, fueron elaborados los informes de estadísticas y balances de la OAI de manera trimestral relativas a las solicitudes de informaciones recibidas y respondidas.</w:t>
      </w:r>
    </w:p>
    <w:p w14:paraId="20DF71F9" w14:textId="2D825CE5" w:rsidR="00981DE3" w:rsidRPr="00A40C82" w:rsidRDefault="009A27A4" w:rsidP="004D2DA3">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color w:val="1F4E79" w:themeColor="accent1" w:themeShade="80"/>
          <w:spacing w:val="10"/>
          <w:sz w:val="18"/>
          <w:szCs w:val="18"/>
        </w:rPr>
        <w:t>En adición a lo anterior, ProDominicana a través de la OAI libera al portal de Datos abiertos las siguientes informaciones: estadísticas de capacitación, institucionales, nómina de empleados fijos, contratados y militares y solicitudes OAI.</w:t>
      </w:r>
    </w:p>
    <w:p w14:paraId="41BFE801" w14:textId="23972CCA" w:rsidR="00CD253E"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lang w:val="es-DO"/>
        </w:rPr>
      </w:pPr>
      <w:bookmarkStart w:id="105" w:name="_Toc54949067"/>
      <w:bookmarkStart w:id="106" w:name="_Toc58332515"/>
      <w:bookmarkStart w:id="107" w:name="_Toc59528097"/>
      <w:r w:rsidRPr="00061E36">
        <w:rPr>
          <w:rFonts w:ascii="Artifex CF Extra Light" w:hAnsi="Artifex CF Extra Light" w:cs="Times New Roman"/>
          <w:b/>
          <w:bCs/>
          <w:color w:val="1F4E79" w:themeColor="accent1" w:themeShade="80"/>
          <w:spacing w:val="10"/>
          <w:sz w:val="18"/>
          <w:szCs w:val="18"/>
          <w:lang w:val="es-DO"/>
        </w:rPr>
        <w:lastRenderedPageBreak/>
        <w:t>ÍNDICE DE USO TIC E IMPLEMENTACIÓN GOBIERNO ELECTRÓNICO</w:t>
      </w:r>
      <w:bookmarkEnd w:id="105"/>
      <w:bookmarkEnd w:id="106"/>
      <w:bookmarkEnd w:id="107"/>
    </w:p>
    <w:p w14:paraId="09CDDF3D" w14:textId="77777777" w:rsidR="00740CEA" w:rsidRPr="00A40C82" w:rsidRDefault="00B333F8"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b/>
          <w:color w:val="1F4E79" w:themeColor="accent1" w:themeShade="80"/>
          <w:spacing w:val="10"/>
          <w:sz w:val="18"/>
          <w:szCs w:val="18"/>
        </w:rPr>
        <w:t>Órgano rector</w:t>
      </w:r>
      <w:r w:rsidRPr="00A40C82">
        <w:rPr>
          <w:rFonts w:ascii="Artifex CF Extra Light" w:hAnsi="Artifex CF Extra Light" w:cs="Times New Roman"/>
          <w:color w:val="1F4E79" w:themeColor="accent1" w:themeShade="80"/>
          <w:spacing w:val="10"/>
          <w:sz w:val="18"/>
          <w:szCs w:val="18"/>
        </w:rPr>
        <w:t>: Oficina Presidencial de Tecnologías de la</w:t>
      </w:r>
      <w:r w:rsidR="00CD253E" w:rsidRPr="00A40C82">
        <w:rPr>
          <w:rFonts w:ascii="Artifex CF Extra Light" w:hAnsi="Artifex CF Extra Light" w:cs="Times New Roman"/>
          <w:color w:val="1F4E79" w:themeColor="accent1" w:themeShade="80"/>
          <w:spacing w:val="10"/>
          <w:sz w:val="18"/>
          <w:szCs w:val="18"/>
        </w:rPr>
        <w:t xml:space="preserve"> </w:t>
      </w:r>
      <w:r w:rsidRPr="00A40C82">
        <w:rPr>
          <w:rFonts w:ascii="Artifex CF Extra Light" w:hAnsi="Artifex CF Extra Light" w:cs="Times New Roman"/>
          <w:color w:val="1F4E79" w:themeColor="accent1" w:themeShade="80"/>
          <w:spacing w:val="10"/>
          <w:sz w:val="18"/>
          <w:szCs w:val="18"/>
        </w:rPr>
        <w:t>Informació</w:t>
      </w:r>
      <w:r w:rsidR="00CD253E" w:rsidRPr="00A40C82">
        <w:rPr>
          <w:rFonts w:ascii="Artifex CF Extra Light" w:hAnsi="Artifex CF Extra Light" w:cs="Times New Roman"/>
          <w:color w:val="1F4E79" w:themeColor="accent1" w:themeShade="80"/>
          <w:spacing w:val="10"/>
          <w:sz w:val="18"/>
          <w:szCs w:val="18"/>
        </w:rPr>
        <w:t>n</w:t>
      </w:r>
      <w:r w:rsidR="00740CEA" w:rsidRPr="00A40C82">
        <w:rPr>
          <w:rFonts w:ascii="Artifex CF Extra Light" w:hAnsi="Artifex CF Extra Light" w:cs="Times New Roman"/>
          <w:color w:val="1F4E79" w:themeColor="accent1" w:themeShade="80"/>
          <w:spacing w:val="10"/>
          <w:sz w:val="18"/>
          <w:szCs w:val="18"/>
        </w:rPr>
        <w:t xml:space="preserve"> </w:t>
      </w:r>
      <w:r w:rsidRPr="00A40C82">
        <w:rPr>
          <w:rFonts w:ascii="Artifex CF Extra Light" w:hAnsi="Artifex CF Extra Light" w:cs="Times New Roman"/>
          <w:color w:val="1F4E79" w:themeColor="accent1" w:themeShade="80"/>
          <w:spacing w:val="10"/>
          <w:sz w:val="18"/>
          <w:szCs w:val="18"/>
        </w:rPr>
        <w:t>y Comunicación (OPTIC).</w:t>
      </w:r>
    </w:p>
    <w:p w14:paraId="3A028D42" w14:textId="19A29515" w:rsidR="00161E84" w:rsidRPr="00A40C82" w:rsidRDefault="004C07A8" w:rsidP="00864966">
      <w:pPr>
        <w:pStyle w:val="Textoindependiente"/>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DO" w:bidi="ar-SA"/>
        </w:rPr>
      </w:pPr>
      <w:r w:rsidRPr="00A40C82">
        <w:rPr>
          <w:rFonts w:ascii="Artifex CF Extra Light" w:eastAsia="Times New Roman" w:hAnsi="Artifex CF Extra Light" w:cs="Times New Roman"/>
          <w:color w:val="1F4E79" w:themeColor="accent1" w:themeShade="80"/>
          <w:spacing w:val="10"/>
          <w:sz w:val="18"/>
          <w:szCs w:val="18"/>
          <w:lang w:val="es-DO" w:eastAsia="es-DO" w:bidi="ar-SA"/>
        </w:rPr>
        <w:t>Durante el año 2020 se realizaron múltiples actividades a los fines de aumentar la puntuación de este indicador. Entre los logros destacados se encuentran la adecuación del Centro de Servicios, en miras de obtener la Certificación A5 sobre automatización de los servicios, este indicador mantuvo un desempeño constante de 94% durante los tres primeros trimestres del 2020, se proyecta que cerrara el año en 94% (ver gráfico).</w:t>
      </w:r>
    </w:p>
    <w:p w14:paraId="4362217E" w14:textId="57D03735" w:rsidR="00D9309C" w:rsidRPr="00A40C82" w:rsidRDefault="00385397" w:rsidP="004D2DA3">
      <w:pPr>
        <w:pStyle w:val="Textoindependiente"/>
        <w:spacing w:after="0"/>
        <w:ind w:firstLine="284"/>
        <w:jc w:val="center"/>
        <w:rPr>
          <w:rFonts w:ascii="Artifex CF Extra Light" w:hAnsi="Artifex CF Extra Light"/>
          <w:b/>
          <w:color w:val="1F4E79" w:themeColor="accent1" w:themeShade="80"/>
          <w:spacing w:val="10"/>
          <w:sz w:val="18"/>
          <w:szCs w:val="18"/>
          <w:lang w:eastAsia="es-DO"/>
        </w:rPr>
      </w:pPr>
      <w:r w:rsidRPr="00A40C82">
        <w:rPr>
          <w:rFonts w:ascii="Artifex CF Extra Light" w:eastAsia="Times New Roman" w:hAnsi="Artifex CF Extra Light" w:cs="Times New Roman"/>
          <w:b/>
          <w:color w:val="1F4E79" w:themeColor="accent1" w:themeShade="80"/>
          <w:spacing w:val="10"/>
          <w:sz w:val="18"/>
          <w:szCs w:val="18"/>
          <w:lang w:val="es-DO" w:eastAsia="es-DO" w:bidi="ar-SA"/>
        </w:rPr>
        <w:t>Gráfico</w:t>
      </w:r>
      <w:r w:rsidR="00D9309C" w:rsidRPr="00A40C82">
        <w:rPr>
          <w:rFonts w:ascii="Artifex CF Extra Light" w:eastAsia="Times New Roman" w:hAnsi="Artifex CF Extra Light" w:cs="Times New Roman"/>
          <w:b/>
          <w:color w:val="1F4E79" w:themeColor="accent1" w:themeShade="80"/>
          <w:spacing w:val="10"/>
          <w:sz w:val="18"/>
          <w:szCs w:val="18"/>
          <w:lang w:val="es-DO" w:eastAsia="es-DO" w:bidi="ar-SA"/>
        </w:rPr>
        <w:t xml:space="preserve"> </w:t>
      </w:r>
      <w:r w:rsidR="00C767BD" w:rsidRPr="00A40C82">
        <w:rPr>
          <w:rFonts w:ascii="Artifex CF Extra Light" w:eastAsia="Times New Roman" w:hAnsi="Artifex CF Extra Light" w:cs="Times New Roman"/>
          <w:b/>
          <w:color w:val="1F4E79" w:themeColor="accent1" w:themeShade="80"/>
          <w:spacing w:val="10"/>
          <w:sz w:val="18"/>
          <w:szCs w:val="18"/>
          <w:lang w:val="es-DO" w:eastAsia="es-DO" w:bidi="ar-SA"/>
        </w:rPr>
        <w:t>4</w:t>
      </w:r>
      <w:r w:rsidR="00D9309C" w:rsidRPr="00A40C82">
        <w:rPr>
          <w:rFonts w:ascii="Artifex CF Extra Light" w:eastAsia="Times New Roman" w:hAnsi="Artifex CF Extra Light" w:cs="Times New Roman"/>
          <w:b/>
          <w:color w:val="1F4E79" w:themeColor="accent1" w:themeShade="80"/>
          <w:spacing w:val="10"/>
          <w:sz w:val="18"/>
          <w:szCs w:val="18"/>
          <w:lang w:val="es-DO" w:eastAsia="es-DO" w:bidi="ar-SA"/>
        </w:rPr>
        <w:t xml:space="preserve">. </w:t>
      </w:r>
      <w:r w:rsidR="00D9309C" w:rsidRPr="00A40C82">
        <w:rPr>
          <w:rFonts w:ascii="Artifex CF Extra Light" w:eastAsia="Times New Roman" w:hAnsi="Artifex CF Extra Light"/>
          <w:b/>
          <w:color w:val="1F4E79" w:themeColor="accent1" w:themeShade="80"/>
          <w:spacing w:val="10"/>
          <w:sz w:val="18"/>
          <w:szCs w:val="18"/>
          <w:lang w:eastAsia="es-DO"/>
        </w:rPr>
        <w:t>Índice de Uso de la TIC e Implementación de un Gobierno Electrónico (ITGE)</w:t>
      </w:r>
    </w:p>
    <w:p w14:paraId="7A66B1DC" w14:textId="3C6680A5" w:rsidR="00B333F8" w:rsidRPr="00A40C82" w:rsidRDefault="009517F6" w:rsidP="004D2DA3">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noProof/>
          <w:color w:val="1F4E79" w:themeColor="accent1" w:themeShade="80"/>
          <w:spacing w:val="10"/>
          <w:sz w:val="18"/>
          <w:szCs w:val="18"/>
          <w:shd w:val="clear" w:color="auto" w:fill="E6E6E6"/>
        </w:rPr>
        <w:drawing>
          <wp:inline distT="0" distB="0" distL="0" distR="0" wp14:anchorId="66432638" wp14:editId="365EEB2E">
            <wp:extent cx="4572000" cy="2743200"/>
            <wp:effectExtent l="0" t="0" r="0" b="0"/>
            <wp:docPr id="9" name="Chart 9">
              <a:extLst xmlns:a="http://schemas.openxmlformats.org/drawingml/2006/main">
                <a:ext uri="{FF2B5EF4-FFF2-40B4-BE49-F238E27FC236}">
                  <a16:creationId xmlns:a16="http://schemas.microsoft.com/office/drawing/2014/main" id="{F406AC1E-1564-471E-B184-889DCCE49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101F86" w14:textId="2E1CB3C7" w:rsidR="00FC3AB3" w:rsidRPr="00A40C82" w:rsidRDefault="00A52000" w:rsidP="004D2DA3">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Fuente</w:t>
      </w:r>
      <w:r w:rsidR="00B333F8" w:rsidRPr="00A40C82">
        <w:rPr>
          <w:rFonts w:ascii="Artifex CF Extra Light" w:hAnsi="Artifex CF Extra Light" w:cs="Times New Roman"/>
          <w:color w:val="1F4E79" w:themeColor="accent1" w:themeShade="80"/>
          <w:spacing w:val="10"/>
          <w:sz w:val="18"/>
          <w:szCs w:val="18"/>
          <w:lang w:val="es-DO"/>
        </w:rPr>
        <w:t>: Elaboración Gerencia de Planificación y Gestión</w:t>
      </w:r>
      <w:r w:rsidR="00BB21DC" w:rsidRPr="00A40C82">
        <w:rPr>
          <w:rFonts w:ascii="Artifex CF Extra Light" w:hAnsi="Artifex CF Extra Light" w:cs="Times New Roman"/>
          <w:color w:val="1F4E79" w:themeColor="accent1" w:themeShade="80"/>
          <w:spacing w:val="10"/>
          <w:sz w:val="18"/>
          <w:szCs w:val="18"/>
          <w:lang w:val="es-DO"/>
        </w:rPr>
        <w:t>.</w:t>
      </w:r>
    </w:p>
    <w:p w14:paraId="1E29AAA1" w14:textId="7FFD9914" w:rsidR="00BB21DC" w:rsidRPr="00A40C82" w:rsidRDefault="00BB21DC" w:rsidP="004D2DA3">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 xml:space="preserve">Nota: </w:t>
      </w:r>
      <w:r w:rsidR="00DC5E9D" w:rsidRPr="00A40C82">
        <w:rPr>
          <w:rFonts w:ascii="Artifex CF Extra Light" w:hAnsi="Artifex CF Extra Light" w:cs="Times New Roman"/>
          <w:color w:val="1F4E79" w:themeColor="accent1" w:themeShade="80"/>
          <w:spacing w:val="10"/>
          <w:sz w:val="18"/>
          <w:szCs w:val="18"/>
          <w:lang w:val="es-DO"/>
        </w:rPr>
        <w:t>Los datos para el T4 son proyecciones.</w:t>
      </w:r>
    </w:p>
    <w:p w14:paraId="0BC113D5" w14:textId="77777777" w:rsidR="00B53970" w:rsidRPr="00A40C82" w:rsidRDefault="00B53970"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p>
    <w:p w14:paraId="0A3A9586" w14:textId="7367668E" w:rsidR="00981DE3" w:rsidRDefault="00981DE3" w:rsidP="004D2DA3">
      <w:pPr>
        <w:pStyle w:val="Textoindependiente"/>
        <w:spacing w:before="380" w:after="120" w:line="456" w:lineRule="auto"/>
        <w:jc w:val="both"/>
        <w:rPr>
          <w:rFonts w:ascii="Artifex CF Extra Light" w:hAnsi="Artifex CF Extra Light" w:cs="Times New Roman"/>
          <w:color w:val="1F4E79" w:themeColor="accent1" w:themeShade="80"/>
          <w:spacing w:val="10"/>
          <w:sz w:val="18"/>
          <w:szCs w:val="18"/>
        </w:rPr>
      </w:pPr>
    </w:p>
    <w:p w14:paraId="60D644C7" w14:textId="77777777" w:rsidR="004D2DA3" w:rsidRPr="00A40C82" w:rsidRDefault="004D2DA3" w:rsidP="004D2DA3">
      <w:pPr>
        <w:pStyle w:val="Textoindependiente"/>
        <w:spacing w:before="380" w:after="120" w:line="456" w:lineRule="auto"/>
        <w:jc w:val="both"/>
        <w:rPr>
          <w:rFonts w:ascii="Artifex CF Extra Light" w:hAnsi="Artifex CF Extra Light" w:cs="Times New Roman"/>
          <w:color w:val="1F4E79" w:themeColor="accent1" w:themeShade="80"/>
          <w:spacing w:val="10"/>
          <w:sz w:val="18"/>
          <w:szCs w:val="18"/>
        </w:rPr>
      </w:pPr>
    </w:p>
    <w:p w14:paraId="3F989D66" w14:textId="3F037533" w:rsidR="000A767D"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lang w:val="es-DO"/>
        </w:rPr>
      </w:pPr>
      <w:bookmarkStart w:id="108" w:name="_Toc54949068"/>
      <w:bookmarkStart w:id="109" w:name="_Toc58332516"/>
      <w:bookmarkStart w:id="110" w:name="_Toc59528098"/>
      <w:r w:rsidRPr="00061E36">
        <w:rPr>
          <w:rFonts w:ascii="Artifex CF Extra Light" w:hAnsi="Artifex CF Extra Light" w:cs="Times New Roman"/>
          <w:b/>
          <w:bCs/>
          <w:color w:val="1F4E79" w:themeColor="accent1" w:themeShade="80"/>
          <w:spacing w:val="10"/>
          <w:sz w:val="18"/>
          <w:szCs w:val="18"/>
          <w:lang w:val="es-DO"/>
        </w:rPr>
        <w:lastRenderedPageBreak/>
        <w:t>NORMAS BÁSICAS DE CONTROL INTERNO (NOBACI)</w:t>
      </w:r>
      <w:bookmarkEnd w:id="108"/>
      <w:bookmarkEnd w:id="109"/>
      <w:bookmarkEnd w:id="110"/>
    </w:p>
    <w:p w14:paraId="31A67F25" w14:textId="2CFC65EF" w:rsidR="000A767D" w:rsidRPr="00A40C82" w:rsidRDefault="000A767D"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Órgano rector:</w:t>
      </w:r>
      <w:r w:rsidRPr="00A40C82">
        <w:rPr>
          <w:rFonts w:ascii="Artifex CF Extra Light" w:hAnsi="Artifex CF Extra Light" w:cs="Times New Roman"/>
          <w:color w:val="1F4E79" w:themeColor="accent1" w:themeShade="80"/>
          <w:spacing w:val="10"/>
          <w:sz w:val="18"/>
          <w:szCs w:val="18"/>
          <w:lang w:val="es-DO"/>
        </w:rPr>
        <w:t xml:space="preserve"> Contraloría Gen</w:t>
      </w:r>
      <w:r w:rsidR="0014599A" w:rsidRPr="00A40C82">
        <w:rPr>
          <w:rFonts w:ascii="Artifex CF Extra Light" w:hAnsi="Artifex CF Extra Light" w:cs="Times New Roman"/>
          <w:color w:val="1F4E79" w:themeColor="accent1" w:themeShade="80"/>
          <w:spacing w:val="10"/>
          <w:sz w:val="18"/>
          <w:szCs w:val="18"/>
          <w:lang w:val="es-DO"/>
        </w:rPr>
        <w:t>e</w:t>
      </w:r>
      <w:r w:rsidRPr="00A40C82">
        <w:rPr>
          <w:rFonts w:ascii="Artifex CF Extra Light" w:hAnsi="Artifex CF Extra Light" w:cs="Times New Roman"/>
          <w:color w:val="1F4E79" w:themeColor="accent1" w:themeShade="80"/>
          <w:spacing w:val="10"/>
          <w:sz w:val="18"/>
          <w:szCs w:val="18"/>
          <w:lang w:val="es-DO"/>
        </w:rPr>
        <w:t>ral de la República (CGR)</w:t>
      </w:r>
    </w:p>
    <w:p w14:paraId="61649F29" w14:textId="0D3D3E12" w:rsidR="00981DE3" w:rsidRPr="00A40C82" w:rsidRDefault="006B4496" w:rsidP="00864966">
      <w:pPr>
        <w:spacing w:before="380" w:after="120" w:line="456" w:lineRule="auto"/>
        <w:ind w:firstLine="284"/>
        <w:jc w:val="both"/>
        <w:rPr>
          <w:rFonts w:ascii="Artifex CF Extra Light" w:eastAsia="Times New Roman" w:hAnsi="Artifex CF Extra Light" w:cs="Times New Roman"/>
          <w:color w:val="1F4E79" w:themeColor="accent1" w:themeShade="80"/>
          <w:spacing w:val="10"/>
          <w:sz w:val="18"/>
          <w:szCs w:val="18"/>
          <w:lang w:val="es-DO" w:eastAsia="es-DO"/>
        </w:rPr>
      </w:pPr>
      <w:r w:rsidRPr="00A40C82">
        <w:rPr>
          <w:rFonts w:ascii="Artifex CF Extra Light" w:eastAsia="Times New Roman" w:hAnsi="Artifex CF Extra Light" w:cs="Times New Roman"/>
          <w:color w:val="1F4E79" w:themeColor="accent1" w:themeShade="80"/>
          <w:spacing w:val="10"/>
          <w:sz w:val="18"/>
          <w:szCs w:val="18"/>
          <w:lang w:val="es-DO" w:eastAsia="es-DO"/>
        </w:rPr>
        <w:t xml:space="preserve">Durante el año 2020 se realizaron múltiples actividades a los fines de aumentar la puntuación de este indicador. Entre los esfuerzos más relevantes de destaca el levantamiento de procesos para manuales de procedimientos, este indicador mantuvo un desempeño entre 91% y 92% durante los tres primeros trimestres del 2020, se proyecta que cerrara el año en 93% (ver gráfico). </w:t>
      </w:r>
    </w:p>
    <w:p w14:paraId="3A406557" w14:textId="4FC14D2E" w:rsidR="000E2293" w:rsidRPr="00A40C82" w:rsidRDefault="006027A7" w:rsidP="004D2DA3">
      <w:pPr>
        <w:spacing w:after="0" w:line="456" w:lineRule="auto"/>
        <w:ind w:firstLine="284"/>
        <w:jc w:val="center"/>
        <w:rPr>
          <w:rFonts w:ascii="Artifex CF Extra Light" w:hAnsi="Artifex CF Extra Light"/>
          <w:b/>
          <w:color w:val="1F4E79" w:themeColor="accent1" w:themeShade="80"/>
          <w:spacing w:val="10"/>
          <w:sz w:val="18"/>
          <w:szCs w:val="18"/>
          <w:lang w:val="es-ES" w:eastAsia="es-DO"/>
        </w:rPr>
      </w:pPr>
      <w:r w:rsidRPr="00A40C82">
        <w:rPr>
          <w:rFonts w:ascii="Artifex CF Extra Light" w:eastAsia="Times New Roman" w:hAnsi="Artifex CF Extra Light" w:cs="Times New Roman"/>
          <w:b/>
          <w:color w:val="1F4E79" w:themeColor="accent1" w:themeShade="80"/>
          <w:spacing w:val="10"/>
          <w:sz w:val="18"/>
          <w:szCs w:val="18"/>
          <w:lang w:val="es-DO" w:eastAsia="es-DO"/>
        </w:rPr>
        <w:t>Gráfico</w:t>
      </w:r>
      <w:r w:rsidR="000E2293" w:rsidRPr="00A40C82">
        <w:rPr>
          <w:rFonts w:ascii="Artifex CF Extra Light" w:eastAsia="Times New Roman" w:hAnsi="Artifex CF Extra Light" w:cs="Times New Roman"/>
          <w:b/>
          <w:color w:val="1F4E79" w:themeColor="accent1" w:themeShade="80"/>
          <w:spacing w:val="10"/>
          <w:sz w:val="18"/>
          <w:szCs w:val="18"/>
          <w:lang w:val="es-DO" w:eastAsia="es-DO"/>
        </w:rPr>
        <w:t xml:space="preserve"> 5. </w:t>
      </w:r>
      <w:r w:rsidR="000E2293" w:rsidRPr="00A40C82">
        <w:rPr>
          <w:rFonts w:ascii="Artifex CF Extra Light" w:eastAsia="Times New Roman" w:hAnsi="Artifex CF Extra Light"/>
          <w:b/>
          <w:color w:val="1F4E79" w:themeColor="accent1" w:themeShade="80"/>
          <w:spacing w:val="10"/>
          <w:sz w:val="18"/>
          <w:szCs w:val="18"/>
          <w:lang w:val="es-ES" w:eastAsia="es-DO"/>
        </w:rPr>
        <w:t>Normas Básicas de Control Internos (NOBACI)</w:t>
      </w:r>
    </w:p>
    <w:p w14:paraId="5300E266" w14:textId="62322EF5" w:rsidR="000A767D" w:rsidRPr="00A40C82" w:rsidRDefault="004A761C" w:rsidP="004D2DA3">
      <w:pPr>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noProof/>
          <w:color w:val="1F4E79" w:themeColor="accent1" w:themeShade="80"/>
          <w:spacing w:val="10"/>
          <w:sz w:val="18"/>
          <w:szCs w:val="18"/>
          <w:shd w:val="clear" w:color="auto" w:fill="E6E6E6"/>
        </w:rPr>
        <w:drawing>
          <wp:inline distT="0" distB="0" distL="0" distR="0" wp14:anchorId="1A7B60CF" wp14:editId="1719756A">
            <wp:extent cx="4572000" cy="2743200"/>
            <wp:effectExtent l="0" t="0" r="0" b="0"/>
            <wp:docPr id="10" name="Chart 10">
              <a:extLst xmlns:a="http://schemas.openxmlformats.org/drawingml/2006/main">
                <a:ext uri="{FF2B5EF4-FFF2-40B4-BE49-F238E27FC236}">
                  <a16:creationId xmlns:a16="http://schemas.microsoft.com/office/drawing/2014/main" id="{72A90B88-AD05-4F23-ADE3-EFF0340B0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82D9B4" w14:textId="414352C2" w:rsidR="00B84BE8" w:rsidRPr="00A40C82" w:rsidRDefault="004A761C" w:rsidP="004D2DA3">
      <w:pPr>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Fuente</w:t>
      </w:r>
      <w:r w:rsidR="000A767D" w:rsidRPr="00A40C82">
        <w:rPr>
          <w:rFonts w:ascii="Artifex CF Extra Light" w:hAnsi="Artifex CF Extra Light" w:cs="Times New Roman"/>
          <w:color w:val="1F4E79" w:themeColor="accent1" w:themeShade="80"/>
          <w:spacing w:val="10"/>
          <w:sz w:val="18"/>
          <w:szCs w:val="18"/>
          <w:lang w:val="es-DO"/>
        </w:rPr>
        <w:t>: Elaboración Gerencia de Planificación y Gestión</w:t>
      </w:r>
      <w:r w:rsidR="00A84CD5" w:rsidRPr="00A40C82">
        <w:rPr>
          <w:rFonts w:ascii="Artifex CF Extra Light" w:hAnsi="Artifex CF Extra Light" w:cs="Times New Roman"/>
          <w:color w:val="1F4E79" w:themeColor="accent1" w:themeShade="80"/>
          <w:spacing w:val="10"/>
          <w:sz w:val="18"/>
          <w:szCs w:val="18"/>
          <w:lang w:val="es-DO"/>
        </w:rPr>
        <w:t>.</w:t>
      </w:r>
    </w:p>
    <w:p w14:paraId="4ECAA994" w14:textId="0CE1D747" w:rsidR="00DC5E9D" w:rsidRPr="00A40C82" w:rsidRDefault="00DC5E9D" w:rsidP="004D2DA3">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Nota: Los datos para el T4 son proyecciones.</w:t>
      </w:r>
    </w:p>
    <w:p w14:paraId="19290A29" w14:textId="77777777" w:rsidR="00981DE3" w:rsidRPr="00A40C82" w:rsidRDefault="00981DE3"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p>
    <w:p w14:paraId="4031309A" w14:textId="77777777" w:rsidR="00981DE3" w:rsidRPr="00A40C82" w:rsidRDefault="00981DE3"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p>
    <w:p w14:paraId="6574E603" w14:textId="3D79A75B" w:rsidR="00981DE3" w:rsidRDefault="00981DE3" w:rsidP="004D2DA3">
      <w:pPr>
        <w:pStyle w:val="Textoindependiente"/>
        <w:spacing w:before="380" w:after="120" w:line="456" w:lineRule="auto"/>
        <w:jc w:val="both"/>
        <w:rPr>
          <w:rFonts w:ascii="Artifex CF Extra Light" w:hAnsi="Artifex CF Extra Light" w:cs="Times New Roman"/>
          <w:color w:val="1F4E79" w:themeColor="accent1" w:themeShade="80"/>
          <w:spacing w:val="10"/>
          <w:sz w:val="18"/>
          <w:szCs w:val="18"/>
          <w:lang w:val="es-DO"/>
        </w:rPr>
      </w:pPr>
    </w:p>
    <w:p w14:paraId="7F161756" w14:textId="77777777" w:rsidR="004D2DA3" w:rsidRPr="00A40C82" w:rsidRDefault="004D2DA3" w:rsidP="004D2DA3">
      <w:pPr>
        <w:pStyle w:val="Textoindependiente"/>
        <w:spacing w:before="380" w:after="120" w:line="456" w:lineRule="auto"/>
        <w:jc w:val="both"/>
        <w:rPr>
          <w:rFonts w:ascii="Artifex CF Extra Light" w:hAnsi="Artifex CF Extra Light" w:cs="Times New Roman"/>
          <w:color w:val="1F4E79" w:themeColor="accent1" w:themeShade="80"/>
          <w:spacing w:val="10"/>
          <w:sz w:val="18"/>
          <w:szCs w:val="18"/>
        </w:rPr>
      </w:pPr>
    </w:p>
    <w:p w14:paraId="440DDCBE" w14:textId="008C6EB9" w:rsidR="003D14AD"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rPr>
      </w:pPr>
      <w:bookmarkStart w:id="111" w:name="_Toc54949069"/>
      <w:bookmarkStart w:id="112" w:name="_Toc58332517"/>
      <w:bookmarkStart w:id="113" w:name="_Toc59528099"/>
      <w:r w:rsidRPr="00061E36">
        <w:rPr>
          <w:rFonts w:ascii="Artifex CF Extra Light" w:hAnsi="Artifex CF Extra Light" w:cs="Times New Roman"/>
          <w:b/>
          <w:bCs/>
          <w:color w:val="1F4E79" w:themeColor="accent1" w:themeShade="80"/>
          <w:spacing w:val="10"/>
          <w:sz w:val="18"/>
          <w:szCs w:val="18"/>
        </w:rPr>
        <w:lastRenderedPageBreak/>
        <w:t>GESTIÓN PRESUPUESTARIA</w:t>
      </w:r>
      <w:bookmarkEnd w:id="111"/>
      <w:bookmarkEnd w:id="112"/>
      <w:bookmarkEnd w:id="113"/>
    </w:p>
    <w:p w14:paraId="6EF30C8C" w14:textId="6E900257" w:rsidR="006730AB" w:rsidRPr="00A40C82" w:rsidRDefault="006730AB"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Órgano Rector:</w:t>
      </w:r>
      <w:r w:rsidRPr="00A40C82">
        <w:rPr>
          <w:rFonts w:ascii="Artifex CF Extra Light" w:hAnsi="Artifex CF Extra Light" w:cs="Times New Roman"/>
          <w:color w:val="1F4E79" w:themeColor="accent1" w:themeShade="80"/>
          <w:spacing w:val="10"/>
          <w:sz w:val="18"/>
          <w:szCs w:val="18"/>
          <w:lang w:val="es-DO"/>
        </w:rPr>
        <w:t xml:space="preserve"> Dirección General de Presupuesto (DIGEPRES)</w:t>
      </w:r>
    </w:p>
    <w:p w14:paraId="13315D9A" w14:textId="2BF060FF" w:rsidR="00161E84" w:rsidRPr="00A40C82" w:rsidRDefault="006B4496"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Para el indicador de gestión presupuestaria, el ProDominicana tiene una proyección de cierre con una puntuación de 85%, esto debido a debilidades en el seguimiento a los proyectos de inversión captados, en los primeros dos (2) trimestres presento un desempeño de 100%, mientras que en el tercer trimestre obtuvo un 84% (ver gráfico)</w:t>
      </w:r>
      <w:r w:rsidR="00981DE3" w:rsidRPr="00A40C82">
        <w:rPr>
          <w:rFonts w:ascii="Artifex CF Extra Light" w:hAnsi="Artifex CF Extra Light" w:cs="Times New Roman"/>
          <w:color w:val="1F4E79" w:themeColor="accent1" w:themeShade="80"/>
          <w:spacing w:val="10"/>
          <w:sz w:val="18"/>
          <w:szCs w:val="18"/>
          <w:lang w:val="es-DO"/>
        </w:rPr>
        <w:t>.</w:t>
      </w:r>
    </w:p>
    <w:p w14:paraId="2D49381A" w14:textId="29E38E15" w:rsidR="008C0C60" w:rsidRPr="00A40C82" w:rsidRDefault="006027A7" w:rsidP="004D2DA3">
      <w:pPr>
        <w:spacing w:after="0" w:line="276" w:lineRule="auto"/>
        <w:ind w:firstLine="284"/>
        <w:jc w:val="both"/>
        <w:rPr>
          <w:rFonts w:ascii="Artifex CF Extra Light" w:hAnsi="Artifex CF Extra Light"/>
          <w:b/>
          <w:color w:val="1F4E79" w:themeColor="accent1" w:themeShade="80"/>
          <w:spacing w:val="10"/>
          <w:sz w:val="18"/>
          <w:szCs w:val="18"/>
          <w:lang w:val="es-ES"/>
        </w:rPr>
      </w:pPr>
      <w:r w:rsidRPr="00A40C82">
        <w:rPr>
          <w:rFonts w:ascii="Artifex CF Extra Light" w:hAnsi="Artifex CF Extra Light" w:cs="Times New Roman"/>
          <w:b/>
          <w:color w:val="1F4E79" w:themeColor="accent1" w:themeShade="80"/>
          <w:spacing w:val="10"/>
          <w:sz w:val="18"/>
          <w:szCs w:val="18"/>
          <w:lang w:val="es-DO"/>
        </w:rPr>
        <w:t>Gráfico</w:t>
      </w:r>
      <w:r w:rsidR="008C0C60" w:rsidRPr="00A40C82">
        <w:rPr>
          <w:rFonts w:ascii="Artifex CF Extra Light" w:hAnsi="Artifex CF Extra Light" w:cs="Times New Roman"/>
          <w:b/>
          <w:color w:val="1F4E79" w:themeColor="accent1" w:themeShade="80"/>
          <w:spacing w:val="10"/>
          <w:sz w:val="18"/>
          <w:szCs w:val="18"/>
          <w:lang w:val="es-DO"/>
        </w:rPr>
        <w:t xml:space="preserve"> 6. </w:t>
      </w:r>
      <w:r w:rsidR="008C0C60" w:rsidRPr="00A40C82">
        <w:rPr>
          <w:rFonts w:ascii="Artifex CF Extra Light" w:hAnsi="Artifex CF Extra Light"/>
          <w:b/>
          <w:color w:val="1F4E79" w:themeColor="accent1" w:themeShade="80"/>
          <w:spacing w:val="10"/>
          <w:sz w:val="18"/>
          <w:szCs w:val="18"/>
          <w:lang w:val="es-DO"/>
        </w:rPr>
        <w:t>Indicador de Gestión Presupuestaria</w:t>
      </w:r>
    </w:p>
    <w:p w14:paraId="2649723A" w14:textId="47ABB612" w:rsidR="005F6CA0" w:rsidRPr="00A40C82" w:rsidRDefault="00B305F0" w:rsidP="004D2DA3">
      <w:pPr>
        <w:spacing w:after="0" w:line="27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noProof/>
          <w:color w:val="1F4E79" w:themeColor="accent1" w:themeShade="80"/>
          <w:spacing w:val="10"/>
          <w:sz w:val="18"/>
          <w:szCs w:val="18"/>
          <w:shd w:val="clear" w:color="auto" w:fill="E6E6E6"/>
        </w:rPr>
        <w:drawing>
          <wp:inline distT="0" distB="0" distL="0" distR="0" wp14:anchorId="6E2F87FD" wp14:editId="51845AE3">
            <wp:extent cx="4648200" cy="2628900"/>
            <wp:effectExtent l="0" t="0" r="0" b="0"/>
            <wp:docPr id="13" name="Gráfico 13">
              <a:extLst xmlns:a="http://schemas.openxmlformats.org/drawingml/2006/main">
                <a:ext uri="{FF2B5EF4-FFF2-40B4-BE49-F238E27FC236}">
                  <a16:creationId xmlns:a16="http://schemas.microsoft.com/office/drawing/2014/main" id="{A4F72AE0-53FB-4DB5-8F76-71189A795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5FBA1D" w14:textId="3C442E0F" w:rsidR="00E5003F" w:rsidRPr="00A40C82" w:rsidRDefault="008C0C60" w:rsidP="004D2DA3">
      <w:pPr>
        <w:spacing w:after="0" w:line="27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Fuente</w:t>
      </w:r>
      <w:r w:rsidR="006730AB" w:rsidRPr="00A40C82">
        <w:rPr>
          <w:rFonts w:ascii="Artifex CF Extra Light" w:hAnsi="Artifex CF Extra Light" w:cs="Times New Roman"/>
          <w:color w:val="1F4E79" w:themeColor="accent1" w:themeShade="80"/>
          <w:spacing w:val="10"/>
          <w:sz w:val="18"/>
          <w:szCs w:val="18"/>
          <w:lang w:val="es-DO"/>
        </w:rPr>
        <w:t>: Elaboración Gerencia de Planificación y Gestión</w:t>
      </w:r>
      <w:r w:rsidRPr="00A40C82">
        <w:rPr>
          <w:rFonts w:ascii="Artifex CF Extra Light" w:hAnsi="Artifex CF Extra Light" w:cs="Times New Roman"/>
          <w:color w:val="1F4E79" w:themeColor="accent1" w:themeShade="80"/>
          <w:spacing w:val="10"/>
          <w:sz w:val="18"/>
          <w:szCs w:val="18"/>
          <w:lang w:val="es-DO"/>
        </w:rPr>
        <w:t>.</w:t>
      </w:r>
    </w:p>
    <w:p w14:paraId="1EA7D0B7" w14:textId="74CC4E43" w:rsidR="00DC5E9D" w:rsidRPr="00A40C82" w:rsidRDefault="00DC5E9D" w:rsidP="004D2DA3">
      <w:pPr>
        <w:pStyle w:val="Textoindependiente"/>
        <w:spacing w:after="0" w:line="27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color w:val="1F4E79" w:themeColor="accent1" w:themeShade="80"/>
          <w:spacing w:val="10"/>
          <w:sz w:val="18"/>
          <w:szCs w:val="18"/>
          <w:lang w:val="es-DO"/>
        </w:rPr>
        <w:t>Nota: Los datos para el T4 son proyecciones.</w:t>
      </w:r>
    </w:p>
    <w:p w14:paraId="3CCE0412" w14:textId="7DF9B7D4" w:rsidR="00B00CA4"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lang w:val="es-DO"/>
        </w:rPr>
      </w:pPr>
      <w:bookmarkStart w:id="114" w:name="_Toc54949070"/>
      <w:bookmarkStart w:id="115" w:name="_Toc58332518"/>
      <w:bookmarkStart w:id="116" w:name="_Toc59528100"/>
      <w:r w:rsidRPr="00061E36">
        <w:rPr>
          <w:rFonts w:ascii="Artifex CF Extra Light" w:hAnsi="Artifex CF Extra Light" w:cs="Times New Roman"/>
          <w:b/>
          <w:bCs/>
          <w:color w:val="1F4E79" w:themeColor="accent1" w:themeShade="80"/>
          <w:spacing w:val="10"/>
          <w:sz w:val="18"/>
          <w:szCs w:val="18"/>
          <w:lang w:val="es-DO"/>
        </w:rPr>
        <w:t>PLAN ANUAL DE COMPRAS Y CONTRATACIONES (PACC)</w:t>
      </w:r>
      <w:bookmarkEnd w:id="114"/>
      <w:bookmarkEnd w:id="115"/>
      <w:bookmarkEnd w:id="116"/>
    </w:p>
    <w:p w14:paraId="743E6011" w14:textId="2AB56336" w:rsidR="00981DE3" w:rsidRPr="004D2DA3" w:rsidRDefault="0055315C" w:rsidP="004D2DA3">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A40C82">
        <w:rPr>
          <w:rFonts w:ascii="Artifex CF Extra Light" w:hAnsi="Artifex CF Extra Light" w:cs="Times New Roman"/>
          <w:color w:val="1F4E79" w:themeColor="accent1" w:themeShade="80"/>
          <w:spacing w:val="10"/>
          <w:sz w:val="18"/>
          <w:szCs w:val="18"/>
        </w:rPr>
        <w:t>Con relación al Plan Anual de Compras y Contrataciones (PACC) 20</w:t>
      </w:r>
      <w:r w:rsidR="00B00CA4" w:rsidRPr="00A40C82">
        <w:rPr>
          <w:rFonts w:ascii="Artifex CF Extra Light" w:hAnsi="Artifex CF Extra Light" w:cs="Times New Roman"/>
          <w:color w:val="1F4E79" w:themeColor="accent1" w:themeShade="80"/>
          <w:spacing w:val="10"/>
          <w:sz w:val="18"/>
          <w:szCs w:val="18"/>
        </w:rPr>
        <w:t>20</w:t>
      </w:r>
      <w:r w:rsidRPr="00A40C82">
        <w:rPr>
          <w:rFonts w:ascii="Artifex CF Extra Light" w:hAnsi="Artifex CF Extra Light" w:cs="Times New Roman"/>
          <w:color w:val="1F4E79" w:themeColor="accent1" w:themeShade="80"/>
          <w:spacing w:val="10"/>
          <w:sz w:val="18"/>
          <w:szCs w:val="18"/>
        </w:rPr>
        <w:t xml:space="preserve">, del </w:t>
      </w:r>
      <w:r w:rsidR="0076107D" w:rsidRPr="00A40C82">
        <w:rPr>
          <w:rFonts w:ascii="Artifex CF Extra Light" w:hAnsi="Artifex CF Extra Light" w:cs="Times New Roman"/>
          <w:color w:val="1F4E79" w:themeColor="accent1" w:themeShade="80"/>
          <w:spacing w:val="10"/>
          <w:sz w:val="18"/>
          <w:szCs w:val="18"/>
        </w:rPr>
        <w:t xml:space="preserve">ProDominicana </w:t>
      </w:r>
      <w:r w:rsidRPr="00A40C82">
        <w:rPr>
          <w:rFonts w:ascii="Artifex CF Extra Light" w:hAnsi="Artifex CF Extra Light" w:cs="Times New Roman"/>
          <w:color w:val="1F4E79" w:themeColor="accent1" w:themeShade="80"/>
          <w:spacing w:val="10"/>
          <w:sz w:val="18"/>
          <w:szCs w:val="18"/>
        </w:rPr>
        <w:t>se ha elaborado con el cumplimiento de las normas y reglamentos establecidos por la Dirección General de Contrataciones Públicas y el mismo fue cargado al Portal Transaccional según disposiciones. Asimismo, se dio uso del nuevo Portal Transaccional de Compras y Contrataciones, el cual ofrece mayor transparencia en la adquisición de compras, bienes y servicios en cumplimiento del Decreto 15-17</w:t>
      </w:r>
      <w:r w:rsidR="00981DE3" w:rsidRPr="00A40C82">
        <w:rPr>
          <w:rFonts w:ascii="Artifex CF Extra Light" w:hAnsi="Artifex CF Extra Light" w:cs="Times New Roman"/>
          <w:color w:val="1F4E79" w:themeColor="accent1" w:themeShade="80"/>
          <w:spacing w:val="10"/>
          <w:sz w:val="18"/>
          <w:szCs w:val="18"/>
        </w:rPr>
        <w:t xml:space="preserve"> </w:t>
      </w:r>
      <w:r w:rsidR="00B00CA4" w:rsidRPr="00A40C82">
        <w:rPr>
          <w:rFonts w:ascii="Artifex CF Extra Light" w:hAnsi="Artifex CF Extra Light" w:cs="Times New Roman"/>
          <w:color w:val="1F4E79" w:themeColor="accent1" w:themeShade="80"/>
          <w:spacing w:val="10"/>
          <w:sz w:val="18"/>
          <w:szCs w:val="18"/>
        </w:rPr>
        <w:t>(ver anexo</w:t>
      </w:r>
      <w:r w:rsidR="00981DE3" w:rsidRPr="00A40C82">
        <w:rPr>
          <w:rFonts w:ascii="Artifex CF Extra Light" w:hAnsi="Artifex CF Extra Light" w:cs="Times New Roman"/>
          <w:color w:val="1F4E79" w:themeColor="accent1" w:themeShade="80"/>
          <w:spacing w:val="10"/>
          <w:sz w:val="18"/>
          <w:szCs w:val="18"/>
        </w:rPr>
        <w:t xml:space="preserve"> 4</w:t>
      </w:r>
      <w:r w:rsidR="00B00CA4" w:rsidRPr="00A40C82">
        <w:rPr>
          <w:rFonts w:ascii="Artifex CF Extra Light" w:hAnsi="Artifex CF Extra Light" w:cs="Times New Roman"/>
          <w:color w:val="1F4E79" w:themeColor="accent1" w:themeShade="80"/>
          <w:spacing w:val="10"/>
          <w:sz w:val="18"/>
          <w:szCs w:val="18"/>
        </w:rPr>
        <w:t>)</w:t>
      </w:r>
      <w:r w:rsidR="00981DE3" w:rsidRPr="00A40C82">
        <w:rPr>
          <w:rFonts w:ascii="Artifex CF Extra Light" w:hAnsi="Artifex CF Extra Light" w:cs="Times New Roman"/>
          <w:color w:val="1F4E79" w:themeColor="accent1" w:themeShade="80"/>
          <w:spacing w:val="10"/>
          <w:sz w:val="18"/>
          <w:szCs w:val="18"/>
        </w:rPr>
        <w:t>.</w:t>
      </w:r>
    </w:p>
    <w:p w14:paraId="08D3F473" w14:textId="6EB4B6E3" w:rsidR="00226921"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eastAsiaTheme="minorEastAsia" w:hAnsi="Artifex CF Extra Light" w:cs="Times New Roman"/>
          <w:b/>
          <w:bCs/>
          <w:color w:val="1F4E79" w:themeColor="accent1" w:themeShade="80"/>
          <w:spacing w:val="10"/>
          <w:sz w:val="18"/>
          <w:szCs w:val="18"/>
          <w:lang w:val="es-DO"/>
        </w:rPr>
      </w:pPr>
      <w:bookmarkStart w:id="117" w:name="_Toc54949071"/>
      <w:bookmarkStart w:id="118" w:name="_Toc58332519"/>
      <w:bookmarkStart w:id="119" w:name="_Toc59528101"/>
      <w:r w:rsidRPr="00061E36">
        <w:rPr>
          <w:rFonts w:ascii="Artifex CF Extra Light" w:hAnsi="Artifex CF Extra Light" w:cs="Times New Roman"/>
          <w:b/>
          <w:bCs/>
          <w:color w:val="1F4E79" w:themeColor="accent1" w:themeShade="80"/>
          <w:spacing w:val="10"/>
          <w:sz w:val="18"/>
          <w:szCs w:val="18"/>
          <w:lang w:val="es-DO"/>
        </w:rPr>
        <w:lastRenderedPageBreak/>
        <w:t>SISTEMA NACIONAL DE COMPRAS Y CONTRATACIONES PÚBLICAS (SNCCP)</w:t>
      </w:r>
      <w:bookmarkEnd w:id="117"/>
      <w:bookmarkEnd w:id="118"/>
      <w:bookmarkEnd w:id="119"/>
    </w:p>
    <w:p w14:paraId="1D01FBB5" w14:textId="0C0C11E1" w:rsidR="00351EB9" w:rsidRPr="00A40C82" w:rsidRDefault="00351EB9"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b/>
          <w:color w:val="1F4E79" w:themeColor="accent1" w:themeShade="80"/>
          <w:spacing w:val="10"/>
          <w:sz w:val="18"/>
          <w:szCs w:val="18"/>
          <w:lang w:val="es-DO"/>
        </w:rPr>
        <w:t xml:space="preserve">Órgano rector: </w:t>
      </w:r>
      <w:r w:rsidRPr="00A40C82">
        <w:rPr>
          <w:rFonts w:ascii="Artifex CF Extra Light" w:hAnsi="Artifex CF Extra Light" w:cs="Times New Roman"/>
          <w:color w:val="1F4E79" w:themeColor="accent1" w:themeShade="80"/>
          <w:spacing w:val="10"/>
          <w:sz w:val="18"/>
          <w:szCs w:val="18"/>
          <w:lang w:val="es-DO"/>
        </w:rPr>
        <w:t>Dirección General de Compras y Contrataciones Públicas (DGCP)</w:t>
      </w:r>
      <w:r w:rsidR="0014599A" w:rsidRPr="00A40C82">
        <w:rPr>
          <w:rFonts w:ascii="Artifex CF Extra Light" w:hAnsi="Artifex CF Extra Light" w:cs="Times New Roman"/>
          <w:color w:val="1F4E79" w:themeColor="accent1" w:themeShade="80"/>
          <w:spacing w:val="10"/>
          <w:sz w:val="18"/>
          <w:szCs w:val="18"/>
          <w:lang w:val="es-DO"/>
        </w:rPr>
        <w:t>.</w:t>
      </w:r>
    </w:p>
    <w:p w14:paraId="15E25586" w14:textId="28A92E70" w:rsidR="00161E84" w:rsidRPr="00A40C82" w:rsidRDefault="00891543" w:rsidP="00864966">
      <w:pPr>
        <w:pStyle w:val="paragraph"/>
        <w:spacing w:before="380" w:beforeAutospacing="0" w:after="120" w:afterAutospacing="0" w:line="456" w:lineRule="auto"/>
        <w:ind w:firstLine="284"/>
        <w:jc w:val="both"/>
        <w:textAlignment w:val="baseline"/>
        <w:rPr>
          <w:rFonts w:ascii="Artifex CF Extra Light" w:hAnsi="Artifex CF Extra Light"/>
          <w:color w:val="1F4E79" w:themeColor="accent1" w:themeShade="80"/>
          <w:spacing w:val="10"/>
          <w:sz w:val="18"/>
          <w:szCs w:val="18"/>
        </w:rPr>
      </w:pPr>
      <w:r w:rsidRPr="00A40C82">
        <w:rPr>
          <w:rFonts w:ascii="Artifex CF Extra Light" w:hAnsi="Artifex CF Extra Light"/>
          <w:color w:val="1F4E79" w:themeColor="accent1" w:themeShade="80"/>
          <w:spacing w:val="10"/>
          <w:sz w:val="18"/>
          <w:szCs w:val="18"/>
        </w:rPr>
        <w:t>Durante el año 2020 se realizaron múltiples actividades a los fines de aumentar la puntuación de este indicador. Entre los esfuerzos más relevantes de destacan: mantener actualizado fechas (inicio-fin) en contratos adjudicados, planes de entrega y completar ruta en sistema y documentos cargados a tiempo, incluyendo expedientes pagados, este indicador tuvo un desempeño entre 91% y 96% durante los tres primeros trimestres del 2020, se proyecta que cerrara el año en 93% (ver gráfico).</w:t>
      </w:r>
    </w:p>
    <w:p w14:paraId="6DF84A81" w14:textId="703AEFD6" w:rsidR="008C0C60" w:rsidRPr="00A40C82" w:rsidRDefault="008C0C60" w:rsidP="004D2DA3">
      <w:pPr>
        <w:pStyle w:val="paragraph"/>
        <w:spacing w:before="0" w:beforeAutospacing="0" w:after="0" w:afterAutospacing="0" w:line="456" w:lineRule="auto"/>
        <w:ind w:firstLine="284"/>
        <w:jc w:val="center"/>
        <w:textAlignment w:val="baseline"/>
        <w:rPr>
          <w:rFonts w:ascii="Artifex CF Extra Light" w:hAnsi="Artifex CF Extra Light"/>
          <w:b/>
          <w:color w:val="1F4E79" w:themeColor="accent1" w:themeShade="80"/>
          <w:spacing w:val="10"/>
          <w:sz w:val="18"/>
          <w:szCs w:val="18"/>
        </w:rPr>
      </w:pPr>
      <w:r w:rsidRPr="00A40C82">
        <w:rPr>
          <w:rFonts w:ascii="Artifex CF Extra Light" w:hAnsi="Artifex CF Extra Light"/>
          <w:b/>
          <w:color w:val="1F4E79" w:themeColor="accent1" w:themeShade="80"/>
          <w:spacing w:val="10"/>
          <w:sz w:val="18"/>
          <w:szCs w:val="18"/>
        </w:rPr>
        <w:t>Gr</w:t>
      </w:r>
      <w:r w:rsidR="00981DE3" w:rsidRPr="00A40C82">
        <w:rPr>
          <w:rFonts w:ascii="Artifex CF Extra Light" w:hAnsi="Artifex CF Extra Light"/>
          <w:b/>
          <w:color w:val="1F4E79" w:themeColor="accent1" w:themeShade="80"/>
          <w:spacing w:val="10"/>
          <w:sz w:val="18"/>
          <w:szCs w:val="18"/>
        </w:rPr>
        <w:t>á</w:t>
      </w:r>
      <w:r w:rsidRPr="00A40C82">
        <w:rPr>
          <w:rFonts w:ascii="Artifex CF Extra Light" w:hAnsi="Artifex CF Extra Light"/>
          <w:b/>
          <w:color w:val="1F4E79" w:themeColor="accent1" w:themeShade="80"/>
          <w:spacing w:val="10"/>
          <w:sz w:val="18"/>
          <w:szCs w:val="18"/>
        </w:rPr>
        <w:t xml:space="preserve">fico 7. </w:t>
      </w:r>
      <w:r w:rsidRPr="00A40C82">
        <w:rPr>
          <w:rFonts w:ascii="Artifex CF Extra Light" w:hAnsi="Artifex CF Extra Light"/>
          <w:b/>
          <w:color w:val="1F4E79" w:themeColor="accent1" w:themeShade="80"/>
          <w:spacing w:val="10"/>
          <w:sz w:val="18"/>
          <w:szCs w:val="18"/>
          <w:lang w:val="en-US"/>
        </w:rPr>
        <w:t>SISCOMPRAS</w:t>
      </w:r>
    </w:p>
    <w:p w14:paraId="6AB309B9" w14:textId="3454EA1E" w:rsidR="00351EB9" w:rsidRPr="00A40C82" w:rsidRDefault="0060424B" w:rsidP="004D2DA3">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highlight w:val="yellow"/>
        </w:rPr>
      </w:pPr>
      <w:r w:rsidRPr="00A40C82">
        <w:rPr>
          <w:rFonts w:ascii="Artifex CF Extra Light" w:hAnsi="Artifex CF Extra Light"/>
          <w:noProof/>
          <w:color w:val="1F4E79" w:themeColor="accent1" w:themeShade="80"/>
          <w:spacing w:val="10"/>
          <w:sz w:val="18"/>
          <w:szCs w:val="18"/>
          <w:shd w:val="clear" w:color="auto" w:fill="E6E6E6"/>
        </w:rPr>
        <w:drawing>
          <wp:inline distT="0" distB="0" distL="0" distR="0" wp14:anchorId="62ED7187" wp14:editId="38674DD6">
            <wp:extent cx="4572000" cy="2628900"/>
            <wp:effectExtent l="0" t="0" r="0" b="0"/>
            <wp:docPr id="17" name="Gráfico 17">
              <a:extLst xmlns:a="http://schemas.openxmlformats.org/drawingml/2006/main">
                <a:ext uri="{FF2B5EF4-FFF2-40B4-BE49-F238E27FC236}">
                  <a16:creationId xmlns:a16="http://schemas.microsoft.com/office/drawing/2014/main" id="{64ACCD0D-64C0-4CAC-A307-806BF7B3C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C7786E" w14:textId="27EB4C20" w:rsidR="00FC3AB3" w:rsidRPr="00A40C82" w:rsidRDefault="00BC1CCC" w:rsidP="004D2DA3">
      <w:pPr>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Fuente</w:t>
      </w:r>
      <w:r w:rsidR="00351EB9" w:rsidRPr="00A40C82">
        <w:rPr>
          <w:rFonts w:ascii="Artifex CF Extra Light" w:hAnsi="Artifex CF Extra Light" w:cs="Times New Roman"/>
          <w:color w:val="1F4E79" w:themeColor="accent1" w:themeShade="80"/>
          <w:spacing w:val="10"/>
          <w:sz w:val="18"/>
          <w:szCs w:val="18"/>
          <w:lang w:val="es-DO"/>
        </w:rPr>
        <w:t>: Elaboración Gerencia de Planificación y Gestión</w:t>
      </w:r>
      <w:r w:rsidR="008C0C60" w:rsidRPr="00A40C82">
        <w:rPr>
          <w:rFonts w:ascii="Artifex CF Extra Light" w:hAnsi="Artifex CF Extra Light" w:cs="Times New Roman"/>
          <w:color w:val="1F4E79" w:themeColor="accent1" w:themeShade="80"/>
          <w:spacing w:val="10"/>
          <w:sz w:val="18"/>
          <w:szCs w:val="18"/>
          <w:lang w:val="es-DO"/>
        </w:rPr>
        <w:t>.</w:t>
      </w:r>
    </w:p>
    <w:p w14:paraId="5D2A29B2" w14:textId="6A43CD8C" w:rsidR="00161E84" w:rsidRPr="00A40C82" w:rsidRDefault="00DC5E9D" w:rsidP="004D2DA3">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lang w:val="es-DO"/>
        </w:rPr>
      </w:pPr>
      <w:r w:rsidRPr="00A40C82">
        <w:rPr>
          <w:rFonts w:ascii="Artifex CF Extra Light" w:hAnsi="Artifex CF Extra Light" w:cs="Times New Roman"/>
          <w:color w:val="1F4E79" w:themeColor="accent1" w:themeShade="80"/>
          <w:spacing w:val="10"/>
          <w:sz w:val="18"/>
          <w:szCs w:val="18"/>
          <w:lang w:val="es-DO"/>
        </w:rPr>
        <w:t>Nota: Los datos para el T4 son proyecciones</w:t>
      </w:r>
      <w:r w:rsidR="00981DE3" w:rsidRPr="00A40C82">
        <w:rPr>
          <w:rFonts w:ascii="Artifex CF Extra Light" w:hAnsi="Artifex CF Extra Light" w:cs="Times New Roman"/>
          <w:color w:val="1F4E79" w:themeColor="accent1" w:themeShade="80"/>
          <w:spacing w:val="10"/>
          <w:sz w:val="18"/>
          <w:szCs w:val="18"/>
          <w:lang w:val="es-DO"/>
        </w:rPr>
        <w:t>.</w:t>
      </w:r>
    </w:p>
    <w:p w14:paraId="0C75B339" w14:textId="2B0780C3" w:rsidR="00E850D7"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eastAsiaTheme="minorEastAsia" w:hAnsi="Artifex CF Extra Light" w:cs="Times New Roman"/>
          <w:b/>
          <w:bCs/>
          <w:color w:val="1F4E79" w:themeColor="accent1" w:themeShade="80"/>
          <w:spacing w:val="10"/>
          <w:sz w:val="18"/>
          <w:szCs w:val="18"/>
        </w:rPr>
      </w:pPr>
      <w:bookmarkStart w:id="120" w:name="_Toc54949072"/>
      <w:bookmarkStart w:id="121" w:name="_Toc58332520"/>
      <w:bookmarkStart w:id="122" w:name="_Toc59528102"/>
      <w:r w:rsidRPr="00061E36">
        <w:rPr>
          <w:rFonts w:ascii="Artifex CF Extra Light" w:hAnsi="Artifex CF Extra Light" w:cs="Times New Roman"/>
          <w:b/>
          <w:bCs/>
          <w:color w:val="1F4E79" w:themeColor="accent1" w:themeShade="80"/>
          <w:spacing w:val="10"/>
          <w:sz w:val="18"/>
          <w:szCs w:val="18"/>
        </w:rPr>
        <w:t>COMISIONES DE VEEDURÍA CIUDADANA</w:t>
      </w:r>
      <w:bookmarkEnd w:id="120"/>
      <w:bookmarkEnd w:id="121"/>
      <w:bookmarkEnd w:id="122"/>
    </w:p>
    <w:p w14:paraId="1D958C3B" w14:textId="222B21FD" w:rsidR="005E7CF7" w:rsidRPr="00A40C82" w:rsidRDefault="00CD17E4" w:rsidP="00864966">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pacing w:val="10"/>
          <w:sz w:val="18"/>
          <w:szCs w:val="18"/>
          <w:lang w:val="es-ES"/>
        </w:rPr>
      </w:pPr>
      <w:r w:rsidRPr="00A40C82">
        <w:rPr>
          <w:rFonts w:ascii="Artifex CF Extra Light" w:eastAsiaTheme="minorEastAsia" w:hAnsi="Artifex CF Extra Light" w:cs="Times New Roman"/>
          <w:color w:val="1F4E79" w:themeColor="accent1" w:themeShade="80"/>
          <w:spacing w:val="10"/>
          <w:sz w:val="18"/>
          <w:szCs w:val="18"/>
          <w:lang w:val="es-ES"/>
        </w:rPr>
        <w:t>ProDominican</w:t>
      </w:r>
      <w:r w:rsidRPr="00A40C82">
        <w:rPr>
          <w:rFonts w:ascii="Artifex CF Extra Light" w:eastAsiaTheme="minorEastAsia" w:hAnsi="Artifex CF Extra Light" w:cs="Times New Roman" w:hint="eastAsia"/>
          <w:color w:val="1F4E79" w:themeColor="accent1" w:themeShade="80"/>
          <w:spacing w:val="10"/>
          <w:sz w:val="18"/>
          <w:szCs w:val="18"/>
          <w:lang w:val="es-ES"/>
        </w:rPr>
        <w:t>a</w:t>
      </w:r>
      <w:r w:rsidR="002022E5" w:rsidRPr="00A40C82">
        <w:rPr>
          <w:rFonts w:ascii="Artifex CF Extra Light" w:eastAsiaTheme="minorEastAsia" w:hAnsi="Artifex CF Extra Light" w:cs="Times New Roman"/>
          <w:color w:val="1F4E79" w:themeColor="accent1" w:themeShade="80"/>
          <w:spacing w:val="10"/>
          <w:sz w:val="18"/>
          <w:szCs w:val="18"/>
          <w:lang w:val="es-ES"/>
        </w:rPr>
        <w:t xml:space="preserve"> no </w:t>
      </w:r>
      <w:r w:rsidR="004B7018" w:rsidRPr="00A40C82">
        <w:rPr>
          <w:rFonts w:ascii="Artifex CF Extra Light" w:eastAsiaTheme="minorEastAsia" w:hAnsi="Artifex CF Extra Light" w:cs="Times New Roman"/>
          <w:color w:val="1F4E79" w:themeColor="accent1" w:themeShade="80"/>
          <w:spacing w:val="10"/>
          <w:sz w:val="18"/>
          <w:szCs w:val="18"/>
          <w:lang w:val="es-ES"/>
        </w:rPr>
        <w:t>está</w:t>
      </w:r>
      <w:r w:rsidR="00864289" w:rsidRPr="00A40C82">
        <w:rPr>
          <w:rFonts w:ascii="Artifex CF Extra Light" w:eastAsiaTheme="minorEastAsia" w:hAnsi="Artifex CF Extra Light" w:cs="Times New Roman"/>
          <w:color w:val="1F4E79" w:themeColor="accent1" w:themeShade="80"/>
          <w:spacing w:val="10"/>
          <w:sz w:val="18"/>
          <w:szCs w:val="18"/>
          <w:lang w:val="es-ES"/>
        </w:rPr>
        <w:t xml:space="preserve"> participando en </w:t>
      </w:r>
      <w:r w:rsidR="004B7018" w:rsidRPr="00A40C82">
        <w:rPr>
          <w:rFonts w:ascii="Artifex CF Extra Light" w:eastAsiaTheme="minorEastAsia" w:hAnsi="Artifex CF Extra Light" w:cs="Times New Roman"/>
          <w:color w:val="1F4E79" w:themeColor="accent1" w:themeShade="80"/>
          <w:spacing w:val="10"/>
          <w:sz w:val="18"/>
          <w:szCs w:val="18"/>
          <w:lang w:val="es-ES"/>
        </w:rPr>
        <w:t>n</w:t>
      </w:r>
      <w:r w:rsidR="00864289" w:rsidRPr="00A40C82">
        <w:rPr>
          <w:rFonts w:ascii="Artifex CF Extra Light" w:eastAsiaTheme="minorEastAsia" w:hAnsi="Artifex CF Extra Light" w:cs="Times New Roman"/>
          <w:color w:val="1F4E79" w:themeColor="accent1" w:themeShade="80"/>
          <w:spacing w:val="10"/>
          <w:sz w:val="18"/>
          <w:szCs w:val="18"/>
          <w:lang w:val="es-ES"/>
        </w:rPr>
        <w:t>inguna</w:t>
      </w:r>
      <w:r w:rsidR="004B7018" w:rsidRPr="00A40C82">
        <w:rPr>
          <w:rFonts w:ascii="Artifex CF Extra Light" w:eastAsiaTheme="minorEastAsia" w:hAnsi="Artifex CF Extra Light" w:cs="Times New Roman"/>
          <w:color w:val="1F4E79" w:themeColor="accent1" w:themeShade="80"/>
          <w:spacing w:val="10"/>
          <w:sz w:val="18"/>
          <w:szCs w:val="18"/>
          <w:lang w:val="es-ES"/>
        </w:rPr>
        <w:t xml:space="preserve"> comisión de veeduría c</w:t>
      </w:r>
      <w:r w:rsidR="005E7CF7" w:rsidRPr="00A40C82">
        <w:rPr>
          <w:rFonts w:ascii="Artifex CF Extra Light" w:eastAsiaTheme="minorEastAsia" w:hAnsi="Artifex CF Extra Light" w:cs="Times New Roman"/>
          <w:color w:val="1F4E79" w:themeColor="accent1" w:themeShade="80"/>
          <w:spacing w:val="10"/>
          <w:sz w:val="18"/>
          <w:szCs w:val="18"/>
          <w:lang w:val="es-ES"/>
        </w:rPr>
        <w:t>iudadana.</w:t>
      </w:r>
    </w:p>
    <w:p w14:paraId="220C3F2E" w14:textId="77777777" w:rsidR="004D2DA3" w:rsidRDefault="004D2DA3">
      <w:pPr>
        <w:rPr>
          <w:rFonts w:ascii="Gotham HTF Light" w:hAnsi="Gotham HTF Light" w:cs="Times New Roman"/>
          <w:color w:val="1F4E79" w:themeColor="accent1" w:themeShade="80"/>
          <w:spacing w:val="10"/>
          <w:sz w:val="16"/>
          <w:szCs w:val="16"/>
          <w:lang w:val="es-DO"/>
        </w:rPr>
      </w:pPr>
      <w:bookmarkStart w:id="123" w:name="_Toc54949073"/>
      <w:bookmarkStart w:id="124" w:name="_Toc58332521"/>
      <w:r>
        <w:rPr>
          <w:rFonts w:ascii="Gotham HTF Light" w:hAnsi="Gotham HTF Light" w:cs="Times New Roman"/>
          <w:color w:val="1F4E79" w:themeColor="accent1" w:themeShade="80"/>
          <w:spacing w:val="10"/>
          <w:sz w:val="16"/>
          <w:szCs w:val="16"/>
          <w:lang w:val="es-DO"/>
        </w:rPr>
        <w:br w:type="page"/>
      </w:r>
    </w:p>
    <w:p w14:paraId="34588384" w14:textId="6E21CEED" w:rsidR="00FC3AB3"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eastAsiaTheme="minorEastAsia" w:hAnsi="Artifex CF Extra Light" w:cs="Times New Roman"/>
          <w:b/>
          <w:bCs/>
          <w:color w:val="1F4E79" w:themeColor="accent1" w:themeShade="80"/>
          <w:spacing w:val="10"/>
          <w:sz w:val="18"/>
          <w:szCs w:val="18"/>
          <w:lang w:val="es-DO"/>
        </w:rPr>
      </w:pPr>
      <w:bookmarkStart w:id="125" w:name="_Toc59528103"/>
      <w:r w:rsidRPr="00061E36">
        <w:rPr>
          <w:rFonts w:ascii="Artifex CF Extra Light" w:hAnsi="Artifex CF Extra Light" w:cs="Times New Roman"/>
          <w:b/>
          <w:bCs/>
          <w:color w:val="1F4E79" w:themeColor="accent1" w:themeShade="80"/>
          <w:spacing w:val="10"/>
          <w:sz w:val="18"/>
          <w:szCs w:val="18"/>
          <w:lang w:val="es-DO"/>
        </w:rPr>
        <w:lastRenderedPageBreak/>
        <w:t>REGISTROS FINANCIEROS E IMPACTO DE LA COOPERACIÓN INTERNACIONAL</w:t>
      </w:r>
      <w:bookmarkEnd w:id="123"/>
      <w:bookmarkEnd w:id="124"/>
      <w:bookmarkEnd w:id="125"/>
    </w:p>
    <w:p w14:paraId="4BE1E69E" w14:textId="3EE1DAF9" w:rsidR="00B71250" w:rsidRPr="00A40C82" w:rsidRDefault="00B71250" w:rsidP="00864966">
      <w:pPr>
        <w:spacing w:before="380" w:after="120" w:line="456" w:lineRule="auto"/>
        <w:ind w:firstLine="284"/>
        <w:jc w:val="both"/>
        <w:rPr>
          <w:rFonts w:ascii="Artifex CF Extra Light" w:hAnsi="Artifex CF Extra Light"/>
          <w:b/>
          <w:color w:val="1F4E79" w:themeColor="accent1" w:themeShade="80"/>
          <w:spacing w:val="10"/>
          <w:sz w:val="18"/>
          <w:szCs w:val="18"/>
          <w:lang w:val="es-ES"/>
        </w:rPr>
      </w:pPr>
      <w:r w:rsidRPr="00A40C82">
        <w:rPr>
          <w:rFonts w:ascii="Artifex CF Extra Light" w:hAnsi="Artifex CF Extra Light"/>
          <w:b/>
          <w:color w:val="1F4E79" w:themeColor="accent1" w:themeShade="80"/>
          <w:spacing w:val="10"/>
          <w:sz w:val="18"/>
          <w:szCs w:val="18"/>
          <w:lang w:val="es-ES"/>
        </w:rPr>
        <w:t>Proyecto</w:t>
      </w:r>
      <w:r w:rsidRPr="00A40C82">
        <w:rPr>
          <w:rFonts w:ascii="Artifex CF Extra Light" w:hAnsi="Artifex CF Extra Light"/>
          <w:color w:val="1F4E79" w:themeColor="accent1" w:themeShade="80"/>
          <w:spacing w:val="10"/>
          <w:sz w:val="18"/>
          <w:szCs w:val="18"/>
          <w:lang w:val="es-ES"/>
        </w:rPr>
        <w:t>:</w:t>
      </w:r>
      <w:r w:rsidRPr="00A40C82">
        <w:rPr>
          <w:rFonts w:ascii="Artifex CF Extra Light" w:hAnsi="Artifex CF Extra Light"/>
          <w:i/>
          <w:color w:val="1F4E79" w:themeColor="accent1" w:themeShade="80"/>
          <w:spacing w:val="10"/>
          <w:sz w:val="18"/>
          <w:szCs w:val="18"/>
          <w:lang w:val="es-ES"/>
        </w:rPr>
        <w:t xml:space="preserve"> </w:t>
      </w:r>
      <w:r w:rsidRPr="00A40C82">
        <w:rPr>
          <w:rFonts w:ascii="Artifex CF Extra Light" w:hAnsi="Artifex CF Extra Light"/>
          <w:color w:val="1F4E79" w:themeColor="accent1" w:themeShade="80"/>
          <w:spacing w:val="10"/>
          <w:sz w:val="18"/>
          <w:szCs w:val="18"/>
          <w:lang w:val="es-ES"/>
        </w:rPr>
        <w:t>Programa de Fortalecimiento e Internacionalización de PYMES de la República Dominicana</w:t>
      </w:r>
      <w:r w:rsidR="002B33AB" w:rsidRPr="00A40C82">
        <w:rPr>
          <w:rFonts w:ascii="Artifex CF Extra Light" w:hAnsi="Artifex CF Extra Light"/>
          <w:color w:val="1F4E79" w:themeColor="accent1" w:themeShade="80"/>
          <w:spacing w:val="10"/>
          <w:sz w:val="18"/>
          <w:szCs w:val="18"/>
          <w:lang w:val="es-ES"/>
        </w:rPr>
        <w:t>.</w:t>
      </w:r>
    </w:p>
    <w:p w14:paraId="7C092884" w14:textId="799A6AFB" w:rsidR="00B71250" w:rsidRPr="00A40C82" w:rsidRDefault="00B71250"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A40C82">
        <w:rPr>
          <w:rFonts w:ascii="Artifex CF Extra Light" w:eastAsia="Book Antiqua" w:hAnsi="Artifex CF Extra Light"/>
          <w:b/>
          <w:color w:val="1F4E79" w:themeColor="accent1" w:themeShade="80"/>
          <w:spacing w:val="10"/>
          <w:sz w:val="18"/>
          <w:szCs w:val="18"/>
          <w:lang w:val="es-ES"/>
        </w:rPr>
        <w:t>Donante:</w:t>
      </w:r>
      <w:r w:rsidR="00FC3093" w:rsidRPr="00A40C82">
        <w:rPr>
          <w:rFonts w:ascii="Artifex CF Extra Light" w:eastAsia="Book Antiqua" w:hAnsi="Artifex CF Extra Light"/>
          <w:b/>
          <w:color w:val="1F4E79" w:themeColor="accent1" w:themeShade="80"/>
          <w:spacing w:val="10"/>
          <w:sz w:val="18"/>
          <w:szCs w:val="18"/>
          <w:lang w:val="es-ES"/>
        </w:rPr>
        <w:t xml:space="preserve"> </w:t>
      </w:r>
      <w:r w:rsidRPr="00A40C82">
        <w:rPr>
          <w:rFonts w:ascii="Artifex CF Extra Light" w:hAnsi="Artifex CF Extra Light"/>
          <w:color w:val="1F4E79" w:themeColor="accent1" w:themeShade="80"/>
          <w:spacing w:val="10"/>
          <w:sz w:val="18"/>
          <w:szCs w:val="18"/>
          <w:lang w:val="es-ES"/>
        </w:rPr>
        <w:t>Unión Europea en República Dominicana a través del Proyecto Facilidad de Cooperación Técnica TCF I</w:t>
      </w:r>
      <w:r w:rsidR="002B33AB" w:rsidRPr="00A40C82">
        <w:rPr>
          <w:rFonts w:ascii="Artifex CF Extra Light" w:hAnsi="Artifex CF Extra Light"/>
          <w:color w:val="1F4E79" w:themeColor="accent1" w:themeShade="80"/>
          <w:spacing w:val="10"/>
          <w:sz w:val="18"/>
          <w:szCs w:val="18"/>
          <w:lang w:val="es-ES"/>
        </w:rPr>
        <w:t>.</w:t>
      </w:r>
    </w:p>
    <w:p w14:paraId="54FB984C" w14:textId="340707EF" w:rsidR="00B71250" w:rsidRPr="00A40C82" w:rsidRDefault="00B71250"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A40C82">
        <w:rPr>
          <w:rFonts w:ascii="Artifex CF Extra Light" w:hAnsi="Artifex CF Extra Light"/>
          <w:b/>
          <w:color w:val="1F4E79" w:themeColor="accent1" w:themeShade="80"/>
          <w:spacing w:val="10"/>
          <w:sz w:val="18"/>
          <w:szCs w:val="18"/>
          <w:lang w:val="es-ES"/>
        </w:rPr>
        <w:t>Autoridad contratacante</w:t>
      </w:r>
      <w:r w:rsidRPr="00A40C82">
        <w:rPr>
          <w:rFonts w:ascii="Artifex CF Extra Light" w:hAnsi="Artifex CF Extra Light"/>
          <w:color w:val="1F4E79" w:themeColor="accent1" w:themeShade="80"/>
          <w:spacing w:val="10"/>
          <w:sz w:val="18"/>
          <w:szCs w:val="18"/>
          <w:lang w:val="es-ES"/>
        </w:rPr>
        <w:t>: Ordenador Nacional del FED</w:t>
      </w:r>
      <w:r w:rsidR="002B33AB" w:rsidRPr="00A40C82">
        <w:rPr>
          <w:rFonts w:ascii="Artifex CF Extra Light" w:hAnsi="Artifex CF Extra Light"/>
          <w:color w:val="1F4E79" w:themeColor="accent1" w:themeShade="80"/>
          <w:spacing w:val="10"/>
          <w:sz w:val="18"/>
          <w:szCs w:val="18"/>
          <w:lang w:val="es-ES"/>
        </w:rPr>
        <w:t>.</w:t>
      </w:r>
    </w:p>
    <w:p w14:paraId="50276BBA" w14:textId="6642F5C2" w:rsidR="006933A2" w:rsidRPr="00A40C82" w:rsidRDefault="00B71250"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A40C82">
        <w:rPr>
          <w:rFonts w:ascii="Artifex CF Extra Light" w:hAnsi="Artifex CF Extra Light"/>
          <w:b/>
          <w:color w:val="1F4E79" w:themeColor="accent1" w:themeShade="80"/>
          <w:spacing w:val="10"/>
          <w:sz w:val="18"/>
          <w:szCs w:val="18"/>
          <w:lang w:val="es-ES"/>
        </w:rPr>
        <w:t>Beneficiario de la Acción</w:t>
      </w:r>
      <w:r w:rsidR="00FC3093" w:rsidRPr="00A40C82">
        <w:rPr>
          <w:rFonts w:ascii="Artifex CF Extra Light" w:hAnsi="Artifex CF Extra Light"/>
          <w:color w:val="1F4E79" w:themeColor="accent1" w:themeShade="80"/>
          <w:spacing w:val="10"/>
          <w:sz w:val="18"/>
          <w:szCs w:val="18"/>
          <w:lang w:val="es-ES"/>
        </w:rPr>
        <w:t>:</w:t>
      </w:r>
      <w:r w:rsidRPr="00A40C82">
        <w:rPr>
          <w:rFonts w:ascii="Artifex CF Extra Light" w:hAnsi="Artifex CF Extra Light"/>
          <w:color w:val="1F4E79" w:themeColor="accent1" w:themeShade="80"/>
          <w:spacing w:val="10"/>
          <w:sz w:val="18"/>
          <w:szCs w:val="18"/>
          <w:lang w:val="es-ES"/>
        </w:rPr>
        <w:t xml:space="preserve"> Centro de Exportación e Inversión de la República Dominicana</w:t>
      </w:r>
      <w:r w:rsidR="00D3642F" w:rsidRPr="00A40C82">
        <w:rPr>
          <w:rFonts w:ascii="Artifex CF Extra Light" w:hAnsi="Artifex CF Extra Light"/>
          <w:color w:val="1F4E79" w:themeColor="accent1" w:themeShade="80"/>
          <w:spacing w:val="10"/>
          <w:sz w:val="18"/>
          <w:szCs w:val="18"/>
          <w:lang w:val="es-ES"/>
        </w:rPr>
        <w:t xml:space="preserve"> (ProDominicana)</w:t>
      </w:r>
    </w:p>
    <w:p w14:paraId="446F0DE7" w14:textId="56F9BDF1" w:rsidR="006933A2" w:rsidRPr="00A40C82" w:rsidRDefault="00B71250" w:rsidP="00864966">
      <w:pPr>
        <w:spacing w:before="380" w:after="120" w:line="456" w:lineRule="auto"/>
        <w:ind w:firstLine="284"/>
        <w:jc w:val="both"/>
        <w:rPr>
          <w:rFonts w:ascii="Artifex CF Extra Light" w:hAnsi="Artifex CF Extra Light"/>
          <w:color w:val="1F4E79" w:themeColor="accent1" w:themeShade="80"/>
          <w:spacing w:val="10"/>
          <w:sz w:val="18"/>
          <w:szCs w:val="18"/>
          <w:lang w:val="es-ES"/>
        </w:rPr>
      </w:pPr>
      <w:r w:rsidRPr="00A40C82">
        <w:rPr>
          <w:rFonts w:ascii="Artifex CF Extra Light" w:hAnsi="Artifex CF Extra Light"/>
          <w:b/>
          <w:color w:val="1F4E79" w:themeColor="accent1" w:themeShade="80"/>
          <w:spacing w:val="10"/>
          <w:sz w:val="18"/>
          <w:szCs w:val="18"/>
          <w:lang w:val="es-ES"/>
        </w:rPr>
        <w:t>Objetivos del contrato:</w:t>
      </w:r>
      <w:r w:rsidR="006933A2" w:rsidRPr="00A40C82">
        <w:rPr>
          <w:rFonts w:ascii="Artifex CF Extra Light" w:hAnsi="Artifex CF Extra Light"/>
          <w:color w:val="1F4E79" w:themeColor="accent1" w:themeShade="80"/>
          <w:spacing w:val="10"/>
          <w:sz w:val="18"/>
          <w:szCs w:val="18"/>
          <w:lang w:val="es-ES"/>
        </w:rPr>
        <w:t xml:space="preserve"> </w:t>
      </w:r>
      <w:r w:rsidRPr="00A40C82">
        <w:rPr>
          <w:rFonts w:ascii="Artifex CF Extra Light" w:hAnsi="Artifex CF Extra Light"/>
          <w:color w:val="1F4E79" w:themeColor="accent1" w:themeShade="80"/>
          <w:spacing w:val="10"/>
          <w:sz w:val="18"/>
          <w:szCs w:val="18"/>
          <w:lang w:val="es-ES"/>
        </w:rPr>
        <w:t>Contribuir a elevar la competitividad nacional a través del desarrollo, fomento de la promoción y diversificación de la oferta exportable de pequeña y medianas empresas (PYMES) dominicanas y la implementación de políticas para incentivar las inversiones extranjeras directas (IED) que promuevan el desarrollo sostenible de la economía dominicana</w:t>
      </w:r>
      <w:r w:rsidR="002B33AB" w:rsidRPr="00A40C82">
        <w:rPr>
          <w:rFonts w:ascii="Artifex CF Extra Light" w:hAnsi="Artifex CF Extra Light"/>
          <w:color w:val="1F4E79" w:themeColor="accent1" w:themeShade="80"/>
          <w:spacing w:val="10"/>
          <w:sz w:val="18"/>
          <w:szCs w:val="18"/>
          <w:lang w:val="es-ES"/>
        </w:rPr>
        <w:t>.</w:t>
      </w:r>
    </w:p>
    <w:p w14:paraId="607CF57C" w14:textId="77777777" w:rsidR="004D2DA3" w:rsidRPr="006F2F51" w:rsidRDefault="004D2DA3">
      <w:pPr>
        <w:rPr>
          <w:lang w:val="es-ES"/>
        </w:rPr>
      </w:pPr>
      <w:r w:rsidRPr="006F2F51">
        <w:rPr>
          <w:lang w:val="es-ES"/>
        </w:rPr>
        <w:br w:type="page"/>
      </w:r>
    </w:p>
    <w:tbl>
      <w:tblPr>
        <w:tblW w:w="7420" w:type="dxa"/>
        <w:jc w:val="center"/>
        <w:tblCellMar>
          <w:left w:w="70" w:type="dxa"/>
          <w:right w:w="70" w:type="dxa"/>
        </w:tblCellMar>
        <w:tblLook w:val="04A0" w:firstRow="1" w:lastRow="0" w:firstColumn="1" w:lastColumn="0" w:noHBand="0" w:noVBand="1"/>
      </w:tblPr>
      <w:tblGrid>
        <w:gridCol w:w="5600"/>
        <w:gridCol w:w="1820"/>
      </w:tblGrid>
      <w:tr w:rsidR="001B7EDE" w:rsidRPr="006F2F51" w14:paraId="668D9072" w14:textId="77777777" w:rsidTr="004D2DA3">
        <w:trPr>
          <w:trHeight w:val="288"/>
          <w:jc w:val="center"/>
        </w:trPr>
        <w:tc>
          <w:tcPr>
            <w:tcW w:w="7420" w:type="dxa"/>
            <w:gridSpan w:val="2"/>
            <w:tcBorders>
              <w:top w:val="nil"/>
              <w:left w:val="nil"/>
              <w:bottom w:val="single" w:sz="4" w:space="0" w:color="auto"/>
              <w:right w:val="nil"/>
            </w:tcBorders>
            <w:shd w:val="clear" w:color="auto" w:fill="auto"/>
            <w:noWrap/>
            <w:vAlign w:val="center"/>
            <w:hideMark/>
          </w:tcPr>
          <w:p w14:paraId="59B742E1" w14:textId="5F9489F2" w:rsidR="00E73A38" w:rsidRPr="00A40C82" w:rsidRDefault="00E73A38" w:rsidP="004D2DA3">
            <w:pPr>
              <w:spacing w:after="0" w:line="360" w:lineRule="auto"/>
              <w:ind w:firstLine="284"/>
              <w:jc w:val="center"/>
              <w:rPr>
                <w:rFonts w:ascii="Artifex CF Extra Light" w:eastAsia="Times New Roman" w:hAnsi="Artifex CF Extra Light" w:cs="Calibri"/>
                <w:b/>
                <w:color w:val="1F4E79" w:themeColor="accent1" w:themeShade="80"/>
                <w:spacing w:val="10"/>
                <w:sz w:val="18"/>
                <w:szCs w:val="18"/>
                <w:lang w:val="es-ES" w:eastAsia="es-ES"/>
              </w:rPr>
            </w:pPr>
            <w:r w:rsidRPr="00A40C82">
              <w:rPr>
                <w:rFonts w:ascii="Artifex CF Extra Light" w:eastAsia="Times New Roman" w:hAnsi="Artifex CF Extra Light" w:cs="Calibri"/>
                <w:b/>
                <w:color w:val="1F4E79" w:themeColor="accent1" w:themeShade="80"/>
                <w:spacing w:val="10"/>
                <w:sz w:val="18"/>
                <w:szCs w:val="18"/>
                <w:lang w:val="es-ES" w:eastAsia="es-ES"/>
              </w:rPr>
              <w:lastRenderedPageBreak/>
              <w:t>Tabla 3. Actividades desarrolladas en el 2020.</w:t>
            </w:r>
          </w:p>
        </w:tc>
      </w:tr>
      <w:tr w:rsidR="001B7EDE" w:rsidRPr="00A40C82" w14:paraId="3D58F2AC" w14:textId="77777777" w:rsidTr="004D2DA3">
        <w:trPr>
          <w:trHeight w:val="288"/>
          <w:jc w:val="center"/>
        </w:trPr>
        <w:tc>
          <w:tcPr>
            <w:tcW w:w="5600" w:type="dxa"/>
            <w:tcBorders>
              <w:top w:val="nil"/>
              <w:left w:val="single" w:sz="4" w:space="0" w:color="auto"/>
              <w:bottom w:val="single" w:sz="4" w:space="0" w:color="auto"/>
              <w:right w:val="single" w:sz="4" w:space="0" w:color="auto"/>
            </w:tcBorders>
            <w:shd w:val="clear" w:color="000000" w:fill="1F4E78"/>
            <w:vAlign w:val="center"/>
            <w:hideMark/>
          </w:tcPr>
          <w:p w14:paraId="5FEB5608" w14:textId="1FF6351E" w:rsidR="00E73A38" w:rsidRPr="004D2DA3" w:rsidRDefault="00E73A38" w:rsidP="004D2DA3">
            <w:pPr>
              <w:spacing w:after="0" w:line="360" w:lineRule="auto"/>
              <w:ind w:firstLine="284"/>
              <w:jc w:val="center"/>
              <w:rPr>
                <w:rFonts w:ascii="Artifex CF Extra Light" w:eastAsia="Times New Roman" w:hAnsi="Artifex CF Extra Light" w:cs="Calibri"/>
                <w:b/>
                <w:color w:val="FFFFFF" w:themeColor="background1"/>
                <w:spacing w:val="10"/>
                <w:sz w:val="18"/>
                <w:szCs w:val="18"/>
                <w:lang w:val="es-ES" w:eastAsia="es-ES"/>
              </w:rPr>
            </w:pPr>
            <w:r w:rsidRPr="004D2DA3">
              <w:rPr>
                <w:rFonts w:ascii="Artifex CF Extra Light" w:eastAsia="Times New Roman" w:hAnsi="Artifex CF Extra Light" w:cs="Calibri"/>
                <w:b/>
                <w:color w:val="FFFFFF" w:themeColor="background1"/>
                <w:spacing w:val="10"/>
                <w:sz w:val="18"/>
                <w:szCs w:val="18"/>
                <w:lang w:eastAsia="es-ES"/>
              </w:rPr>
              <w:t>Descripci</w:t>
            </w:r>
            <w:r w:rsidR="00981DE3" w:rsidRPr="004D2DA3">
              <w:rPr>
                <w:rFonts w:ascii="Artifex CF Extra Light" w:eastAsia="Times New Roman" w:hAnsi="Artifex CF Extra Light" w:cs="Calibri"/>
                <w:b/>
                <w:color w:val="FFFFFF" w:themeColor="background1"/>
                <w:spacing w:val="10"/>
                <w:sz w:val="18"/>
                <w:szCs w:val="18"/>
                <w:lang w:eastAsia="es-ES"/>
              </w:rPr>
              <w:t>ó</w:t>
            </w:r>
            <w:r w:rsidRPr="004D2DA3">
              <w:rPr>
                <w:rFonts w:ascii="Artifex CF Extra Light" w:eastAsia="Times New Roman" w:hAnsi="Artifex CF Extra Light" w:cs="Calibri"/>
                <w:b/>
                <w:color w:val="FFFFFF" w:themeColor="background1"/>
                <w:spacing w:val="10"/>
                <w:sz w:val="18"/>
                <w:szCs w:val="18"/>
                <w:lang w:eastAsia="es-ES"/>
              </w:rPr>
              <w:t>n de la actividad</w:t>
            </w:r>
          </w:p>
        </w:tc>
        <w:tc>
          <w:tcPr>
            <w:tcW w:w="1820" w:type="dxa"/>
            <w:tcBorders>
              <w:top w:val="nil"/>
              <w:left w:val="nil"/>
              <w:bottom w:val="single" w:sz="4" w:space="0" w:color="auto"/>
              <w:right w:val="single" w:sz="4" w:space="0" w:color="auto"/>
            </w:tcBorders>
            <w:shd w:val="clear" w:color="000000" w:fill="1F4E78"/>
            <w:vAlign w:val="center"/>
            <w:hideMark/>
          </w:tcPr>
          <w:p w14:paraId="62504AF8" w14:textId="77777777" w:rsidR="00E73A38" w:rsidRPr="004D2DA3" w:rsidRDefault="00E73A38" w:rsidP="004D2DA3">
            <w:pPr>
              <w:spacing w:after="0" w:line="360" w:lineRule="auto"/>
              <w:ind w:firstLine="284"/>
              <w:jc w:val="center"/>
              <w:rPr>
                <w:rFonts w:ascii="Artifex CF Extra Light" w:eastAsia="Times New Roman" w:hAnsi="Artifex CF Extra Light" w:cs="Calibri"/>
                <w:b/>
                <w:color w:val="FFFFFF" w:themeColor="background1"/>
                <w:spacing w:val="10"/>
                <w:sz w:val="18"/>
                <w:szCs w:val="18"/>
                <w:lang w:val="es-ES" w:eastAsia="es-ES"/>
              </w:rPr>
            </w:pPr>
            <w:r w:rsidRPr="004D2DA3">
              <w:rPr>
                <w:rFonts w:ascii="Artifex CF Extra Light" w:eastAsia="Times New Roman" w:hAnsi="Artifex CF Extra Light" w:cs="Calibri"/>
                <w:b/>
                <w:color w:val="FFFFFF" w:themeColor="background1"/>
                <w:spacing w:val="10"/>
                <w:sz w:val="18"/>
                <w:szCs w:val="18"/>
                <w:lang w:eastAsia="es-ES"/>
              </w:rPr>
              <w:t>Monto</w:t>
            </w:r>
          </w:p>
        </w:tc>
      </w:tr>
      <w:tr w:rsidR="001B7EDE" w:rsidRPr="00A40C82" w14:paraId="6536B3BD" w14:textId="77777777" w:rsidTr="004D2DA3">
        <w:trPr>
          <w:trHeight w:val="684"/>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14:paraId="18627D83" w14:textId="77777777"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Implementación de una plataforma integral de comercio online, que cubra todo el proceso de exportación y generación de negocios virtualmente</w:t>
            </w:r>
          </w:p>
        </w:tc>
        <w:tc>
          <w:tcPr>
            <w:tcW w:w="1820" w:type="dxa"/>
            <w:tcBorders>
              <w:top w:val="nil"/>
              <w:left w:val="nil"/>
              <w:bottom w:val="nil"/>
              <w:right w:val="single" w:sz="4" w:space="0" w:color="auto"/>
            </w:tcBorders>
            <w:shd w:val="clear" w:color="000000" w:fill="FFFFFF"/>
            <w:vAlign w:val="center"/>
            <w:hideMark/>
          </w:tcPr>
          <w:p w14:paraId="1575D9F1" w14:textId="5EDCA7E8"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eastAsia="es-ES"/>
              </w:rPr>
              <w:t>$5,232,600.00</w:t>
            </w:r>
          </w:p>
        </w:tc>
      </w:tr>
      <w:tr w:rsidR="001B7EDE" w:rsidRPr="00A40C82" w14:paraId="094646D9" w14:textId="77777777" w:rsidTr="004D2DA3">
        <w:trPr>
          <w:trHeight w:val="456"/>
          <w:jc w:val="center"/>
        </w:trPr>
        <w:tc>
          <w:tcPr>
            <w:tcW w:w="5600" w:type="dxa"/>
            <w:tcBorders>
              <w:top w:val="nil"/>
              <w:left w:val="single" w:sz="4" w:space="0" w:color="auto"/>
              <w:bottom w:val="single" w:sz="4" w:space="0" w:color="auto"/>
              <w:right w:val="nil"/>
            </w:tcBorders>
            <w:shd w:val="clear" w:color="000000" w:fill="FFFFFF"/>
            <w:vAlign w:val="center"/>
            <w:hideMark/>
          </w:tcPr>
          <w:p w14:paraId="7E9A348B" w14:textId="77777777"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Consultoría para Desarrollar e Implementar la Plataforma Virtual Educativa (e-learning plataforma).</w:t>
            </w:r>
          </w:p>
        </w:tc>
        <w:tc>
          <w:tcPr>
            <w:tcW w:w="18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DEC55C" w14:textId="522252A3"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eastAsia="es-ES"/>
              </w:rPr>
              <w:t>$850,190.00</w:t>
            </w:r>
          </w:p>
        </w:tc>
      </w:tr>
      <w:tr w:rsidR="001B7EDE" w:rsidRPr="00A40C82" w14:paraId="34CDB516" w14:textId="77777777" w:rsidTr="004D2DA3">
        <w:trPr>
          <w:trHeight w:val="288"/>
          <w:jc w:val="center"/>
        </w:trPr>
        <w:tc>
          <w:tcPr>
            <w:tcW w:w="5600" w:type="dxa"/>
            <w:tcBorders>
              <w:top w:val="nil"/>
              <w:left w:val="single" w:sz="4" w:space="0" w:color="auto"/>
              <w:bottom w:val="nil"/>
              <w:right w:val="nil"/>
            </w:tcBorders>
            <w:shd w:val="clear" w:color="000000" w:fill="FFFFFF"/>
            <w:vAlign w:val="center"/>
            <w:hideMark/>
          </w:tcPr>
          <w:p w14:paraId="6818A003" w14:textId="09C90B83"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Apoyo a las Pymes en Seguridad y Sanidad Laboral</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13BF813D" w14:textId="00CB6155"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eastAsia="es-ES"/>
              </w:rPr>
              <w:t>$5,309,382.00</w:t>
            </w:r>
          </w:p>
        </w:tc>
      </w:tr>
      <w:tr w:rsidR="001B7EDE" w:rsidRPr="00A40C82" w14:paraId="2D73FC00" w14:textId="77777777" w:rsidTr="004D2DA3">
        <w:trPr>
          <w:trHeight w:val="456"/>
          <w:jc w:val="center"/>
        </w:trPr>
        <w:tc>
          <w:tcPr>
            <w:tcW w:w="5600" w:type="dxa"/>
            <w:tcBorders>
              <w:top w:val="single" w:sz="4" w:space="0" w:color="auto"/>
              <w:left w:val="single" w:sz="4" w:space="0" w:color="auto"/>
              <w:bottom w:val="single" w:sz="4" w:space="0" w:color="auto"/>
              <w:right w:val="nil"/>
            </w:tcBorders>
            <w:shd w:val="clear" w:color="000000" w:fill="FFFFFF"/>
            <w:vAlign w:val="center"/>
            <w:hideMark/>
          </w:tcPr>
          <w:p w14:paraId="52A8E21C" w14:textId="77777777"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Contratación de una asistencia técnica Especializada para la implementación de Buenas Prácticas Agrícolas para las PYMES</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33F73333" w14:textId="1561AAF6"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eastAsia="es-ES"/>
              </w:rPr>
              <w:t>$268,390.00</w:t>
            </w:r>
          </w:p>
        </w:tc>
      </w:tr>
      <w:tr w:rsidR="001B7EDE" w:rsidRPr="00A40C82" w14:paraId="15D99D18" w14:textId="77777777" w:rsidTr="004D2DA3">
        <w:trPr>
          <w:trHeight w:val="684"/>
          <w:jc w:val="center"/>
        </w:trPr>
        <w:tc>
          <w:tcPr>
            <w:tcW w:w="5600" w:type="dxa"/>
            <w:tcBorders>
              <w:top w:val="nil"/>
              <w:left w:val="single" w:sz="4" w:space="0" w:color="auto"/>
              <w:bottom w:val="single" w:sz="4" w:space="0" w:color="auto"/>
              <w:right w:val="nil"/>
            </w:tcBorders>
            <w:shd w:val="clear" w:color="000000" w:fill="FFFFFF"/>
            <w:vAlign w:val="center"/>
            <w:hideMark/>
          </w:tcPr>
          <w:p w14:paraId="559768FC" w14:textId="77777777"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Charla interactiva de Incorporación de Genero, dentro de las actividades enmarcadas en las Jornadas de sensibilización de Marca País</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2CA37559" w14:textId="5EE851DE"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eastAsia="es-ES"/>
              </w:rPr>
              <w:t>$798,601.00</w:t>
            </w:r>
          </w:p>
        </w:tc>
      </w:tr>
      <w:tr w:rsidR="001B7EDE" w:rsidRPr="00A40C82" w14:paraId="79381B1D" w14:textId="77777777" w:rsidTr="004D2DA3">
        <w:trPr>
          <w:trHeight w:val="684"/>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14:paraId="586C5950" w14:textId="77777777"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Visitas técnicas a empresas MiPymes, para aplicar el instrumento Test Exportador, a los fines de identificar el potencial para exportar de las mismas</w:t>
            </w:r>
          </w:p>
        </w:tc>
        <w:tc>
          <w:tcPr>
            <w:tcW w:w="1820" w:type="dxa"/>
            <w:tcBorders>
              <w:top w:val="nil"/>
              <w:left w:val="nil"/>
              <w:bottom w:val="single" w:sz="4" w:space="0" w:color="auto"/>
              <w:right w:val="single" w:sz="4" w:space="0" w:color="auto"/>
            </w:tcBorders>
            <w:shd w:val="clear" w:color="000000" w:fill="FFFFFF"/>
            <w:vAlign w:val="center"/>
            <w:hideMark/>
          </w:tcPr>
          <w:p w14:paraId="4FAB49B9" w14:textId="1199A754" w:rsidR="00E73A38" w:rsidRPr="00A40C82" w:rsidRDefault="00E73A38" w:rsidP="004D2DA3">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eastAsia="es-ES"/>
              </w:rPr>
              <w:t>$131,750.00</w:t>
            </w:r>
          </w:p>
        </w:tc>
      </w:tr>
      <w:tr w:rsidR="001B7EDE" w:rsidRPr="00A40C82" w14:paraId="702ECC17" w14:textId="77777777" w:rsidTr="004D2DA3">
        <w:trPr>
          <w:trHeight w:val="288"/>
          <w:jc w:val="center"/>
        </w:trPr>
        <w:tc>
          <w:tcPr>
            <w:tcW w:w="5600" w:type="dxa"/>
            <w:tcBorders>
              <w:top w:val="nil"/>
              <w:left w:val="single" w:sz="4" w:space="0" w:color="auto"/>
              <w:bottom w:val="single" w:sz="4" w:space="0" w:color="auto"/>
              <w:right w:val="nil"/>
            </w:tcBorders>
            <w:shd w:val="clear" w:color="000000" w:fill="FFFFFF"/>
            <w:vAlign w:val="center"/>
            <w:hideMark/>
          </w:tcPr>
          <w:p w14:paraId="787530BA" w14:textId="4EB4EC13" w:rsidR="00E73A38" w:rsidRPr="00A40C82" w:rsidRDefault="00E73A38" w:rsidP="004D2DA3">
            <w:pPr>
              <w:spacing w:after="0" w:line="360" w:lineRule="auto"/>
              <w:ind w:firstLine="284"/>
              <w:jc w:val="center"/>
              <w:rPr>
                <w:rFonts w:ascii="Artifex CF Extra Light" w:eastAsia="Times New Roman" w:hAnsi="Artifex CF Extra Light" w:cs="Calibri"/>
                <w:b/>
                <w:color w:val="1F4E79" w:themeColor="accent1" w:themeShade="80"/>
                <w:spacing w:val="10"/>
                <w:sz w:val="18"/>
                <w:szCs w:val="18"/>
                <w:lang w:val="es-ES" w:eastAsia="es-ES"/>
              </w:rPr>
            </w:pPr>
            <w:r w:rsidRPr="00A40C82">
              <w:rPr>
                <w:rFonts w:ascii="Artifex CF Extra Light" w:eastAsia="Times New Roman" w:hAnsi="Artifex CF Extra Light" w:cs="Calibri"/>
                <w:b/>
                <w:color w:val="1F4E79" w:themeColor="accent1" w:themeShade="80"/>
                <w:spacing w:val="10"/>
                <w:sz w:val="18"/>
                <w:szCs w:val="18"/>
                <w:lang w:eastAsia="es-ES"/>
              </w:rPr>
              <w:t>Total</w:t>
            </w:r>
          </w:p>
        </w:tc>
        <w:tc>
          <w:tcPr>
            <w:tcW w:w="1820" w:type="dxa"/>
            <w:tcBorders>
              <w:top w:val="nil"/>
              <w:left w:val="single" w:sz="4" w:space="0" w:color="auto"/>
              <w:bottom w:val="single" w:sz="4" w:space="0" w:color="auto"/>
              <w:right w:val="single" w:sz="4" w:space="0" w:color="auto"/>
            </w:tcBorders>
            <w:shd w:val="clear" w:color="000000" w:fill="FFFFFF"/>
            <w:vAlign w:val="center"/>
            <w:hideMark/>
          </w:tcPr>
          <w:p w14:paraId="42DB3FE3" w14:textId="0DD17557" w:rsidR="00E73A38" w:rsidRPr="00A40C82" w:rsidRDefault="00E73A38" w:rsidP="004D2DA3">
            <w:pPr>
              <w:spacing w:after="0" w:line="360" w:lineRule="auto"/>
              <w:ind w:firstLine="284"/>
              <w:jc w:val="center"/>
              <w:rPr>
                <w:rFonts w:ascii="Artifex CF Extra Light" w:eastAsia="Times New Roman" w:hAnsi="Artifex CF Extra Light" w:cs="Calibri"/>
                <w:b/>
                <w:color w:val="1F4E79" w:themeColor="accent1" w:themeShade="80"/>
                <w:spacing w:val="10"/>
                <w:sz w:val="18"/>
                <w:szCs w:val="18"/>
                <w:lang w:val="es-ES" w:eastAsia="es-ES"/>
              </w:rPr>
            </w:pPr>
            <w:r w:rsidRPr="00A40C82">
              <w:rPr>
                <w:rFonts w:ascii="Artifex CF Extra Light" w:eastAsia="Times New Roman" w:hAnsi="Artifex CF Extra Light" w:cs="Calibri"/>
                <w:b/>
                <w:color w:val="1F4E79" w:themeColor="accent1" w:themeShade="80"/>
                <w:spacing w:val="10"/>
                <w:sz w:val="18"/>
                <w:szCs w:val="18"/>
                <w:lang w:eastAsia="es-ES"/>
              </w:rPr>
              <w:t>$12,590,913.00</w:t>
            </w:r>
          </w:p>
        </w:tc>
      </w:tr>
      <w:tr w:rsidR="00E73A38" w:rsidRPr="00A40C82" w14:paraId="360E7986" w14:textId="77777777" w:rsidTr="004D2DA3">
        <w:trPr>
          <w:trHeight w:val="288"/>
          <w:jc w:val="center"/>
        </w:trPr>
        <w:tc>
          <w:tcPr>
            <w:tcW w:w="7420" w:type="dxa"/>
            <w:gridSpan w:val="2"/>
            <w:tcBorders>
              <w:top w:val="single" w:sz="4" w:space="0" w:color="auto"/>
              <w:left w:val="nil"/>
              <w:bottom w:val="nil"/>
              <w:right w:val="nil"/>
            </w:tcBorders>
            <w:shd w:val="clear" w:color="auto" w:fill="auto"/>
            <w:vAlign w:val="center"/>
            <w:hideMark/>
          </w:tcPr>
          <w:p w14:paraId="4E588C62" w14:textId="6CF303E7" w:rsidR="00E73A38" w:rsidRPr="00A40C82" w:rsidRDefault="00E73A38" w:rsidP="004D2DA3">
            <w:pPr>
              <w:spacing w:after="0" w:line="360" w:lineRule="auto"/>
              <w:ind w:firstLine="284"/>
              <w:rPr>
                <w:rFonts w:ascii="Artifex CF Extra Light" w:eastAsia="Times New Roman" w:hAnsi="Artifex CF Extra Light" w:cs="Calibri"/>
                <w:color w:val="1F4E79" w:themeColor="accent1" w:themeShade="80"/>
                <w:spacing w:val="10"/>
                <w:sz w:val="18"/>
                <w:szCs w:val="18"/>
                <w:lang w:val="es-ES" w:eastAsia="es-ES"/>
              </w:rPr>
            </w:pPr>
            <w:r w:rsidRPr="00A40C82">
              <w:rPr>
                <w:rFonts w:ascii="Artifex CF Extra Light" w:eastAsia="Times New Roman" w:hAnsi="Artifex CF Extra Light" w:cs="Calibri"/>
                <w:color w:val="1F4E79" w:themeColor="accent1" w:themeShade="80"/>
                <w:spacing w:val="10"/>
                <w:sz w:val="18"/>
                <w:szCs w:val="18"/>
                <w:lang w:val="es-ES" w:eastAsia="es-ES"/>
              </w:rPr>
              <w:t>Fuente: ProDominicana.</w:t>
            </w:r>
          </w:p>
        </w:tc>
      </w:tr>
    </w:tbl>
    <w:p w14:paraId="52AFB7D5" w14:textId="0F20C657" w:rsidR="00E850D7"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eastAsiaTheme="minorEastAsia" w:hAnsi="Artifex CF Extra Light" w:cs="Times New Roman"/>
          <w:b/>
          <w:bCs/>
          <w:color w:val="1F4E79" w:themeColor="accent1" w:themeShade="80"/>
          <w:spacing w:val="10"/>
          <w:sz w:val="18"/>
          <w:szCs w:val="18"/>
        </w:rPr>
      </w:pPr>
      <w:bookmarkStart w:id="126" w:name="_Toc54949074"/>
      <w:bookmarkStart w:id="127" w:name="_Toc58332522"/>
      <w:bookmarkStart w:id="128" w:name="_Toc59528104"/>
      <w:r w:rsidRPr="00061E36">
        <w:rPr>
          <w:rFonts w:ascii="Artifex CF Extra Light" w:hAnsi="Artifex CF Extra Light" w:cs="Times New Roman"/>
          <w:b/>
          <w:bCs/>
          <w:color w:val="1F4E79" w:themeColor="accent1" w:themeShade="80"/>
          <w:spacing w:val="10"/>
          <w:sz w:val="18"/>
          <w:szCs w:val="18"/>
        </w:rPr>
        <w:t>AUDITORÍAS Y DECLARACIONES JURADAS</w:t>
      </w:r>
      <w:bookmarkEnd w:id="126"/>
      <w:bookmarkEnd w:id="127"/>
      <w:bookmarkEnd w:id="128"/>
    </w:p>
    <w:p w14:paraId="525CBB64" w14:textId="75627BC3" w:rsidR="00FC3AB3" w:rsidRPr="00A40C82" w:rsidRDefault="002E7910" w:rsidP="00864966">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pacing w:val="10"/>
          <w:sz w:val="18"/>
          <w:szCs w:val="18"/>
          <w:lang w:val="es-ES"/>
        </w:rPr>
      </w:pPr>
      <w:r w:rsidRPr="00A40C82">
        <w:rPr>
          <w:rFonts w:ascii="Artifex CF Extra Light" w:eastAsiaTheme="minorEastAsia" w:hAnsi="Artifex CF Extra Light" w:cs="Times New Roman"/>
          <w:color w:val="1F4E79" w:themeColor="accent1" w:themeShade="80"/>
          <w:spacing w:val="10"/>
          <w:sz w:val="18"/>
          <w:szCs w:val="18"/>
          <w:lang w:val="es-ES"/>
        </w:rPr>
        <w:t>A fin de dar cumplimiento a lo establecido en la Ley No. 311-14 que instituye el Sistema Nacional Autorizado y Uniforme de </w:t>
      </w:r>
      <w:r w:rsidRPr="00A40C82">
        <w:rPr>
          <w:rFonts w:ascii="Artifex CF Extra Light" w:eastAsiaTheme="minorEastAsia" w:hAnsi="Artifex CF Extra Light"/>
          <w:color w:val="1F4E79" w:themeColor="accent1" w:themeShade="80"/>
          <w:spacing w:val="10"/>
          <w:sz w:val="18"/>
          <w:szCs w:val="18"/>
          <w:lang w:val="es-ES"/>
        </w:rPr>
        <w:t>Declaraciones</w:t>
      </w:r>
      <w:r w:rsidRPr="00A40C82">
        <w:rPr>
          <w:rFonts w:ascii="Artifex CF Extra Light" w:eastAsiaTheme="minorEastAsia" w:hAnsi="Artifex CF Extra Light" w:cs="Times New Roman"/>
          <w:color w:val="1F4E79" w:themeColor="accent1" w:themeShade="80"/>
          <w:spacing w:val="10"/>
          <w:sz w:val="18"/>
          <w:szCs w:val="18"/>
          <w:lang w:val="es-ES"/>
        </w:rPr>
        <w:t xml:space="preserve"> Juradas de Patrimonio de los </w:t>
      </w:r>
      <w:r w:rsidR="00986237" w:rsidRPr="00A40C82">
        <w:rPr>
          <w:rFonts w:ascii="Artifex CF Extra Light" w:eastAsiaTheme="minorEastAsia" w:hAnsi="Artifex CF Extra Light" w:cs="Times New Roman"/>
          <w:color w:val="1F4E79" w:themeColor="accent1" w:themeShade="80"/>
          <w:spacing w:val="10"/>
          <w:sz w:val="18"/>
          <w:szCs w:val="18"/>
          <w:lang w:val="es-ES"/>
        </w:rPr>
        <w:t>funcionarios</w:t>
      </w:r>
      <w:r w:rsidRPr="00A40C82">
        <w:rPr>
          <w:rFonts w:ascii="Artifex CF Extra Light" w:eastAsiaTheme="minorEastAsia" w:hAnsi="Artifex CF Extra Light" w:cs="Times New Roman"/>
          <w:color w:val="1F4E79" w:themeColor="accent1" w:themeShade="80"/>
          <w:spacing w:val="10"/>
          <w:sz w:val="18"/>
          <w:szCs w:val="18"/>
          <w:lang w:val="es-ES"/>
        </w:rPr>
        <w:t xml:space="preserve"> y Servidores Públicos, fueron actualizadas las Declaraciones Juradas de los nuevos funcionarios designados a partir del 16 de agosto del 2020.  </w:t>
      </w:r>
    </w:p>
    <w:p w14:paraId="2A4F731D" w14:textId="77777777" w:rsidR="00981DE3" w:rsidRPr="00A40C82" w:rsidRDefault="00981DE3" w:rsidP="00864966">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pacing w:val="10"/>
          <w:sz w:val="18"/>
          <w:szCs w:val="18"/>
          <w:lang w:val="es-ES"/>
        </w:rPr>
      </w:pPr>
    </w:p>
    <w:p w14:paraId="5892C55E" w14:textId="77777777" w:rsidR="00981DE3" w:rsidRPr="00A40C82" w:rsidRDefault="00981DE3" w:rsidP="00864966">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pacing w:val="10"/>
          <w:sz w:val="18"/>
          <w:szCs w:val="18"/>
          <w:lang w:val="es-ES"/>
        </w:rPr>
      </w:pPr>
    </w:p>
    <w:p w14:paraId="6F3767A9" w14:textId="77777777" w:rsidR="004D2DA3" w:rsidRPr="006F2F51" w:rsidRDefault="004D2DA3">
      <w:pPr>
        <w:rPr>
          <w:rFonts w:ascii="Gotham HTF Light" w:hAnsi="Gotham HTF Light" w:cs="Times New Roman"/>
          <w:color w:val="1F4E79" w:themeColor="accent1" w:themeShade="80"/>
          <w:spacing w:val="10"/>
          <w:sz w:val="16"/>
          <w:szCs w:val="16"/>
          <w:lang w:val="es-ES"/>
        </w:rPr>
      </w:pPr>
      <w:bookmarkStart w:id="129" w:name="_Toc54949075"/>
      <w:bookmarkStart w:id="130" w:name="_Toc58332523"/>
      <w:r w:rsidRPr="006F2F51">
        <w:rPr>
          <w:rFonts w:ascii="Gotham HTF Light" w:hAnsi="Gotham HTF Light" w:cs="Times New Roman"/>
          <w:color w:val="1F4E79" w:themeColor="accent1" w:themeShade="80"/>
          <w:spacing w:val="10"/>
          <w:sz w:val="16"/>
          <w:szCs w:val="16"/>
          <w:lang w:val="es-ES"/>
        </w:rPr>
        <w:br w:type="page"/>
      </w:r>
    </w:p>
    <w:p w14:paraId="3A2C4E4E" w14:textId="735DC40F" w:rsidR="00E850D7" w:rsidRPr="00061E36" w:rsidRDefault="00F95111" w:rsidP="00864966">
      <w:pPr>
        <w:pStyle w:val="Prrafodelista"/>
        <w:numPr>
          <w:ilvl w:val="1"/>
          <w:numId w:val="1"/>
        </w:numPr>
        <w:spacing w:before="380" w:after="120" w:line="456" w:lineRule="auto"/>
        <w:ind w:left="0" w:firstLine="284"/>
        <w:contextualSpacing w:val="0"/>
        <w:jc w:val="center"/>
        <w:outlineLvl w:val="3"/>
        <w:rPr>
          <w:rFonts w:ascii="Artifex CF Extra Light" w:hAnsi="Artifex CF Extra Light" w:cs="Times New Roman"/>
          <w:b/>
          <w:bCs/>
          <w:color w:val="1F4E79" w:themeColor="accent1" w:themeShade="80"/>
          <w:spacing w:val="10"/>
          <w:sz w:val="18"/>
          <w:szCs w:val="18"/>
        </w:rPr>
      </w:pPr>
      <w:bookmarkStart w:id="131" w:name="_Toc59528105"/>
      <w:r w:rsidRPr="00061E36">
        <w:rPr>
          <w:rFonts w:ascii="Artifex CF Extra Light" w:hAnsi="Artifex CF Extra Light" w:cs="Times New Roman"/>
          <w:b/>
          <w:bCs/>
          <w:color w:val="1F4E79" w:themeColor="accent1" w:themeShade="80"/>
          <w:spacing w:val="10"/>
          <w:sz w:val="18"/>
          <w:szCs w:val="18"/>
        </w:rPr>
        <w:lastRenderedPageBreak/>
        <w:t>PERSPECTIVA DE LOS USUARIOS</w:t>
      </w:r>
      <w:bookmarkEnd w:id="129"/>
      <w:bookmarkEnd w:id="130"/>
      <w:bookmarkEnd w:id="131"/>
    </w:p>
    <w:p w14:paraId="50C4DDB4" w14:textId="6B7A88C5" w:rsidR="00E850D7"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noProof/>
          <w:color w:val="1F4E79" w:themeColor="accent1" w:themeShade="80"/>
          <w:spacing w:val="10"/>
          <w:sz w:val="18"/>
          <w:szCs w:val="18"/>
        </w:rPr>
      </w:pPr>
      <w:bookmarkStart w:id="132" w:name="_Toc54949076"/>
      <w:bookmarkStart w:id="133" w:name="_Toc58332524"/>
      <w:bookmarkStart w:id="134" w:name="_Toc59528106"/>
      <w:r w:rsidRPr="00061E36">
        <w:rPr>
          <w:rFonts w:ascii="Artifex CF Extra Light" w:hAnsi="Artifex CF Extra Light" w:cs="Times New Roman"/>
          <w:b/>
          <w:bCs/>
          <w:color w:val="1F4E79" w:themeColor="accent1" w:themeShade="80"/>
          <w:spacing w:val="10"/>
          <w:sz w:val="18"/>
          <w:szCs w:val="18"/>
        </w:rPr>
        <w:t>SISTEMA DE ATENCIÓN CIUDADANA 3-1-1</w:t>
      </w:r>
      <w:bookmarkEnd w:id="132"/>
      <w:bookmarkEnd w:id="133"/>
      <w:bookmarkEnd w:id="134"/>
      <w:r w:rsidR="00943295" w:rsidRPr="00061E36">
        <w:rPr>
          <w:rFonts w:ascii="Artifex CF Extra Light" w:hAnsi="Artifex CF Extra Light" w:cs="Times New Roman"/>
          <w:b/>
          <w:bCs/>
          <w:color w:val="1F4E79" w:themeColor="accent1" w:themeShade="80"/>
          <w:spacing w:val="10"/>
          <w:sz w:val="18"/>
          <w:szCs w:val="18"/>
          <w:shd w:val="clear" w:color="auto" w:fill="E6E6E6"/>
        </w:rPr>
        <w:fldChar w:fldCharType="begin"/>
      </w:r>
      <w:r w:rsidR="00943295" w:rsidRPr="00061E36">
        <w:rPr>
          <w:rFonts w:ascii="Artifex CF Extra Light" w:hAnsi="Artifex CF Extra Light" w:cs="Times New Roman"/>
          <w:b/>
          <w:bCs/>
          <w:color w:val="1F4E79" w:themeColor="accent1" w:themeShade="80"/>
          <w:spacing w:val="10"/>
          <w:sz w:val="18"/>
          <w:szCs w:val="18"/>
        </w:rPr>
        <w:instrText xml:space="preserve"> TOC \o "1-5" \h \z \u </w:instrText>
      </w:r>
      <w:r w:rsidR="00943295" w:rsidRPr="00061E36">
        <w:rPr>
          <w:rFonts w:ascii="Artifex CF Extra Light" w:hAnsi="Artifex CF Extra Light" w:cs="Times New Roman"/>
          <w:b/>
          <w:bCs/>
          <w:color w:val="1F4E79" w:themeColor="accent1" w:themeShade="80"/>
          <w:spacing w:val="10"/>
          <w:sz w:val="18"/>
          <w:szCs w:val="18"/>
          <w:shd w:val="clear" w:color="auto" w:fill="E6E6E6"/>
        </w:rPr>
        <w:fldChar w:fldCharType="end"/>
      </w:r>
      <w:bookmarkStart w:id="135" w:name="_Toc54949077"/>
      <w:bookmarkEnd w:id="135"/>
    </w:p>
    <w:p w14:paraId="0F55280E" w14:textId="4A966F0E" w:rsidR="001A49F6" w:rsidRPr="00061E36" w:rsidRDefault="00F95111" w:rsidP="00864966">
      <w:pPr>
        <w:pStyle w:val="Prrafodelista"/>
        <w:numPr>
          <w:ilvl w:val="4"/>
          <w:numId w:val="1"/>
        </w:numPr>
        <w:spacing w:before="380" w:after="120" w:line="456" w:lineRule="auto"/>
        <w:ind w:left="0" w:firstLine="284"/>
        <w:contextualSpacing w:val="0"/>
        <w:jc w:val="center"/>
        <w:outlineLvl w:val="5"/>
        <w:rPr>
          <w:rFonts w:ascii="Artifex CF Extra Light" w:hAnsi="Artifex CF Extra Light" w:cs="Times New Roman"/>
          <w:b/>
          <w:bCs/>
          <w:color w:val="1F4E79" w:themeColor="accent1" w:themeShade="80"/>
          <w:spacing w:val="10"/>
          <w:sz w:val="18"/>
          <w:szCs w:val="18"/>
          <w:lang w:val="es-DO"/>
        </w:rPr>
      </w:pPr>
      <w:bookmarkStart w:id="136" w:name="_Toc58332525"/>
      <w:bookmarkStart w:id="137" w:name="_Toc59528107"/>
      <w:r w:rsidRPr="00061E36">
        <w:rPr>
          <w:rFonts w:ascii="Artifex CF Extra Light" w:hAnsi="Artifex CF Extra Light" w:cs="Times New Roman"/>
          <w:b/>
          <w:bCs/>
          <w:color w:val="1F4E79" w:themeColor="accent1" w:themeShade="80"/>
          <w:spacing w:val="10"/>
          <w:sz w:val="18"/>
          <w:szCs w:val="18"/>
          <w:lang w:val="es-DO"/>
        </w:rPr>
        <w:t>ESTADÍSTICAS DE SOLICITUDES DE ACCESO A LA INFORMACIÓN VÍA LA OAI</w:t>
      </w:r>
      <w:bookmarkEnd w:id="136"/>
      <w:bookmarkEnd w:id="137"/>
    </w:p>
    <w:p w14:paraId="4FEA0E95" w14:textId="5CBD2832" w:rsidR="00DE7806" w:rsidRPr="00A40C82" w:rsidRDefault="001A49F6" w:rsidP="00864966">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pacing w:val="10"/>
          <w:sz w:val="18"/>
          <w:szCs w:val="18"/>
          <w:lang w:val="es-ES"/>
        </w:rPr>
      </w:pPr>
      <w:r w:rsidRPr="00A40C82">
        <w:rPr>
          <w:rFonts w:ascii="Artifex CF Extra Light" w:eastAsiaTheme="minorEastAsia" w:hAnsi="Artifex CF Extra Light" w:cs="Times New Roman"/>
          <w:color w:val="1F4E79" w:themeColor="accent1" w:themeShade="80"/>
          <w:spacing w:val="10"/>
          <w:sz w:val="18"/>
          <w:szCs w:val="18"/>
          <w:lang w:val="es-ES"/>
        </w:rPr>
        <w:t>Con el fin de garantizar el cumplimiento del Decreto No. 694-09 que establece el Sistema 311 de Atención Ciudadana como medio principal de comunicación para la recepción y canalización de denuncias, quejas, demandas, reclamaciones y sugerencias, en el portal de transparencia de</w:t>
      </w:r>
      <w:r w:rsidR="0076107D" w:rsidRPr="00A40C82">
        <w:rPr>
          <w:rFonts w:ascii="Artifex CF Extra Light" w:eastAsiaTheme="minorEastAsia" w:hAnsi="Artifex CF Extra Light" w:cs="Times New Roman"/>
          <w:color w:val="1F4E79" w:themeColor="accent1" w:themeShade="80"/>
          <w:spacing w:val="10"/>
          <w:sz w:val="18"/>
          <w:szCs w:val="18"/>
          <w:lang w:val="es-ES"/>
        </w:rPr>
        <w:t xml:space="preserve"> ProDominicana </w:t>
      </w:r>
      <w:r w:rsidRPr="00A40C82">
        <w:rPr>
          <w:rFonts w:ascii="Artifex CF Extra Light" w:eastAsiaTheme="minorEastAsia" w:hAnsi="Artifex CF Extra Light" w:cs="Times New Roman"/>
          <w:color w:val="1F4E79" w:themeColor="accent1" w:themeShade="80"/>
          <w:spacing w:val="10"/>
          <w:sz w:val="18"/>
          <w:szCs w:val="18"/>
          <w:lang w:val="es-ES"/>
        </w:rPr>
        <w:t>se tiene el enlace establecido al igual que la vinculación al sistema para dar respuesta y seguimiento a la ciudadanía. Durante este año no hubo quejas, sugerencia ni reclamaciones lo que nos da un resultado estándar de cumplimiento al 100 % de lo establecido por la ley en cuanto al servicio.</w:t>
      </w:r>
    </w:p>
    <w:p w14:paraId="056922D1" w14:textId="63A5F43A" w:rsidR="00E850D7" w:rsidRPr="00061E36" w:rsidRDefault="00F95111" w:rsidP="00864966">
      <w:pPr>
        <w:pStyle w:val="Prrafodelista"/>
        <w:numPr>
          <w:ilvl w:val="2"/>
          <w:numId w:val="1"/>
        </w:numPr>
        <w:spacing w:before="380" w:after="120" w:line="456" w:lineRule="auto"/>
        <w:ind w:left="0" w:firstLine="284"/>
        <w:contextualSpacing w:val="0"/>
        <w:jc w:val="center"/>
        <w:outlineLvl w:val="4"/>
        <w:rPr>
          <w:rFonts w:ascii="Artifex CF Extra Light" w:hAnsi="Artifex CF Extra Light" w:cs="Times New Roman"/>
          <w:b/>
          <w:bCs/>
          <w:color w:val="1F4E79" w:themeColor="accent1" w:themeShade="80"/>
          <w:spacing w:val="10"/>
          <w:sz w:val="18"/>
          <w:szCs w:val="18"/>
          <w:lang w:val="es-DO"/>
        </w:rPr>
      </w:pPr>
      <w:bookmarkStart w:id="138" w:name="_Toc58332526"/>
      <w:bookmarkStart w:id="139" w:name="_Toc59528108"/>
      <w:r w:rsidRPr="00061E36">
        <w:rPr>
          <w:rFonts w:ascii="Artifex CF Extra Light" w:hAnsi="Artifex CF Extra Light" w:cs="Times New Roman"/>
          <w:b/>
          <w:bCs/>
          <w:color w:val="1F4E79" w:themeColor="accent1" w:themeShade="80"/>
          <w:spacing w:val="10"/>
          <w:sz w:val="18"/>
          <w:szCs w:val="18"/>
          <w:lang w:val="es-DO"/>
        </w:rPr>
        <w:t>ENTRADA DE SERVICIOS EN LÍNEA, SIMPLIFICACIÓN DE TRÁMITES, MEJORA DE SERVICIOS PÚBLICOS</w:t>
      </w:r>
      <w:bookmarkEnd w:id="138"/>
      <w:bookmarkEnd w:id="139"/>
    </w:p>
    <w:p w14:paraId="5ACEC379" w14:textId="68AFA55A" w:rsidR="003F46A1" w:rsidRPr="00A40C82" w:rsidRDefault="005E7CF7" w:rsidP="00864966">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pacing w:val="10"/>
          <w:sz w:val="18"/>
          <w:szCs w:val="18"/>
          <w:lang w:val="es-ES"/>
        </w:rPr>
      </w:pPr>
      <w:r w:rsidRPr="00A40C82">
        <w:rPr>
          <w:rFonts w:ascii="Artifex CF Extra Light" w:eastAsiaTheme="minorEastAsia" w:hAnsi="Artifex CF Extra Light" w:cs="Times New Roman"/>
          <w:color w:val="1F4E79" w:themeColor="accent1" w:themeShade="80"/>
          <w:spacing w:val="10"/>
          <w:sz w:val="18"/>
          <w:szCs w:val="18"/>
          <w:lang w:val="es-ES"/>
        </w:rPr>
        <w:t>En el año 2020</w:t>
      </w:r>
      <w:r w:rsidR="00D5173F" w:rsidRPr="00A40C82">
        <w:rPr>
          <w:rFonts w:ascii="Artifex CF Extra Light" w:eastAsiaTheme="minorEastAsia" w:hAnsi="Artifex CF Extra Light" w:cs="Times New Roman"/>
          <w:color w:val="1F4E79" w:themeColor="accent1" w:themeShade="80"/>
          <w:spacing w:val="10"/>
          <w:sz w:val="18"/>
          <w:szCs w:val="18"/>
          <w:lang w:val="es-ES"/>
        </w:rPr>
        <w:t xml:space="preserve"> </w:t>
      </w:r>
      <w:r w:rsidR="007349FC" w:rsidRPr="00A40C82">
        <w:rPr>
          <w:rFonts w:ascii="Artifex CF Extra Light" w:eastAsiaTheme="minorEastAsia" w:hAnsi="Artifex CF Extra Light" w:cs="Times New Roman"/>
          <w:color w:val="1F4E79" w:themeColor="accent1" w:themeShade="80"/>
          <w:spacing w:val="10"/>
          <w:sz w:val="18"/>
          <w:szCs w:val="18"/>
          <w:lang w:val="es-ES"/>
        </w:rPr>
        <w:t>no se incorporaron nuevos servicios digitales</w:t>
      </w:r>
      <w:r w:rsidR="00812AD0" w:rsidRPr="00A40C82">
        <w:rPr>
          <w:rFonts w:ascii="Artifex CF Extra Light" w:eastAsiaTheme="minorEastAsia" w:hAnsi="Artifex CF Extra Light" w:cs="Times New Roman"/>
          <w:color w:val="1F4E79" w:themeColor="accent1" w:themeShade="80"/>
          <w:spacing w:val="10"/>
          <w:sz w:val="18"/>
          <w:szCs w:val="18"/>
          <w:lang w:val="es-ES"/>
        </w:rPr>
        <w:t>, ya que todos los servicios de ProDominicana están en línea d</w:t>
      </w:r>
      <w:r w:rsidR="00981DE3" w:rsidRPr="00A40C82">
        <w:rPr>
          <w:rFonts w:ascii="Artifex CF Extra Light" w:eastAsiaTheme="minorEastAsia" w:hAnsi="Artifex CF Extra Light" w:cs="Times New Roman"/>
          <w:color w:val="1F4E79" w:themeColor="accent1" w:themeShade="80"/>
          <w:spacing w:val="10"/>
          <w:sz w:val="18"/>
          <w:szCs w:val="18"/>
          <w:lang w:val="es-ES"/>
        </w:rPr>
        <w:t>e</w:t>
      </w:r>
      <w:r w:rsidR="00812AD0" w:rsidRPr="00A40C82">
        <w:rPr>
          <w:rFonts w:ascii="Artifex CF Extra Light" w:eastAsiaTheme="minorEastAsia" w:hAnsi="Artifex CF Extra Light" w:cs="Times New Roman"/>
          <w:color w:val="1F4E79" w:themeColor="accent1" w:themeShade="80"/>
          <w:spacing w:val="10"/>
          <w:sz w:val="18"/>
          <w:szCs w:val="18"/>
          <w:lang w:val="es-ES"/>
        </w:rPr>
        <w:t>sde el 2019.</w:t>
      </w:r>
      <w:bookmarkStart w:id="140" w:name="_Toc58332528"/>
    </w:p>
    <w:p w14:paraId="0F699AC0" w14:textId="22240489" w:rsidR="00C5602E" w:rsidRPr="00324A19" w:rsidRDefault="00C5602E" w:rsidP="00864966">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z w:val="18"/>
          <w:szCs w:val="18"/>
          <w:lang w:val="es-ES"/>
        </w:rPr>
        <w:sectPr w:rsidR="00C5602E" w:rsidRPr="00324A19" w:rsidSect="00723343">
          <w:pgSz w:w="12240" w:h="15840" w:code="1"/>
          <w:pgMar w:top="1440" w:right="2160" w:bottom="1440" w:left="2160" w:header="708" w:footer="708" w:gutter="0"/>
          <w:cols w:space="708"/>
          <w:docGrid w:linePitch="360"/>
        </w:sectPr>
      </w:pPr>
    </w:p>
    <w:p w14:paraId="5B66C333" w14:textId="5173A2C5" w:rsidR="004D2DA3" w:rsidRPr="00C374D9" w:rsidRDefault="004D2DA3" w:rsidP="00C374D9">
      <w:pPr>
        <w:pStyle w:val="Prrafodelista"/>
        <w:keepNext/>
        <w:keepLines/>
        <w:numPr>
          <w:ilvl w:val="0"/>
          <w:numId w:val="5"/>
        </w:numPr>
        <w:spacing w:after="120" w:line="456" w:lineRule="auto"/>
        <w:ind w:left="284" w:hanging="284"/>
        <w:contextualSpacing w:val="0"/>
        <w:jc w:val="center"/>
        <w:outlineLvl w:val="0"/>
        <w:rPr>
          <w:rFonts w:ascii="Artifex CF Light" w:eastAsia="Times New Roman" w:hAnsi="Artifex CF Light" w:cs="Times New Roman"/>
          <w:color w:val="1F4E79" w:themeColor="accent1" w:themeShade="80"/>
          <w:spacing w:val="30"/>
          <w:sz w:val="26"/>
          <w:szCs w:val="32"/>
          <w:lang w:val="es-DO" w:eastAsia="es-DO"/>
        </w:rPr>
      </w:pPr>
      <w:bookmarkStart w:id="141" w:name="_Toc59528109"/>
      <w:bookmarkEnd w:id="140"/>
      <w:r w:rsidRPr="00C374D9">
        <w:rPr>
          <w:noProof/>
          <w:color w:val="1F4E79" w:themeColor="accent1" w:themeShade="80"/>
          <w:spacing w:val="30"/>
        </w:rPr>
        <w:lastRenderedPageBreak/>
        <mc:AlternateContent>
          <mc:Choice Requires="wps">
            <w:drawing>
              <wp:anchor distT="0" distB="0" distL="114300" distR="114300" simplePos="0" relativeHeight="251891712" behindDoc="0" locked="0" layoutInCell="1" allowOverlap="1" wp14:anchorId="63B7C5E2" wp14:editId="1C2F5070">
                <wp:simplePos x="0" y="0"/>
                <wp:positionH relativeFrom="margin">
                  <wp:posOffset>2285365</wp:posOffset>
                </wp:positionH>
                <wp:positionV relativeFrom="paragraph">
                  <wp:posOffset>332077</wp:posOffset>
                </wp:positionV>
                <wp:extent cx="464820" cy="0"/>
                <wp:effectExtent l="0" t="19050" r="30480" b="19050"/>
                <wp:wrapNone/>
                <wp:docPr id="26" name="Conector recto 26"/>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E6D327" id="Conector recto 26" o:spid="_x0000_s1026" style="position:absolute;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26.15pt" to="216.5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" strokecolor="red" strokeweight="2.5pt">
                <v:stroke joinstyle="miter"/>
                <w10:wrap anchorx="margin"/>
              </v:line>
            </w:pict>
          </mc:Fallback>
        </mc:AlternateContent>
      </w:r>
      <w:r w:rsidRPr="00C374D9">
        <w:rPr>
          <w:rFonts w:ascii="Artifex CF Light" w:eastAsia="Times New Roman" w:hAnsi="Artifex CF Light" w:cs="Times New Roman"/>
          <w:color w:val="1F4E79" w:themeColor="accent1" w:themeShade="80"/>
          <w:spacing w:val="30"/>
          <w:sz w:val="26"/>
          <w:szCs w:val="32"/>
          <w:lang w:val="es-DO" w:eastAsia="es-DO"/>
        </w:rPr>
        <w:t xml:space="preserve">GESTIÓN </w:t>
      </w:r>
      <w:r w:rsidR="00C374D9" w:rsidRPr="00C374D9">
        <w:rPr>
          <w:rFonts w:ascii="Artifex CF Light" w:eastAsia="Times New Roman" w:hAnsi="Artifex CF Light" w:cs="Times New Roman"/>
          <w:color w:val="1F4E79" w:themeColor="accent1" w:themeShade="80"/>
          <w:spacing w:val="30"/>
          <w:sz w:val="26"/>
          <w:szCs w:val="32"/>
          <w:lang w:val="es-DO" w:eastAsia="es-DO"/>
        </w:rPr>
        <w:t>INTERNA</w:t>
      </w:r>
      <w:bookmarkEnd w:id="141"/>
    </w:p>
    <w:p w14:paraId="7286ABA3" w14:textId="2817C122" w:rsidR="00FA64FD" w:rsidRPr="00061E36" w:rsidRDefault="00F95111" w:rsidP="00864966">
      <w:pPr>
        <w:pStyle w:val="Prrafodelista"/>
        <w:numPr>
          <w:ilvl w:val="0"/>
          <w:numId w:val="4"/>
        </w:numPr>
        <w:spacing w:before="380" w:after="120" w:line="456" w:lineRule="auto"/>
        <w:ind w:left="0" w:firstLine="284"/>
        <w:contextualSpacing w:val="0"/>
        <w:jc w:val="center"/>
        <w:outlineLvl w:val="1"/>
        <w:rPr>
          <w:rFonts w:ascii="Artifex CF Extra Light" w:hAnsi="Artifex CF Extra Light" w:cs="Times New Roman"/>
          <w:b/>
          <w:bCs/>
          <w:color w:val="1F4E79" w:themeColor="accent1" w:themeShade="80"/>
          <w:spacing w:val="10"/>
          <w:sz w:val="18"/>
          <w:szCs w:val="18"/>
          <w:lang w:val="es-DO"/>
        </w:rPr>
      </w:pPr>
      <w:bookmarkStart w:id="142" w:name="_Toc58332529"/>
      <w:bookmarkStart w:id="143" w:name="_Toc59528110"/>
      <w:r w:rsidRPr="00061E36">
        <w:rPr>
          <w:rFonts w:ascii="Artifex CF Extra Light" w:hAnsi="Artifex CF Extra Light" w:cs="Times New Roman"/>
          <w:b/>
          <w:bCs/>
          <w:color w:val="1F4E79" w:themeColor="accent1" w:themeShade="80"/>
          <w:spacing w:val="10"/>
          <w:sz w:val="18"/>
          <w:szCs w:val="18"/>
          <w:lang w:val="es-DO"/>
        </w:rPr>
        <w:t>DESEMPEÑO FINANCIERO</w:t>
      </w:r>
      <w:bookmarkEnd w:id="142"/>
      <w:bookmarkEnd w:id="143"/>
    </w:p>
    <w:p w14:paraId="794A9839" w14:textId="79091BB6" w:rsidR="00CF6F74" w:rsidRPr="0053158C" w:rsidRDefault="00CF6F74" w:rsidP="00C374D9">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pacing w:val="10"/>
          <w:sz w:val="18"/>
          <w:szCs w:val="18"/>
          <w:lang w:val="es-ES"/>
        </w:rPr>
      </w:pPr>
      <w:r w:rsidRPr="0053158C">
        <w:rPr>
          <w:rFonts w:ascii="Artifex CF Extra Light" w:eastAsiaTheme="minorEastAsia" w:hAnsi="Artifex CF Extra Light" w:cs="Times New Roman"/>
          <w:color w:val="1F4E79" w:themeColor="accent1" w:themeShade="80"/>
          <w:spacing w:val="10"/>
          <w:sz w:val="18"/>
          <w:szCs w:val="18"/>
          <w:lang w:val="es-ES"/>
        </w:rPr>
        <w:t>El Centro de Exportación e Inversión de la República Dominicana (</w:t>
      </w:r>
      <w:r w:rsidR="00226525" w:rsidRPr="0053158C">
        <w:rPr>
          <w:rFonts w:ascii="Artifex CF Extra Light" w:eastAsiaTheme="minorEastAsia" w:hAnsi="Artifex CF Extra Light" w:cs="Times New Roman"/>
          <w:color w:val="1F4E79" w:themeColor="accent1" w:themeShade="80"/>
          <w:spacing w:val="10"/>
          <w:sz w:val="18"/>
          <w:szCs w:val="18"/>
          <w:lang w:val="es-ES"/>
        </w:rPr>
        <w:t>ProDominicana</w:t>
      </w:r>
      <w:r w:rsidRPr="0053158C">
        <w:rPr>
          <w:rFonts w:ascii="Artifex CF Extra Light" w:eastAsiaTheme="minorEastAsia" w:hAnsi="Artifex CF Extra Light" w:cs="Times New Roman"/>
          <w:color w:val="1F4E79" w:themeColor="accent1" w:themeShade="80"/>
          <w:spacing w:val="10"/>
          <w:sz w:val="18"/>
          <w:szCs w:val="18"/>
          <w:lang w:val="es-ES"/>
        </w:rPr>
        <w:t>), a través de la Dirección Administrativa y Financiera, procedió a la ejecución del presupuesto asignado de RD$448,455,814.00 millones, el mismo fue destinado al logro de las metas las cuales presentamos a continuación:</w:t>
      </w:r>
    </w:p>
    <w:tbl>
      <w:tblPr>
        <w:tblW w:w="7938" w:type="dxa"/>
        <w:tblInd w:w="70" w:type="dxa"/>
        <w:tblLayout w:type="fixed"/>
        <w:tblCellMar>
          <w:left w:w="70" w:type="dxa"/>
          <w:right w:w="70" w:type="dxa"/>
        </w:tblCellMar>
        <w:tblLook w:val="04A0" w:firstRow="1" w:lastRow="0" w:firstColumn="1" w:lastColumn="0" w:noHBand="0" w:noVBand="1"/>
      </w:tblPr>
      <w:tblGrid>
        <w:gridCol w:w="1560"/>
        <w:gridCol w:w="1984"/>
        <w:gridCol w:w="1843"/>
        <w:gridCol w:w="1701"/>
        <w:gridCol w:w="850"/>
      </w:tblGrid>
      <w:tr w:rsidR="001B7EDE" w:rsidRPr="006F2F51" w14:paraId="4393B7D3" w14:textId="77777777" w:rsidTr="0053158C">
        <w:trPr>
          <w:trHeight w:val="20"/>
        </w:trPr>
        <w:tc>
          <w:tcPr>
            <w:tcW w:w="7938" w:type="dxa"/>
            <w:gridSpan w:val="5"/>
            <w:tcBorders>
              <w:top w:val="nil"/>
              <w:left w:val="nil"/>
              <w:bottom w:val="nil"/>
              <w:right w:val="nil"/>
            </w:tcBorders>
            <w:shd w:val="clear" w:color="auto" w:fill="auto"/>
            <w:noWrap/>
            <w:vAlign w:val="center"/>
            <w:hideMark/>
          </w:tcPr>
          <w:p w14:paraId="4888CFAB"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DO" w:eastAsia="es-ES"/>
              </w:rPr>
              <w:t>Tabla 4.  Presupuesto asignado y ejecutado Cuadro.</w:t>
            </w:r>
          </w:p>
        </w:tc>
      </w:tr>
      <w:tr w:rsidR="001B7EDE" w:rsidRPr="0053158C" w14:paraId="5C55A2AA" w14:textId="77777777" w:rsidTr="0053158C">
        <w:trPr>
          <w:trHeight w:val="20"/>
        </w:trPr>
        <w:tc>
          <w:tcPr>
            <w:tcW w:w="1560" w:type="dxa"/>
            <w:tcBorders>
              <w:top w:val="nil"/>
              <w:left w:val="nil"/>
              <w:bottom w:val="nil"/>
              <w:right w:val="nil"/>
            </w:tcBorders>
            <w:shd w:val="clear" w:color="auto" w:fill="auto"/>
            <w:noWrap/>
            <w:vAlign w:val="center"/>
            <w:hideMark/>
          </w:tcPr>
          <w:p w14:paraId="14FFF84A"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p>
        </w:tc>
        <w:tc>
          <w:tcPr>
            <w:tcW w:w="1984" w:type="dxa"/>
            <w:tcBorders>
              <w:top w:val="single" w:sz="4" w:space="0" w:color="auto"/>
              <w:left w:val="single" w:sz="4" w:space="0" w:color="auto"/>
              <w:bottom w:val="single" w:sz="4" w:space="0" w:color="auto"/>
              <w:right w:val="single" w:sz="4" w:space="0" w:color="auto"/>
            </w:tcBorders>
            <w:shd w:val="clear" w:color="auto" w:fill="1F4E78"/>
            <w:vAlign w:val="center"/>
            <w:hideMark/>
          </w:tcPr>
          <w:p w14:paraId="3AE4F22B"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FFFFFF" w:themeColor="background1"/>
                <w:spacing w:val="10"/>
                <w:sz w:val="14"/>
                <w:szCs w:val="14"/>
                <w:lang w:val="es-ES" w:eastAsia="es-ES"/>
              </w:rPr>
            </w:pPr>
            <w:r w:rsidRPr="0053158C">
              <w:rPr>
                <w:rFonts w:ascii="Artifex CF Extra Light" w:eastAsia="Times New Roman" w:hAnsi="Artifex CF Extra Light" w:cs="Calibri"/>
                <w:b/>
                <w:color w:val="FFFFFF" w:themeColor="background1"/>
                <w:spacing w:val="10"/>
                <w:sz w:val="14"/>
                <w:szCs w:val="14"/>
                <w:lang w:val="es-ES" w:eastAsia="es-ES"/>
              </w:rPr>
              <w:t>Presupuesto asignado 2020</w:t>
            </w:r>
          </w:p>
        </w:tc>
        <w:tc>
          <w:tcPr>
            <w:tcW w:w="1843" w:type="dxa"/>
            <w:tcBorders>
              <w:top w:val="single" w:sz="4" w:space="0" w:color="auto"/>
              <w:left w:val="nil"/>
              <w:bottom w:val="single" w:sz="4" w:space="0" w:color="auto"/>
              <w:right w:val="single" w:sz="4" w:space="0" w:color="auto"/>
            </w:tcBorders>
            <w:shd w:val="clear" w:color="auto" w:fill="1F4E78"/>
            <w:vAlign w:val="center"/>
            <w:hideMark/>
          </w:tcPr>
          <w:p w14:paraId="7C2B39CD"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FFFFFF" w:themeColor="background1"/>
                <w:spacing w:val="10"/>
                <w:sz w:val="14"/>
                <w:szCs w:val="14"/>
                <w:lang w:val="es-ES" w:eastAsia="es-ES"/>
              </w:rPr>
            </w:pPr>
            <w:r w:rsidRPr="0053158C">
              <w:rPr>
                <w:rFonts w:ascii="Artifex CF Extra Light" w:eastAsia="Times New Roman" w:hAnsi="Artifex CF Extra Light" w:cs="Calibri"/>
                <w:b/>
                <w:color w:val="FFFFFF" w:themeColor="background1"/>
                <w:spacing w:val="10"/>
                <w:sz w:val="14"/>
                <w:szCs w:val="14"/>
                <w:lang w:val="es-ES" w:eastAsia="es-ES"/>
              </w:rPr>
              <w:t>Presupuesto ejecutado 2020</w:t>
            </w:r>
          </w:p>
        </w:tc>
        <w:tc>
          <w:tcPr>
            <w:tcW w:w="1701" w:type="dxa"/>
            <w:tcBorders>
              <w:top w:val="single" w:sz="4" w:space="0" w:color="auto"/>
              <w:left w:val="nil"/>
              <w:bottom w:val="single" w:sz="4" w:space="0" w:color="auto"/>
              <w:right w:val="single" w:sz="4" w:space="0" w:color="auto"/>
            </w:tcBorders>
            <w:shd w:val="clear" w:color="auto" w:fill="1F4E78"/>
            <w:vAlign w:val="center"/>
            <w:hideMark/>
          </w:tcPr>
          <w:p w14:paraId="21557A0A" w14:textId="24C51B9B" w:rsidR="00312366" w:rsidRPr="0053158C" w:rsidRDefault="00312366" w:rsidP="0053158C">
            <w:pPr>
              <w:spacing w:after="0" w:line="360" w:lineRule="auto"/>
              <w:ind w:firstLine="284"/>
              <w:jc w:val="center"/>
              <w:rPr>
                <w:rFonts w:ascii="Artifex CF Extra Light" w:eastAsia="Times New Roman" w:hAnsi="Artifex CF Extra Light" w:cs="Calibri"/>
                <w:b/>
                <w:color w:val="FFFFFF" w:themeColor="background1"/>
                <w:spacing w:val="10"/>
                <w:sz w:val="14"/>
                <w:szCs w:val="14"/>
                <w:lang w:val="es-ES" w:eastAsia="es-ES"/>
              </w:rPr>
            </w:pPr>
            <w:r w:rsidRPr="0053158C">
              <w:rPr>
                <w:rFonts w:ascii="Artifex CF Extra Light" w:eastAsia="Times New Roman" w:hAnsi="Artifex CF Extra Light" w:cs="Calibri"/>
                <w:b/>
                <w:color w:val="FFFFFF" w:themeColor="background1"/>
                <w:spacing w:val="10"/>
                <w:sz w:val="14"/>
                <w:szCs w:val="14"/>
                <w:lang w:val="es-ES" w:eastAsia="es-ES"/>
              </w:rPr>
              <w:t>Diferencia</w:t>
            </w:r>
          </w:p>
        </w:tc>
        <w:tc>
          <w:tcPr>
            <w:tcW w:w="850" w:type="dxa"/>
            <w:tcBorders>
              <w:top w:val="single" w:sz="4" w:space="0" w:color="auto"/>
              <w:left w:val="nil"/>
              <w:bottom w:val="single" w:sz="4" w:space="0" w:color="auto"/>
              <w:right w:val="single" w:sz="4" w:space="0" w:color="auto"/>
            </w:tcBorders>
            <w:shd w:val="clear" w:color="auto" w:fill="1F4E78"/>
            <w:vAlign w:val="center"/>
            <w:hideMark/>
          </w:tcPr>
          <w:p w14:paraId="6737A22E"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FFFFFF" w:themeColor="background1"/>
                <w:spacing w:val="10"/>
                <w:sz w:val="14"/>
                <w:szCs w:val="14"/>
                <w:lang w:val="es-ES" w:eastAsia="es-ES"/>
              </w:rPr>
            </w:pPr>
            <w:r w:rsidRPr="0053158C">
              <w:rPr>
                <w:rFonts w:ascii="Artifex CF Extra Light" w:eastAsia="Times New Roman" w:hAnsi="Artifex CF Extra Light" w:cs="Calibri"/>
                <w:b/>
                <w:color w:val="FFFFFF" w:themeColor="background1"/>
                <w:spacing w:val="10"/>
                <w:sz w:val="14"/>
                <w:szCs w:val="14"/>
                <w:lang w:val="es-ES" w:eastAsia="es-ES"/>
              </w:rPr>
              <w:t>%</w:t>
            </w:r>
          </w:p>
        </w:tc>
      </w:tr>
      <w:tr w:rsidR="001B7EDE" w:rsidRPr="0053158C" w14:paraId="4153D2DE" w14:textId="77777777" w:rsidTr="0053158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C4E396F"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Ingresos/Recaudaciones por otros conceptos</w:t>
            </w:r>
          </w:p>
        </w:tc>
        <w:tc>
          <w:tcPr>
            <w:tcW w:w="1984" w:type="dxa"/>
            <w:tcBorders>
              <w:top w:val="nil"/>
              <w:left w:val="nil"/>
              <w:bottom w:val="single" w:sz="4" w:space="0" w:color="auto"/>
              <w:right w:val="single" w:sz="4" w:space="0" w:color="auto"/>
            </w:tcBorders>
            <w:shd w:val="clear" w:color="auto" w:fill="BDD7EE"/>
            <w:vAlign w:val="center"/>
            <w:hideMark/>
          </w:tcPr>
          <w:p w14:paraId="3FFE43D2" w14:textId="38C0DC8E"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$448,455,814.00</w:t>
            </w:r>
          </w:p>
        </w:tc>
        <w:tc>
          <w:tcPr>
            <w:tcW w:w="1843" w:type="dxa"/>
            <w:tcBorders>
              <w:top w:val="nil"/>
              <w:left w:val="nil"/>
              <w:bottom w:val="single" w:sz="4" w:space="0" w:color="auto"/>
              <w:right w:val="single" w:sz="4" w:space="0" w:color="auto"/>
            </w:tcBorders>
            <w:shd w:val="clear" w:color="auto" w:fill="BDD7EE"/>
            <w:vAlign w:val="center"/>
            <w:hideMark/>
          </w:tcPr>
          <w:p w14:paraId="187CA9BB" w14:textId="59DA05DB"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$409,600,989.04</w:t>
            </w:r>
          </w:p>
        </w:tc>
        <w:tc>
          <w:tcPr>
            <w:tcW w:w="1701" w:type="dxa"/>
            <w:tcBorders>
              <w:top w:val="nil"/>
              <w:left w:val="nil"/>
              <w:bottom w:val="single" w:sz="4" w:space="0" w:color="auto"/>
              <w:right w:val="single" w:sz="4" w:space="0" w:color="auto"/>
            </w:tcBorders>
            <w:shd w:val="clear" w:color="auto" w:fill="BDD7EE"/>
            <w:vAlign w:val="center"/>
            <w:hideMark/>
          </w:tcPr>
          <w:p w14:paraId="018827A1" w14:textId="1C1F8D55"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$38,854,824.96</w:t>
            </w:r>
          </w:p>
        </w:tc>
        <w:tc>
          <w:tcPr>
            <w:tcW w:w="850" w:type="dxa"/>
            <w:tcBorders>
              <w:top w:val="nil"/>
              <w:left w:val="nil"/>
              <w:bottom w:val="single" w:sz="4" w:space="0" w:color="auto"/>
              <w:right w:val="single" w:sz="4" w:space="0" w:color="auto"/>
            </w:tcBorders>
            <w:shd w:val="clear" w:color="auto" w:fill="BDD7EE"/>
            <w:vAlign w:val="center"/>
            <w:hideMark/>
          </w:tcPr>
          <w:p w14:paraId="5F6503E8"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100</w:t>
            </w:r>
          </w:p>
        </w:tc>
      </w:tr>
      <w:tr w:rsidR="001B7EDE" w:rsidRPr="0053158C" w14:paraId="018FE248"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7CD700E"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Asignación mensual del presupuesto</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F50A805" w14:textId="017DC981"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$379,166,214.00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44AA6FA" w14:textId="51A80240"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$362,934,336.46</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EF49284" w14:textId="356B276B"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$16,231,877.54</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07A5E005"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88.61</w:t>
            </w:r>
          </w:p>
        </w:tc>
      </w:tr>
      <w:tr w:rsidR="001B7EDE" w:rsidRPr="0053158C" w14:paraId="1E6EB8D2"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7E89C0E"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Aduanas (DGA)</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01B78BE6" w14:textId="6AD414D3"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$64,119,600.00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797EA81E" w14:textId="652FE480"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$43,229,420.00</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B0479E2" w14:textId="795DFA75"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$20,890,180.00</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5C47FFC"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10.55</w:t>
            </w:r>
          </w:p>
        </w:tc>
      </w:tr>
      <w:tr w:rsidR="001B7EDE" w:rsidRPr="0053158C" w14:paraId="5779DC5A"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B514B4"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Recaudaciones propias ventas de servicio</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75E7EAA5" w14:textId="255E534A"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$5,170,000.00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D21B10E" w14:textId="2EAE103B"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$3,437,232.58</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0923C53" w14:textId="66B172CF"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$1,732,767.42</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35213EFA"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0.84</w:t>
            </w:r>
          </w:p>
        </w:tc>
      </w:tr>
      <w:tr w:rsidR="001B7EDE" w:rsidRPr="0053158C" w14:paraId="7464AAB0" w14:textId="77777777" w:rsidTr="0053158C">
        <w:trPr>
          <w:trHeight w:val="20"/>
        </w:trPr>
        <w:tc>
          <w:tcPr>
            <w:tcW w:w="1560" w:type="dxa"/>
            <w:tcBorders>
              <w:top w:val="nil"/>
              <w:left w:val="nil"/>
              <w:bottom w:val="nil"/>
              <w:right w:val="nil"/>
            </w:tcBorders>
            <w:shd w:val="clear" w:color="auto" w:fill="auto"/>
            <w:noWrap/>
            <w:vAlign w:val="center"/>
            <w:hideMark/>
          </w:tcPr>
          <w:p w14:paraId="7907593C"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p>
        </w:tc>
        <w:tc>
          <w:tcPr>
            <w:tcW w:w="1984" w:type="dxa"/>
            <w:tcBorders>
              <w:top w:val="nil"/>
              <w:left w:val="nil"/>
              <w:bottom w:val="nil"/>
              <w:right w:val="nil"/>
            </w:tcBorders>
            <w:shd w:val="clear" w:color="auto" w:fill="auto"/>
            <w:noWrap/>
            <w:vAlign w:val="center"/>
            <w:hideMark/>
          </w:tcPr>
          <w:p w14:paraId="29F74C42" w14:textId="77777777" w:rsidR="00312366" w:rsidRPr="0053158C" w:rsidRDefault="00312366" w:rsidP="0053158C">
            <w:pPr>
              <w:spacing w:after="0" w:line="360" w:lineRule="auto"/>
              <w:ind w:firstLine="284"/>
              <w:jc w:val="center"/>
              <w:rPr>
                <w:rFonts w:ascii="Artifex CF Extra Light" w:eastAsia="Times New Roman" w:hAnsi="Artifex CF Extra Light" w:cs="Times New Roman"/>
                <w:color w:val="1F4E79" w:themeColor="accent1" w:themeShade="80"/>
                <w:spacing w:val="10"/>
                <w:sz w:val="14"/>
                <w:szCs w:val="14"/>
                <w:lang w:val="es-ES" w:eastAsia="es-ES"/>
              </w:rPr>
            </w:pPr>
          </w:p>
        </w:tc>
        <w:tc>
          <w:tcPr>
            <w:tcW w:w="1843" w:type="dxa"/>
            <w:tcBorders>
              <w:top w:val="nil"/>
              <w:left w:val="nil"/>
              <w:bottom w:val="nil"/>
              <w:right w:val="nil"/>
            </w:tcBorders>
            <w:shd w:val="clear" w:color="auto" w:fill="auto"/>
            <w:noWrap/>
            <w:vAlign w:val="center"/>
            <w:hideMark/>
          </w:tcPr>
          <w:p w14:paraId="0F354464" w14:textId="77777777" w:rsidR="00312366" w:rsidRPr="0053158C" w:rsidRDefault="00312366" w:rsidP="0053158C">
            <w:pPr>
              <w:spacing w:after="0" w:line="360" w:lineRule="auto"/>
              <w:ind w:firstLine="284"/>
              <w:jc w:val="center"/>
              <w:rPr>
                <w:rFonts w:ascii="Artifex CF Extra Light" w:eastAsia="Times New Roman" w:hAnsi="Artifex CF Extra Light" w:cs="Times New Roman"/>
                <w:color w:val="1F4E79" w:themeColor="accent1" w:themeShade="80"/>
                <w:spacing w:val="10"/>
                <w:sz w:val="14"/>
                <w:szCs w:val="14"/>
                <w:lang w:val="es-ES" w:eastAsia="es-ES"/>
              </w:rPr>
            </w:pPr>
          </w:p>
        </w:tc>
        <w:tc>
          <w:tcPr>
            <w:tcW w:w="1701" w:type="dxa"/>
            <w:tcBorders>
              <w:top w:val="nil"/>
              <w:left w:val="nil"/>
              <w:bottom w:val="nil"/>
              <w:right w:val="nil"/>
            </w:tcBorders>
            <w:shd w:val="clear" w:color="auto" w:fill="auto"/>
            <w:noWrap/>
            <w:vAlign w:val="center"/>
            <w:hideMark/>
          </w:tcPr>
          <w:p w14:paraId="098D5D97" w14:textId="77777777" w:rsidR="00312366" w:rsidRPr="0053158C" w:rsidRDefault="00312366" w:rsidP="0053158C">
            <w:pPr>
              <w:spacing w:after="0" w:line="360" w:lineRule="auto"/>
              <w:ind w:firstLine="284"/>
              <w:jc w:val="center"/>
              <w:rPr>
                <w:rFonts w:ascii="Artifex CF Extra Light" w:eastAsia="Times New Roman" w:hAnsi="Artifex CF Extra Light" w:cs="Times New Roman"/>
                <w:color w:val="1F4E79" w:themeColor="accent1" w:themeShade="80"/>
                <w:spacing w:val="10"/>
                <w:sz w:val="14"/>
                <w:szCs w:val="14"/>
                <w:lang w:val="es-ES" w:eastAsia="es-ES"/>
              </w:rPr>
            </w:pPr>
          </w:p>
        </w:tc>
        <w:tc>
          <w:tcPr>
            <w:tcW w:w="850" w:type="dxa"/>
            <w:tcBorders>
              <w:top w:val="nil"/>
              <w:left w:val="nil"/>
              <w:bottom w:val="nil"/>
              <w:right w:val="nil"/>
            </w:tcBorders>
            <w:shd w:val="clear" w:color="auto" w:fill="auto"/>
            <w:noWrap/>
            <w:vAlign w:val="center"/>
            <w:hideMark/>
          </w:tcPr>
          <w:p w14:paraId="0F4C123F" w14:textId="77777777" w:rsidR="00312366" w:rsidRPr="0053158C" w:rsidRDefault="00312366" w:rsidP="0053158C">
            <w:pPr>
              <w:spacing w:after="0" w:line="360" w:lineRule="auto"/>
              <w:ind w:firstLine="284"/>
              <w:jc w:val="center"/>
              <w:rPr>
                <w:rFonts w:ascii="Artifex CF Extra Light" w:eastAsia="Times New Roman" w:hAnsi="Artifex CF Extra Light" w:cs="Times New Roman"/>
                <w:color w:val="1F4E79" w:themeColor="accent1" w:themeShade="80"/>
                <w:spacing w:val="10"/>
                <w:sz w:val="14"/>
                <w:szCs w:val="14"/>
                <w:lang w:val="es-ES" w:eastAsia="es-ES"/>
              </w:rPr>
            </w:pPr>
          </w:p>
        </w:tc>
      </w:tr>
      <w:tr w:rsidR="001B7EDE" w:rsidRPr="0053158C" w14:paraId="014CAF22" w14:textId="77777777" w:rsidTr="0053158C">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4F51DCB" w14:textId="400A2E1A"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Ejecución Presupuestaria del</w:t>
            </w:r>
            <w:r w:rsidR="0053158C" w:rsidRPr="0053158C">
              <w:rPr>
                <w:rFonts w:ascii="Artifex CF Extra Light" w:eastAsia="Times New Roman" w:hAnsi="Artifex CF Extra Light" w:cs="Calibri"/>
                <w:b/>
                <w:color w:val="1F4E79" w:themeColor="accent1" w:themeShade="80"/>
                <w:spacing w:val="10"/>
                <w:sz w:val="14"/>
                <w:szCs w:val="14"/>
                <w:lang w:val="es-ES" w:eastAsia="es-ES"/>
              </w:rPr>
              <w:t xml:space="preserve"> Período</w:t>
            </w:r>
          </w:p>
        </w:tc>
        <w:tc>
          <w:tcPr>
            <w:tcW w:w="1984" w:type="dxa"/>
            <w:tcBorders>
              <w:top w:val="single" w:sz="4" w:space="0" w:color="auto"/>
              <w:left w:val="nil"/>
              <w:bottom w:val="single" w:sz="4" w:space="0" w:color="auto"/>
              <w:right w:val="single" w:sz="4" w:space="0" w:color="auto"/>
            </w:tcBorders>
            <w:shd w:val="clear" w:color="auto" w:fill="BDD7EE"/>
            <w:vAlign w:val="center"/>
            <w:hideMark/>
          </w:tcPr>
          <w:p w14:paraId="5A84D853" w14:textId="408E6510"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$448,455,814.00</w:t>
            </w:r>
          </w:p>
        </w:tc>
        <w:tc>
          <w:tcPr>
            <w:tcW w:w="1843" w:type="dxa"/>
            <w:tcBorders>
              <w:top w:val="single" w:sz="4" w:space="0" w:color="auto"/>
              <w:left w:val="nil"/>
              <w:bottom w:val="single" w:sz="4" w:space="0" w:color="auto"/>
              <w:right w:val="single" w:sz="4" w:space="0" w:color="auto"/>
            </w:tcBorders>
            <w:shd w:val="clear" w:color="auto" w:fill="BDD7EE"/>
            <w:vAlign w:val="center"/>
            <w:hideMark/>
          </w:tcPr>
          <w:p w14:paraId="356BD15A" w14:textId="31C7E5F0"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$471,382,751.62</w:t>
            </w:r>
          </w:p>
        </w:tc>
        <w:tc>
          <w:tcPr>
            <w:tcW w:w="1701" w:type="dxa"/>
            <w:tcBorders>
              <w:top w:val="single" w:sz="4" w:space="0" w:color="auto"/>
              <w:left w:val="nil"/>
              <w:bottom w:val="single" w:sz="4" w:space="0" w:color="auto"/>
              <w:right w:val="single" w:sz="4" w:space="0" w:color="auto"/>
            </w:tcBorders>
            <w:shd w:val="clear" w:color="auto" w:fill="BDD7EE"/>
            <w:vAlign w:val="center"/>
            <w:hideMark/>
          </w:tcPr>
          <w:p w14:paraId="044B4470" w14:textId="5CCCFAD5"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$22,926,937.62</w:t>
            </w:r>
          </w:p>
        </w:tc>
        <w:tc>
          <w:tcPr>
            <w:tcW w:w="850" w:type="dxa"/>
            <w:tcBorders>
              <w:top w:val="single" w:sz="4" w:space="0" w:color="auto"/>
              <w:left w:val="nil"/>
              <w:bottom w:val="single" w:sz="4" w:space="0" w:color="auto"/>
              <w:right w:val="single" w:sz="4" w:space="0" w:color="auto"/>
            </w:tcBorders>
            <w:shd w:val="clear" w:color="auto" w:fill="BDD7EE"/>
            <w:vAlign w:val="center"/>
            <w:hideMark/>
          </w:tcPr>
          <w:p w14:paraId="568D2EE3"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100</w:t>
            </w:r>
          </w:p>
        </w:tc>
      </w:tr>
      <w:tr w:rsidR="001B7EDE" w:rsidRPr="0053158C" w14:paraId="578C2A96"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5E757B5" w14:textId="3F88EE26"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71CA8F9" w14:textId="3EBFA4A1"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18B4554" w14:textId="591B99DD"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6EF7E6F" w14:textId="12EAAA46"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6CD236C6" w14:textId="4F9303FD"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p>
        </w:tc>
      </w:tr>
      <w:tr w:rsidR="001B7EDE" w:rsidRPr="0053158C" w14:paraId="78186A59"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74AA29F"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Gestión del Programa</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54D7757" w14:textId="560CE2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$295,845,578.00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47E82CAE" w14:textId="4758DC1A"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$332,945,085.53</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106F484"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FF0000"/>
                <w:spacing w:val="10"/>
                <w:sz w:val="14"/>
                <w:szCs w:val="14"/>
                <w:lang w:val="es-ES" w:eastAsia="es-ES"/>
              </w:rPr>
              <w:t>($37,099,507.53)</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72DF359B"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70.63</w:t>
            </w:r>
          </w:p>
        </w:tc>
      </w:tr>
      <w:tr w:rsidR="001B7EDE" w:rsidRPr="0053158C" w14:paraId="577E01D9"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BB4E007"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Promoción de las Exportaciones</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5034495" w14:textId="3700A85D"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$91,915,194.00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96AF261" w14:textId="2F47C63D"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$86,418,854.69</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6E13C72" w14:textId="6F8CCC74"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$5,496,339.31</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09D8A6A7"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18.33</w:t>
            </w:r>
          </w:p>
        </w:tc>
      </w:tr>
      <w:tr w:rsidR="001B7EDE" w:rsidRPr="0053158C" w14:paraId="7229D6E2"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19CFFB"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Internalización de las Pymes</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314C841C" w14:textId="078C641F"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$17,954,380.00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F74FB4A" w14:textId="2FE9B4FB"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$15,679,508.32</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5D92CE9" w14:textId="33D0D21B"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$2,274,871.68</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179CB71F"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3.33</w:t>
            </w:r>
          </w:p>
        </w:tc>
      </w:tr>
      <w:tr w:rsidR="001B7EDE" w:rsidRPr="0053158C" w14:paraId="1C8ACC31"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A2585E6"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Desarrollo de la inversión</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1C8EB4AE" w14:textId="6D19363D"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$28,678,889.00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9B62ECF" w14:textId="7B42B998"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$24,582,026.94</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D2E8C7F" w14:textId="49D6EABD"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$4,096,862.06</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0DD0C10D"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5.21</w:t>
            </w:r>
          </w:p>
        </w:tc>
      </w:tr>
      <w:tr w:rsidR="001B7EDE" w:rsidRPr="0053158C" w14:paraId="73329AC2" w14:textId="77777777" w:rsidTr="0053158C">
        <w:trPr>
          <w:trHeight w:val="20"/>
        </w:trPr>
        <w:tc>
          <w:tcPr>
            <w:tcW w:w="15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C83DAF" w14:textId="77777777" w:rsidR="00312366" w:rsidRPr="0053158C" w:rsidRDefault="00312366"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4"/>
                <w:szCs w:val="14"/>
                <w:lang w:val="es-ES" w:eastAsia="es-ES"/>
              </w:rPr>
            </w:pPr>
            <w:r w:rsidRPr="0053158C">
              <w:rPr>
                <w:rFonts w:ascii="Artifex CF Extra Light" w:eastAsia="Times New Roman" w:hAnsi="Artifex CF Extra Light" w:cs="Calibri"/>
                <w:b/>
                <w:color w:val="1F4E79" w:themeColor="accent1" w:themeShade="80"/>
                <w:spacing w:val="10"/>
                <w:sz w:val="14"/>
                <w:szCs w:val="14"/>
                <w:lang w:val="es-ES" w:eastAsia="es-ES"/>
              </w:rPr>
              <w:t>Fortalecimiento de la Capacidad exportadora</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03F319CD" w14:textId="54F82B80"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$14,061,773.00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0317BEE" w14:textId="4FA9BB58"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$11,757,276.14</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56C249E" w14:textId="3D8503BF"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$2,304,496.86</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40C57BFE" w14:textId="77777777" w:rsidR="00312366" w:rsidRPr="0053158C" w:rsidRDefault="00312366"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2.49</w:t>
            </w:r>
          </w:p>
        </w:tc>
      </w:tr>
      <w:tr w:rsidR="001B7EDE" w:rsidRPr="0053158C" w14:paraId="6B49473C" w14:textId="77777777" w:rsidTr="0053158C">
        <w:trPr>
          <w:trHeight w:val="20"/>
        </w:trPr>
        <w:tc>
          <w:tcPr>
            <w:tcW w:w="7938" w:type="dxa"/>
            <w:gridSpan w:val="5"/>
            <w:tcBorders>
              <w:top w:val="single" w:sz="4" w:space="0" w:color="auto"/>
              <w:left w:val="nil"/>
              <w:bottom w:val="nil"/>
              <w:right w:val="nil"/>
            </w:tcBorders>
            <w:shd w:val="clear" w:color="auto" w:fill="auto"/>
            <w:vAlign w:val="center"/>
            <w:hideMark/>
          </w:tcPr>
          <w:p w14:paraId="0281527E" w14:textId="77777777" w:rsidR="00312366" w:rsidRPr="0053158C" w:rsidRDefault="00312366" w:rsidP="0053158C">
            <w:pPr>
              <w:spacing w:after="0" w:line="360" w:lineRule="auto"/>
              <w:ind w:firstLine="284"/>
              <w:rPr>
                <w:rFonts w:ascii="Artifex CF Extra Light" w:eastAsia="Times New Roman" w:hAnsi="Artifex CF Extra Light" w:cs="Calibri"/>
                <w:color w:val="1F4E79" w:themeColor="accent1" w:themeShade="80"/>
                <w:spacing w:val="10"/>
                <w:sz w:val="14"/>
                <w:szCs w:val="14"/>
                <w:lang w:val="es-ES" w:eastAsia="es-ES"/>
              </w:rPr>
            </w:pPr>
            <w:r w:rsidRPr="0053158C">
              <w:rPr>
                <w:rFonts w:ascii="Artifex CF Extra Light" w:eastAsia="Times New Roman" w:hAnsi="Artifex CF Extra Light" w:cs="Calibri"/>
                <w:color w:val="1F4E79" w:themeColor="accent1" w:themeShade="80"/>
                <w:spacing w:val="10"/>
                <w:sz w:val="14"/>
                <w:szCs w:val="14"/>
                <w:lang w:val="es-ES" w:eastAsia="es-ES"/>
              </w:rPr>
              <w:t>Fuente: ProDominicana.</w:t>
            </w:r>
          </w:p>
          <w:p w14:paraId="43623BB4" w14:textId="77777777" w:rsidR="00981DE3" w:rsidRPr="0053158C" w:rsidRDefault="00981DE3" w:rsidP="0053158C">
            <w:pPr>
              <w:spacing w:after="0" w:line="360" w:lineRule="auto"/>
              <w:ind w:firstLine="284"/>
              <w:rPr>
                <w:rFonts w:ascii="Artifex CF Extra Light" w:eastAsia="Times New Roman" w:hAnsi="Artifex CF Extra Light" w:cs="Calibri"/>
                <w:color w:val="1F4E79" w:themeColor="accent1" w:themeShade="80"/>
                <w:spacing w:val="10"/>
                <w:sz w:val="14"/>
                <w:szCs w:val="14"/>
                <w:lang w:val="es-ES" w:eastAsia="es-ES"/>
              </w:rPr>
            </w:pPr>
          </w:p>
          <w:p w14:paraId="52CB5769" w14:textId="77777777" w:rsidR="00981DE3" w:rsidRPr="0053158C" w:rsidRDefault="00981DE3"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p>
          <w:p w14:paraId="7767FC5C" w14:textId="2A993678" w:rsidR="00981DE3" w:rsidRPr="0053158C" w:rsidRDefault="00981DE3" w:rsidP="0053158C">
            <w:pPr>
              <w:spacing w:after="0" w:line="360" w:lineRule="auto"/>
              <w:ind w:firstLine="284"/>
              <w:jc w:val="center"/>
              <w:rPr>
                <w:rFonts w:ascii="Artifex CF Extra Light" w:eastAsia="Times New Roman" w:hAnsi="Artifex CF Extra Light" w:cs="Calibri"/>
                <w:color w:val="1F4E79" w:themeColor="accent1" w:themeShade="80"/>
                <w:spacing w:val="10"/>
                <w:sz w:val="14"/>
                <w:szCs w:val="14"/>
                <w:lang w:val="es-ES" w:eastAsia="es-ES"/>
              </w:rPr>
            </w:pPr>
          </w:p>
        </w:tc>
      </w:tr>
    </w:tbl>
    <w:tbl>
      <w:tblPr>
        <w:tblpPr w:leftFromText="141" w:rightFromText="141" w:vertAnchor="text" w:horzAnchor="page" w:tblpX="3301" w:tblpY="-78"/>
        <w:tblOverlap w:val="never"/>
        <w:tblW w:w="6014" w:type="dxa"/>
        <w:tblCellMar>
          <w:left w:w="70" w:type="dxa"/>
          <w:right w:w="70" w:type="dxa"/>
        </w:tblCellMar>
        <w:tblLook w:val="04A0" w:firstRow="1" w:lastRow="0" w:firstColumn="1" w:lastColumn="0" w:noHBand="0" w:noVBand="1"/>
      </w:tblPr>
      <w:tblGrid>
        <w:gridCol w:w="2520"/>
        <w:gridCol w:w="2160"/>
        <w:gridCol w:w="1334"/>
      </w:tblGrid>
      <w:tr w:rsidR="001B7EDE" w:rsidRPr="0053158C" w14:paraId="172ACD2F" w14:textId="77777777" w:rsidTr="0053158C">
        <w:trPr>
          <w:trHeight w:val="288"/>
        </w:trPr>
        <w:tc>
          <w:tcPr>
            <w:tcW w:w="6014" w:type="dxa"/>
            <w:gridSpan w:val="3"/>
            <w:tcBorders>
              <w:top w:val="nil"/>
              <w:left w:val="nil"/>
              <w:bottom w:val="single" w:sz="4" w:space="0" w:color="auto"/>
              <w:right w:val="nil"/>
            </w:tcBorders>
            <w:shd w:val="clear" w:color="auto" w:fill="auto"/>
            <w:noWrap/>
            <w:vAlign w:val="center"/>
            <w:hideMark/>
          </w:tcPr>
          <w:p w14:paraId="78D4CF8A" w14:textId="77777777" w:rsidR="00981DE3" w:rsidRPr="0053158C" w:rsidRDefault="00981DE3"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8"/>
                <w:szCs w:val="18"/>
                <w:lang w:val="es-ES" w:eastAsia="es-ES"/>
              </w:rPr>
            </w:pPr>
            <w:r w:rsidRPr="0053158C">
              <w:rPr>
                <w:rFonts w:ascii="Artifex CF Extra Light" w:eastAsia="Times New Roman" w:hAnsi="Artifex CF Extra Light" w:cs="Calibri"/>
                <w:b/>
                <w:color w:val="1F4E79" w:themeColor="accent1" w:themeShade="80"/>
                <w:spacing w:val="10"/>
                <w:sz w:val="18"/>
                <w:szCs w:val="18"/>
                <w:lang w:val="es-DO" w:eastAsia="es-ES"/>
              </w:rPr>
              <w:lastRenderedPageBreak/>
              <w:t>Tabla 5. Cuentas por pagar.</w:t>
            </w:r>
          </w:p>
        </w:tc>
      </w:tr>
      <w:tr w:rsidR="001B7EDE" w:rsidRPr="0053158C" w14:paraId="4056320E" w14:textId="77777777" w:rsidTr="0053158C">
        <w:trPr>
          <w:trHeight w:val="480"/>
        </w:trPr>
        <w:tc>
          <w:tcPr>
            <w:tcW w:w="2520" w:type="dxa"/>
            <w:tcBorders>
              <w:top w:val="nil"/>
              <w:left w:val="single" w:sz="4" w:space="0" w:color="auto"/>
              <w:bottom w:val="single" w:sz="4" w:space="0" w:color="auto"/>
              <w:right w:val="single" w:sz="4" w:space="0" w:color="auto"/>
            </w:tcBorders>
            <w:shd w:val="clear" w:color="auto" w:fill="1F4E78"/>
            <w:vAlign w:val="center"/>
            <w:hideMark/>
          </w:tcPr>
          <w:p w14:paraId="600E34DA" w14:textId="77777777" w:rsidR="00981DE3" w:rsidRPr="0053158C" w:rsidRDefault="00981DE3" w:rsidP="0053158C">
            <w:pPr>
              <w:spacing w:after="0" w:line="360" w:lineRule="auto"/>
              <w:ind w:firstLine="284"/>
              <w:jc w:val="center"/>
              <w:rPr>
                <w:rFonts w:ascii="Artifex CF Extra Light" w:eastAsia="Times New Roman" w:hAnsi="Artifex CF Extra Light" w:cs="Calibri"/>
                <w:b/>
                <w:color w:val="FFFFFF" w:themeColor="background1"/>
                <w:spacing w:val="10"/>
                <w:sz w:val="18"/>
                <w:szCs w:val="18"/>
                <w:lang w:val="es-ES" w:eastAsia="es-ES"/>
              </w:rPr>
            </w:pPr>
            <w:r w:rsidRPr="0053158C">
              <w:rPr>
                <w:rFonts w:ascii="Artifex CF Extra Light" w:eastAsia="Times New Roman" w:hAnsi="Artifex CF Extra Light" w:cs="Calibri"/>
                <w:b/>
                <w:color w:val="FFFFFF" w:themeColor="background1"/>
                <w:spacing w:val="10"/>
                <w:sz w:val="18"/>
                <w:szCs w:val="18"/>
                <w:lang w:val="es-ES" w:eastAsia="es-ES"/>
              </w:rPr>
              <w:t>Cuentas por pagar</w:t>
            </w:r>
          </w:p>
        </w:tc>
        <w:tc>
          <w:tcPr>
            <w:tcW w:w="2160" w:type="dxa"/>
            <w:tcBorders>
              <w:top w:val="nil"/>
              <w:left w:val="nil"/>
              <w:bottom w:val="single" w:sz="4" w:space="0" w:color="auto"/>
              <w:right w:val="single" w:sz="4" w:space="0" w:color="auto"/>
            </w:tcBorders>
            <w:shd w:val="clear" w:color="auto" w:fill="1F4E78"/>
            <w:vAlign w:val="center"/>
            <w:hideMark/>
          </w:tcPr>
          <w:p w14:paraId="1C0E728E" w14:textId="1CEFA3D8" w:rsidR="00981DE3" w:rsidRPr="0053158C" w:rsidRDefault="00C40819" w:rsidP="0053158C">
            <w:pPr>
              <w:spacing w:after="0" w:line="360" w:lineRule="auto"/>
              <w:ind w:firstLine="284"/>
              <w:jc w:val="center"/>
              <w:rPr>
                <w:rFonts w:ascii="Artifex CF Extra Light" w:eastAsia="Times New Roman" w:hAnsi="Artifex CF Extra Light" w:cs="Calibri"/>
                <w:b/>
                <w:color w:val="FFFFFF" w:themeColor="background1"/>
                <w:spacing w:val="10"/>
                <w:sz w:val="18"/>
                <w:szCs w:val="18"/>
                <w:lang w:val="es-ES" w:eastAsia="es-ES"/>
              </w:rPr>
            </w:pPr>
            <w:r w:rsidRPr="0053158C">
              <w:rPr>
                <w:rFonts w:ascii="Artifex CF Extra Light" w:eastAsia="Times New Roman" w:hAnsi="Artifex CF Extra Light" w:cs="Calibri"/>
                <w:b/>
                <w:color w:val="FFFFFF" w:themeColor="background1"/>
                <w:spacing w:val="10"/>
                <w:sz w:val="18"/>
                <w:szCs w:val="18"/>
                <w:lang w:val="es-ES" w:eastAsia="es-ES"/>
              </w:rPr>
              <w:t>$ 380,786,565.05</w:t>
            </w:r>
          </w:p>
        </w:tc>
        <w:tc>
          <w:tcPr>
            <w:tcW w:w="1334" w:type="dxa"/>
            <w:tcBorders>
              <w:top w:val="nil"/>
              <w:left w:val="nil"/>
              <w:bottom w:val="single" w:sz="4" w:space="0" w:color="auto"/>
              <w:right w:val="single" w:sz="4" w:space="0" w:color="auto"/>
            </w:tcBorders>
            <w:shd w:val="clear" w:color="auto" w:fill="1F4E78"/>
            <w:vAlign w:val="center"/>
            <w:hideMark/>
          </w:tcPr>
          <w:p w14:paraId="714D5F84" w14:textId="77777777" w:rsidR="00981DE3" w:rsidRPr="0053158C" w:rsidRDefault="00981DE3" w:rsidP="0053158C">
            <w:pPr>
              <w:spacing w:after="0" w:line="360" w:lineRule="auto"/>
              <w:ind w:firstLine="284"/>
              <w:jc w:val="center"/>
              <w:rPr>
                <w:rFonts w:ascii="Artifex CF Extra Light" w:eastAsia="Times New Roman" w:hAnsi="Artifex CF Extra Light" w:cs="Calibri"/>
                <w:b/>
                <w:color w:val="FFFFFF" w:themeColor="background1"/>
                <w:spacing w:val="10"/>
                <w:sz w:val="18"/>
                <w:szCs w:val="18"/>
                <w:lang w:val="es-ES" w:eastAsia="es-ES"/>
              </w:rPr>
            </w:pPr>
            <w:r w:rsidRPr="0053158C">
              <w:rPr>
                <w:rFonts w:ascii="Artifex CF Extra Light" w:eastAsia="Times New Roman" w:hAnsi="Artifex CF Extra Light" w:cs="Calibri"/>
                <w:b/>
                <w:color w:val="FFFFFF" w:themeColor="background1"/>
                <w:spacing w:val="10"/>
                <w:sz w:val="18"/>
                <w:szCs w:val="18"/>
                <w:lang w:val="es-ES" w:eastAsia="es-ES"/>
              </w:rPr>
              <w:t>100</w:t>
            </w:r>
          </w:p>
        </w:tc>
      </w:tr>
      <w:tr w:rsidR="001B7EDE" w:rsidRPr="0053158C" w14:paraId="6B8AEDBD" w14:textId="77777777" w:rsidTr="0053158C">
        <w:trPr>
          <w:trHeight w:val="480"/>
        </w:trPr>
        <w:tc>
          <w:tcPr>
            <w:tcW w:w="25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CB1A87" w14:textId="77777777" w:rsidR="00981DE3" w:rsidRPr="0053158C" w:rsidRDefault="00981DE3"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8"/>
                <w:szCs w:val="18"/>
                <w:lang w:val="es-ES" w:eastAsia="es-ES"/>
              </w:rPr>
            </w:pPr>
            <w:r w:rsidRPr="0053158C">
              <w:rPr>
                <w:rFonts w:ascii="Artifex CF Extra Light" w:eastAsia="Times New Roman" w:hAnsi="Artifex CF Extra Light" w:cs="Calibri"/>
                <w:b/>
                <w:color w:val="1F4E79" w:themeColor="accent1" w:themeShade="80"/>
                <w:spacing w:val="10"/>
                <w:sz w:val="18"/>
                <w:szCs w:val="18"/>
                <w:lang w:val="es-ES" w:eastAsia="es-ES"/>
              </w:rPr>
              <w:t>TSS</w:t>
            </w:r>
          </w:p>
        </w:tc>
        <w:tc>
          <w:tcPr>
            <w:tcW w:w="2160" w:type="dxa"/>
            <w:tcBorders>
              <w:top w:val="nil"/>
              <w:left w:val="nil"/>
              <w:bottom w:val="single" w:sz="4" w:space="0" w:color="auto"/>
              <w:right w:val="single" w:sz="4" w:space="0" w:color="auto"/>
            </w:tcBorders>
            <w:shd w:val="clear" w:color="auto" w:fill="FFFFFF" w:themeFill="background1"/>
            <w:vAlign w:val="center"/>
            <w:hideMark/>
          </w:tcPr>
          <w:p w14:paraId="1BC585E9" w14:textId="306D5862" w:rsidR="00981DE3" w:rsidRPr="0053158C" w:rsidRDefault="00981DE3" w:rsidP="0053158C">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53158C">
              <w:rPr>
                <w:rFonts w:ascii="Artifex CF Extra Light" w:eastAsia="Times New Roman" w:hAnsi="Artifex CF Extra Light" w:cs="Calibri"/>
                <w:color w:val="1F4E79" w:themeColor="accent1" w:themeShade="80"/>
                <w:spacing w:val="10"/>
                <w:sz w:val="18"/>
                <w:szCs w:val="18"/>
                <w:lang w:val="es-ES" w:eastAsia="es-ES"/>
              </w:rPr>
              <w:t>$123,681,173.01</w:t>
            </w:r>
          </w:p>
        </w:tc>
        <w:tc>
          <w:tcPr>
            <w:tcW w:w="1334" w:type="dxa"/>
            <w:tcBorders>
              <w:top w:val="nil"/>
              <w:left w:val="nil"/>
              <w:bottom w:val="single" w:sz="4" w:space="0" w:color="auto"/>
              <w:right w:val="single" w:sz="4" w:space="0" w:color="auto"/>
            </w:tcBorders>
            <w:shd w:val="clear" w:color="auto" w:fill="FFFFFF" w:themeFill="background1"/>
            <w:vAlign w:val="center"/>
            <w:hideMark/>
          </w:tcPr>
          <w:p w14:paraId="03AEFF75" w14:textId="77777777" w:rsidR="00981DE3" w:rsidRPr="0053158C" w:rsidRDefault="00981DE3" w:rsidP="0053158C">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53158C">
              <w:rPr>
                <w:rFonts w:ascii="Artifex CF Extra Light" w:eastAsia="Times New Roman" w:hAnsi="Artifex CF Extra Light" w:cs="Calibri"/>
                <w:color w:val="1F4E79" w:themeColor="accent1" w:themeShade="80"/>
                <w:spacing w:val="10"/>
                <w:sz w:val="18"/>
                <w:szCs w:val="18"/>
                <w:lang w:val="es-ES" w:eastAsia="es-ES"/>
              </w:rPr>
              <w:t>32.48</w:t>
            </w:r>
          </w:p>
        </w:tc>
      </w:tr>
      <w:tr w:rsidR="001B7EDE" w:rsidRPr="0053158C" w14:paraId="39577C59" w14:textId="77777777" w:rsidTr="0053158C">
        <w:trPr>
          <w:trHeight w:val="480"/>
        </w:trPr>
        <w:tc>
          <w:tcPr>
            <w:tcW w:w="25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CF5B61" w14:textId="77777777" w:rsidR="00981DE3" w:rsidRPr="0053158C" w:rsidRDefault="00981DE3"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8"/>
                <w:szCs w:val="18"/>
                <w:lang w:val="es-ES" w:eastAsia="es-ES"/>
              </w:rPr>
            </w:pPr>
            <w:r w:rsidRPr="0053158C">
              <w:rPr>
                <w:rFonts w:ascii="Artifex CF Extra Light" w:eastAsia="Times New Roman" w:hAnsi="Artifex CF Extra Light" w:cs="Calibri"/>
                <w:b/>
                <w:color w:val="1F4E79" w:themeColor="accent1" w:themeShade="80"/>
                <w:spacing w:val="10"/>
                <w:sz w:val="18"/>
                <w:szCs w:val="18"/>
                <w:lang w:val="es-ES" w:eastAsia="es-ES"/>
              </w:rPr>
              <w:t>DGII</w:t>
            </w:r>
          </w:p>
        </w:tc>
        <w:tc>
          <w:tcPr>
            <w:tcW w:w="2160" w:type="dxa"/>
            <w:tcBorders>
              <w:top w:val="nil"/>
              <w:left w:val="nil"/>
              <w:bottom w:val="single" w:sz="4" w:space="0" w:color="auto"/>
              <w:right w:val="single" w:sz="4" w:space="0" w:color="auto"/>
            </w:tcBorders>
            <w:shd w:val="clear" w:color="auto" w:fill="FFFFFF" w:themeFill="background1"/>
            <w:vAlign w:val="center"/>
            <w:hideMark/>
          </w:tcPr>
          <w:p w14:paraId="6CF16B7B" w14:textId="6DE462F1" w:rsidR="00981DE3" w:rsidRPr="0053158C" w:rsidRDefault="00981DE3" w:rsidP="0053158C">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53158C">
              <w:rPr>
                <w:rFonts w:ascii="Artifex CF Extra Light" w:eastAsia="Times New Roman" w:hAnsi="Artifex CF Extra Light" w:cs="Calibri"/>
                <w:color w:val="1F4E79" w:themeColor="accent1" w:themeShade="80"/>
                <w:spacing w:val="10"/>
                <w:sz w:val="18"/>
                <w:szCs w:val="18"/>
                <w:lang w:val="es-ES" w:eastAsia="es-ES"/>
              </w:rPr>
              <w:t>$171,126,774.37</w:t>
            </w:r>
          </w:p>
        </w:tc>
        <w:tc>
          <w:tcPr>
            <w:tcW w:w="1334" w:type="dxa"/>
            <w:tcBorders>
              <w:top w:val="nil"/>
              <w:left w:val="nil"/>
              <w:bottom w:val="single" w:sz="4" w:space="0" w:color="auto"/>
              <w:right w:val="single" w:sz="4" w:space="0" w:color="auto"/>
            </w:tcBorders>
            <w:shd w:val="clear" w:color="auto" w:fill="FFFFFF" w:themeFill="background1"/>
            <w:vAlign w:val="center"/>
            <w:hideMark/>
          </w:tcPr>
          <w:p w14:paraId="04B54652" w14:textId="77777777" w:rsidR="00981DE3" w:rsidRPr="0053158C" w:rsidRDefault="00981DE3" w:rsidP="0053158C">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53158C">
              <w:rPr>
                <w:rFonts w:ascii="Artifex CF Extra Light" w:eastAsia="Times New Roman" w:hAnsi="Artifex CF Extra Light" w:cs="Calibri"/>
                <w:color w:val="1F4E79" w:themeColor="accent1" w:themeShade="80"/>
                <w:spacing w:val="10"/>
                <w:sz w:val="18"/>
                <w:szCs w:val="18"/>
                <w:lang w:val="es-ES" w:eastAsia="es-ES"/>
              </w:rPr>
              <w:t>44.94</w:t>
            </w:r>
          </w:p>
        </w:tc>
      </w:tr>
      <w:tr w:rsidR="001B7EDE" w:rsidRPr="0053158C" w14:paraId="6E9DED4A" w14:textId="77777777" w:rsidTr="0053158C">
        <w:trPr>
          <w:trHeight w:val="480"/>
        </w:trPr>
        <w:tc>
          <w:tcPr>
            <w:tcW w:w="25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4A43E3" w14:textId="77777777" w:rsidR="00981DE3" w:rsidRPr="0053158C" w:rsidRDefault="00981DE3" w:rsidP="0053158C">
            <w:pPr>
              <w:spacing w:after="0" w:line="360" w:lineRule="auto"/>
              <w:ind w:firstLine="284"/>
              <w:jc w:val="center"/>
              <w:rPr>
                <w:rFonts w:ascii="Artifex CF Extra Light" w:eastAsia="Times New Roman" w:hAnsi="Artifex CF Extra Light" w:cs="Calibri"/>
                <w:b/>
                <w:color w:val="1F4E79" w:themeColor="accent1" w:themeShade="80"/>
                <w:spacing w:val="10"/>
                <w:sz w:val="18"/>
                <w:szCs w:val="18"/>
                <w:lang w:val="es-ES" w:eastAsia="es-ES"/>
              </w:rPr>
            </w:pPr>
            <w:r w:rsidRPr="0053158C">
              <w:rPr>
                <w:rFonts w:ascii="Artifex CF Extra Light" w:eastAsia="Times New Roman" w:hAnsi="Artifex CF Extra Light" w:cs="Calibri"/>
                <w:b/>
                <w:color w:val="1F4E79" w:themeColor="accent1" w:themeShade="80"/>
                <w:spacing w:val="10"/>
                <w:sz w:val="18"/>
                <w:szCs w:val="18"/>
                <w:lang w:val="es-ES" w:eastAsia="es-ES"/>
              </w:rPr>
              <w:t>Otras</w:t>
            </w:r>
          </w:p>
        </w:tc>
        <w:tc>
          <w:tcPr>
            <w:tcW w:w="2160" w:type="dxa"/>
            <w:tcBorders>
              <w:top w:val="nil"/>
              <w:left w:val="nil"/>
              <w:bottom w:val="single" w:sz="4" w:space="0" w:color="auto"/>
              <w:right w:val="single" w:sz="4" w:space="0" w:color="auto"/>
            </w:tcBorders>
            <w:shd w:val="clear" w:color="auto" w:fill="FFFFFF" w:themeFill="background1"/>
            <w:vAlign w:val="center"/>
            <w:hideMark/>
          </w:tcPr>
          <w:p w14:paraId="781B4855" w14:textId="6DB4B25B" w:rsidR="00981DE3" w:rsidRPr="0053158C" w:rsidRDefault="00981DE3" w:rsidP="0053158C">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53158C">
              <w:rPr>
                <w:rFonts w:ascii="Artifex CF Extra Light" w:eastAsia="Times New Roman" w:hAnsi="Artifex CF Extra Light" w:cs="Calibri"/>
                <w:color w:val="1F4E79" w:themeColor="accent1" w:themeShade="80"/>
                <w:spacing w:val="10"/>
                <w:sz w:val="18"/>
                <w:szCs w:val="18"/>
                <w:lang w:val="es-ES" w:eastAsia="es-ES"/>
              </w:rPr>
              <w:t>$85,978,617.67</w:t>
            </w:r>
          </w:p>
        </w:tc>
        <w:tc>
          <w:tcPr>
            <w:tcW w:w="1334" w:type="dxa"/>
            <w:tcBorders>
              <w:top w:val="nil"/>
              <w:left w:val="nil"/>
              <w:bottom w:val="single" w:sz="4" w:space="0" w:color="auto"/>
              <w:right w:val="single" w:sz="4" w:space="0" w:color="auto"/>
            </w:tcBorders>
            <w:shd w:val="clear" w:color="auto" w:fill="FFFFFF" w:themeFill="background1"/>
            <w:vAlign w:val="center"/>
            <w:hideMark/>
          </w:tcPr>
          <w:p w14:paraId="49B2E23C" w14:textId="77777777" w:rsidR="00981DE3" w:rsidRPr="0053158C" w:rsidRDefault="00981DE3" w:rsidP="0053158C">
            <w:pPr>
              <w:spacing w:after="0" w:line="360" w:lineRule="auto"/>
              <w:ind w:firstLine="284"/>
              <w:jc w:val="center"/>
              <w:rPr>
                <w:rFonts w:ascii="Artifex CF Extra Light" w:eastAsia="Times New Roman" w:hAnsi="Artifex CF Extra Light" w:cs="Calibri"/>
                <w:color w:val="1F4E79" w:themeColor="accent1" w:themeShade="80"/>
                <w:spacing w:val="10"/>
                <w:sz w:val="18"/>
                <w:szCs w:val="18"/>
                <w:lang w:val="es-ES" w:eastAsia="es-ES"/>
              </w:rPr>
            </w:pPr>
            <w:r w:rsidRPr="0053158C">
              <w:rPr>
                <w:rFonts w:ascii="Artifex CF Extra Light" w:eastAsia="Times New Roman" w:hAnsi="Artifex CF Extra Light" w:cs="Calibri"/>
                <w:color w:val="1F4E79" w:themeColor="accent1" w:themeShade="80"/>
                <w:spacing w:val="10"/>
                <w:sz w:val="18"/>
                <w:szCs w:val="18"/>
                <w:lang w:val="es-ES" w:eastAsia="es-ES"/>
              </w:rPr>
              <w:t>22.58</w:t>
            </w:r>
          </w:p>
        </w:tc>
      </w:tr>
      <w:tr w:rsidR="001B7EDE" w:rsidRPr="0053158C" w14:paraId="46E59F32" w14:textId="77777777" w:rsidTr="0053158C">
        <w:trPr>
          <w:trHeight w:val="480"/>
        </w:trPr>
        <w:tc>
          <w:tcPr>
            <w:tcW w:w="6014" w:type="dxa"/>
            <w:gridSpan w:val="3"/>
            <w:tcBorders>
              <w:top w:val="single" w:sz="4" w:space="0" w:color="auto"/>
              <w:left w:val="nil"/>
              <w:bottom w:val="nil"/>
              <w:right w:val="nil"/>
            </w:tcBorders>
            <w:shd w:val="clear" w:color="auto" w:fill="auto"/>
            <w:vAlign w:val="center"/>
            <w:hideMark/>
          </w:tcPr>
          <w:p w14:paraId="3BA51363" w14:textId="77777777" w:rsidR="00981DE3" w:rsidRPr="0053158C" w:rsidRDefault="00981DE3" w:rsidP="0053158C">
            <w:pPr>
              <w:spacing w:after="0" w:line="360" w:lineRule="auto"/>
              <w:ind w:firstLine="284"/>
              <w:rPr>
                <w:rFonts w:ascii="Artifex CF Extra Light" w:eastAsia="Times New Roman" w:hAnsi="Artifex CF Extra Light" w:cs="Calibri"/>
                <w:color w:val="1F4E79" w:themeColor="accent1" w:themeShade="80"/>
                <w:spacing w:val="10"/>
                <w:sz w:val="18"/>
                <w:szCs w:val="18"/>
                <w:lang w:val="es-ES" w:eastAsia="es-ES"/>
              </w:rPr>
            </w:pPr>
            <w:r w:rsidRPr="0053158C">
              <w:rPr>
                <w:rFonts w:ascii="Artifex CF Extra Light" w:eastAsia="Times New Roman" w:hAnsi="Artifex CF Extra Light" w:cs="Calibri"/>
                <w:color w:val="1F4E79" w:themeColor="accent1" w:themeShade="80"/>
                <w:spacing w:val="10"/>
                <w:sz w:val="18"/>
                <w:szCs w:val="18"/>
                <w:lang w:val="es-ES" w:eastAsia="es-ES"/>
              </w:rPr>
              <w:t>Fuente: ProDominicana.</w:t>
            </w:r>
          </w:p>
        </w:tc>
      </w:tr>
    </w:tbl>
    <w:p w14:paraId="6D790DC0" w14:textId="274323B9" w:rsidR="00312366" w:rsidRPr="0053158C" w:rsidRDefault="00312366" w:rsidP="00C374D9">
      <w:pPr>
        <w:spacing w:before="380" w:after="120" w:line="456" w:lineRule="auto"/>
        <w:ind w:firstLine="284"/>
        <w:jc w:val="both"/>
        <w:rPr>
          <w:rFonts w:ascii="Artifex CF Extra Light" w:eastAsiaTheme="minorEastAsia" w:hAnsi="Artifex CF Extra Light" w:cs="Times New Roman"/>
          <w:color w:val="1F4E79" w:themeColor="accent1" w:themeShade="80"/>
          <w:spacing w:val="10"/>
          <w:sz w:val="18"/>
          <w:szCs w:val="18"/>
          <w:lang w:val="es-ES"/>
        </w:rPr>
      </w:pPr>
    </w:p>
    <w:p w14:paraId="55BE372A" w14:textId="77777777" w:rsidR="00AF6073" w:rsidRPr="0053158C" w:rsidRDefault="00AF6073" w:rsidP="00C374D9">
      <w:pPr>
        <w:pStyle w:val="Prrafodelista"/>
        <w:spacing w:before="380" w:after="120" w:line="456" w:lineRule="auto"/>
        <w:ind w:left="0" w:firstLine="284"/>
        <w:contextualSpacing w:val="0"/>
        <w:jc w:val="both"/>
        <w:rPr>
          <w:rFonts w:ascii="Artifex CF Extra Light" w:eastAsiaTheme="minorEastAsia" w:hAnsi="Artifex CF Extra Light" w:cs="Times New Roman"/>
          <w:color w:val="1F4E79" w:themeColor="accent1" w:themeShade="80"/>
          <w:spacing w:val="10"/>
          <w:sz w:val="18"/>
          <w:szCs w:val="18"/>
          <w:lang w:val="es-ES"/>
        </w:rPr>
      </w:pPr>
    </w:p>
    <w:p w14:paraId="32A9960E" w14:textId="77777777" w:rsidR="00161E84" w:rsidRPr="0053158C" w:rsidRDefault="00161E84" w:rsidP="0053158C">
      <w:pPr>
        <w:spacing w:before="380" w:after="120" w:line="456" w:lineRule="auto"/>
        <w:jc w:val="both"/>
        <w:rPr>
          <w:rFonts w:ascii="Artifex CF Extra Light" w:hAnsi="Artifex CF Extra Light" w:cs="Times New Roman"/>
          <w:b/>
          <w:color w:val="1F4E79" w:themeColor="accent1" w:themeShade="80"/>
          <w:spacing w:val="10"/>
          <w:sz w:val="18"/>
          <w:szCs w:val="18"/>
          <w:lang w:val="es-DO"/>
        </w:rPr>
      </w:pPr>
      <w:bookmarkStart w:id="144" w:name="_Toc58332530"/>
    </w:p>
    <w:p w14:paraId="59C7B3FB" w14:textId="78392E64" w:rsidR="00CF6F74" w:rsidRPr="0053158C" w:rsidRDefault="00CF6F74" w:rsidP="0053158C">
      <w:pPr>
        <w:pStyle w:val="Prrafodelista"/>
        <w:numPr>
          <w:ilvl w:val="0"/>
          <w:numId w:val="8"/>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r w:rsidRPr="0053158C">
        <w:rPr>
          <w:rFonts w:ascii="Artifex CF Extra Light" w:hAnsi="Artifex CF Extra Light" w:cs="Times New Roman"/>
          <w:b/>
          <w:color w:val="1F4E79" w:themeColor="accent1" w:themeShade="80"/>
          <w:spacing w:val="10"/>
          <w:sz w:val="18"/>
          <w:szCs w:val="18"/>
          <w:lang w:val="es-DO"/>
        </w:rPr>
        <w:t>Ejecución Presupuestaria del Período / Metas de Producción Logradas</w:t>
      </w:r>
      <w:bookmarkEnd w:id="144"/>
    </w:p>
    <w:p w14:paraId="49549F68" w14:textId="7B3BC371" w:rsidR="00F942D3" w:rsidRPr="0053158C" w:rsidRDefault="00CF6F74" w:rsidP="00C374D9">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color w:val="1F4E79" w:themeColor="accent1" w:themeShade="80"/>
          <w:spacing w:val="10"/>
          <w:sz w:val="18"/>
          <w:szCs w:val="18"/>
        </w:rPr>
        <w:t xml:space="preserve">El total de gastos del ciclo comprendido entre enero y diciembre 2020 ascendió a RD$471,382,751.62 millones, asignados </w:t>
      </w:r>
      <w:r w:rsidR="003D7F25" w:rsidRPr="0053158C">
        <w:rPr>
          <w:rFonts w:ascii="Artifex CF Extra Light" w:hAnsi="Artifex CF Extra Light" w:cs="Times New Roman"/>
          <w:color w:val="1F4E79" w:themeColor="accent1" w:themeShade="80"/>
          <w:spacing w:val="10"/>
          <w:sz w:val="18"/>
          <w:szCs w:val="18"/>
        </w:rPr>
        <w:t>de acuerdo con</w:t>
      </w:r>
      <w:r w:rsidRPr="0053158C">
        <w:rPr>
          <w:rFonts w:ascii="Artifex CF Extra Light" w:hAnsi="Artifex CF Extra Light" w:cs="Times New Roman"/>
          <w:color w:val="1F4E79" w:themeColor="accent1" w:themeShade="80"/>
          <w:spacing w:val="10"/>
          <w:sz w:val="18"/>
          <w:szCs w:val="18"/>
        </w:rPr>
        <w:t xml:space="preserve"> la estructura programática de la Institución, que está conformada por cinco (5) áreas estratégicas, cada una con sus respectivas gerencias:</w:t>
      </w:r>
    </w:p>
    <w:p w14:paraId="76AC0C20" w14:textId="77777777" w:rsidR="00F942D3" w:rsidRPr="0053158C" w:rsidRDefault="00CF6F74" w:rsidP="0053158C">
      <w:pPr>
        <w:pStyle w:val="Textoindependiente"/>
        <w:numPr>
          <w:ilvl w:val="2"/>
          <w:numId w:val="8"/>
        </w:numPr>
        <w:spacing w:before="380" w:after="120" w:line="456" w:lineRule="auto"/>
        <w:ind w:left="568" w:hanging="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b/>
          <w:color w:val="1F4E79" w:themeColor="accent1" w:themeShade="80"/>
          <w:spacing w:val="10"/>
          <w:sz w:val="18"/>
          <w:szCs w:val="18"/>
          <w:lang w:val="es-DO"/>
        </w:rPr>
        <w:t xml:space="preserve">Gestión del Programa: </w:t>
      </w:r>
      <w:r w:rsidRPr="0053158C">
        <w:rPr>
          <w:rFonts w:ascii="Artifex CF Extra Light" w:hAnsi="Artifex CF Extra Light" w:cs="Times New Roman"/>
          <w:color w:val="1F4E79" w:themeColor="accent1" w:themeShade="80"/>
          <w:spacing w:val="10"/>
          <w:sz w:val="18"/>
          <w:szCs w:val="18"/>
          <w:lang w:val="es-DO"/>
        </w:rPr>
        <w:t>Compuestas por las áreas de apoyo y asesoras y estas áreas representan el 70.63% de la ejecución total del gasto.</w:t>
      </w:r>
    </w:p>
    <w:p w14:paraId="139158AC" w14:textId="07439A59" w:rsidR="00F942D3" w:rsidRPr="0053158C" w:rsidRDefault="00CF6F74" w:rsidP="0053158C">
      <w:pPr>
        <w:pStyle w:val="Textoindependiente"/>
        <w:numPr>
          <w:ilvl w:val="2"/>
          <w:numId w:val="8"/>
        </w:numPr>
        <w:spacing w:before="380" w:after="120" w:line="456" w:lineRule="auto"/>
        <w:ind w:left="568" w:hanging="284"/>
        <w:jc w:val="both"/>
        <w:rPr>
          <w:rFonts w:ascii="Artifex CF Extra Light" w:hAnsi="Artifex CF Extra Light" w:cs="Times New Roman"/>
          <w:b/>
          <w:color w:val="1F4E79" w:themeColor="accent1" w:themeShade="80"/>
          <w:spacing w:val="10"/>
          <w:sz w:val="18"/>
          <w:szCs w:val="18"/>
          <w:lang w:val="es-DO"/>
        </w:rPr>
      </w:pPr>
      <w:r w:rsidRPr="0053158C">
        <w:rPr>
          <w:rFonts w:ascii="Artifex CF Extra Light" w:hAnsi="Artifex CF Extra Light" w:cs="Times New Roman"/>
          <w:b/>
          <w:color w:val="1F4E79" w:themeColor="accent1" w:themeShade="80"/>
          <w:spacing w:val="10"/>
          <w:sz w:val="18"/>
          <w:szCs w:val="18"/>
          <w:lang w:val="es-DO"/>
        </w:rPr>
        <w:t xml:space="preserve">Promoción de las Exportaciones: Dentro de este producto se engloban todas las </w:t>
      </w:r>
      <w:r w:rsidR="002C3E7A" w:rsidRPr="0053158C">
        <w:rPr>
          <w:rFonts w:ascii="Artifex CF Extra Light" w:hAnsi="Artifex CF Extra Light" w:cs="Times New Roman"/>
          <w:b/>
          <w:color w:val="1F4E79" w:themeColor="accent1" w:themeShade="80"/>
          <w:spacing w:val="10"/>
          <w:sz w:val="18"/>
          <w:szCs w:val="18"/>
          <w:lang w:val="es-DO"/>
        </w:rPr>
        <w:t>actividades referentes</w:t>
      </w:r>
      <w:r w:rsidRPr="0053158C">
        <w:rPr>
          <w:rFonts w:ascii="Artifex CF Extra Light" w:hAnsi="Artifex CF Extra Light" w:cs="Times New Roman"/>
          <w:b/>
          <w:color w:val="1F4E79" w:themeColor="accent1" w:themeShade="80"/>
          <w:spacing w:val="10"/>
          <w:sz w:val="18"/>
          <w:szCs w:val="18"/>
          <w:lang w:val="es-DO"/>
        </w:rPr>
        <w:t xml:space="preserve"> al área sustantiva que implica a las exportaciones, la cual representó el 18.33% de total </w:t>
      </w:r>
      <w:r w:rsidR="00CD0A75" w:rsidRPr="0053158C">
        <w:rPr>
          <w:rFonts w:ascii="Artifex CF Extra Light" w:hAnsi="Artifex CF Extra Light" w:cs="Times New Roman"/>
          <w:b/>
          <w:color w:val="1F4E79" w:themeColor="accent1" w:themeShade="80"/>
          <w:spacing w:val="10"/>
          <w:sz w:val="18"/>
          <w:szCs w:val="18"/>
          <w:lang w:val="es-DO"/>
        </w:rPr>
        <w:t>del gasto</w:t>
      </w:r>
      <w:r w:rsidRPr="0053158C">
        <w:rPr>
          <w:rFonts w:ascii="Artifex CF Extra Light" w:hAnsi="Artifex CF Extra Light" w:cs="Times New Roman"/>
          <w:b/>
          <w:color w:val="1F4E79" w:themeColor="accent1" w:themeShade="80"/>
          <w:spacing w:val="10"/>
          <w:sz w:val="18"/>
          <w:szCs w:val="18"/>
          <w:lang w:val="es-DO"/>
        </w:rPr>
        <w:t>.</w:t>
      </w:r>
    </w:p>
    <w:p w14:paraId="4338F6B1" w14:textId="491E1850" w:rsidR="00F942D3" w:rsidRPr="0053158C" w:rsidRDefault="00CF6F74" w:rsidP="0053158C">
      <w:pPr>
        <w:pStyle w:val="Textoindependiente"/>
        <w:numPr>
          <w:ilvl w:val="2"/>
          <w:numId w:val="8"/>
        </w:numPr>
        <w:spacing w:before="380" w:after="120" w:line="456" w:lineRule="auto"/>
        <w:ind w:left="568" w:hanging="284"/>
        <w:jc w:val="both"/>
        <w:rPr>
          <w:rFonts w:ascii="Artifex CF Extra Light" w:hAnsi="Artifex CF Extra Light" w:cs="Times New Roman"/>
          <w:b/>
          <w:color w:val="1F4E79" w:themeColor="accent1" w:themeShade="80"/>
          <w:spacing w:val="10"/>
          <w:sz w:val="18"/>
          <w:szCs w:val="18"/>
          <w:lang w:val="es-DO"/>
        </w:rPr>
      </w:pPr>
      <w:r w:rsidRPr="0053158C">
        <w:rPr>
          <w:rFonts w:ascii="Artifex CF Extra Light" w:hAnsi="Artifex CF Extra Light" w:cs="Times New Roman"/>
          <w:b/>
          <w:color w:val="1F4E79" w:themeColor="accent1" w:themeShade="80"/>
          <w:spacing w:val="10"/>
          <w:sz w:val="18"/>
          <w:szCs w:val="18"/>
          <w:lang w:val="es-DO"/>
        </w:rPr>
        <w:t xml:space="preserve">Internalización de las Pymes: la cual representó el 3.33% de total </w:t>
      </w:r>
      <w:r w:rsidR="002C3E7A" w:rsidRPr="0053158C">
        <w:rPr>
          <w:rFonts w:ascii="Artifex CF Extra Light" w:hAnsi="Artifex CF Extra Light" w:cs="Times New Roman"/>
          <w:b/>
          <w:color w:val="1F4E79" w:themeColor="accent1" w:themeShade="80"/>
          <w:spacing w:val="10"/>
          <w:sz w:val="18"/>
          <w:szCs w:val="18"/>
          <w:lang w:val="es-DO"/>
        </w:rPr>
        <w:t>del gasto</w:t>
      </w:r>
      <w:r w:rsidRPr="0053158C">
        <w:rPr>
          <w:rFonts w:ascii="Artifex CF Extra Light" w:hAnsi="Artifex CF Extra Light" w:cs="Times New Roman"/>
          <w:b/>
          <w:color w:val="1F4E79" w:themeColor="accent1" w:themeShade="80"/>
          <w:spacing w:val="10"/>
          <w:sz w:val="18"/>
          <w:szCs w:val="18"/>
          <w:lang w:val="es-DO"/>
        </w:rPr>
        <w:t>.</w:t>
      </w:r>
    </w:p>
    <w:p w14:paraId="502EC76A" w14:textId="77777777" w:rsidR="00F942D3" w:rsidRPr="0053158C" w:rsidRDefault="00CF6F74" w:rsidP="0053158C">
      <w:pPr>
        <w:pStyle w:val="Textoindependiente"/>
        <w:numPr>
          <w:ilvl w:val="2"/>
          <w:numId w:val="8"/>
        </w:numPr>
        <w:spacing w:before="380" w:after="120" w:line="456" w:lineRule="auto"/>
        <w:ind w:left="568" w:hanging="284"/>
        <w:jc w:val="both"/>
        <w:rPr>
          <w:rFonts w:ascii="Artifex CF Extra Light" w:hAnsi="Artifex CF Extra Light" w:cs="Times New Roman"/>
          <w:b/>
          <w:color w:val="1F4E79" w:themeColor="accent1" w:themeShade="80"/>
          <w:spacing w:val="10"/>
          <w:sz w:val="18"/>
          <w:szCs w:val="18"/>
          <w:lang w:val="es-DO"/>
        </w:rPr>
      </w:pPr>
      <w:r w:rsidRPr="0053158C">
        <w:rPr>
          <w:rFonts w:ascii="Artifex CF Extra Light" w:hAnsi="Artifex CF Extra Light" w:cs="Times New Roman"/>
          <w:b/>
          <w:color w:val="1F4E79" w:themeColor="accent1" w:themeShade="80"/>
          <w:spacing w:val="10"/>
          <w:sz w:val="18"/>
          <w:szCs w:val="18"/>
          <w:lang w:val="es-DO"/>
        </w:rPr>
        <w:t>Desarrollo de la Inversión: Compuesta por la Dirección de Inversión, a las cuales se asignó el 5.21% del total de gastos.</w:t>
      </w:r>
    </w:p>
    <w:p w14:paraId="2BBBEF1E" w14:textId="2CADD5F1" w:rsidR="00CF6F74" w:rsidRPr="0053158C" w:rsidRDefault="001841AE" w:rsidP="0053158C">
      <w:pPr>
        <w:pStyle w:val="Textoindependiente"/>
        <w:numPr>
          <w:ilvl w:val="2"/>
          <w:numId w:val="8"/>
        </w:numPr>
        <w:spacing w:before="380" w:after="120" w:line="456" w:lineRule="auto"/>
        <w:ind w:left="568" w:hanging="284"/>
        <w:jc w:val="both"/>
        <w:rPr>
          <w:rFonts w:ascii="Artifex CF Extra Light" w:hAnsi="Artifex CF Extra Light" w:cs="Times New Roman"/>
          <w:b/>
          <w:color w:val="1F4E79" w:themeColor="accent1" w:themeShade="80"/>
          <w:spacing w:val="10"/>
          <w:sz w:val="18"/>
          <w:szCs w:val="18"/>
          <w:lang w:val="es-DO"/>
        </w:rPr>
      </w:pPr>
      <w:r w:rsidRPr="0053158C">
        <w:rPr>
          <w:rFonts w:ascii="Artifex CF Extra Light" w:hAnsi="Artifex CF Extra Light" w:cs="Times New Roman"/>
          <w:b/>
          <w:color w:val="1F4E79" w:themeColor="accent1" w:themeShade="80"/>
          <w:spacing w:val="10"/>
          <w:sz w:val="18"/>
          <w:szCs w:val="18"/>
          <w:lang w:val="es-DO"/>
        </w:rPr>
        <w:t>Fortalecimiento</w:t>
      </w:r>
      <w:r w:rsidR="00CF6F74" w:rsidRPr="0053158C">
        <w:rPr>
          <w:rFonts w:ascii="Artifex CF Extra Light" w:hAnsi="Artifex CF Extra Light" w:cs="Times New Roman"/>
          <w:b/>
          <w:color w:val="1F4E79" w:themeColor="accent1" w:themeShade="80"/>
          <w:spacing w:val="10"/>
          <w:sz w:val="18"/>
          <w:szCs w:val="18"/>
          <w:lang w:val="es-DO"/>
        </w:rPr>
        <w:t xml:space="preserve"> de la Capacidad </w:t>
      </w:r>
      <w:r w:rsidR="002C3E7A" w:rsidRPr="0053158C">
        <w:rPr>
          <w:rFonts w:ascii="Artifex CF Extra Light" w:hAnsi="Artifex CF Extra Light" w:cs="Times New Roman"/>
          <w:b/>
          <w:color w:val="1F4E79" w:themeColor="accent1" w:themeShade="80"/>
          <w:spacing w:val="10"/>
          <w:sz w:val="18"/>
          <w:szCs w:val="18"/>
          <w:lang w:val="es-DO"/>
        </w:rPr>
        <w:t>Exportadora:</w:t>
      </w:r>
      <w:r w:rsidR="00CF6F74" w:rsidRPr="0053158C">
        <w:rPr>
          <w:rFonts w:ascii="Artifex CF Extra Light" w:hAnsi="Artifex CF Extra Light" w:cs="Times New Roman"/>
          <w:b/>
          <w:color w:val="1F4E79" w:themeColor="accent1" w:themeShade="80"/>
          <w:spacing w:val="10"/>
          <w:sz w:val="18"/>
          <w:szCs w:val="18"/>
          <w:lang w:val="es-DO"/>
        </w:rPr>
        <w:t xml:space="preserve"> Se integran todas las actividades referentes a la formación y desarrollo de las capacidades exportadoras, cuya ejecución fue de 2.49% del total de gastos en el periodo.</w:t>
      </w:r>
    </w:p>
    <w:p w14:paraId="6ABE60DF" w14:textId="67D32C9A" w:rsidR="00CF6F74" w:rsidRPr="0053158C" w:rsidRDefault="00CF6F74" w:rsidP="0053158C">
      <w:pPr>
        <w:pStyle w:val="Prrafodelista"/>
        <w:numPr>
          <w:ilvl w:val="0"/>
          <w:numId w:val="8"/>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bookmarkStart w:id="145" w:name="_Toc58332531"/>
      <w:r w:rsidRPr="0053158C">
        <w:rPr>
          <w:rFonts w:ascii="Artifex CF Extra Light" w:hAnsi="Artifex CF Extra Light" w:cs="Times New Roman"/>
          <w:b/>
          <w:color w:val="1F4E79" w:themeColor="accent1" w:themeShade="80"/>
          <w:spacing w:val="10"/>
          <w:sz w:val="18"/>
          <w:szCs w:val="18"/>
          <w:lang w:val="es-DO"/>
        </w:rPr>
        <w:lastRenderedPageBreak/>
        <w:t>Ingresos/ Recaudaciones por Otros Conceptos.</w:t>
      </w:r>
      <w:bookmarkEnd w:id="145"/>
    </w:p>
    <w:p w14:paraId="24974931" w14:textId="4A7337D5" w:rsidR="00CF6F74" w:rsidRPr="0053158C" w:rsidRDefault="00CF6F74" w:rsidP="00C374D9">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color w:val="1F4E79" w:themeColor="accent1" w:themeShade="80"/>
          <w:spacing w:val="10"/>
          <w:sz w:val="18"/>
          <w:szCs w:val="18"/>
        </w:rPr>
        <w:t xml:space="preserve">El flujo de recursos financieros que la institución recibió en el año </w:t>
      </w:r>
      <w:r w:rsidR="00986237" w:rsidRPr="0053158C">
        <w:rPr>
          <w:rFonts w:ascii="Artifex CF Extra Light" w:hAnsi="Artifex CF Extra Light" w:cs="Times New Roman"/>
          <w:color w:val="1F4E79" w:themeColor="accent1" w:themeShade="80"/>
          <w:spacing w:val="10"/>
          <w:sz w:val="18"/>
          <w:szCs w:val="18"/>
        </w:rPr>
        <w:t>2020</w:t>
      </w:r>
      <w:r w:rsidRPr="0053158C">
        <w:rPr>
          <w:rFonts w:ascii="Artifex CF Extra Light" w:hAnsi="Artifex CF Extra Light" w:cs="Times New Roman"/>
          <w:color w:val="1F4E79" w:themeColor="accent1" w:themeShade="80"/>
          <w:spacing w:val="10"/>
          <w:sz w:val="18"/>
          <w:szCs w:val="18"/>
        </w:rPr>
        <w:t xml:space="preserve"> fue de RD$409,600,989.04. El 88.61 % (362,934,336.46) fue aportado por el Gobierno Central, el 10.55% (43,229,420.00) provisto por la Dirección General de Aduanas (DGA), 0.84% (3,437,232.58) por recaudaciones propias de las </w:t>
      </w:r>
      <w:r w:rsidR="00986237" w:rsidRPr="0053158C">
        <w:rPr>
          <w:rFonts w:ascii="Artifex CF Extra Light" w:hAnsi="Artifex CF Extra Light" w:cs="Times New Roman"/>
          <w:color w:val="1F4E79" w:themeColor="accent1" w:themeShade="80"/>
          <w:spacing w:val="10"/>
          <w:sz w:val="18"/>
          <w:szCs w:val="18"/>
        </w:rPr>
        <w:t>ventas de</w:t>
      </w:r>
      <w:r w:rsidRPr="0053158C">
        <w:rPr>
          <w:rFonts w:ascii="Artifex CF Extra Light" w:hAnsi="Artifex CF Extra Light" w:cs="Times New Roman"/>
          <w:color w:val="1F4E79" w:themeColor="accent1" w:themeShade="80"/>
          <w:spacing w:val="10"/>
          <w:sz w:val="18"/>
          <w:szCs w:val="18"/>
        </w:rPr>
        <w:t xml:space="preserve"> servicios.</w:t>
      </w:r>
    </w:p>
    <w:p w14:paraId="792D3632" w14:textId="2BF74324" w:rsidR="00CF6F74" w:rsidRPr="0053158C" w:rsidRDefault="00CF6F74" w:rsidP="0053158C">
      <w:pPr>
        <w:pStyle w:val="Prrafodelista"/>
        <w:numPr>
          <w:ilvl w:val="0"/>
          <w:numId w:val="8"/>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bookmarkStart w:id="146" w:name="_Toc58332532"/>
      <w:r w:rsidRPr="0053158C">
        <w:rPr>
          <w:rFonts w:ascii="Artifex CF Extra Light" w:hAnsi="Artifex CF Extra Light" w:cs="Times New Roman"/>
          <w:b/>
          <w:color w:val="1F4E79" w:themeColor="accent1" w:themeShade="80"/>
          <w:spacing w:val="10"/>
          <w:sz w:val="18"/>
          <w:szCs w:val="18"/>
          <w:lang w:val="es-DO"/>
        </w:rPr>
        <w:t>Pasivos</w:t>
      </w:r>
      <w:bookmarkEnd w:id="146"/>
    </w:p>
    <w:p w14:paraId="5AA104D0" w14:textId="2FBB3E3D" w:rsidR="00A13327" w:rsidRPr="0053158C" w:rsidRDefault="00CF6F74" w:rsidP="00C374D9">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color w:val="1F4E79" w:themeColor="accent1" w:themeShade="80"/>
          <w:spacing w:val="10"/>
          <w:sz w:val="18"/>
          <w:szCs w:val="18"/>
        </w:rPr>
        <w:t>El Centro de Exportación e Inversión de la República Dominicana (</w:t>
      </w:r>
      <w:r w:rsidR="00226525" w:rsidRPr="0053158C">
        <w:rPr>
          <w:rFonts w:ascii="Artifex CF Extra Light" w:hAnsi="Artifex CF Extra Light" w:cs="Times New Roman"/>
          <w:color w:val="1F4E79" w:themeColor="accent1" w:themeShade="80"/>
          <w:spacing w:val="10"/>
          <w:sz w:val="18"/>
          <w:szCs w:val="18"/>
        </w:rPr>
        <w:t>ProDominicana</w:t>
      </w:r>
      <w:r w:rsidRPr="0053158C">
        <w:rPr>
          <w:rFonts w:ascii="Artifex CF Extra Light" w:hAnsi="Artifex CF Extra Light" w:cs="Times New Roman"/>
          <w:color w:val="1F4E79" w:themeColor="accent1" w:themeShade="80"/>
          <w:spacing w:val="10"/>
          <w:sz w:val="18"/>
          <w:szCs w:val="18"/>
        </w:rPr>
        <w:t>) presentó pasivos por un monto total de RD$380,786,565.05 millones, representando el 32.48% (123,681,173.01) de los compromisos contraídos con la Tesorería de la Seguridad Social (TSS), el 44.94% (171,126,774.37) corresponde a las retenciones de Impuesto Sobre la Renta (ISR) y el 22.58% (85,978,617.67) a las cuentas por pagar operativas</w:t>
      </w:r>
      <w:r w:rsidR="00682E0E" w:rsidRPr="0053158C">
        <w:rPr>
          <w:rFonts w:ascii="Artifex CF Extra Light" w:hAnsi="Artifex CF Extra Light" w:cs="Times New Roman"/>
          <w:color w:val="1F4E79" w:themeColor="accent1" w:themeShade="80"/>
          <w:spacing w:val="10"/>
          <w:sz w:val="18"/>
          <w:szCs w:val="18"/>
        </w:rPr>
        <w:t>.</w:t>
      </w:r>
    </w:p>
    <w:p w14:paraId="27263634" w14:textId="304E30EB" w:rsidR="00DF54C7" w:rsidRPr="0053158C" w:rsidRDefault="000729E1" w:rsidP="0053158C">
      <w:pPr>
        <w:pStyle w:val="Prrafodelista"/>
        <w:numPr>
          <w:ilvl w:val="0"/>
          <w:numId w:val="8"/>
        </w:numPr>
        <w:spacing w:before="380" w:after="120" w:line="456" w:lineRule="auto"/>
        <w:ind w:left="284" w:hanging="284"/>
        <w:contextualSpacing w:val="0"/>
        <w:jc w:val="both"/>
        <w:rPr>
          <w:rFonts w:ascii="Artifex CF Extra Light" w:hAnsi="Artifex CF Extra Light" w:cs="Times New Roman"/>
          <w:b/>
          <w:color w:val="1F4E79" w:themeColor="accent1" w:themeShade="80"/>
          <w:spacing w:val="10"/>
          <w:sz w:val="18"/>
          <w:szCs w:val="18"/>
          <w:lang w:val="es-DO"/>
        </w:rPr>
      </w:pPr>
      <w:r w:rsidRPr="0053158C">
        <w:rPr>
          <w:rFonts w:ascii="Artifex CF Extra Light" w:hAnsi="Artifex CF Extra Light" w:cs="Times New Roman"/>
          <w:b/>
          <w:color w:val="1F4E79" w:themeColor="accent1" w:themeShade="80"/>
          <w:spacing w:val="10"/>
          <w:sz w:val="18"/>
          <w:szCs w:val="18"/>
          <w:lang w:val="es-DO"/>
        </w:rPr>
        <w:t>Comportamiento nominal 2020</w:t>
      </w:r>
      <w:r w:rsidR="00DF54C7" w:rsidRPr="0053158C">
        <w:rPr>
          <w:rFonts w:ascii="Artifex CF Extra Light" w:hAnsi="Artifex CF Extra Light" w:cs="Times New Roman"/>
          <w:b/>
          <w:color w:val="1F4E79" w:themeColor="accent1" w:themeShade="80"/>
          <w:spacing w:val="10"/>
          <w:sz w:val="18"/>
          <w:szCs w:val="18"/>
          <w:lang w:val="es-DO"/>
        </w:rPr>
        <w:t xml:space="preserve">: </w:t>
      </w:r>
      <w:r w:rsidR="00AE28D5" w:rsidRPr="0053158C">
        <w:rPr>
          <w:rFonts w:ascii="Artifex CF Extra Light" w:hAnsi="Artifex CF Extra Light" w:cs="Times New Roman"/>
          <w:b/>
          <w:color w:val="1F4E79" w:themeColor="accent1" w:themeShade="80"/>
          <w:spacing w:val="10"/>
          <w:sz w:val="18"/>
          <w:szCs w:val="18"/>
          <w:lang w:val="es-DO"/>
        </w:rPr>
        <w:t xml:space="preserve">El monto total de la </w:t>
      </w:r>
      <w:r w:rsidR="00145BCD" w:rsidRPr="0053158C">
        <w:rPr>
          <w:rFonts w:ascii="Artifex CF Extra Light" w:hAnsi="Artifex CF Extra Light" w:cs="Times New Roman"/>
          <w:b/>
          <w:color w:val="1F4E79" w:themeColor="accent1" w:themeShade="80"/>
          <w:spacing w:val="10"/>
          <w:sz w:val="18"/>
          <w:szCs w:val="18"/>
          <w:lang w:val="es-DO"/>
        </w:rPr>
        <w:t>nómina</w:t>
      </w:r>
      <w:r w:rsidR="00AE28D5" w:rsidRPr="0053158C">
        <w:rPr>
          <w:rFonts w:ascii="Artifex CF Extra Light" w:hAnsi="Artifex CF Extra Light" w:cs="Times New Roman"/>
          <w:b/>
          <w:color w:val="1F4E79" w:themeColor="accent1" w:themeShade="80"/>
          <w:spacing w:val="10"/>
          <w:sz w:val="18"/>
          <w:szCs w:val="18"/>
          <w:lang w:val="es-DO"/>
        </w:rPr>
        <w:t xml:space="preserve"> de ProDomi</w:t>
      </w:r>
      <w:r w:rsidR="00AC761C" w:rsidRPr="0053158C">
        <w:rPr>
          <w:rFonts w:ascii="Artifex CF Extra Light" w:hAnsi="Artifex CF Extra Light" w:cs="Times New Roman"/>
          <w:b/>
          <w:color w:val="1F4E79" w:themeColor="accent1" w:themeShade="80"/>
          <w:spacing w:val="10"/>
          <w:sz w:val="18"/>
          <w:szCs w:val="18"/>
          <w:lang w:val="es-DO"/>
        </w:rPr>
        <w:t>nicana</w:t>
      </w:r>
      <w:r w:rsidR="00145BCD" w:rsidRPr="0053158C">
        <w:rPr>
          <w:rFonts w:ascii="Artifex CF Extra Light" w:hAnsi="Artifex CF Extra Light" w:cs="Times New Roman"/>
          <w:b/>
          <w:color w:val="1F4E79" w:themeColor="accent1" w:themeShade="80"/>
          <w:spacing w:val="10"/>
          <w:sz w:val="18"/>
          <w:szCs w:val="18"/>
          <w:lang w:val="es-DO"/>
        </w:rPr>
        <w:t xml:space="preserve"> ha experimentado una reducción de </w:t>
      </w:r>
      <w:r w:rsidR="00A8208B" w:rsidRPr="0053158C">
        <w:rPr>
          <w:rFonts w:ascii="Artifex CF Extra Light" w:hAnsi="Artifex CF Extra Light" w:cs="Times New Roman"/>
          <w:b/>
          <w:color w:val="1F4E79" w:themeColor="accent1" w:themeShade="80"/>
          <w:spacing w:val="10"/>
          <w:sz w:val="18"/>
          <w:szCs w:val="18"/>
          <w:lang w:val="es-DO"/>
        </w:rPr>
        <w:t>RD$1,285,193.42</w:t>
      </w:r>
      <w:r w:rsidR="00E61710" w:rsidRPr="0053158C">
        <w:rPr>
          <w:rFonts w:ascii="Artifex CF Extra Light" w:hAnsi="Artifex CF Extra Light" w:cs="Times New Roman"/>
          <w:b/>
          <w:color w:val="1F4E79" w:themeColor="accent1" w:themeShade="80"/>
          <w:spacing w:val="10"/>
          <w:sz w:val="18"/>
          <w:szCs w:val="18"/>
          <w:lang w:val="es-DO"/>
        </w:rPr>
        <w:t xml:space="preserve">, pasando de $16,539,987.60 en enero </w:t>
      </w:r>
      <w:r w:rsidR="00C40819" w:rsidRPr="0053158C">
        <w:rPr>
          <w:rFonts w:ascii="Artifex CF Extra Light" w:hAnsi="Artifex CF Extra Light" w:cs="Times New Roman"/>
          <w:b/>
          <w:color w:val="1F4E79" w:themeColor="accent1" w:themeShade="80"/>
          <w:spacing w:val="10"/>
          <w:sz w:val="18"/>
          <w:szCs w:val="18"/>
          <w:lang w:val="es-DO"/>
        </w:rPr>
        <w:t>a $</w:t>
      </w:r>
      <w:r w:rsidR="00E61710" w:rsidRPr="0053158C">
        <w:rPr>
          <w:rFonts w:ascii="Artifex CF Extra Light" w:hAnsi="Artifex CF Extra Light" w:cs="Times New Roman"/>
          <w:b/>
          <w:color w:val="1F4E79" w:themeColor="accent1" w:themeShade="80"/>
          <w:spacing w:val="10"/>
          <w:sz w:val="18"/>
          <w:szCs w:val="18"/>
          <w:lang w:val="es-DO"/>
        </w:rPr>
        <w:t>15,254,794.18 en diciembre</w:t>
      </w:r>
      <w:r w:rsidR="005E4614" w:rsidRPr="0053158C">
        <w:rPr>
          <w:rFonts w:ascii="Artifex CF Extra Light" w:hAnsi="Artifex CF Extra Light" w:cs="Times New Roman"/>
          <w:b/>
          <w:color w:val="1F4E79" w:themeColor="accent1" w:themeShade="80"/>
          <w:spacing w:val="10"/>
          <w:sz w:val="18"/>
          <w:szCs w:val="18"/>
          <w:lang w:val="es-DO"/>
        </w:rPr>
        <w:t>.</w:t>
      </w:r>
    </w:p>
    <w:p w14:paraId="1D12E500" w14:textId="4ADA0353" w:rsidR="00A7792D" w:rsidRPr="0053158C" w:rsidRDefault="00A7792D" w:rsidP="0053158C">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b/>
          <w:color w:val="1F4E79" w:themeColor="accent1" w:themeShade="80"/>
          <w:spacing w:val="10"/>
          <w:sz w:val="18"/>
          <w:szCs w:val="18"/>
        </w:rPr>
        <w:t>Gráfico 8. Comportamiento nominal</w:t>
      </w:r>
      <w:r w:rsidRPr="0053158C">
        <w:rPr>
          <w:rFonts w:ascii="Artifex CF Extra Light" w:hAnsi="Artifex CF Extra Light" w:cs="Times New Roman"/>
          <w:color w:val="1F4E79" w:themeColor="accent1" w:themeShade="80"/>
          <w:spacing w:val="10"/>
          <w:sz w:val="18"/>
          <w:szCs w:val="18"/>
        </w:rPr>
        <w:t xml:space="preserve"> </w:t>
      </w:r>
      <w:r w:rsidRPr="0053158C">
        <w:rPr>
          <w:rFonts w:ascii="Artifex CF Extra Light" w:hAnsi="Artifex CF Extra Light" w:cs="Times New Roman"/>
          <w:b/>
          <w:color w:val="1F4E79" w:themeColor="accent1" w:themeShade="80"/>
          <w:spacing w:val="10"/>
          <w:sz w:val="18"/>
          <w:szCs w:val="18"/>
        </w:rPr>
        <w:t>enero-diciembre, 2020.</w:t>
      </w:r>
    </w:p>
    <w:p w14:paraId="73762285" w14:textId="14CAF2E1" w:rsidR="008F3B8F" w:rsidRPr="0053158C" w:rsidRDefault="00A7792D" w:rsidP="0053158C">
      <w:pPr>
        <w:pStyle w:val="Textoindependiente"/>
        <w:spacing w:after="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noProof/>
          <w:color w:val="1F4E79" w:themeColor="accent1" w:themeShade="80"/>
          <w:spacing w:val="10"/>
          <w:sz w:val="18"/>
          <w:szCs w:val="18"/>
          <w:lang w:eastAsia="es-US"/>
        </w:rPr>
        <w:drawing>
          <wp:inline distT="0" distB="0" distL="0" distR="0" wp14:anchorId="48D46A32" wp14:editId="0555170B">
            <wp:extent cx="4640580" cy="2268855"/>
            <wp:effectExtent l="0" t="0" r="762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C08DD2" w14:textId="77777777" w:rsidR="00981DE3" w:rsidRPr="0053158C" w:rsidRDefault="00981DE3" w:rsidP="0053158C">
      <w:pPr>
        <w:spacing w:after="0" w:line="456" w:lineRule="auto"/>
        <w:ind w:firstLine="284"/>
        <w:rPr>
          <w:rFonts w:ascii="Artifex CF Extra Light" w:hAnsi="Artifex CF Extra Light" w:cs="Times New Roman"/>
          <w:b/>
          <w:bCs/>
          <w:color w:val="1F4E79" w:themeColor="accent1" w:themeShade="80"/>
          <w:spacing w:val="10"/>
          <w:sz w:val="18"/>
          <w:szCs w:val="18"/>
          <w:lang w:val="es-DO"/>
        </w:rPr>
      </w:pPr>
      <w:bookmarkStart w:id="147" w:name="_Toc58332533"/>
      <w:r w:rsidRPr="0053158C">
        <w:rPr>
          <w:rFonts w:ascii="Artifex CF Extra Light" w:hAnsi="Artifex CF Extra Light" w:cs="Times New Roman"/>
          <w:b/>
          <w:bCs/>
          <w:color w:val="1F4E79" w:themeColor="accent1" w:themeShade="80"/>
          <w:spacing w:val="10"/>
          <w:sz w:val="18"/>
          <w:szCs w:val="18"/>
          <w:lang w:val="es-DO"/>
        </w:rPr>
        <w:br w:type="page"/>
      </w:r>
    </w:p>
    <w:p w14:paraId="522C3467" w14:textId="63F78545" w:rsidR="00AA0306" w:rsidRPr="00061E36" w:rsidRDefault="00F95111" w:rsidP="00864966">
      <w:pPr>
        <w:pStyle w:val="Prrafodelista"/>
        <w:numPr>
          <w:ilvl w:val="0"/>
          <w:numId w:val="4"/>
        </w:numPr>
        <w:spacing w:before="380" w:after="120" w:line="456" w:lineRule="auto"/>
        <w:ind w:left="0" w:firstLine="284"/>
        <w:contextualSpacing w:val="0"/>
        <w:jc w:val="center"/>
        <w:outlineLvl w:val="1"/>
        <w:rPr>
          <w:rFonts w:ascii="Artifex CF Extra Light" w:hAnsi="Artifex CF Extra Light" w:cs="Times New Roman"/>
          <w:b/>
          <w:bCs/>
          <w:color w:val="1F4E79" w:themeColor="accent1" w:themeShade="80"/>
          <w:spacing w:val="10"/>
          <w:sz w:val="18"/>
          <w:szCs w:val="18"/>
          <w:lang w:val="es-DO"/>
        </w:rPr>
      </w:pPr>
      <w:bookmarkStart w:id="148" w:name="_Toc59528111"/>
      <w:r w:rsidRPr="00061E36">
        <w:rPr>
          <w:rFonts w:ascii="Artifex CF Extra Light" w:hAnsi="Artifex CF Extra Light" w:cs="Times New Roman"/>
          <w:b/>
          <w:bCs/>
          <w:color w:val="1F4E79" w:themeColor="accent1" w:themeShade="80"/>
          <w:spacing w:val="10"/>
          <w:sz w:val="18"/>
          <w:szCs w:val="18"/>
          <w:lang w:val="es-DO"/>
        </w:rPr>
        <w:lastRenderedPageBreak/>
        <w:t>CONTRATACIONES Y ADQUISICIONES</w:t>
      </w:r>
      <w:bookmarkEnd w:id="147"/>
      <w:bookmarkEnd w:id="148"/>
    </w:p>
    <w:p w14:paraId="55DDE2B6" w14:textId="5F6DDB7A" w:rsidR="00AD7DD6" w:rsidRPr="0053158C" w:rsidRDefault="00AD7DD6"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color w:val="1F4E79" w:themeColor="accent1" w:themeShade="80"/>
          <w:spacing w:val="10"/>
          <w:sz w:val="18"/>
          <w:szCs w:val="18"/>
        </w:rPr>
        <w:t>Los procesos de compras se realizan bajo el fiel cumplimiento de la ley 340-06 sobre Compras y Contrataciones y su Reglamento de Aplicación No. 543-12, poniendo especial atención a los umbrales establecidos en el artículo 17 párrafo I y II actualizado y publicado anualmente por el Órgano Rector.</w:t>
      </w:r>
    </w:p>
    <w:p w14:paraId="3C4F41FA" w14:textId="7DD546B5" w:rsidR="00AD7DD6" w:rsidRPr="0053158C" w:rsidRDefault="00AD7DD6"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color w:val="1F4E79" w:themeColor="accent1" w:themeShade="80"/>
          <w:spacing w:val="10"/>
          <w:sz w:val="18"/>
          <w:szCs w:val="18"/>
        </w:rPr>
        <w:t xml:space="preserve">Durante   el periodo   enero-diciembre   del   2020, </w:t>
      </w:r>
      <w:r w:rsidR="00B654C2" w:rsidRPr="0053158C">
        <w:rPr>
          <w:rFonts w:ascii="Artifex CF Extra Light" w:hAnsi="Artifex CF Extra Light" w:cs="Times New Roman"/>
          <w:color w:val="1F4E79" w:themeColor="accent1" w:themeShade="80"/>
          <w:spacing w:val="10"/>
          <w:sz w:val="18"/>
          <w:szCs w:val="18"/>
        </w:rPr>
        <w:t>ProDominicana</w:t>
      </w:r>
      <w:r w:rsidRPr="0053158C">
        <w:rPr>
          <w:rFonts w:ascii="Artifex CF Extra Light" w:hAnsi="Artifex CF Extra Light" w:cs="Times New Roman"/>
          <w:color w:val="1F4E79" w:themeColor="accent1" w:themeShade="80"/>
          <w:spacing w:val="10"/>
          <w:sz w:val="18"/>
          <w:szCs w:val="18"/>
        </w:rPr>
        <w:t xml:space="preserve"> realizó: ciento ochenta y seis (186) procesos: Compras por Debajo del Umbral Mínimo ciento doce (112); sesenta y ocho, (68) Compras Menores; c</w:t>
      </w:r>
      <w:r w:rsidR="00425A8C" w:rsidRPr="0053158C">
        <w:rPr>
          <w:rFonts w:ascii="Artifex CF Extra Light" w:hAnsi="Artifex CF Extra Light" w:cs="Times New Roman"/>
          <w:color w:val="1F4E79" w:themeColor="accent1" w:themeShade="80"/>
          <w:spacing w:val="10"/>
          <w:sz w:val="18"/>
          <w:szCs w:val="18"/>
        </w:rPr>
        <w:t>inco</w:t>
      </w:r>
      <w:r w:rsidRPr="0053158C">
        <w:rPr>
          <w:rFonts w:ascii="Artifex CF Extra Light" w:hAnsi="Artifex CF Extra Light" w:cs="Times New Roman"/>
          <w:color w:val="1F4E79" w:themeColor="accent1" w:themeShade="80"/>
          <w:spacing w:val="10"/>
          <w:sz w:val="18"/>
          <w:szCs w:val="18"/>
        </w:rPr>
        <w:t xml:space="preserve"> (5) Comparación de Precios y una (1) Excepción. Estos procesos ascendieron a la suma de RD$56,548,231.14</w:t>
      </w:r>
      <w:r w:rsidR="00BD6FEE" w:rsidRPr="0053158C">
        <w:rPr>
          <w:rFonts w:ascii="Artifex CF Extra Light" w:hAnsi="Artifex CF Extra Light" w:cs="Times New Roman"/>
          <w:color w:val="1F4E79" w:themeColor="accent1" w:themeShade="80"/>
          <w:spacing w:val="10"/>
          <w:sz w:val="18"/>
          <w:szCs w:val="18"/>
        </w:rPr>
        <w:t>.</w:t>
      </w:r>
    </w:p>
    <w:tbl>
      <w:tblPr>
        <w:tblW w:w="6671" w:type="dxa"/>
        <w:jc w:val="center"/>
        <w:tblCellMar>
          <w:left w:w="70" w:type="dxa"/>
          <w:right w:w="70" w:type="dxa"/>
        </w:tblCellMar>
        <w:tblLook w:val="04A0" w:firstRow="1" w:lastRow="0" w:firstColumn="1" w:lastColumn="0" w:noHBand="0" w:noVBand="1"/>
      </w:tblPr>
      <w:tblGrid>
        <w:gridCol w:w="2060"/>
        <w:gridCol w:w="2057"/>
        <w:gridCol w:w="2554"/>
      </w:tblGrid>
      <w:tr w:rsidR="001B7EDE" w:rsidRPr="00324A19" w14:paraId="097A5CBC" w14:textId="77777777" w:rsidTr="00F473CF">
        <w:trPr>
          <w:trHeight w:val="20"/>
          <w:jc w:val="center"/>
        </w:trPr>
        <w:tc>
          <w:tcPr>
            <w:tcW w:w="6671" w:type="dxa"/>
            <w:gridSpan w:val="3"/>
            <w:tcBorders>
              <w:top w:val="nil"/>
              <w:left w:val="nil"/>
              <w:bottom w:val="single" w:sz="4" w:space="0" w:color="auto"/>
              <w:right w:val="nil"/>
            </w:tcBorders>
            <w:shd w:val="clear" w:color="auto" w:fill="auto"/>
            <w:noWrap/>
            <w:vAlign w:val="center"/>
            <w:hideMark/>
          </w:tcPr>
          <w:p w14:paraId="18AEEB02" w14:textId="77777777" w:rsidR="00CC7930" w:rsidRPr="00324A19" w:rsidRDefault="00CC7930"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Tabla 6. Modalidad de compra.</w:t>
            </w:r>
          </w:p>
        </w:tc>
      </w:tr>
      <w:tr w:rsidR="001B7EDE" w:rsidRPr="00324A19" w14:paraId="1F4E310D" w14:textId="77777777" w:rsidTr="0053158C">
        <w:trPr>
          <w:trHeight w:val="20"/>
          <w:jc w:val="center"/>
        </w:trPr>
        <w:tc>
          <w:tcPr>
            <w:tcW w:w="2060" w:type="dxa"/>
            <w:tcBorders>
              <w:top w:val="nil"/>
              <w:left w:val="single" w:sz="4" w:space="0" w:color="auto"/>
              <w:bottom w:val="single" w:sz="4" w:space="0" w:color="auto"/>
              <w:right w:val="single" w:sz="4" w:space="0" w:color="auto"/>
            </w:tcBorders>
            <w:shd w:val="clear" w:color="000000" w:fill="1F4E78"/>
            <w:vAlign w:val="center"/>
            <w:hideMark/>
          </w:tcPr>
          <w:p w14:paraId="364443D5" w14:textId="77777777" w:rsidR="00CC7930" w:rsidRPr="0053158C" w:rsidRDefault="00CC7930"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Modalidad de la Compra</w:t>
            </w:r>
          </w:p>
        </w:tc>
        <w:tc>
          <w:tcPr>
            <w:tcW w:w="2057" w:type="dxa"/>
            <w:tcBorders>
              <w:top w:val="nil"/>
              <w:left w:val="nil"/>
              <w:bottom w:val="single" w:sz="4" w:space="0" w:color="auto"/>
              <w:right w:val="single" w:sz="4" w:space="0" w:color="auto"/>
            </w:tcBorders>
            <w:shd w:val="clear" w:color="000000" w:fill="1F4E78"/>
            <w:vAlign w:val="center"/>
            <w:hideMark/>
          </w:tcPr>
          <w:p w14:paraId="73EB0A4F" w14:textId="77777777" w:rsidR="00CC7930" w:rsidRPr="0053158C" w:rsidRDefault="00CC7930"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Cantidad</w:t>
            </w:r>
          </w:p>
        </w:tc>
        <w:tc>
          <w:tcPr>
            <w:tcW w:w="2554" w:type="dxa"/>
            <w:tcBorders>
              <w:top w:val="nil"/>
              <w:left w:val="nil"/>
              <w:bottom w:val="single" w:sz="4" w:space="0" w:color="auto"/>
              <w:right w:val="single" w:sz="4" w:space="0" w:color="auto"/>
            </w:tcBorders>
            <w:shd w:val="clear" w:color="000000" w:fill="1F4E78"/>
            <w:vAlign w:val="center"/>
            <w:hideMark/>
          </w:tcPr>
          <w:p w14:paraId="1AF760ED" w14:textId="77777777" w:rsidR="00CC7930" w:rsidRPr="0053158C" w:rsidRDefault="00CC7930"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Monto RD$</w:t>
            </w:r>
          </w:p>
        </w:tc>
      </w:tr>
      <w:tr w:rsidR="001B7EDE" w:rsidRPr="00324A19" w14:paraId="6C0FBC2A" w14:textId="77777777" w:rsidTr="00F473CF">
        <w:trPr>
          <w:trHeight w:val="20"/>
          <w:jc w:val="center"/>
        </w:trPr>
        <w:tc>
          <w:tcPr>
            <w:tcW w:w="2060" w:type="dxa"/>
            <w:tcBorders>
              <w:top w:val="nil"/>
              <w:left w:val="single" w:sz="4" w:space="0" w:color="auto"/>
              <w:bottom w:val="single" w:sz="4" w:space="0" w:color="auto"/>
              <w:right w:val="single" w:sz="4" w:space="0" w:color="auto"/>
            </w:tcBorders>
            <w:shd w:val="clear" w:color="000000" w:fill="FFFFFF"/>
            <w:vAlign w:val="center"/>
            <w:hideMark/>
          </w:tcPr>
          <w:p w14:paraId="15BC881B" w14:textId="77777777" w:rsidR="00CC7930" w:rsidRPr="00324A19" w:rsidRDefault="00CC7930"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Bajo Umbral Mínimo</w:t>
            </w:r>
          </w:p>
        </w:tc>
        <w:tc>
          <w:tcPr>
            <w:tcW w:w="2057" w:type="dxa"/>
            <w:tcBorders>
              <w:top w:val="nil"/>
              <w:left w:val="nil"/>
              <w:bottom w:val="single" w:sz="4" w:space="0" w:color="auto"/>
              <w:right w:val="single" w:sz="4" w:space="0" w:color="auto"/>
            </w:tcBorders>
            <w:shd w:val="clear" w:color="000000" w:fill="FFFFFF"/>
            <w:vAlign w:val="center"/>
            <w:hideMark/>
          </w:tcPr>
          <w:p w14:paraId="7CBE391D" w14:textId="77777777" w:rsidR="00CC7930" w:rsidRPr="00324A19" w:rsidRDefault="00CC7930"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112</w:t>
            </w:r>
          </w:p>
        </w:tc>
        <w:tc>
          <w:tcPr>
            <w:tcW w:w="2554" w:type="dxa"/>
            <w:tcBorders>
              <w:top w:val="nil"/>
              <w:left w:val="nil"/>
              <w:bottom w:val="single" w:sz="4" w:space="0" w:color="auto"/>
              <w:right w:val="single" w:sz="4" w:space="0" w:color="auto"/>
            </w:tcBorders>
            <w:shd w:val="clear" w:color="000000" w:fill="FFFFFF"/>
            <w:vAlign w:val="center"/>
            <w:hideMark/>
          </w:tcPr>
          <w:p w14:paraId="28A20E6A" w14:textId="4BDE0A10" w:rsidR="00CC7930" w:rsidRPr="00324A19" w:rsidRDefault="00CC7930"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$8,993,020.11</w:t>
            </w:r>
          </w:p>
        </w:tc>
      </w:tr>
      <w:tr w:rsidR="001B7EDE" w:rsidRPr="00324A19" w14:paraId="3914A6EB" w14:textId="77777777" w:rsidTr="00F473CF">
        <w:trPr>
          <w:trHeight w:val="20"/>
          <w:jc w:val="center"/>
        </w:trPr>
        <w:tc>
          <w:tcPr>
            <w:tcW w:w="2060" w:type="dxa"/>
            <w:tcBorders>
              <w:top w:val="nil"/>
              <w:left w:val="single" w:sz="4" w:space="0" w:color="auto"/>
              <w:bottom w:val="single" w:sz="4" w:space="0" w:color="auto"/>
              <w:right w:val="single" w:sz="4" w:space="0" w:color="auto"/>
            </w:tcBorders>
            <w:shd w:val="clear" w:color="000000" w:fill="FFFFFF"/>
            <w:vAlign w:val="center"/>
            <w:hideMark/>
          </w:tcPr>
          <w:p w14:paraId="32B29849" w14:textId="77777777" w:rsidR="00CC7930" w:rsidRPr="00324A19" w:rsidRDefault="00CC7930"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Compra Menores</w:t>
            </w:r>
          </w:p>
        </w:tc>
        <w:tc>
          <w:tcPr>
            <w:tcW w:w="2057" w:type="dxa"/>
            <w:tcBorders>
              <w:top w:val="nil"/>
              <w:left w:val="nil"/>
              <w:bottom w:val="single" w:sz="4" w:space="0" w:color="auto"/>
              <w:right w:val="single" w:sz="4" w:space="0" w:color="auto"/>
            </w:tcBorders>
            <w:shd w:val="clear" w:color="000000" w:fill="FFFFFF"/>
            <w:vAlign w:val="center"/>
            <w:hideMark/>
          </w:tcPr>
          <w:p w14:paraId="0888FA45" w14:textId="77777777" w:rsidR="00CC7930" w:rsidRPr="00324A19" w:rsidRDefault="00CC7930"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68</w:t>
            </w:r>
          </w:p>
        </w:tc>
        <w:tc>
          <w:tcPr>
            <w:tcW w:w="2554" w:type="dxa"/>
            <w:tcBorders>
              <w:top w:val="nil"/>
              <w:left w:val="nil"/>
              <w:bottom w:val="single" w:sz="4" w:space="0" w:color="auto"/>
              <w:right w:val="single" w:sz="4" w:space="0" w:color="auto"/>
            </w:tcBorders>
            <w:shd w:val="clear" w:color="000000" w:fill="FFFFFF"/>
            <w:vAlign w:val="center"/>
            <w:hideMark/>
          </w:tcPr>
          <w:p w14:paraId="09F5E311" w14:textId="2034E4E0" w:rsidR="00CC7930" w:rsidRPr="00324A19" w:rsidRDefault="00CC7930"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$29,324,905.10</w:t>
            </w:r>
          </w:p>
        </w:tc>
      </w:tr>
      <w:tr w:rsidR="001B7EDE" w:rsidRPr="00324A19" w14:paraId="7029F28C" w14:textId="77777777" w:rsidTr="00F473CF">
        <w:trPr>
          <w:trHeight w:val="20"/>
          <w:jc w:val="center"/>
        </w:trPr>
        <w:tc>
          <w:tcPr>
            <w:tcW w:w="2060" w:type="dxa"/>
            <w:tcBorders>
              <w:top w:val="nil"/>
              <w:left w:val="single" w:sz="4" w:space="0" w:color="auto"/>
              <w:bottom w:val="single" w:sz="4" w:space="0" w:color="auto"/>
              <w:right w:val="single" w:sz="4" w:space="0" w:color="auto"/>
            </w:tcBorders>
            <w:shd w:val="clear" w:color="000000" w:fill="FFFFFF"/>
            <w:vAlign w:val="center"/>
            <w:hideMark/>
          </w:tcPr>
          <w:p w14:paraId="6854517F" w14:textId="77777777" w:rsidR="00CC7930" w:rsidRPr="00324A19" w:rsidRDefault="00CC7930"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Comparación de Precios</w:t>
            </w:r>
          </w:p>
        </w:tc>
        <w:tc>
          <w:tcPr>
            <w:tcW w:w="2057" w:type="dxa"/>
            <w:tcBorders>
              <w:top w:val="nil"/>
              <w:left w:val="nil"/>
              <w:bottom w:val="single" w:sz="4" w:space="0" w:color="auto"/>
              <w:right w:val="single" w:sz="4" w:space="0" w:color="auto"/>
            </w:tcBorders>
            <w:shd w:val="clear" w:color="000000" w:fill="FFFFFF"/>
            <w:vAlign w:val="center"/>
            <w:hideMark/>
          </w:tcPr>
          <w:p w14:paraId="05C763F6" w14:textId="77777777" w:rsidR="00CC7930" w:rsidRPr="00324A19" w:rsidRDefault="00CC7930"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5</w:t>
            </w:r>
          </w:p>
        </w:tc>
        <w:tc>
          <w:tcPr>
            <w:tcW w:w="2554" w:type="dxa"/>
            <w:tcBorders>
              <w:top w:val="nil"/>
              <w:left w:val="nil"/>
              <w:bottom w:val="single" w:sz="4" w:space="0" w:color="auto"/>
              <w:right w:val="single" w:sz="4" w:space="0" w:color="auto"/>
            </w:tcBorders>
            <w:shd w:val="clear" w:color="000000" w:fill="FFFFFF"/>
            <w:vAlign w:val="center"/>
            <w:hideMark/>
          </w:tcPr>
          <w:p w14:paraId="4D527A48" w14:textId="283D2FC8" w:rsidR="00CC7930" w:rsidRPr="00324A19" w:rsidRDefault="00CC7930"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$17,057,503.93</w:t>
            </w:r>
          </w:p>
        </w:tc>
      </w:tr>
      <w:tr w:rsidR="001B7EDE" w:rsidRPr="00324A19" w14:paraId="0B0909E9" w14:textId="77777777" w:rsidTr="00F473CF">
        <w:trPr>
          <w:trHeight w:val="20"/>
          <w:jc w:val="center"/>
        </w:trPr>
        <w:tc>
          <w:tcPr>
            <w:tcW w:w="2060" w:type="dxa"/>
            <w:tcBorders>
              <w:top w:val="nil"/>
              <w:left w:val="single" w:sz="4" w:space="0" w:color="auto"/>
              <w:bottom w:val="single" w:sz="4" w:space="0" w:color="auto"/>
              <w:right w:val="single" w:sz="4" w:space="0" w:color="auto"/>
            </w:tcBorders>
            <w:shd w:val="clear" w:color="000000" w:fill="FFFFFF"/>
            <w:vAlign w:val="center"/>
            <w:hideMark/>
          </w:tcPr>
          <w:p w14:paraId="144ACF43" w14:textId="77777777" w:rsidR="00CC7930" w:rsidRPr="00324A19" w:rsidRDefault="00CC7930"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Excepción</w:t>
            </w:r>
          </w:p>
        </w:tc>
        <w:tc>
          <w:tcPr>
            <w:tcW w:w="2057" w:type="dxa"/>
            <w:tcBorders>
              <w:top w:val="nil"/>
              <w:left w:val="nil"/>
              <w:bottom w:val="single" w:sz="4" w:space="0" w:color="auto"/>
              <w:right w:val="single" w:sz="4" w:space="0" w:color="auto"/>
            </w:tcBorders>
            <w:shd w:val="clear" w:color="000000" w:fill="FFFFFF"/>
            <w:vAlign w:val="center"/>
            <w:hideMark/>
          </w:tcPr>
          <w:p w14:paraId="14FDEE1F" w14:textId="77777777" w:rsidR="00CC7930" w:rsidRPr="00324A19" w:rsidRDefault="00CC7930"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w:t>
            </w:r>
          </w:p>
        </w:tc>
        <w:tc>
          <w:tcPr>
            <w:tcW w:w="2554" w:type="dxa"/>
            <w:tcBorders>
              <w:top w:val="nil"/>
              <w:left w:val="nil"/>
              <w:bottom w:val="single" w:sz="4" w:space="0" w:color="auto"/>
              <w:right w:val="single" w:sz="4" w:space="0" w:color="auto"/>
            </w:tcBorders>
            <w:shd w:val="clear" w:color="000000" w:fill="FFFFFF"/>
            <w:vAlign w:val="center"/>
            <w:hideMark/>
          </w:tcPr>
          <w:p w14:paraId="6CA4D840" w14:textId="4E5ECD4B" w:rsidR="00CC7930" w:rsidRPr="00324A19" w:rsidRDefault="00CC7930"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$1,172,802.00</w:t>
            </w:r>
          </w:p>
        </w:tc>
      </w:tr>
      <w:tr w:rsidR="001B7EDE" w:rsidRPr="00324A19" w14:paraId="693FA74C" w14:textId="77777777" w:rsidTr="00F473CF">
        <w:trPr>
          <w:trHeight w:val="20"/>
          <w:jc w:val="center"/>
        </w:trPr>
        <w:tc>
          <w:tcPr>
            <w:tcW w:w="2060" w:type="dxa"/>
            <w:tcBorders>
              <w:top w:val="nil"/>
              <w:left w:val="single" w:sz="4" w:space="0" w:color="auto"/>
              <w:bottom w:val="single" w:sz="4" w:space="0" w:color="auto"/>
              <w:right w:val="single" w:sz="4" w:space="0" w:color="auto"/>
            </w:tcBorders>
            <w:shd w:val="clear" w:color="000000" w:fill="FFFFFF"/>
            <w:vAlign w:val="center"/>
            <w:hideMark/>
          </w:tcPr>
          <w:p w14:paraId="74CDF074" w14:textId="77777777" w:rsidR="00CC7930" w:rsidRPr="00324A19" w:rsidRDefault="00CC7930"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Total</w:t>
            </w:r>
          </w:p>
        </w:tc>
        <w:tc>
          <w:tcPr>
            <w:tcW w:w="2057" w:type="dxa"/>
            <w:tcBorders>
              <w:top w:val="nil"/>
              <w:left w:val="nil"/>
              <w:bottom w:val="single" w:sz="4" w:space="0" w:color="auto"/>
              <w:right w:val="single" w:sz="4" w:space="0" w:color="auto"/>
            </w:tcBorders>
            <w:shd w:val="clear" w:color="000000" w:fill="FFFFFF"/>
            <w:vAlign w:val="center"/>
            <w:hideMark/>
          </w:tcPr>
          <w:p w14:paraId="1B8E96EB" w14:textId="77777777" w:rsidR="00CC7930" w:rsidRPr="00324A19" w:rsidRDefault="00CC7930"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186</w:t>
            </w:r>
          </w:p>
        </w:tc>
        <w:tc>
          <w:tcPr>
            <w:tcW w:w="2554" w:type="dxa"/>
            <w:tcBorders>
              <w:top w:val="nil"/>
              <w:left w:val="nil"/>
              <w:bottom w:val="single" w:sz="4" w:space="0" w:color="auto"/>
              <w:right w:val="single" w:sz="4" w:space="0" w:color="auto"/>
            </w:tcBorders>
            <w:shd w:val="clear" w:color="000000" w:fill="FFFFFF"/>
            <w:vAlign w:val="center"/>
            <w:hideMark/>
          </w:tcPr>
          <w:p w14:paraId="484063C0" w14:textId="25F69495" w:rsidR="00CC7930" w:rsidRPr="00324A19" w:rsidRDefault="00CC7930"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$56,548,231.14</w:t>
            </w:r>
          </w:p>
        </w:tc>
      </w:tr>
      <w:tr w:rsidR="001B7EDE" w:rsidRPr="00324A19" w14:paraId="47EE820D" w14:textId="77777777" w:rsidTr="00F473CF">
        <w:trPr>
          <w:trHeight w:val="20"/>
          <w:jc w:val="center"/>
        </w:trPr>
        <w:tc>
          <w:tcPr>
            <w:tcW w:w="6671" w:type="dxa"/>
            <w:gridSpan w:val="3"/>
            <w:tcBorders>
              <w:top w:val="single" w:sz="4" w:space="0" w:color="auto"/>
              <w:left w:val="nil"/>
              <w:bottom w:val="nil"/>
              <w:right w:val="nil"/>
            </w:tcBorders>
            <w:shd w:val="clear" w:color="auto" w:fill="auto"/>
            <w:vAlign w:val="center"/>
            <w:hideMark/>
          </w:tcPr>
          <w:p w14:paraId="4A01F3B0" w14:textId="6997EC11" w:rsidR="00CC7930" w:rsidRPr="00324A19" w:rsidRDefault="00CC7930" w:rsidP="0053158C">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Fuente: ProDominicana.</w:t>
            </w:r>
          </w:p>
        </w:tc>
      </w:tr>
    </w:tbl>
    <w:p w14:paraId="5B09B7D5" w14:textId="49514E7C" w:rsidR="00AD7DD6" w:rsidRPr="0053158C" w:rsidRDefault="00AD7DD6"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color w:val="1F4E79" w:themeColor="accent1" w:themeShade="80"/>
          <w:spacing w:val="10"/>
          <w:sz w:val="18"/>
          <w:szCs w:val="18"/>
        </w:rPr>
        <w:t xml:space="preserve">En </w:t>
      </w:r>
      <w:r w:rsidR="00F473CF" w:rsidRPr="0053158C">
        <w:rPr>
          <w:rFonts w:ascii="Artifex CF Extra Light" w:hAnsi="Artifex CF Extra Light" w:cs="Times New Roman"/>
          <w:color w:val="1F4E79" w:themeColor="accent1" w:themeShade="80"/>
          <w:spacing w:val="10"/>
          <w:sz w:val="18"/>
          <w:szCs w:val="18"/>
        </w:rPr>
        <w:t>la tabla</w:t>
      </w:r>
      <w:r w:rsidR="00B915C3" w:rsidRPr="0053158C">
        <w:rPr>
          <w:rFonts w:ascii="Artifex CF Extra Light" w:hAnsi="Artifex CF Extra Light" w:cs="Times New Roman"/>
          <w:color w:val="1F4E79" w:themeColor="accent1" w:themeShade="80"/>
          <w:spacing w:val="10"/>
          <w:sz w:val="18"/>
          <w:szCs w:val="18"/>
        </w:rPr>
        <w:t xml:space="preserve"> 7</w:t>
      </w:r>
      <w:r w:rsidRPr="0053158C">
        <w:rPr>
          <w:rFonts w:ascii="Artifex CF Extra Light" w:hAnsi="Artifex CF Extra Light" w:cs="Times New Roman"/>
          <w:color w:val="1F4E79" w:themeColor="accent1" w:themeShade="80"/>
          <w:spacing w:val="10"/>
          <w:sz w:val="18"/>
          <w:szCs w:val="18"/>
        </w:rPr>
        <w:t xml:space="preserve"> por tipos de Contratos, durante el período observado se procesaron </w:t>
      </w:r>
      <w:r w:rsidR="00425A8C" w:rsidRPr="0053158C">
        <w:rPr>
          <w:rFonts w:ascii="Artifex CF Extra Light" w:hAnsi="Artifex CF Extra Light" w:cs="Times New Roman"/>
          <w:color w:val="1F4E79" w:themeColor="accent1" w:themeShade="80"/>
          <w:spacing w:val="10"/>
          <w:sz w:val="18"/>
          <w:szCs w:val="18"/>
        </w:rPr>
        <w:t>ochenta</w:t>
      </w:r>
      <w:r w:rsidRPr="0053158C">
        <w:rPr>
          <w:rFonts w:ascii="Artifex CF Extra Light" w:hAnsi="Artifex CF Extra Light" w:cs="Times New Roman"/>
          <w:color w:val="1F4E79" w:themeColor="accent1" w:themeShade="80"/>
          <w:spacing w:val="10"/>
          <w:sz w:val="18"/>
          <w:szCs w:val="18"/>
        </w:rPr>
        <w:t xml:space="preserve"> y </w:t>
      </w:r>
      <w:r w:rsidR="00425A8C" w:rsidRPr="0053158C">
        <w:rPr>
          <w:rFonts w:ascii="Artifex CF Extra Light" w:hAnsi="Artifex CF Extra Light" w:cs="Times New Roman"/>
          <w:color w:val="1F4E79" w:themeColor="accent1" w:themeShade="80"/>
          <w:spacing w:val="10"/>
          <w:sz w:val="18"/>
          <w:szCs w:val="18"/>
        </w:rPr>
        <w:t>seis</w:t>
      </w:r>
      <w:r w:rsidRPr="0053158C">
        <w:rPr>
          <w:rFonts w:ascii="Artifex CF Extra Light" w:hAnsi="Artifex CF Extra Light" w:cs="Times New Roman"/>
          <w:color w:val="1F4E79" w:themeColor="accent1" w:themeShade="80"/>
          <w:spacing w:val="10"/>
          <w:sz w:val="18"/>
          <w:szCs w:val="18"/>
        </w:rPr>
        <w:t xml:space="preserve"> (86) Contratos de Servicios; y </w:t>
      </w:r>
      <w:r w:rsidR="00425A8C" w:rsidRPr="0053158C">
        <w:rPr>
          <w:rFonts w:ascii="Artifex CF Extra Light" w:hAnsi="Artifex CF Extra Light" w:cs="Times New Roman"/>
          <w:color w:val="1F4E79" w:themeColor="accent1" w:themeShade="80"/>
          <w:spacing w:val="10"/>
          <w:sz w:val="18"/>
          <w:szCs w:val="18"/>
        </w:rPr>
        <w:t>cien</w:t>
      </w:r>
      <w:r w:rsidRPr="0053158C">
        <w:rPr>
          <w:rFonts w:ascii="Artifex CF Extra Light" w:hAnsi="Artifex CF Extra Light" w:cs="Times New Roman"/>
          <w:color w:val="1F4E79" w:themeColor="accent1" w:themeShade="80"/>
          <w:spacing w:val="10"/>
          <w:sz w:val="18"/>
          <w:szCs w:val="18"/>
        </w:rPr>
        <w:t xml:space="preserve"> (100) Contratos de Bienes.</w:t>
      </w:r>
    </w:p>
    <w:tbl>
      <w:tblPr>
        <w:tblW w:w="5699" w:type="dxa"/>
        <w:jc w:val="center"/>
        <w:tblCellMar>
          <w:left w:w="70" w:type="dxa"/>
          <w:right w:w="70" w:type="dxa"/>
        </w:tblCellMar>
        <w:tblLook w:val="04A0" w:firstRow="1" w:lastRow="0" w:firstColumn="1" w:lastColumn="0" w:noHBand="0" w:noVBand="1"/>
      </w:tblPr>
      <w:tblGrid>
        <w:gridCol w:w="1784"/>
        <w:gridCol w:w="1784"/>
        <w:gridCol w:w="2131"/>
      </w:tblGrid>
      <w:tr w:rsidR="001B7EDE" w:rsidRPr="00324A19" w14:paraId="574AFF52" w14:textId="77777777" w:rsidTr="00F473CF">
        <w:trPr>
          <w:trHeight w:val="20"/>
          <w:jc w:val="center"/>
        </w:trPr>
        <w:tc>
          <w:tcPr>
            <w:tcW w:w="5699" w:type="dxa"/>
            <w:gridSpan w:val="3"/>
            <w:tcBorders>
              <w:top w:val="nil"/>
              <w:left w:val="nil"/>
              <w:bottom w:val="single" w:sz="4" w:space="0" w:color="auto"/>
              <w:right w:val="nil"/>
            </w:tcBorders>
            <w:shd w:val="clear" w:color="auto" w:fill="auto"/>
            <w:noWrap/>
            <w:vAlign w:val="bottom"/>
            <w:hideMark/>
          </w:tcPr>
          <w:p w14:paraId="5F082A48" w14:textId="77777777" w:rsidR="00F6477E" w:rsidRPr="00324A19" w:rsidRDefault="00F6477E"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Tabla 7. Compras por contrato</w:t>
            </w:r>
          </w:p>
        </w:tc>
      </w:tr>
      <w:tr w:rsidR="001B7EDE" w:rsidRPr="00324A19" w14:paraId="6EC2E778" w14:textId="77777777" w:rsidTr="00F473CF">
        <w:trPr>
          <w:trHeight w:val="20"/>
          <w:jc w:val="center"/>
        </w:trPr>
        <w:tc>
          <w:tcPr>
            <w:tcW w:w="1784" w:type="dxa"/>
            <w:tcBorders>
              <w:top w:val="nil"/>
              <w:left w:val="single" w:sz="4" w:space="0" w:color="auto"/>
              <w:bottom w:val="single" w:sz="4" w:space="0" w:color="auto"/>
              <w:right w:val="single" w:sz="4" w:space="0" w:color="auto"/>
            </w:tcBorders>
            <w:shd w:val="clear" w:color="000000" w:fill="1F4E78"/>
            <w:vAlign w:val="center"/>
            <w:hideMark/>
          </w:tcPr>
          <w:p w14:paraId="7331CD98" w14:textId="77777777" w:rsidR="00F6477E" w:rsidRPr="0053158C" w:rsidRDefault="00F6477E"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Por Contrato</w:t>
            </w:r>
          </w:p>
        </w:tc>
        <w:tc>
          <w:tcPr>
            <w:tcW w:w="1784" w:type="dxa"/>
            <w:tcBorders>
              <w:top w:val="nil"/>
              <w:left w:val="nil"/>
              <w:bottom w:val="single" w:sz="4" w:space="0" w:color="auto"/>
              <w:right w:val="single" w:sz="4" w:space="0" w:color="auto"/>
            </w:tcBorders>
            <w:shd w:val="clear" w:color="000000" w:fill="1F4E78"/>
            <w:vAlign w:val="center"/>
            <w:hideMark/>
          </w:tcPr>
          <w:p w14:paraId="58A93422" w14:textId="77777777" w:rsidR="00F6477E" w:rsidRPr="0053158C" w:rsidRDefault="00F6477E"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Cantidad</w:t>
            </w:r>
          </w:p>
        </w:tc>
        <w:tc>
          <w:tcPr>
            <w:tcW w:w="2130" w:type="dxa"/>
            <w:tcBorders>
              <w:top w:val="nil"/>
              <w:left w:val="nil"/>
              <w:bottom w:val="single" w:sz="4" w:space="0" w:color="auto"/>
              <w:right w:val="single" w:sz="4" w:space="0" w:color="auto"/>
            </w:tcBorders>
            <w:shd w:val="clear" w:color="000000" w:fill="1F4E78"/>
            <w:vAlign w:val="center"/>
            <w:hideMark/>
          </w:tcPr>
          <w:p w14:paraId="6E41D630" w14:textId="77777777" w:rsidR="00F6477E" w:rsidRPr="0053158C" w:rsidRDefault="00F6477E"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Monto RD$</w:t>
            </w:r>
          </w:p>
        </w:tc>
      </w:tr>
      <w:tr w:rsidR="001B7EDE" w:rsidRPr="00324A19" w14:paraId="44C846AA" w14:textId="77777777" w:rsidTr="00F473CF">
        <w:trPr>
          <w:trHeight w:val="20"/>
          <w:jc w:val="center"/>
        </w:trPr>
        <w:tc>
          <w:tcPr>
            <w:tcW w:w="1784" w:type="dxa"/>
            <w:tcBorders>
              <w:top w:val="nil"/>
              <w:left w:val="single" w:sz="4" w:space="0" w:color="auto"/>
              <w:bottom w:val="single" w:sz="4" w:space="0" w:color="auto"/>
              <w:right w:val="single" w:sz="4" w:space="0" w:color="auto"/>
            </w:tcBorders>
            <w:shd w:val="clear" w:color="000000" w:fill="FFFFFF"/>
            <w:vAlign w:val="center"/>
            <w:hideMark/>
          </w:tcPr>
          <w:p w14:paraId="4636E67F" w14:textId="77777777" w:rsidR="00F6477E" w:rsidRPr="00324A19" w:rsidRDefault="00F6477E" w:rsidP="0053158C">
            <w:pPr>
              <w:spacing w:after="0" w:line="360"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Servicios</w:t>
            </w:r>
          </w:p>
        </w:tc>
        <w:tc>
          <w:tcPr>
            <w:tcW w:w="1784" w:type="dxa"/>
            <w:tcBorders>
              <w:top w:val="nil"/>
              <w:left w:val="nil"/>
              <w:bottom w:val="single" w:sz="4" w:space="0" w:color="auto"/>
              <w:right w:val="single" w:sz="4" w:space="0" w:color="auto"/>
            </w:tcBorders>
            <w:shd w:val="clear" w:color="000000" w:fill="FFFFFF"/>
            <w:vAlign w:val="center"/>
            <w:hideMark/>
          </w:tcPr>
          <w:p w14:paraId="43357260" w14:textId="77777777" w:rsidR="00F6477E" w:rsidRPr="00324A19" w:rsidRDefault="00F6477E" w:rsidP="0053158C">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86</w:t>
            </w:r>
          </w:p>
        </w:tc>
        <w:tc>
          <w:tcPr>
            <w:tcW w:w="2130" w:type="dxa"/>
            <w:tcBorders>
              <w:top w:val="nil"/>
              <w:left w:val="nil"/>
              <w:bottom w:val="single" w:sz="4" w:space="0" w:color="auto"/>
              <w:right w:val="single" w:sz="4" w:space="0" w:color="auto"/>
            </w:tcBorders>
            <w:shd w:val="clear" w:color="000000" w:fill="FFFFFF"/>
            <w:vAlign w:val="center"/>
            <w:hideMark/>
          </w:tcPr>
          <w:p w14:paraId="7471975A" w14:textId="77777777" w:rsidR="00F6477E" w:rsidRPr="00324A19" w:rsidRDefault="00F6477E" w:rsidP="0053158C">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 xml:space="preserve">$36,347,031.48 </w:t>
            </w:r>
          </w:p>
        </w:tc>
      </w:tr>
      <w:tr w:rsidR="001B7EDE" w:rsidRPr="00324A19" w14:paraId="71CC6CCD" w14:textId="77777777" w:rsidTr="00F473CF">
        <w:trPr>
          <w:trHeight w:val="20"/>
          <w:jc w:val="center"/>
        </w:trPr>
        <w:tc>
          <w:tcPr>
            <w:tcW w:w="1784" w:type="dxa"/>
            <w:tcBorders>
              <w:top w:val="nil"/>
              <w:left w:val="single" w:sz="4" w:space="0" w:color="auto"/>
              <w:bottom w:val="single" w:sz="4" w:space="0" w:color="auto"/>
              <w:right w:val="single" w:sz="4" w:space="0" w:color="auto"/>
            </w:tcBorders>
            <w:shd w:val="clear" w:color="000000" w:fill="FFFFFF"/>
            <w:vAlign w:val="center"/>
            <w:hideMark/>
          </w:tcPr>
          <w:p w14:paraId="524BC20C" w14:textId="77777777" w:rsidR="00F6477E" w:rsidRPr="00324A19" w:rsidRDefault="00F6477E" w:rsidP="0053158C">
            <w:pPr>
              <w:spacing w:after="0" w:line="360"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Bienes</w:t>
            </w:r>
          </w:p>
        </w:tc>
        <w:tc>
          <w:tcPr>
            <w:tcW w:w="1784" w:type="dxa"/>
            <w:tcBorders>
              <w:top w:val="nil"/>
              <w:left w:val="nil"/>
              <w:bottom w:val="single" w:sz="4" w:space="0" w:color="auto"/>
              <w:right w:val="single" w:sz="4" w:space="0" w:color="auto"/>
            </w:tcBorders>
            <w:shd w:val="clear" w:color="000000" w:fill="FFFFFF"/>
            <w:vAlign w:val="center"/>
            <w:hideMark/>
          </w:tcPr>
          <w:p w14:paraId="3F601B7A" w14:textId="77777777" w:rsidR="00F6477E" w:rsidRPr="00324A19" w:rsidRDefault="00F6477E" w:rsidP="0053158C">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100</w:t>
            </w:r>
          </w:p>
        </w:tc>
        <w:tc>
          <w:tcPr>
            <w:tcW w:w="2130" w:type="dxa"/>
            <w:tcBorders>
              <w:top w:val="nil"/>
              <w:left w:val="nil"/>
              <w:bottom w:val="single" w:sz="4" w:space="0" w:color="auto"/>
              <w:right w:val="single" w:sz="4" w:space="0" w:color="auto"/>
            </w:tcBorders>
            <w:shd w:val="clear" w:color="000000" w:fill="FFFFFF"/>
            <w:vAlign w:val="center"/>
            <w:hideMark/>
          </w:tcPr>
          <w:p w14:paraId="650AFE58" w14:textId="77777777" w:rsidR="00F6477E" w:rsidRPr="00324A19" w:rsidRDefault="00F6477E" w:rsidP="0053158C">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 xml:space="preserve">$20,201,199.66 </w:t>
            </w:r>
          </w:p>
        </w:tc>
      </w:tr>
      <w:tr w:rsidR="001B7EDE" w:rsidRPr="00324A19" w14:paraId="7909BD62" w14:textId="77777777" w:rsidTr="00F473CF">
        <w:trPr>
          <w:trHeight w:val="20"/>
          <w:jc w:val="center"/>
        </w:trPr>
        <w:tc>
          <w:tcPr>
            <w:tcW w:w="1784" w:type="dxa"/>
            <w:tcBorders>
              <w:top w:val="nil"/>
              <w:left w:val="single" w:sz="4" w:space="0" w:color="auto"/>
              <w:bottom w:val="single" w:sz="4" w:space="0" w:color="auto"/>
              <w:right w:val="single" w:sz="4" w:space="0" w:color="auto"/>
            </w:tcBorders>
            <w:shd w:val="clear" w:color="000000" w:fill="FFFFFF"/>
            <w:vAlign w:val="center"/>
            <w:hideMark/>
          </w:tcPr>
          <w:p w14:paraId="4A76F7D2" w14:textId="77777777" w:rsidR="00F6477E" w:rsidRPr="00324A19" w:rsidRDefault="00F6477E" w:rsidP="0053158C">
            <w:pPr>
              <w:spacing w:after="0" w:line="360"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Total</w:t>
            </w:r>
          </w:p>
        </w:tc>
        <w:tc>
          <w:tcPr>
            <w:tcW w:w="1784" w:type="dxa"/>
            <w:tcBorders>
              <w:top w:val="nil"/>
              <w:left w:val="nil"/>
              <w:bottom w:val="single" w:sz="4" w:space="0" w:color="auto"/>
              <w:right w:val="single" w:sz="4" w:space="0" w:color="auto"/>
            </w:tcBorders>
            <w:shd w:val="clear" w:color="000000" w:fill="FFFFFF"/>
            <w:vAlign w:val="center"/>
            <w:hideMark/>
          </w:tcPr>
          <w:p w14:paraId="510E1D29" w14:textId="77777777" w:rsidR="00F6477E" w:rsidRPr="00324A19" w:rsidRDefault="00F6477E" w:rsidP="0053158C">
            <w:pPr>
              <w:spacing w:after="0" w:line="360"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186</w:t>
            </w:r>
          </w:p>
        </w:tc>
        <w:tc>
          <w:tcPr>
            <w:tcW w:w="2130" w:type="dxa"/>
            <w:tcBorders>
              <w:top w:val="nil"/>
              <w:left w:val="nil"/>
              <w:bottom w:val="single" w:sz="4" w:space="0" w:color="auto"/>
              <w:right w:val="single" w:sz="4" w:space="0" w:color="auto"/>
            </w:tcBorders>
            <w:shd w:val="clear" w:color="000000" w:fill="FFFFFF"/>
            <w:vAlign w:val="center"/>
            <w:hideMark/>
          </w:tcPr>
          <w:p w14:paraId="2581A0FC" w14:textId="77777777" w:rsidR="00F6477E" w:rsidRPr="00324A19" w:rsidRDefault="00F6477E" w:rsidP="0053158C">
            <w:pPr>
              <w:spacing w:after="0" w:line="360"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 xml:space="preserve">$56,548,231.14 </w:t>
            </w:r>
          </w:p>
        </w:tc>
      </w:tr>
      <w:tr w:rsidR="001B7EDE" w:rsidRPr="00324A19" w14:paraId="4B2956C1" w14:textId="77777777" w:rsidTr="00F473CF">
        <w:trPr>
          <w:trHeight w:val="20"/>
          <w:jc w:val="center"/>
        </w:trPr>
        <w:tc>
          <w:tcPr>
            <w:tcW w:w="5699" w:type="dxa"/>
            <w:gridSpan w:val="3"/>
            <w:tcBorders>
              <w:top w:val="single" w:sz="4" w:space="0" w:color="auto"/>
              <w:left w:val="nil"/>
              <w:bottom w:val="nil"/>
              <w:right w:val="nil"/>
            </w:tcBorders>
            <w:shd w:val="clear" w:color="auto" w:fill="auto"/>
            <w:vAlign w:val="bottom"/>
            <w:hideMark/>
          </w:tcPr>
          <w:p w14:paraId="05B350A4" w14:textId="5D6A32D1" w:rsidR="00F6477E" w:rsidRPr="00324A19" w:rsidRDefault="00F6477E" w:rsidP="0053158C">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Fuente: ProDominicana.</w:t>
            </w:r>
          </w:p>
        </w:tc>
      </w:tr>
    </w:tbl>
    <w:p w14:paraId="3A01B59F" w14:textId="6A666A92" w:rsidR="0053158C" w:rsidRDefault="0053158C">
      <w:pPr>
        <w:rPr>
          <w:rFonts w:ascii="Artifex CF Extra Light" w:eastAsia="Arial" w:hAnsi="Artifex CF Extra Light" w:cs="Times New Roman"/>
          <w:color w:val="1F4E79" w:themeColor="accent1" w:themeShade="80"/>
          <w:spacing w:val="10"/>
          <w:sz w:val="18"/>
          <w:szCs w:val="18"/>
          <w:lang w:val="es-ES" w:eastAsia="es-ES" w:bidi="es-ES"/>
        </w:rPr>
      </w:pPr>
    </w:p>
    <w:p w14:paraId="76134E8F" w14:textId="77777777" w:rsidR="00C37131" w:rsidRDefault="00C37131">
      <w:pPr>
        <w:rPr>
          <w:rFonts w:ascii="Artifex CF Extra Light" w:eastAsia="Arial" w:hAnsi="Artifex CF Extra Light" w:cs="Times New Roman"/>
          <w:color w:val="1F4E79" w:themeColor="accent1" w:themeShade="80"/>
          <w:spacing w:val="10"/>
          <w:sz w:val="18"/>
          <w:szCs w:val="18"/>
          <w:lang w:val="es-ES" w:eastAsia="es-ES" w:bidi="es-ES"/>
        </w:rPr>
      </w:pPr>
    </w:p>
    <w:p w14:paraId="15374E47" w14:textId="0F43ED1B" w:rsidR="00F473CF" w:rsidRPr="0053158C" w:rsidRDefault="00AD7DD6" w:rsidP="0053158C">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color w:val="1F4E79" w:themeColor="accent1" w:themeShade="80"/>
          <w:spacing w:val="10"/>
          <w:sz w:val="18"/>
          <w:szCs w:val="18"/>
        </w:rPr>
        <w:lastRenderedPageBreak/>
        <w:t xml:space="preserve">En </w:t>
      </w:r>
      <w:r w:rsidR="00274916" w:rsidRPr="0053158C">
        <w:rPr>
          <w:rFonts w:ascii="Artifex CF Extra Light" w:hAnsi="Artifex CF Extra Light" w:cs="Times New Roman"/>
          <w:color w:val="1F4E79" w:themeColor="accent1" w:themeShade="80"/>
          <w:spacing w:val="10"/>
          <w:sz w:val="18"/>
          <w:szCs w:val="18"/>
        </w:rPr>
        <w:t xml:space="preserve">la tabla </w:t>
      </w:r>
      <w:r w:rsidR="0053158C" w:rsidRPr="0053158C">
        <w:rPr>
          <w:rFonts w:ascii="Artifex CF Extra Light" w:hAnsi="Artifex CF Extra Light" w:cs="Times New Roman"/>
          <w:color w:val="1F4E79" w:themeColor="accent1" w:themeShade="80"/>
          <w:spacing w:val="10"/>
          <w:sz w:val="18"/>
          <w:szCs w:val="18"/>
        </w:rPr>
        <w:t>8</w:t>
      </w:r>
      <w:r w:rsidRPr="0053158C">
        <w:rPr>
          <w:rFonts w:ascii="Artifex CF Extra Light" w:hAnsi="Artifex CF Extra Light" w:cs="Times New Roman"/>
          <w:color w:val="1F4E79" w:themeColor="accent1" w:themeShade="80"/>
          <w:spacing w:val="10"/>
          <w:sz w:val="18"/>
          <w:szCs w:val="18"/>
        </w:rPr>
        <w:t xml:space="preserve"> según los tipos de empresas Proveedoras del Estado, durante el año 2020, </w:t>
      </w:r>
      <w:r w:rsidR="00B654C2" w:rsidRPr="0053158C">
        <w:rPr>
          <w:rFonts w:ascii="Artifex CF Extra Light" w:hAnsi="Artifex CF Extra Light" w:cs="Times New Roman"/>
          <w:color w:val="1F4E79" w:themeColor="accent1" w:themeShade="80"/>
          <w:spacing w:val="10"/>
          <w:sz w:val="18"/>
          <w:szCs w:val="18"/>
        </w:rPr>
        <w:t xml:space="preserve">ProDominicana </w:t>
      </w:r>
      <w:r w:rsidRPr="0053158C">
        <w:rPr>
          <w:rFonts w:ascii="Artifex CF Extra Light" w:hAnsi="Artifex CF Extra Light" w:cs="Times New Roman"/>
          <w:color w:val="1F4E79" w:themeColor="accent1" w:themeShade="80"/>
          <w:spacing w:val="10"/>
          <w:sz w:val="18"/>
          <w:szCs w:val="18"/>
        </w:rPr>
        <w:t xml:space="preserve">ha ejecutado </w:t>
      </w:r>
      <w:r w:rsidR="002765B4" w:rsidRPr="0053158C">
        <w:rPr>
          <w:rFonts w:ascii="Artifex CF Extra Light" w:hAnsi="Artifex CF Extra Light" w:cs="Times New Roman"/>
          <w:color w:val="1F4E79" w:themeColor="accent1" w:themeShade="80"/>
          <w:spacing w:val="10"/>
          <w:sz w:val="18"/>
          <w:szCs w:val="18"/>
        </w:rPr>
        <w:t xml:space="preserve">ochenta y siete </w:t>
      </w:r>
      <w:r w:rsidRPr="0053158C">
        <w:rPr>
          <w:rFonts w:ascii="Artifex CF Extra Light" w:hAnsi="Artifex CF Extra Light" w:cs="Times New Roman"/>
          <w:color w:val="1F4E79" w:themeColor="accent1" w:themeShade="80"/>
          <w:spacing w:val="10"/>
          <w:sz w:val="18"/>
          <w:szCs w:val="18"/>
        </w:rPr>
        <w:t xml:space="preserve">(87) Contratos con Empresas Pymes, y </w:t>
      </w:r>
      <w:r w:rsidR="002765B4" w:rsidRPr="0053158C">
        <w:rPr>
          <w:rFonts w:ascii="Artifex CF Extra Light" w:hAnsi="Artifex CF Extra Light" w:cs="Times New Roman"/>
          <w:color w:val="1F4E79" w:themeColor="accent1" w:themeShade="80"/>
          <w:spacing w:val="10"/>
          <w:sz w:val="18"/>
          <w:szCs w:val="18"/>
        </w:rPr>
        <w:t>noventa y nueve</w:t>
      </w:r>
      <w:r w:rsidR="00E66A16" w:rsidRPr="0053158C">
        <w:rPr>
          <w:rFonts w:ascii="Artifex CF Extra Light" w:hAnsi="Artifex CF Extra Light" w:cs="Times New Roman"/>
          <w:color w:val="1F4E79" w:themeColor="accent1" w:themeShade="80"/>
          <w:spacing w:val="10"/>
          <w:sz w:val="18"/>
          <w:szCs w:val="18"/>
        </w:rPr>
        <w:t xml:space="preserve"> </w:t>
      </w:r>
      <w:r w:rsidRPr="0053158C">
        <w:rPr>
          <w:rFonts w:ascii="Artifex CF Extra Light" w:hAnsi="Artifex CF Extra Light" w:cs="Times New Roman"/>
          <w:color w:val="1F4E79" w:themeColor="accent1" w:themeShade="80"/>
          <w:spacing w:val="10"/>
          <w:sz w:val="18"/>
          <w:szCs w:val="18"/>
        </w:rPr>
        <w:t>(</w:t>
      </w:r>
      <w:r w:rsidR="00E66A16" w:rsidRPr="0053158C">
        <w:rPr>
          <w:rFonts w:ascii="Artifex CF Extra Light" w:hAnsi="Artifex CF Extra Light" w:cs="Times New Roman"/>
          <w:color w:val="1F4E79" w:themeColor="accent1" w:themeShade="80"/>
          <w:spacing w:val="10"/>
          <w:sz w:val="18"/>
          <w:szCs w:val="18"/>
        </w:rPr>
        <w:t>99</w:t>
      </w:r>
      <w:r w:rsidRPr="0053158C">
        <w:rPr>
          <w:rFonts w:ascii="Artifex CF Extra Light" w:hAnsi="Artifex CF Extra Light" w:cs="Times New Roman"/>
          <w:color w:val="1F4E79" w:themeColor="accent1" w:themeShade="80"/>
          <w:spacing w:val="10"/>
          <w:sz w:val="18"/>
          <w:szCs w:val="18"/>
        </w:rPr>
        <w:t>) Contratos con Empresas No Pymes.</w:t>
      </w:r>
    </w:p>
    <w:tbl>
      <w:tblPr>
        <w:tblW w:w="4703" w:type="dxa"/>
        <w:jc w:val="center"/>
        <w:tblCellMar>
          <w:left w:w="70" w:type="dxa"/>
          <w:right w:w="70" w:type="dxa"/>
        </w:tblCellMar>
        <w:tblLook w:val="04A0" w:firstRow="1" w:lastRow="0" w:firstColumn="1" w:lastColumn="0" w:noHBand="0" w:noVBand="1"/>
      </w:tblPr>
      <w:tblGrid>
        <w:gridCol w:w="1472"/>
        <w:gridCol w:w="1472"/>
        <w:gridCol w:w="1759"/>
      </w:tblGrid>
      <w:tr w:rsidR="001B7EDE" w:rsidRPr="00324A19" w14:paraId="2531EA68" w14:textId="77777777" w:rsidTr="00F473CF">
        <w:trPr>
          <w:trHeight w:val="170"/>
          <w:jc w:val="center"/>
        </w:trPr>
        <w:tc>
          <w:tcPr>
            <w:tcW w:w="4703" w:type="dxa"/>
            <w:gridSpan w:val="3"/>
            <w:tcBorders>
              <w:top w:val="nil"/>
              <w:left w:val="nil"/>
              <w:bottom w:val="single" w:sz="4" w:space="0" w:color="auto"/>
              <w:right w:val="nil"/>
            </w:tcBorders>
            <w:shd w:val="clear" w:color="auto" w:fill="auto"/>
            <w:noWrap/>
            <w:vAlign w:val="bottom"/>
            <w:hideMark/>
          </w:tcPr>
          <w:p w14:paraId="1C02743C" w14:textId="77777777" w:rsidR="007F53BD" w:rsidRPr="00324A19" w:rsidRDefault="007F53BD" w:rsidP="0053158C">
            <w:pPr>
              <w:spacing w:after="0" w:line="456"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DO" w:eastAsia="es-ES"/>
              </w:rPr>
              <w:t>Tabla 8. Por Empresa Proveedoras</w:t>
            </w:r>
          </w:p>
        </w:tc>
      </w:tr>
      <w:tr w:rsidR="001B7EDE" w:rsidRPr="00324A19" w14:paraId="33BFD4E7" w14:textId="77777777" w:rsidTr="0053158C">
        <w:trPr>
          <w:trHeight w:val="170"/>
          <w:jc w:val="center"/>
        </w:trPr>
        <w:tc>
          <w:tcPr>
            <w:tcW w:w="1472" w:type="dxa"/>
            <w:tcBorders>
              <w:top w:val="nil"/>
              <w:left w:val="single" w:sz="4" w:space="0" w:color="auto"/>
              <w:bottom w:val="single" w:sz="4" w:space="0" w:color="auto"/>
              <w:right w:val="single" w:sz="4" w:space="0" w:color="auto"/>
            </w:tcBorders>
            <w:shd w:val="clear" w:color="000000" w:fill="1F4E78"/>
            <w:vAlign w:val="center"/>
            <w:hideMark/>
          </w:tcPr>
          <w:p w14:paraId="06FA4BA3" w14:textId="77777777" w:rsidR="007F53BD" w:rsidRPr="0053158C" w:rsidRDefault="007F53BD"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P</w:t>
            </w:r>
            <w:r w:rsidRPr="0053158C">
              <w:rPr>
                <w:rFonts w:ascii="Times New Roman" w:eastAsia="Times New Roman" w:hAnsi="Times New Roman" w:cs="Times New Roman"/>
                <w:b/>
                <w:color w:val="FFFFFF" w:themeColor="background1"/>
                <w:sz w:val="18"/>
                <w:szCs w:val="18"/>
                <w:lang w:val="es-ES" w:eastAsia="es-ES"/>
              </w:rPr>
              <w:t>or Empresa</w:t>
            </w:r>
          </w:p>
        </w:tc>
        <w:tc>
          <w:tcPr>
            <w:tcW w:w="1472" w:type="dxa"/>
            <w:tcBorders>
              <w:top w:val="nil"/>
              <w:left w:val="nil"/>
              <w:bottom w:val="single" w:sz="4" w:space="0" w:color="auto"/>
              <w:right w:val="single" w:sz="4" w:space="0" w:color="auto"/>
            </w:tcBorders>
            <w:shd w:val="clear" w:color="000000" w:fill="1F4E78"/>
            <w:vAlign w:val="center"/>
            <w:hideMark/>
          </w:tcPr>
          <w:p w14:paraId="4B345400" w14:textId="77777777" w:rsidR="007F53BD" w:rsidRPr="0053158C" w:rsidRDefault="007F53BD"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Cantidad</w:t>
            </w:r>
          </w:p>
        </w:tc>
        <w:tc>
          <w:tcPr>
            <w:tcW w:w="1757" w:type="dxa"/>
            <w:tcBorders>
              <w:top w:val="nil"/>
              <w:left w:val="nil"/>
              <w:bottom w:val="single" w:sz="4" w:space="0" w:color="auto"/>
              <w:right w:val="single" w:sz="4" w:space="0" w:color="auto"/>
            </w:tcBorders>
            <w:shd w:val="clear" w:color="000000" w:fill="1F4E78"/>
            <w:vAlign w:val="center"/>
            <w:hideMark/>
          </w:tcPr>
          <w:p w14:paraId="31876F26" w14:textId="77777777" w:rsidR="007F53BD" w:rsidRPr="0053158C" w:rsidRDefault="007F53BD"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Monto RD$</w:t>
            </w:r>
          </w:p>
        </w:tc>
      </w:tr>
      <w:tr w:rsidR="001B7EDE" w:rsidRPr="00324A19" w14:paraId="54001896" w14:textId="77777777" w:rsidTr="00F473CF">
        <w:trPr>
          <w:trHeight w:val="170"/>
          <w:jc w:val="center"/>
        </w:trPr>
        <w:tc>
          <w:tcPr>
            <w:tcW w:w="1472" w:type="dxa"/>
            <w:tcBorders>
              <w:top w:val="nil"/>
              <w:left w:val="single" w:sz="4" w:space="0" w:color="auto"/>
              <w:bottom w:val="single" w:sz="4" w:space="0" w:color="auto"/>
              <w:right w:val="single" w:sz="4" w:space="0" w:color="auto"/>
            </w:tcBorders>
            <w:shd w:val="clear" w:color="000000" w:fill="FFFFFF"/>
            <w:vAlign w:val="center"/>
            <w:hideMark/>
          </w:tcPr>
          <w:p w14:paraId="6157826D" w14:textId="77777777" w:rsidR="007F53BD" w:rsidRPr="00324A19" w:rsidRDefault="007F53BD" w:rsidP="0053158C">
            <w:pPr>
              <w:spacing w:after="0" w:line="456"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MiPymes</w:t>
            </w:r>
          </w:p>
        </w:tc>
        <w:tc>
          <w:tcPr>
            <w:tcW w:w="1472" w:type="dxa"/>
            <w:tcBorders>
              <w:top w:val="nil"/>
              <w:left w:val="nil"/>
              <w:bottom w:val="single" w:sz="4" w:space="0" w:color="auto"/>
              <w:right w:val="single" w:sz="4" w:space="0" w:color="auto"/>
            </w:tcBorders>
            <w:shd w:val="clear" w:color="000000" w:fill="FFFFFF"/>
            <w:vAlign w:val="center"/>
            <w:hideMark/>
          </w:tcPr>
          <w:p w14:paraId="753367A3" w14:textId="77777777" w:rsidR="007F53BD" w:rsidRPr="00324A19" w:rsidRDefault="007F53BD" w:rsidP="0053158C">
            <w:pPr>
              <w:spacing w:after="0" w:line="456"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87</w:t>
            </w:r>
          </w:p>
        </w:tc>
        <w:tc>
          <w:tcPr>
            <w:tcW w:w="1757" w:type="dxa"/>
            <w:tcBorders>
              <w:top w:val="nil"/>
              <w:left w:val="nil"/>
              <w:bottom w:val="single" w:sz="4" w:space="0" w:color="auto"/>
              <w:right w:val="single" w:sz="4" w:space="0" w:color="auto"/>
            </w:tcBorders>
            <w:shd w:val="clear" w:color="000000" w:fill="FFFFFF"/>
            <w:vAlign w:val="center"/>
            <w:hideMark/>
          </w:tcPr>
          <w:p w14:paraId="501BC276" w14:textId="77777777" w:rsidR="007F53BD" w:rsidRPr="00324A19" w:rsidRDefault="007F53BD" w:rsidP="0053158C">
            <w:pPr>
              <w:spacing w:after="0" w:line="456"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 xml:space="preserve">$29,748,653.68 </w:t>
            </w:r>
          </w:p>
        </w:tc>
      </w:tr>
      <w:tr w:rsidR="001B7EDE" w:rsidRPr="00324A19" w14:paraId="6E02FF36" w14:textId="77777777" w:rsidTr="00F473CF">
        <w:trPr>
          <w:trHeight w:val="170"/>
          <w:jc w:val="center"/>
        </w:trPr>
        <w:tc>
          <w:tcPr>
            <w:tcW w:w="1472" w:type="dxa"/>
            <w:tcBorders>
              <w:top w:val="nil"/>
              <w:left w:val="single" w:sz="4" w:space="0" w:color="auto"/>
              <w:bottom w:val="single" w:sz="4" w:space="0" w:color="auto"/>
              <w:right w:val="single" w:sz="4" w:space="0" w:color="auto"/>
            </w:tcBorders>
            <w:shd w:val="clear" w:color="000000" w:fill="FFFFFF"/>
            <w:vAlign w:val="center"/>
            <w:hideMark/>
          </w:tcPr>
          <w:p w14:paraId="22BC05AA" w14:textId="77777777" w:rsidR="007F53BD" w:rsidRPr="00324A19" w:rsidRDefault="007F53BD" w:rsidP="0053158C">
            <w:pPr>
              <w:spacing w:after="0" w:line="456"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No Pymes</w:t>
            </w:r>
          </w:p>
        </w:tc>
        <w:tc>
          <w:tcPr>
            <w:tcW w:w="1472" w:type="dxa"/>
            <w:tcBorders>
              <w:top w:val="nil"/>
              <w:left w:val="nil"/>
              <w:bottom w:val="single" w:sz="4" w:space="0" w:color="auto"/>
              <w:right w:val="single" w:sz="4" w:space="0" w:color="auto"/>
            </w:tcBorders>
            <w:shd w:val="clear" w:color="000000" w:fill="FFFFFF"/>
            <w:vAlign w:val="center"/>
            <w:hideMark/>
          </w:tcPr>
          <w:p w14:paraId="22321610" w14:textId="77777777" w:rsidR="007F53BD" w:rsidRPr="00324A19" w:rsidRDefault="007F53BD" w:rsidP="0053158C">
            <w:pPr>
              <w:spacing w:after="0" w:line="456"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99</w:t>
            </w:r>
          </w:p>
        </w:tc>
        <w:tc>
          <w:tcPr>
            <w:tcW w:w="1757" w:type="dxa"/>
            <w:tcBorders>
              <w:top w:val="nil"/>
              <w:left w:val="nil"/>
              <w:bottom w:val="single" w:sz="4" w:space="0" w:color="auto"/>
              <w:right w:val="single" w:sz="4" w:space="0" w:color="auto"/>
            </w:tcBorders>
            <w:shd w:val="clear" w:color="000000" w:fill="FFFFFF"/>
            <w:vAlign w:val="center"/>
            <w:hideMark/>
          </w:tcPr>
          <w:p w14:paraId="76852C57" w14:textId="77777777" w:rsidR="007F53BD" w:rsidRPr="00324A19" w:rsidRDefault="007F53BD" w:rsidP="0053158C">
            <w:pPr>
              <w:spacing w:after="0" w:line="456"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 xml:space="preserve">$26,799,577.46 </w:t>
            </w:r>
          </w:p>
        </w:tc>
      </w:tr>
      <w:tr w:rsidR="001B7EDE" w:rsidRPr="00324A19" w14:paraId="5BCB0750" w14:textId="77777777" w:rsidTr="00F473CF">
        <w:trPr>
          <w:trHeight w:val="170"/>
          <w:jc w:val="center"/>
        </w:trPr>
        <w:tc>
          <w:tcPr>
            <w:tcW w:w="1472" w:type="dxa"/>
            <w:tcBorders>
              <w:top w:val="nil"/>
              <w:left w:val="single" w:sz="4" w:space="0" w:color="auto"/>
              <w:bottom w:val="single" w:sz="4" w:space="0" w:color="auto"/>
              <w:right w:val="single" w:sz="4" w:space="0" w:color="auto"/>
            </w:tcBorders>
            <w:shd w:val="clear" w:color="000000" w:fill="FFFFFF"/>
            <w:vAlign w:val="center"/>
            <w:hideMark/>
          </w:tcPr>
          <w:p w14:paraId="0405B355" w14:textId="77777777" w:rsidR="007F53BD" w:rsidRPr="00324A19" w:rsidRDefault="007F53BD" w:rsidP="0053158C">
            <w:pPr>
              <w:spacing w:after="0" w:line="456"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Total</w:t>
            </w:r>
          </w:p>
        </w:tc>
        <w:tc>
          <w:tcPr>
            <w:tcW w:w="1472" w:type="dxa"/>
            <w:tcBorders>
              <w:top w:val="nil"/>
              <w:left w:val="nil"/>
              <w:bottom w:val="single" w:sz="4" w:space="0" w:color="auto"/>
              <w:right w:val="single" w:sz="4" w:space="0" w:color="auto"/>
            </w:tcBorders>
            <w:shd w:val="clear" w:color="000000" w:fill="FFFFFF"/>
            <w:vAlign w:val="center"/>
            <w:hideMark/>
          </w:tcPr>
          <w:p w14:paraId="69BD68F7" w14:textId="77777777" w:rsidR="007F53BD" w:rsidRPr="00324A19" w:rsidRDefault="007F53BD" w:rsidP="0053158C">
            <w:pPr>
              <w:spacing w:after="0" w:line="456"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186</w:t>
            </w:r>
          </w:p>
        </w:tc>
        <w:tc>
          <w:tcPr>
            <w:tcW w:w="1757" w:type="dxa"/>
            <w:tcBorders>
              <w:top w:val="nil"/>
              <w:left w:val="nil"/>
              <w:bottom w:val="single" w:sz="4" w:space="0" w:color="auto"/>
              <w:right w:val="single" w:sz="4" w:space="0" w:color="auto"/>
            </w:tcBorders>
            <w:shd w:val="clear" w:color="000000" w:fill="FFFFFF"/>
            <w:vAlign w:val="center"/>
            <w:hideMark/>
          </w:tcPr>
          <w:p w14:paraId="2270C890" w14:textId="77777777" w:rsidR="007F53BD" w:rsidRPr="00324A19" w:rsidRDefault="007F53BD" w:rsidP="0053158C">
            <w:pPr>
              <w:spacing w:after="0" w:line="456"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 xml:space="preserve">$56,548,231.14 </w:t>
            </w:r>
          </w:p>
        </w:tc>
      </w:tr>
      <w:tr w:rsidR="001B7EDE" w:rsidRPr="00324A19" w14:paraId="5746D624" w14:textId="77777777" w:rsidTr="00F473CF">
        <w:trPr>
          <w:trHeight w:val="170"/>
          <w:jc w:val="center"/>
        </w:trPr>
        <w:tc>
          <w:tcPr>
            <w:tcW w:w="4703" w:type="dxa"/>
            <w:gridSpan w:val="3"/>
            <w:tcBorders>
              <w:top w:val="single" w:sz="4" w:space="0" w:color="auto"/>
              <w:left w:val="nil"/>
              <w:bottom w:val="nil"/>
              <w:right w:val="nil"/>
            </w:tcBorders>
            <w:shd w:val="clear" w:color="auto" w:fill="auto"/>
            <w:vAlign w:val="bottom"/>
            <w:hideMark/>
          </w:tcPr>
          <w:p w14:paraId="16E48173" w14:textId="7EA13CEB" w:rsidR="007F53BD" w:rsidRPr="00324A19" w:rsidRDefault="007F53BD" w:rsidP="0053158C">
            <w:pPr>
              <w:spacing w:after="0" w:line="456"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Fuente: ProDominicana.</w:t>
            </w:r>
          </w:p>
        </w:tc>
      </w:tr>
    </w:tbl>
    <w:p w14:paraId="67C2211E" w14:textId="1659E898" w:rsidR="00AD7DD6" w:rsidRPr="0053158C" w:rsidRDefault="00AD7DD6" w:rsidP="0053158C">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53158C">
        <w:rPr>
          <w:rFonts w:ascii="Artifex CF Extra Light" w:hAnsi="Artifex CF Extra Light" w:cs="Times New Roman"/>
          <w:color w:val="1F4E79" w:themeColor="accent1" w:themeShade="80"/>
          <w:spacing w:val="10"/>
          <w:sz w:val="18"/>
          <w:szCs w:val="18"/>
        </w:rPr>
        <w:t xml:space="preserve">En lo que se refiere al número de procesos convocados, </w:t>
      </w:r>
      <w:r w:rsidR="006A7347" w:rsidRPr="0053158C">
        <w:rPr>
          <w:rFonts w:ascii="Artifex CF Extra Light" w:hAnsi="Artifex CF Extra Light" w:cs="Times New Roman"/>
          <w:color w:val="1F4E79" w:themeColor="accent1" w:themeShade="80"/>
          <w:spacing w:val="10"/>
          <w:sz w:val="18"/>
          <w:szCs w:val="18"/>
        </w:rPr>
        <w:t xml:space="preserve">ProDominicana </w:t>
      </w:r>
      <w:r w:rsidRPr="0053158C">
        <w:rPr>
          <w:rFonts w:ascii="Artifex CF Extra Light" w:hAnsi="Artifex CF Extra Light" w:cs="Times New Roman"/>
          <w:color w:val="1F4E79" w:themeColor="accent1" w:themeShade="80"/>
          <w:spacing w:val="10"/>
          <w:sz w:val="18"/>
          <w:szCs w:val="18"/>
        </w:rPr>
        <w:t xml:space="preserve">durante el periodo comprendido entre enero–diciembre 2020 ejecutó </w:t>
      </w:r>
      <w:r w:rsidR="00F236BC" w:rsidRPr="0053158C">
        <w:rPr>
          <w:rFonts w:ascii="Artifex CF Extra Light" w:hAnsi="Artifex CF Extra Light" w:cs="Times New Roman"/>
          <w:color w:val="1F4E79" w:themeColor="accent1" w:themeShade="80"/>
          <w:spacing w:val="10"/>
          <w:sz w:val="18"/>
          <w:szCs w:val="18"/>
        </w:rPr>
        <w:t>ochenta y siete</w:t>
      </w:r>
      <w:r w:rsidRPr="0053158C">
        <w:rPr>
          <w:rFonts w:ascii="Artifex CF Extra Light" w:hAnsi="Artifex CF Extra Light" w:cs="Times New Roman"/>
          <w:color w:val="1F4E79" w:themeColor="accent1" w:themeShade="80"/>
          <w:spacing w:val="10"/>
          <w:sz w:val="18"/>
          <w:szCs w:val="18"/>
        </w:rPr>
        <w:t xml:space="preserve"> (87) procesos adjudicados al sector MIPYMES, en la siguiente modalidad de compras:</w:t>
      </w:r>
    </w:p>
    <w:tbl>
      <w:tblPr>
        <w:tblW w:w="5375" w:type="dxa"/>
        <w:jc w:val="center"/>
        <w:tblCellMar>
          <w:left w:w="70" w:type="dxa"/>
          <w:right w:w="70" w:type="dxa"/>
        </w:tblCellMar>
        <w:tblLook w:val="04A0" w:firstRow="1" w:lastRow="0" w:firstColumn="1" w:lastColumn="0" w:noHBand="0" w:noVBand="1"/>
      </w:tblPr>
      <w:tblGrid>
        <w:gridCol w:w="1685"/>
        <w:gridCol w:w="1683"/>
        <w:gridCol w:w="2007"/>
      </w:tblGrid>
      <w:tr w:rsidR="001B7EDE" w:rsidRPr="006F2F51" w14:paraId="20D24A13" w14:textId="77777777" w:rsidTr="00F473CF">
        <w:trPr>
          <w:trHeight w:val="20"/>
          <w:jc w:val="center"/>
        </w:trPr>
        <w:tc>
          <w:tcPr>
            <w:tcW w:w="5375" w:type="dxa"/>
            <w:gridSpan w:val="3"/>
            <w:tcBorders>
              <w:top w:val="nil"/>
              <w:left w:val="nil"/>
              <w:bottom w:val="single" w:sz="4" w:space="0" w:color="auto"/>
              <w:right w:val="nil"/>
            </w:tcBorders>
            <w:shd w:val="clear" w:color="auto" w:fill="auto"/>
            <w:noWrap/>
            <w:vAlign w:val="center"/>
            <w:hideMark/>
          </w:tcPr>
          <w:p w14:paraId="6ACBA052" w14:textId="77777777" w:rsidR="004507FB" w:rsidRPr="00324A19" w:rsidRDefault="004507FB"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DO" w:eastAsia="es-ES"/>
              </w:rPr>
              <w:t>Tabla 9. Modalidad de compras MIPYMES</w:t>
            </w:r>
          </w:p>
        </w:tc>
      </w:tr>
      <w:tr w:rsidR="001B7EDE" w:rsidRPr="00324A19" w14:paraId="1F27F627" w14:textId="77777777" w:rsidTr="00F473CF">
        <w:trPr>
          <w:trHeight w:val="20"/>
          <w:jc w:val="center"/>
        </w:trPr>
        <w:tc>
          <w:tcPr>
            <w:tcW w:w="1685" w:type="dxa"/>
            <w:tcBorders>
              <w:top w:val="nil"/>
              <w:left w:val="single" w:sz="4" w:space="0" w:color="auto"/>
              <w:bottom w:val="single" w:sz="4" w:space="0" w:color="auto"/>
              <w:right w:val="single" w:sz="4" w:space="0" w:color="auto"/>
            </w:tcBorders>
            <w:shd w:val="clear" w:color="000000" w:fill="1F4E78"/>
            <w:vAlign w:val="center"/>
            <w:hideMark/>
          </w:tcPr>
          <w:p w14:paraId="3E707E1D" w14:textId="77777777" w:rsidR="004507FB" w:rsidRPr="0053158C" w:rsidRDefault="004507FB"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M</w:t>
            </w:r>
            <w:r w:rsidRPr="0053158C">
              <w:rPr>
                <w:rFonts w:ascii="Times New Roman" w:eastAsia="Times New Roman" w:hAnsi="Times New Roman" w:cs="Times New Roman"/>
                <w:b/>
                <w:color w:val="FFFFFF" w:themeColor="background1"/>
                <w:sz w:val="18"/>
                <w:szCs w:val="18"/>
                <w:lang w:val="es-ES" w:eastAsia="es-ES"/>
              </w:rPr>
              <w:t>odalidad de la Compra</w:t>
            </w:r>
          </w:p>
        </w:tc>
        <w:tc>
          <w:tcPr>
            <w:tcW w:w="1683" w:type="dxa"/>
            <w:tcBorders>
              <w:top w:val="nil"/>
              <w:left w:val="nil"/>
              <w:bottom w:val="single" w:sz="4" w:space="0" w:color="auto"/>
              <w:right w:val="single" w:sz="4" w:space="0" w:color="auto"/>
            </w:tcBorders>
            <w:shd w:val="clear" w:color="000000" w:fill="1F4E78"/>
            <w:vAlign w:val="center"/>
            <w:hideMark/>
          </w:tcPr>
          <w:p w14:paraId="7CA2F5C0" w14:textId="77777777" w:rsidR="004507FB" w:rsidRPr="0053158C" w:rsidRDefault="004507FB"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Cantidad</w:t>
            </w:r>
          </w:p>
        </w:tc>
        <w:tc>
          <w:tcPr>
            <w:tcW w:w="2006" w:type="dxa"/>
            <w:tcBorders>
              <w:top w:val="nil"/>
              <w:left w:val="nil"/>
              <w:bottom w:val="single" w:sz="4" w:space="0" w:color="auto"/>
              <w:right w:val="single" w:sz="4" w:space="0" w:color="auto"/>
            </w:tcBorders>
            <w:shd w:val="clear" w:color="000000" w:fill="1F4E78"/>
            <w:vAlign w:val="center"/>
            <w:hideMark/>
          </w:tcPr>
          <w:p w14:paraId="12BAB114" w14:textId="77777777" w:rsidR="004507FB" w:rsidRPr="0053158C" w:rsidRDefault="004507FB" w:rsidP="0053158C">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53158C">
              <w:rPr>
                <w:rFonts w:ascii="Artifex CF Extra Light" w:eastAsia="Times New Roman" w:hAnsi="Artifex CF Extra Light" w:cs="Calibri"/>
                <w:b/>
                <w:color w:val="FFFFFF" w:themeColor="background1"/>
                <w:sz w:val="18"/>
                <w:szCs w:val="18"/>
                <w:lang w:val="es-ES" w:eastAsia="es-ES"/>
              </w:rPr>
              <w:t>Monto RD$</w:t>
            </w:r>
          </w:p>
        </w:tc>
      </w:tr>
      <w:tr w:rsidR="001B7EDE" w:rsidRPr="00324A19" w14:paraId="7E35DB95" w14:textId="77777777" w:rsidTr="00F473CF">
        <w:trPr>
          <w:trHeight w:val="20"/>
          <w:jc w:val="center"/>
        </w:trPr>
        <w:tc>
          <w:tcPr>
            <w:tcW w:w="1685" w:type="dxa"/>
            <w:tcBorders>
              <w:top w:val="nil"/>
              <w:left w:val="single" w:sz="4" w:space="0" w:color="auto"/>
              <w:bottom w:val="single" w:sz="4" w:space="0" w:color="auto"/>
              <w:right w:val="single" w:sz="4" w:space="0" w:color="auto"/>
            </w:tcBorders>
            <w:shd w:val="clear" w:color="000000" w:fill="FFFFFF"/>
            <w:vAlign w:val="center"/>
            <w:hideMark/>
          </w:tcPr>
          <w:p w14:paraId="5B1AFE3F" w14:textId="77777777" w:rsidR="004507FB" w:rsidRPr="00324A19" w:rsidRDefault="004507FB"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Bajo Umbral Mínimo</w:t>
            </w:r>
          </w:p>
        </w:tc>
        <w:tc>
          <w:tcPr>
            <w:tcW w:w="1683" w:type="dxa"/>
            <w:tcBorders>
              <w:top w:val="nil"/>
              <w:left w:val="nil"/>
              <w:bottom w:val="single" w:sz="4" w:space="0" w:color="auto"/>
              <w:right w:val="single" w:sz="4" w:space="0" w:color="auto"/>
            </w:tcBorders>
            <w:shd w:val="clear" w:color="000000" w:fill="FFFFFF"/>
            <w:vAlign w:val="center"/>
            <w:hideMark/>
          </w:tcPr>
          <w:p w14:paraId="3598AD0D" w14:textId="77777777" w:rsidR="004507FB" w:rsidRPr="00324A19" w:rsidRDefault="004507FB"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47</w:t>
            </w:r>
          </w:p>
        </w:tc>
        <w:tc>
          <w:tcPr>
            <w:tcW w:w="2006" w:type="dxa"/>
            <w:tcBorders>
              <w:top w:val="nil"/>
              <w:left w:val="nil"/>
              <w:bottom w:val="single" w:sz="4" w:space="0" w:color="auto"/>
              <w:right w:val="single" w:sz="4" w:space="0" w:color="auto"/>
            </w:tcBorders>
            <w:shd w:val="clear" w:color="000000" w:fill="FFFFFF"/>
            <w:vAlign w:val="center"/>
            <w:hideMark/>
          </w:tcPr>
          <w:p w14:paraId="3D33905C" w14:textId="6A50BE7C" w:rsidR="004507FB" w:rsidRPr="00324A19" w:rsidRDefault="004507FB"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$4,374,440.03</w:t>
            </w:r>
          </w:p>
        </w:tc>
      </w:tr>
      <w:tr w:rsidR="001B7EDE" w:rsidRPr="00324A19" w14:paraId="5F25B885" w14:textId="77777777" w:rsidTr="00F473CF">
        <w:trPr>
          <w:trHeight w:val="20"/>
          <w:jc w:val="center"/>
        </w:trPr>
        <w:tc>
          <w:tcPr>
            <w:tcW w:w="1685" w:type="dxa"/>
            <w:tcBorders>
              <w:top w:val="nil"/>
              <w:left w:val="single" w:sz="4" w:space="0" w:color="auto"/>
              <w:bottom w:val="single" w:sz="4" w:space="0" w:color="auto"/>
              <w:right w:val="single" w:sz="4" w:space="0" w:color="auto"/>
            </w:tcBorders>
            <w:shd w:val="clear" w:color="000000" w:fill="FFFFFF"/>
            <w:vAlign w:val="center"/>
            <w:hideMark/>
          </w:tcPr>
          <w:p w14:paraId="7335CBE0" w14:textId="77777777" w:rsidR="004507FB" w:rsidRPr="00324A19" w:rsidRDefault="004507FB"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Compra Menores</w:t>
            </w:r>
          </w:p>
        </w:tc>
        <w:tc>
          <w:tcPr>
            <w:tcW w:w="1683" w:type="dxa"/>
            <w:tcBorders>
              <w:top w:val="nil"/>
              <w:left w:val="nil"/>
              <w:bottom w:val="single" w:sz="4" w:space="0" w:color="auto"/>
              <w:right w:val="single" w:sz="4" w:space="0" w:color="auto"/>
            </w:tcBorders>
            <w:shd w:val="clear" w:color="000000" w:fill="FFFFFF"/>
            <w:vAlign w:val="center"/>
            <w:hideMark/>
          </w:tcPr>
          <w:p w14:paraId="71DB4E2D" w14:textId="77777777" w:rsidR="004507FB" w:rsidRPr="00324A19" w:rsidRDefault="004507FB"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38</w:t>
            </w:r>
          </w:p>
        </w:tc>
        <w:tc>
          <w:tcPr>
            <w:tcW w:w="2006" w:type="dxa"/>
            <w:tcBorders>
              <w:top w:val="nil"/>
              <w:left w:val="nil"/>
              <w:bottom w:val="single" w:sz="4" w:space="0" w:color="auto"/>
              <w:right w:val="single" w:sz="4" w:space="0" w:color="auto"/>
            </w:tcBorders>
            <w:shd w:val="clear" w:color="000000" w:fill="FFFFFF"/>
            <w:vAlign w:val="center"/>
            <w:hideMark/>
          </w:tcPr>
          <w:p w14:paraId="055313A8" w14:textId="36A87B8E" w:rsidR="004507FB" w:rsidRPr="00324A19" w:rsidRDefault="004507FB"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$17,563,199.23</w:t>
            </w:r>
          </w:p>
        </w:tc>
      </w:tr>
      <w:tr w:rsidR="001B7EDE" w:rsidRPr="00324A19" w14:paraId="35093C08" w14:textId="77777777" w:rsidTr="00F473CF">
        <w:trPr>
          <w:trHeight w:val="20"/>
          <w:jc w:val="center"/>
        </w:trPr>
        <w:tc>
          <w:tcPr>
            <w:tcW w:w="1685" w:type="dxa"/>
            <w:tcBorders>
              <w:top w:val="nil"/>
              <w:left w:val="single" w:sz="4" w:space="0" w:color="auto"/>
              <w:bottom w:val="single" w:sz="4" w:space="0" w:color="auto"/>
              <w:right w:val="single" w:sz="4" w:space="0" w:color="auto"/>
            </w:tcBorders>
            <w:shd w:val="clear" w:color="000000" w:fill="FFFFFF"/>
            <w:vAlign w:val="center"/>
            <w:hideMark/>
          </w:tcPr>
          <w:p w14:paraId="4524B1C3" w14:textId="77777777" w:rsidR="004507FB" w:rsidRPr="00324A19" w:rsidRDefault="004507FB"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Comparación de Precios</w:t>
            </w:r>
          </w:p>
        </w:tc>
        <w:tc>
          <w:tcPr>
            <w:tcW w:w="1683" w:type="dxa"/>
            <w:tcBorders>
              <w:top w:val="nil"/>
              <w:left w:val="nil"/>
              <w:bottom w:val="single" w:sz="4" w:space="0" w:color="auto"/>
              <w:right w:val="single" w:sz="4" w:space="0" w:color="auto"/>
            </w:tcBorders>
            <w:shd w:val="clear" w:color="000000" w:fill="FFFFFF"/>
            <w:vAlign w:val="center"/>
            <w:hideMark/>
          </w:tcPr>
          <w:p w14:paraId="2BC471D0" w14:textId="77777777" w:rsidR="004507FB" w:rsidRPr="00324A19" w:rsidRDefault="004507FB"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2</w:t>
            </w:r>
          </w:p>
        </w:tc>
        <w:tc>
          <w:tcPr>
            <w:tcW w:w="2006" w:type="dxa"/>
            <w:tcBorders>
              <w:top w:val="nil"/>
              <w:left w:val="nil"/>
              <w:bottom w:val="single" w:sz="4" w:space="0" w:color="auto"/>
              <w:right w:val="single" w:sz="4" w:space="0" w:color="auto"/>
            </w:tcBorders>
            <w:shd w:val="clear" w:color="000000" w:fill="FFFFFF"/>
            <w:vAlign w:val="center"/>
            <w:hideMark/>
          </w:tcPr>
          <w:p w14:paraId="2A4F0896" w14:textId="7898CEA0" w:rsidR="004507FB" w:rsidRPr="00324A19" w:rsidRDefault="004507FB" w:rsidP="0053158C">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$7,811,014.42</w:t>
            </w:r>
          </w:p>
        </w:tc>
      </w:tr>
      <w:tr w:rsidR="001B7EDE" w:rsidRPr="00324A19" w14:paraId="36C1659E" w14:textId="77777777" w:rsidTr="00F473CF">
        <w:trPr>
          <w:trHeight w:val="20"/>
          <w:jc w:val="center"/>
        </w:trPr>
        <w:tc>
          <w:tcPr>
            <w:tcW w:w="1685" w:type="dxa"/>
            <w:tcBorders>
              <w:top w:val="nil"/>
              <w:left w:val="single" w:sz="4" w:space="0" w:color="auto"/>
              <w:bottom w:val="single" w:sz="4" w:space="0" w:color="auto"/>
              <w:right w:val="single" w:sz="4" w:space="0" w:color="auto"/>
            </w:tcBorders>
            <w:shd w:val="clear" w:color="000000" w:fill="FFFFFF"/>
            <w:vAlign w:val="center"/>
            <w:hideMark/>
          </w:tcPr>
          <w:p w14:paraId="3E50DB12" w14:textId="77777777" w:rsidR="004507FB" w:rsidRPr="00324A19" w:rsidRDefault="004507FB"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Total</w:t>
            </w:r>
          </w:p>
        </w:tc>
        <w:tc>
          <w:tcPr>
            <w:tcW w:w="1683" w:type="dxa"/>
            <w:tcBorders>
              <w:top w:val="nil"/>
              <w:left w:val="nil"/>
              <w:bottom w:val="single" w:sz="4" w:space="0" w:color="auto"/>
              <w:right w:val="single" w:sz="4" w:space="0" w:color="auto"/>
            </w:tcBorders>
            <w:shd w:val="clear" w:color="000000" w:fill="FFFFFF"/>
            <w:vAlign w:val="center"/>
            <w:hideMark/>
          </w:tcPr>
          <w:p w14:paraId="3EF1050D" w14:textId="77777777" w:rsidR="004507FB" w:rsidRPr="00324A19" w:rsidRDefault="004507FB"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87</w:t>
            </w:r>
          </w:p>
        </w:tc>
        <w:tc>
          <w:tcPr>
            <w:tcW w:w="2006" w:type="dxa"/>
            <w:tcBorders>
              <w:top w:val="nil"/>
              <w:left w:val="nil"/>
              <w:bottom w:val="single" w:sz="4" w:space="0" w:color="auto"/>
              <w:right w:val="single" w:sz="4" w:space="0" w:color="auto"/>
            </w:tcBorders>
            <w:shd w:val="clear" w:color="000000" w:fill="FFFFFF"/>
            <w:vAlign w:val="center"/>
            <w:hideMark/>
          </w:tcPr>
          <w:p w14:paraId="3F5B9073" w14:textId="193BBA60" w:rsidR="004507FB" w:rsidRPr="00324A19" w:rsidRDefault="004507FB" w:rsidP="0053158C">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$29,748,653.68</w:t>
            </w:r>
          </w:p>
        </w:tc>
      </w:tr>
      <w:tr w:rsidR="001B7EDE" w:rsidRPr="00324A19" w14:paraId="0294FBEF" w14:textId="77777777" w:rsidTr="00F473CF">
        <w:trPr>
          <w:trHeight w:val="20"/>
          <w:jc w:val="center"/>
        </w:trPr>
        <w:tc>
          <w:tcPr>
            <w:tcW w:w="5375" w:type="dxa"/>
            <w:gridSpan w:val="3"/>
            <w:tcBorders>
              <w:top w:val="single" w:sz="4" w:space="0" w:color="auto"/>
              <w:left w:val="nil"/>
              <w:bottom w:val="nil"/>
              <w:right w:val="nil"/>
            </w:tcBorders>
            <w:shd w:val="clear" w:color="auto" w:fill="auto"/>
            <w:vAlign w:val="center"/>
            <w:hideMark/>
          </w:tcPr>
          <w:p w14:paraId="34643012" w14:textId="3ED609DC" w:rsidR="004507FB" w:rsidRPr="00324A19" w:rsidRDefault="004507FB" w:rsidP="0053158C">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Fuente: ProDominicana.</w:t>
            </w:r>
          </w:p>
        </w:tc>
      </w:tr>
    </w:tbl>
    <w:p w14:paraId="43639A7E" w14:textId="77777777" w:rsidR="00360FAE" w:rsidRDefault="00360FAE"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p>
    <w:p w14:paraId="0233BEA5" w14:textId="77777777" w:rsidR="00360FAE" w:rsidRDefault="00360FAE">
      <w:pPr>
        <w:rPr>
          <w:rFonts w:ascii="Artifex CF Extra Light" w:eastAsia="Arial" w:hAnsi="Artifex CF Extra Light" w:cs="Times New Roman"/>
          <w:color w:val="1F4E79" w:themeColor="accent1" w:themeShade="80"/>
          <w:spacing w:val="10"/>
          <w:sz w:val="18"/>
          <w:szCs w:val="18"/>
          <w:lang w:val="es-ES" w:eastAsia="es-ES" w:bidi="es-ES"/>
        </w:rPr>
      </w:pPr>
      <w:r>
        <w:rPr>
          <w:rFonts w:ascii="Artifex CF Extra Light" w:hAnsi="Artifex CF Extra Light" w:cs="Times New Roman"/>
          <w:color w:val="1F4E79" w:themeColor="accent1" w:themeShade="80"/>
          <w:spacing w:val="10"/>
          <w:sz w:val="18"/>
          <w:szCs w:val="18"/>
        </w:rPr>
        <w:br w:type="page"/>
      </w:r>
    </w:p>
    <w:p w14:paraId="19CCF8E6" w14:textId="5F2AA61E" w:rsidR="00AD7DD6" w:rsidRPr="00360FAE" w:rsidRDefault="00AD7DD6"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360FAE">
        <w:rPr>
          <w:rFonts w:ascii="Artifex CF Extra Light" w:hAnsi="Artifex CF Extra Light" w:cs="Times New Roman"/>
          <w:color w:val="1F4E79" w:themeColor="accent1" w:themeShade="80"/>
          <w:spacing w:val="10"/>
          <w:sz w:val="18"/>
          <w:szCs w:val="18"/>
        </w:rPr>
        <w:lastRenderedPageBreak/>
        <w:t xml:space="preserve">En el periodo Enero- diciembre 2020 se ejecutó </w:t>
      </w:r>
      <w:r w:rsidR="00E04F69" w:rsidRPr="00360FAE">
        <w:rPr>
          <w:rFonts w:ascii="Artifex CF Extra Light" w:hAnsi="Artifex CF Extra Light" w:cs="Times New Roman"/>
          <w:color w:val="1F4E79" w:themeColor="accent1" w:themeShade="80"/>
          <w:spacing w:val="10"/>
          <w:sz w:val="18"/>
          <w:szCs w:val="18"/>
        </w:rPr>
        <w:t>noventa y nueve</w:t>
      </w:r>
      <w:r w:rsidRPr="00360FAE">
        <w:rPr>
          <w:rFonts w:ascii="Artifex CF Extra Light" w:hAnsi="Artifex CF Extra Light" w:cs="Times New Roman"/>
          <w:color w:val="1F4E79" w:themeColor="accent1" w:themeShade="80"/>
          <w:spacing w:val="10"/>
          <w:sz w:val="18"/>
          <w:szCs w:val="18"/>
        </w:rPr>
        <w:t xml:space="preserve"> (99) procesos adjudicados al sector No Pymes, en la siguiente modalidad de compras:</w:t>
      </w:r>
    </w:p>
    <w:tbl>
      <w:tblPr>
        <w:tblW w:w="6479" w:type="dxa"/>
        <w:jc w:val="center"/>
        <w:tblCellMar>
          <w:left w:w="70" w:type="dxa"/>
          <w:right w:w="70" w:type="dxa"/>
        </w:tblCellMar>
        <w:tblLook w:val="04A0" w:firstRow="1" w:lastRow="0" w:firstColumn="1" w:lastColumn="0" w:noHBand="0" w:noVBand="1"/>
      </w:tblPr>
      <w:tblGrid>
        <w:gridCol w:w="2435"/>
        <w:gridCol w:w="1844"/>
        <w:gridCol w:w="2200"/>
      </w:tblGrid>
      <w:tr w:rsidR="001B7EDE" w:rsidRPr="006F2F51" w14:paraId="6CF63D1A" w14:textId="77777777" w:rsidTr="009E3B0B">
        <w:trPr>
          <w:trHeight w:val="20"/>
          <w:jc w:val="center"/>
        </w:trPr>
        <w:tc>
          <w:tcPr>
            <w:tcW w:w="6479" w:type="dxa"/>
            <w:gridSpan w:val="3"/>
            <w:tcBorders>
              <w:top w:val="nil"/>
              <w:left w:val="nil"/>
              <w:bottom w:val="single" w:sz="4" w:space="0" w:color="auto"/>
              <w:right w:val="nil"/>
            </w:tcBorders>
            <w:shd w:val="clear" w:color="auto" w:fill="auto"/>
            <w:noWrap/>
            <w:vAlign w:val="center"/>
            <w:hideMark/>
          </w:tcPr>
          <w:p w14:paraId="7CFC0FC7" w14:textId="77777777" w:rsidR="00E26265" w:rsidRPr="00324A19" w:rsidRDefault="00E26265"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DO" w:eastAsia="es-ES"/>
              </w:rPr>
              <w:t>Tabla 10. Modalidad de compras No Pymes</w:t>
            </w:r>
          </w:p>
        </w:tc>
      </w:tr>
      <w:tr w:rsidR="001B7EDE" w:rsidRPr="00324A19" w14:paraId="0DEDA527" w14:textId="77777777" w:rsidTr="009E3B0B">
        <w:trPr>
          <w:trHeight w:val="20"/>
          <w:jc w:val="center"/>
        </w:trPr>
        <w:tc>
          <w:tcPr>
            <w:tcW w:w="2435" w:type="dxa"/>
            <w:tcBorders>
              <w:top w:val="nil"/>
              <w:left w:val="single" w:sz="4" w:space="0" w:color="auto"/>
              <w:bottom w:val="single" w:sz="4" w:space="0" w:color="auto"/>
              <w:right w:val="single" w:sz="4" w:space="0" w:color="auto"/>
            </w:tcBorders>
            <w:shd w:val="clear" w:color="000000" w:fill="1F4E78"/>
            <w:vAlign w:val="center"/>
            <w:hideMark/>
          </w:tcPr>
          <w:p w14:paraId="3D92F95E" w14:textId="77777777" w:rsidR="00E26265" w:rsidRPr="00360FAE" w:rsidRDefault="00E26265" w:rsidP="00360FAE">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360FAE">
              <w:rPr>
                <w:rFonts w:ascii="Artifex CF Extra Light" w:eastAsia="Times New Roman" w:hAnsi="Artifex CF Extra Light" w:cs="Calibri"/>
                <w:b/>
                <w:color w:val="FFFFFF" w:themeColor="background1"/>
                <w:sz w:val="18"/>
                <w:szCs w:val="18"/>
                <w:lang w:val="es-ES" w:eastAsia="es-ES"/>
              </w:rPr>
              <w:t>Modalidad de la Compra</w:t>
            </w:r>
          </w:p>
        </w:tc>
        <w:tc>
          <w:tcPr>
            <w:tcW w:w="1844" w:type="dxa"/>
            <w:tcBorders>
              <w:top w:val="nil"/>
              <w:left w:val="nil"/>
              <w:bottom w:val="single" w:sz="4" w:space="0" w:color="auto"/>
              <w:right w:val="single" w:sz="4" w:space="0" w:color="auto"/>
            </w:tcBorders>
            <w:shd w:val="clear" w:color="000000" w:fill="1F4E78"/>
            <w:vAlign w:val="center"/>
            <w:hideMark/>
          </w:tcPr>
          <w:p w14:paraId="4A756CC8" w14:textId="77777777" w:rsidR="00E26265" w:rsidRPr="00360FAE" w:rsidRDefault="00E26265" w:rsidP="00360FAE">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360FAE">
              <w:rPr>
                <w:rFonts w:ascii="Artifex CF Extra Light" w:eastAsia="Times New Roman" w:hAnsi="Artifex CF Extra Light" w:cs="Calibri"/>
                <w:b/>
                <w:color w:val="FFFFFF" w:themeColor="background1"/>
                <w:sz w:val="18"/>
                <w:szCs w:val="18"/>
                <w:lang w:val="es-ES" w:eastAsia="es-ES"/>
              </w:rPr>
              <w:t>Cantidad</w:t>
            </w:r>
          </w:p>
        </w:tc>
        <w:tc>
          <w:tcPr>
            <w:tcW w:w="2200" w:type="dxa"/>
            <w:tcBorders>
              <w:top w:val="nil"/>
              <w:left w:val="nil"/>
              <w:bottom w:val="single" w:sz="4" w:space="0" w:color="auto"/>
              <w:right w:val="single" w:sz="4" w:space="0" w:color="auto"/>
            </w:tcBorders>
            <w:shd w:val="clear" w:color="000000" w:fill="1F4E78"/>
            <w:vAlign w:val="center"/>
            <w:hideMark/>
          </w:tcPr>
          <w:p w14:paraId="15DB0223" w14:textId="77777777" w:rsidR="00E26265" w:rsidRPr="00360FAE" w:rsidRDefault="00E26265" w:rsidP="00360FAE">
            <w:pPr>
              <w:spacing w:after="0" w:line="360" w:lineRule="auto"/>
              <w:ind w:firstLine="284"/>
              <w:jc w:val="center"/>
              <w:rPr>
                <w:rFonts w:ascii="Artifex CF Extra Light" w:eastAsia="Times New Roman" w:hAnsi="Artifex CF Extra Light" w:cs="Calibri"/>
                <w:b/>
                <w:color w:val="FFFFFF" w:themeColor="background1"/>
                <w:sz w:val="18"/>
                <w:szCs w:val="18"/>
                <w:lang w:val="es-ES" w:eastAsia="es-ES"/>
              </w:rPr>
            </w:pPr>
            <w:r w:rsidRPr="00360FAE">
              <w:rPr>
                <w:rFonts w:ascii="Artifex CF Extra Light" w:eastAsia="Times New Roman" w:hAnsi="Artifex CF Extra Light" w:cs="Calibri"/>
                <w:b/>
                <w:color w:val="FFFFFF" w:themeColor="background1"/>
                <w:sz w:val="18"/>
                <w:szCs w:val="18"/>
                <w:lang w:val="es-ES" w:eastAsia="es-ES"/>
              </w:rPr>
              <w:t>Monto RD$</w:t>
            </w:r>
          </w:p>
        </w:tc>
      </w:tr>
      <w:tr w:rsidR="001B7EDE" w:rsidRPr="00324A19" w14:paraId="673964E2" w14:textId="77777777" w:rsidTr="009E3B0B">
        <w:trPr>
          <w:trHeight w:val="500"/>
          <w:jc w:val="center"/>
        </w:trPr>
        <w:tc>
          <w:tcPr>
            <w:tcW w:w="2435" w:type="dxa"/>
            <w:tcBorders>
              <w:top w:val="nil"/>
              <w:left w:val="single" w:sz="4" w:space="0" w:color="auto"/>
              <w:bottom w:val="single" w:sz="4" w:space="0" w:color="auto"/>
              <w:right w:val="single" w:sz="4" w:space="0" w:color="auto"/>
            </w:tcBorders>
            <w:shd w:val="clear" w:color="000000" w:fill="FFFFFF"/>
            <w:vAlign w:val="center"/>
            <w:hideMark/>
          </w:tcPr>
          <w:p w14:paraId="70E571A0" w14:textId="77777777" w:rsidR="00E26265" w:rsidRPr="00324A19" w:rsidRDefault="00E26265"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Bajo Umbral Mínimo</w:t>
            </w:r>
          </w:p>
        </w:tc>
        <w:tc>
          <w:tcPr>
            <w:tcW w:w="1844" w:type="dxa"/>
            <w:tcBorders>
              <w:top w:val="nil"/>
              <w:left w:val="nil"/>
              <w:bottom w:val="single" w:sz="4" w:space="0" w:color="auto"/>
              <w:right w:val="single" w:sz="4" w:space="0" w:color="auto"/>
            </w:tcBorders>
            <w:shd w:val="clear" w:color="000000" w:fill="FFFFFF"/>
            <w:vAlign w:val="center"/>
            <w:hideMark/>
          </w:tcPr>
          <w:p w14:paraId="2D450AA0" w14:textId="77777777" w:rsidR="00E26265" w:rsidRPr="00324A19" w:rsidRDefault="00E26265" w:rsidP="00360FAE">
            <w:pPr>
              <w:spacing w:after="0" w:line="360" w:lineRule="auto"/>
              <w:ind w:firstLine="284"/>
              <w:jc w:val="center"/>
              <w:rPr>
                <w:rFonts w:ascii="Artifex CF Extra Light" w:eastAsia="Times New Roman" w:hAnsi="Artifex CF Extra Light" w:cs="Calibri"/>
                <w:color w:val="1F4E79" w:themeColor="accent1" w:themeShade="80"/>
                <w:sz w:val="18"/>
                <w:szCs w:val="18"/>
                <w:lang w:val="es-DO" w:eastAsia="es-ES"/>
              </w:rPr>
            </w:pPr>
            <w:r w:rsidRPr="00324A19">
              <w:rPr>
                <w:rFonts w:ascii="Artifex CF Extra Light" w:eastAsia="Times New Roman" w:hAnsi="Artifex CF Extra Light" w:cs="Calibri"/>
                <w:color w:val="1F4E79" w:themeColor="accent1" w:themeShade="80"/>
                <w:sz w:val="18"/>
                <w:szCs w:val="18"/>
                <w:lang w:val="es-ES" w:eastAsia="es-ES"/>
              </w:rPr>
              <w:t>65</w:t>
            </w:r>
          </w:p>
        </w:tc>
        <w:tc>
          <w:tcPr>
            <w:tcW w:w="2200" w:type="dxa"/>
            <w:tcBorders>
              <w:top w:val="nil"/>
              <w:left w:val="nil"/>
              <w:bottom w:val="single" w:sz="4" w:space="0" w:color="auto"/>
              <w:right w:val="single" w:sz="4" w:space="0" w:color="auto"/>
            </w:tcBorders>
            <w:shd w:val="clear" w:color="000000" w:fill="FFFFFF"/>
            <w:vAlign w:val="center"/>
            <w:hideMark/>
          </w:tcPr>
          <w:p w14:paraId="4CB56D92" w14:textId="1344295C" w:rsidR="00E26265" w:rsidRPr="00324A19" w:rsidRDefault="00E26265" w:rsidP="00360FAE">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$4,618,580.08</w:t>
            </w:r>
          </w:p>
        </w:tc>
      </w:tr>
      <w:tr w:rsidR="001B7EDE" w:rsidRPr="00324A19" w14:paraId="5C20493A" w14:textId="77777777" w:rsidTr="009E3B0B">
        <w:trPr>
          <w:trHeight w:val="20"/>
          <w:jc w:val="center"/>
        </w:trPr>
        <w:tc>
          <w:tcPr>
            <w:tcW w:w="2435" w:type="dxa"/>
            <w:tcBorders>
              <w:top w:val="nil"/>
              <w:left w:val="single" w:sz="4" w:space="0" w:color="auto"/>
              <w:bottom w:val="single" w:sz="4" w:space="0" w:color="auto"/>
              <w:right w:val="single" w:sz="4" w:space="0" w:color="auto"/>
            </w:tcBorders>
            <w:shd w:val="clear" w:color="000000" w:fill="FFFFFF"/>
            <w:vAlign w:val="center"/>
            <w:hideMark/>
          </w:tcPr>
          <w:p w14:paraId="1FE0330E" w14:textId="77777777" w:rsidR="00E26265" w:rsidRPr="00324A19" w:rsidRDefault="00E26265"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Compra Menores</w:t>
            </w:r>
          </w:p>
        </w:tc>
        <w:tc>
          <w:tcPr>
            <w:tcW w:w="1844" w:type="dxa"/>
            <w:tcBorders>
              <w:top w:val="nil"/>
              <w:left w:val="nil"/>
              <w:bottom w:val="single" w:sz="4" w:space="0" w:color="auto"/>
              <w:right w:val="single" w:sz="4" w:space="0" w:color="auto"/>
            </w:tcBorders>
            <w:shd w:val="clear" w:color="000000" w:fill="FFFFFF"/>
            <w:vAlign w:val="center"/>
            <w:hideMark/>
          </w:tcPr>
          <w:p w14:paraId="77136AB6" w14:textId="77777777" w:rsidR="00E26265" w:rsidRPr="00324A19" w:rsidRDefault="00E26265" w:rsidP="00360FAE">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31</w:t>
            </w:r>
          </w:p>
        </w:tc>
        <w:tc>
          <w:tcPr>
            <w:tcW w:w="2200" w:type="dxa"/>
            <w:tcBorders>
              <w:top w:val="nil"/>
              <w:left w:val="nil"/>
              <w:bottom w:val="single" w:sz="4" w:space="0" w:color="auto"/>
              <w:right w:val="single" w:sz="4" w:space="0" w:color="auto"/>
            </w:tcBorders>
            <w:shd w:val="clear" w:color="000000" w:fill="FFFFFF"/>
            <w:vAlign w:val="center"/>
            <w:hideMark/>
          </w:tcPr>
          <w:p w14:paraId="3EF1C506" w14:textId="38F36E56" w:rsidR="00E26265" w:rsidRPr="00324A19" w:rsidRDefault="00E26265" w:rsidP="00360FAE">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$12,967,351.86</w:t>
            </w:r>
          </w:p>
        </w:tc>
      </w:tr>
      <w:tr w:rsidR="001B7EDE" w:rsidRPr="00324A19" w14:paraId="4117F868" w14:textId="77777777" w:rsidTr="009E3B0B">
        <w:trPr>
          <w:trHeight w:val="20"/>
          <w:jc w:val="center"/>
        </w:trPr>
        <w:tc>
          <w:tcPr>
            <w:tcW w:w="2435" w:type="dxa"/>
            <w:tcBorders>
              <w:top w:val="nil"/>
              <w:left w:val="single" w:sz="4" w:space="0" w:color="auto"/>
              <w:bottom w:val="single" w:sz="4" w:space="0" w:color="auto"/>
              <w:right w:val="single" w:sz="4" w:space="0" w:color="auto"/>
            </w:tcBorders>
            <w:shd w:val="clear" w:color="000000" w:fill="FFFFFF"/>
            <w:vAlign w:val="center"/>
            <w:hideMark/>
          </w:tcPr>
          <w:p w14:paraId="5DA60BF0" w14:textId="77777777" w:rsidR="00E26265" w:rsidRPr="00324A19" w:rsidRDefault="00E26265"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Comparación de Precios</w:t>
            </w:r>
          </w:p>
        </w:tc>
        <w:tc>
          <w:tcPr>
            <w:tcW w:w="1844" w:type="dxa"/>
            <w:tcBorders>
              <w:top w:val="nil"/>
              <w:left w:val="nil"/>
              <w:bottom w:val="single" w:sz="4" w:space="0" w:color="auto"/>
              <w:right w:val="single" w:sz="4" w:space="0" w:color="auto"/>
            </w:tcBorders>
            <w:shd w:val="clear" w:color="000000" w:fill="FFFFFF"/>
            <w:vAlign w:val="center"/>
            <w:hideMark/>
          </w:tcPr>
          <w:p w14:paraId="4624D62C" w14:textId="77777777" w:rsidR="00E26265" w:rsidRPr="00324A19" w:rsidRDefault="00E26265" w:rsidP="00360FAE">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3</w:t>
            </w:r>
          </w:p>
        </w:tc>
        <w:tc>
          <w:tcPr>
            <w:tcW w:w="2200" w:type="dxa"/>
            <w:tcBorders>
              <w:top w:val="nil"/>
              <w:left w:val="nil"/>
              <w:bottom w:val="single" w:sz="4" w:space="0" w:color="auto"/>
              <w:right w:val="single" w:sz="4" w:space="0" w:color="auto"/>
            </w:tcBorders>
            <w:shd w:val="clear" w:color="000000" w:fill="FFFFFF"/>
            <w:vAlign w:val="center"/>
            <w:hideMark/>
          </w:tcPr>
          <w:p w14:paraId="0E39239D" w14:textId="6DDCB0C2" w:rsidR="00E26265" w:rsidRPr="00324A19" w:rsidRDefault="00E26265" w:rsidP="00360FAE">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$8,040,843.52</w:t>
            </w:r>
          </w:p>
        </w:tc>
      </w:tr>
      <w:tr w:rsidR="001B7EDE" w:rsidRPr="00324A19" w14:paraId="02B99599" w14:textId="77777777" w:rsidTr="009E3B0B">
        <w:trPr>
          <w:trHeight w:val="20"/>
          <w:jc w:val="center"/>
        </w:trPr>
        <w:tc>
          <w:tcPr>
            <w:tcW w:w="2435" w:type="dxa"/>
            <w:tcBorders>
              <w:top w:val="nil"/>
              <w:left w:val="single" w:sz="4" w:space="0" w:color="auto"/>
              <w:bottom w:val="single" w:sz="4" w:space="0" w:color="auto"/>
              <w:right w:val="single" w:sz="4" w:space="0" w:color="auto"/>
            </w:tcBorders>
            <w:shd w:val="clear" w:color="000000" w:fill="FFFFFF"/>
            <w:vAlign w:val="center"/>
            <w:hideMark/>
          </w:tcPr>
          <w:p w14:paraId="4FA1745D" w14:textId="77777777" w:rsidR="00E26265" w:rsidRPr="00324A19" w:rsidRDefault="00E26265"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Excepción</w:t>
            </w:r>
          </w:p>
        </w:tc>
        <w:tc>
          <w:tcPr>
            <w:tcW w:w="1844" w:type="dxa"/>
            <w:tcBorders>
              <w:top w:val="nil"/>
              <w:left w:val="nil"/>
              <w:bottom w:val="single" w:sz="4" w:space="0" w:color="auto"/>
              <w:right w:val="single" w:sz="4" w:space="0" w:color="auto"/>
            </w:tcBorders>
            <w:shd w:val="clear" w:color="000000" w:fill="FFFFFF"/>
            <w:vAlign w:val="center"/>
            <w:hideMark/>
          </w:tcPr>
          <w:p w14:paraId="7FF9F1AB" w14:textId="77777777" w:rsidR="00E26265" w:rsidRPr="00324A19" w:rsidRDefault="00E26265" w:rsidP="00360FAE">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w:t>
            </w:r>
          </w:p>
        </w:tc>
        <w:tc>
          <w:tcPr>
            <w:tcW w:w="2200" w:type="dxa"/>
            <w:tcBorders>
              <w:top w:val="nil"/>
              <w:left w:val="nil"/>
              <w:bottom w:val="single" w:sz="4" w:space="0" w:color="auto"/>
              <w:right w:val="single" w:sz="4" w:space="0" w:color="auto"/>
            </w:tcBorders>
            <w:shd w:val="clear" w:color="000000" w:fill="FFFFFF"/>
            <w:vAlign w:val="center"/>
            <w:hideMark/>
          </w:tcPr>
          <w:p w14:paraId="32B91DD0" w14:textId="4675E24F" w:rsidR="00E26265" w:rsidRPr="00324A19" w:rsidRDefault="00E26265" w:rsidP="00360FAE">
            <w:pPr>
              <w:spacing w:after="0" w:line="360" w:lineRule="auto"/>
              <w:ind w:firstLine="284"/>
              <w:jc w:val="center"/>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$1,172,802.00</w:t>
            </w:r>
          </w:p>
        </w:tc>
      </w:tr>
      <w:tr w:rsidR="001B7EDE" w:rsidRPr="00324A19" w14:paraId="2A403D83" w14:textId="77777777" w:rsidTr="009E3B0B">
        <w:trPr>
          <w:trHeight w:val="20"/>
          <w:jc w:val="center"/>
        </w:trPr>
        <w:tc>
          <w:tcPr>
            <w:tcW w:w="2435" w:type="dxa"/>
            <w:tcBorders>
              <w:top w:val="nil"/>
              <w:left w:val="single" w:sz="4" w:space="0" w:color="auto"/>
              <w:bottom w:val="single" w:sz="4" w:space="0" w:color="auto"/>
              <w:right w:val="single" w:sz="4" w:space="0" w:color="auto"/>
            </w:tcBorders>
            <w:shd w:val="clear" w:color="000000" w:fill="FFFFFF"/>
            <w:vAlign w:val="center"/>
            <w:hideMark/>
          </w:tcPr>
          <w:p w14:paraId="24ACCAAD" w14:textId="77777777" w:rsidR="00E26265" w:rsidRPr="00324A19" w:rsidRDefault="00E26265"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Total</w:t>
            </w:r>
          </w:p>
        </w:tc>
        <w:tc>
          <w:tcPr>
            <w:tcW w:w="1844" w:type="dxa"/>
            <w:tcBorders>
              <w:top w:val="nil"/>
              <w:left w:val="nil"/>
              <w:bottom w:val="single" w:sz="4" w:space="0" w:color="auto"/>
              <w:right w:val="single" w:sz="4" w:space="0" w:color="auto"/>
            </w:tcBorders>
            <w:shd w:val="clear" w:color="000000" w:fill="FFFFFF"/>
            <w:vAlign w:val="center"/>
            <w:hideMark/>
          </w:tcPr>
          <w:p w14:paraId="13E81C41" w14:textId="77777777" w:rsidR="00E26265" w:rsidRPr="00324A19" w:rsidRDefault="00E26265"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99</w:t>
            </w:r>
          </w:p>
        </w:tc>
        <w:tc>
          <w:tcPr>
            <w:tcW w:w="2200" w:type="dxa"/>
            <w:tcBorders>
              <w:top w:val="nil"/>
              <w:left w:val="nil"/>
              <w:bottom w:val="single" w:sz="4" w:space="0" w:color="auto"/>
              <w:right w:val="single" w:sz="4" w:space="0" w:color="auto"/>
            </w:tcBorders>
            <w:shd w:val="clear" w:color="000000" w:fill="FFFFFF"/>
            <w:vAlign w:val="center"/>
            <w:hideMark/>
          </w:tcPr>
          <w:p w14:paraId="4A90A615" w14:textId="3377D6D4" w:rsidR="00E26265" w:rsidRPr="00324A19" w:rsidRDefault="00E26265"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t>$26,799,577.46</w:t>
            </w:r>
          </w:p>
        </w:tc>
      </w:tr>
      <w:tr w:rsidR="001B7EDE" w:rsidRPr="00324A19" w14:paraId="5F74DD61" w14:textId="77777777" w:rsidTr="009E3B0B">
        <w:trPr>
          <w:trHeight w:val="20"/>
          <w:jc w:val="center"/>
        </w:trPr>
        <w:tc>
          <w:tcPr>
            <w:tcW w:w="6479" w:type="dxa"/>
            <w:gridSpan w:val="3"/>
            <w:tcBorders>
              <w:top w:val="single" w:sz="4" w:space="0" w:color="auto"/>
              <w:left w:val="nil"/>
              <w:bottom w:val="nil"/>
              <w:right w:val="nil"/>
            </w:tcBorders>
            <w:shd w:val="clear" w:color="auto" w:fill="auto"/>
            <w:vAlign w:val="center"/>
            <w:hideMark/>
          </w:tcPr>
          <w:p w14:paraId="7D8481CF" w14:textId="284F84CA" w:rsidR="00E26265" w:rsidRPr="00324A19" w:rsidRDefault="00E26265" w:rsidP="00360FAE">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Fuente: ProDominicana.</w:t>
            </w:r>
          </w:p>
        </w:tc>
      </w:tr>
    </w:tbl>
    <w:p w14:paraId="72E006BC" w14:textId="4AC1DBDF" w:rsidR="00AD7DD6" w:rsidRPr="00360FAE" w:rsidRDefault="00AD7DD6"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360FAE">
        <w:rPr>
          <w:rFonts w:ascii="Artifex CF Extra Light" w:hAnsi="Artifex CF Extra Light" w:cs="Times New Roman"/>
          <w:color w:val="1F4E79" w:themeColor="accent1" w:themeShade="80"/>
          <w:spacing w:val="10"/>
          <w:sz w:val="18"/>
          <w:szCs w:val="18"/>
        </w:rPr>
        <w:t>Se ha destinado un 53% de las compras de bienes y servicios a sector MIPYMES y el</w:t>
      </w:r>
      <w:r w:rsidR="00433E84" w:rsidRPr="00360FAE">
        <w:rPr>
          <w:rFonts w:ascii="Artifex CF Extra Light" w:hAnsi="Artifex CF Extra Light" w:cs="Times New Roman"/>
          <w:color w:val="1F4E79" w:themeColor="accent1" w:themeShade="80"/>
          <w:spacing w:val="10"/>
          <w:sz w:val="18"/>
          <w:szCs w:val="18"/>
        </w:rPr>
        <w:t xml:space="preserve"> </w:t>
      </w:r>
      <w:r w:rsidRPr="00360FAE">
        <w:rPr>
          <w:rFonts w:ascii="Artifex CF Extra Light" w:hAnsi="Artifex CF Extra Light" w:cs="Times New Roman"/>
          <w:color w:val="1F4E79" w:themeColor="accent1" w:themeShade="80"/>
          <w:spacing w:val="10"/>
          <w:sz w:val="18"/>
          <w:szCs w:val="18"/>
        </w:rPr>
        <w:t>47% destinado a sector No Pymes en el período entre enero– diciembre 2020.</w:t>
      </w:r>
    </w:p>
    <w:p w14:paraId="3701348E" w14:textId="41E9A269" w:rsidR="00962212" w:rsidRPr="00360FAE" w:rsidRDefault="00AD7DD6"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360FAE">
        <w:rPr>
          <w:rFonts w:ascii="Artifex CF Extra Light" w:hAnsi="Artifex CF Extra Light" w:cs="Times New Roman"/>
          <w:color w:val="1F4E79" w:themeColor="accent1" w:themeShade="80"/>
          <w:spacing w:val="10"/>
          <w:sz w:val="18"/>
          <w:szCs w:val="18"/>
        </w:rPr>
        <w:t xml:space="preserve">Los rubros contratados fueron los siguientes: Alimentos y Bebidas, Artículos del Hogar, Artículos de Limpieza, Higiene e Insumos de Cocina, Audiovisuales, Combustibles, Componentes de Vehículos, Consultoría, Construcción y Edificación, Ferretería y Pintura, Imprenta y Publicaciones, Informática, Joyería y Orfebrería, Servicio de Mantenimiento y Limpieza, Servicio de Mantenimiento y Reparación de Vehículos, Maquinarias, Muebles y Equipos de Oficina, Obras de Arte y Elementos de </w:t>
      </w:r>
      <w:r w:rsidR="004C6481" w:rsidRPr="00360FAE">
        <w:rPr>
          <w:rFonts w:ascii="Artifex CF Extra Light" w:hAnsi="Artifex CF Extra Light" w:cs="Times New Roman"/>
          <w:color w:val="1F4E79" w:themeColor="accent1" w:themeShade="80"/>
          <w:spacing w:val="10"/>
          <w:sz w:val="18"/>
          <w:szCs w:val="18"/>
        </w:rPr>
        <w:t>Colección</w:t>
      </w:r>
      <w:r w:rsidRPr="00360FAE">
        <w:rPr>
          <w:rFonts w:ascii="Artifex CF Extra Light" w:hAnsi="Artifex CF Extra Light" w:cs="Times New Roman"/>
          <w:color w:val="1F4E79" w:themeColor="accent1" w:themeShade="80"/>
          <w:spacing w:val="10"/>
          <w:sz w:val="18"/>
          <w:szCs w:val="18"/>
        </w:rPr>
        <w:t xml:space="preserve">, Publicidad, Protocolo, Sanitario, </w:t>
      </w:r>
      <w:r w:rsidR="004C6481" w:rsidRPr="00360FAE">
        <w:rPr>
          <w:rFonts w:ascii="Artifex CF Extra Light" w:hAnsi="Artifex CF Extra Light" w:cs="Times New Roman"/>
          <w:color w:val="1F4E79" w:themeColor="accent1" w:themeShade="80"/>
          <w:spacing w:val="10"/>
          <w:sz w:val="18"/>
          <w:szCs w:val="18"/>
        </w:rPr>
        <w:t>Plomería</w:t>
      </w:r>
      <w:r w:rsidRPr="00360FAE">
        <w:rPr>
          <w:rFonts w:ascii="Artifex CF Extra Light" w:hAnsi="Artifex CF Extra Light" w:cs="Times New Roman"/>
          <w:color w:val="1F4E79" w:themeColor="accent1" w:themeShade="80"/>
          <w:spacing w:val="10"/>
          <w:sz w:val="18"/>
          <w:szCs w:val="18"/>
        </w:rPr>
        <w:t xml:space="preserve"> y Gas, Servicios Básicos, Servicio de Transporte y Mantenimiento, Suministro de Oficina, Telefonía y Comunicaciones, Textiles e Indumentaria y otros Artículos Personales.</w:t>
      </w:r>
      <w:r w:rsidR="00962212" w:rsidRPr="00360FAE">
        <w:rPr>
          <w:rFonts w:ascii="Artifex CF Extra Light" w:hAnsi="Artifex CF Extra Light" w:cs="Times New Roman"/>
          <w:color w:val="1F4E79" w:themeColor="accent1" w:themeShade="80"/>
          <w:spacing w:val="10"/>
          <w:sz w:val="18"/>
          <w:szCs w:val="18"/>
        </w:rPr>
        <w:t xml:space="preserve"> </w:t>
      </w:r>
    </w:p>
    <w:p w14:paraId="002EABB2" w14:textId="3A4356AB" w:rsidR="002926B3" w:rsidRPr="00324A19" w:rsidRDefault="00B654C2"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z w:val="18"/>
          <w:szCs w:val="18"/>
        </w:rPr>
      </w:pPr>
      <w:r w:rsidRPr="00360FAE">
        <w:rPr>
          <w:rFonts w:ascii="Artifex CF Extra Light" w:hAnsi="Artifex CF Extra Light" w:cs="Times New Roman"/>
          <w:color w:val="1F4E79" w:themeColor="accent1" w:themeShade="80"/>
          <w:spacing w:val="10"/>
          <w:sz w:val="18"/>
          <w:szCs w:val="18"/>
        </w:rPr>
        <w:t>ProDominicana</w:t>
      </w:r>
      <w:r w:rsidR="00AD7DD6" w:rsidRPr="00360FAE">
        <w:rPr>
          <w:rFonts w:ascii="Artifex CF Extra Light" w:hAnsi="Artifex CF Extra Light" w:cs="Times New Roman"/>
          <w:color w:val="1F4E79" w:themeColor="accent1" w:themeShade="80"/>
          <w:spacing w:val="10"/>
          <w:sz w:val="18"/>
          <w:szCs w:val="18"/>
        </w:rPr>
        <w:t xml:space="preserve"> ha seleccionado a los proveedores registrados en la Dirección General de Compras y Contrataciones (DGCP). Ver anexo </w:t>
      </w:r>
      <w:bookmarkStart w:id="149" w:name="_Toc58332534"/>
      <w:r w:rsidR="00724FC8" w:rsidRPr="00360FAE">
        <w:rPr>
          <w:rFonts w:ascii="Artifex CF Extra Light" w:hAnsi="Artifex CF Extra Light" w:cs="Times New Roman"/>
          <w:color w:val="1F4E79" w:themeColor="accent1" w:themeShade="80"/>
          <w:spacing w:val="10"/>
          <w:sz w:val="18"/>
          <w:szCs w:val="18"/>
        </w:rPr>
        <w:t>4</w:t>
      </w:r>
      <w:r w:rsidR="002926B3" w:rsidRPr="00360FAE">
        <w:rPr>
          <w:rFonts w:ascii="Artifex CF Extra Light" w:hAnsi="Artifex CF Extra Light" w:cs="Times New Roman"/>
          <w:color w:val="1F4E79" w:themeColor="accent1" w:themeShade="80"/>
          <w:spacing w:val="10"/>
          <w:sz w:val="18"/>
          <w:szCs w:val="18"/>
        </w:rPr>
        <w:t xml:space="preserve">. </w:t>
      </w:r>
    </w:p>
    <w:p w14:paraId="5C01A384" w14:textId="2412CC27" w:rsidR="00C514D0" w:rsidRPr="00324A19" w:rsidRDefault="00C514D0" w:rsidP="00864966">
      <w:pPr>
        <w:pStyle w:val="Textoindependiente"/>
        <w:spacing w:before="380" w:after="120" w:line="456" w:lineRule="auto"/>
        <w:ind w:firstLine="284"/>
        <w:jc w:val="both"/>
        <w:rPr>
          <w:rFonts w:ascii="Artifex CF Extra Light" w:hAnsi="Artifex CF Extra Light" w:cs="Times New Roman"/>
          <w:color w:val="1F4E79" w:themeColor="accent1" w:themeShade="80"/>
          <w:sz w:val="18"/>
          <w:szCs w:val="18"/>
        </w:rPr>
        <w:sectPr w:rsidR="00C514D0" w:rsidRPr="00324A19" w:rsidSect="00723343">
          <w:pgSz w:w="12240" w:h="15840" w:code="1"/>
          <w:pgMar w:top="1440" w:right="2160" w:bottom="1440" w:left="2160" w:header="709" w:footer="709" w:gutter="0"/>
          <w:cols w:space="708"/>
          <w:titlePg/>
          <w:docGrid w:linePitch="360"/>
        </w:sectPr>
      </w:pPr>
    </w:p>
    <w:p w14:paraId="131EBE36" w14:textId="696F2052" w:rsidR="00360FAE" w:rsidRPr="00360FAE" w:rsidRDefault="00360FAE" w:rsidP="00360FAE">
      <w:pPr>
        <w:pStyle w:val="Prrafodelista"/>
        <w:keepNext/>
        <w:keepLines/>
        <w:numPr>
          <w:ilvl w:val="0"/>
          <w:numId w:val="5"/>
        </w:numPr>
        <w:spacing w:before="380" w:after="120" w:line="456" w:lineRule="auto"/>
        <w:ind w:left="284" w:hanging="284"/>
        <w:contextualSpacing w:val="0"/>
        <w:jc w:val="center"/>
        <w:outlineLvl w:val="0"/>
        <w:rPr>
          <w:rFonts w:ascii="Artifex CF Light" w:eastAsia="Times New Roman" w:hAnsi="Artifex CF Light" w:cs="Times New Roman"/>
          <w:color w:val="1F4E79" w:themeColor="accent1" w:themeShade="80"/>
          <w:spacing w:val="30"/>
          <w:sz w:val="26"/>
          <w:szCs w:val="32"/>
          <w:lang w:val="es-DO" w:eastAsia="es-DO"/>
        </w:rPr>
      </w:pPr>
      <w:bookmarkStart w:id="150" w:name="_Toc59528112"/>
      <w:bookmarkEnd w:id="149"/>
      <w:r w:rsidRPr="00C374D9">
        <w:rPr>
          <w:noProof/>
          <w:color w:val="1F4E79" w:themeColor="accent1" w:themeShade="80"/>
          <w:spacing w:val="30"/>
        </w:rPr>
        <w:lastRenderedPageBreak/>
        <mc:AlternateContent>
          <mc:Choice Requires="wps">
            <w:drawing>
              <wp:anchor distT="0" distB="0" distL="114300" distR="114300" simplePos="0" relativeHeight="251898880" behindDoc="0" locked="0" layoutInCell="1" allowOverlap="1" wp14:anchorId="75E72C72" wp14:editId="4CE2F1E2">
                <wp:simplePos x="0" y="0"/>
                <wp:positionH relativeFrom="margin">
                  <wp:posOffset>2285365</wp:posOffset>
                </wp:positionH>
                <wp:positionV relativeFrom="paragraph">
                  <wp:posOffset>893141</wp:posOffset>
                </wp:positionV>
                <wp:extent cx="464820" cy="0"/>
                <wp:effectExtent l="0" t="19050" r="30480" b="19050"/>
                <wp:wrapNone/>
                <wp:docPr id="38" name="Conector recto 38"/>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73A320" id="Conector recto 38" o:spid="_x0000_s1026" style="position:absolute;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70.35pt" to="216.5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" strokecolor="red" strokeweight="2.5pt">
                <v:stroke joinstyle="miter"/>
                <w10:wrap anchorx="margin"/>
              </v:line>
            </w:pict>
          </mc:Fallback>
        </mc:AlternateContent>
      </w:r>
      <w:r>
        <w:rPr>
          <w:rFonts w:ascii="Artifex CF Light" w:eastAsia="Times New Roman" w:hAnsi="Artifex CF Light" w:cs="Times New Roman"/>
          <w:color w:val="1F4E79" w:themeColor="accent1" w:themeShade="80"/>
          <w:spacing w:val="30"/>
          <w:sz w:val="26"/>
          <w:szCs w:val="32"/>
          <w:lang w:val="es-DO" w:eastAsia="es-DO"/>
        </w:rPr>
        <w:t>IMPLEMENTACION Y CERTIFICACIONES DE CALIDAD ALCANZADAS</w:t>
      </w:r>
      <w:r w:rsidRPr="00C374D9">
        <w:rPr>
          <w:rFonts w:ascii="Artifex CF Light" w:eastAsia="Times New Roman" w:hAnsi="Artifex CF Light" w:cs="Times New Roman"/>
          <w:color w:val="1F4E79" w:themeColor="accent1" w:themeShade="80"/>
          <w:spacing w:val="30"/>
          <w:sz w:val="26"/>
          <w:szCs w:val="32"/>
          <w:lang w:val="es-DO" w:eastAsia="es-DO"/>
        </w:rPr>
        <w:t>GESTIÓN INTERNA</w:t>
      </w:r>
      <w:bookmarkEnd w:id="150"/>
    </w:p>
    <w:p w14:paraId="6C6F4EE7" w14:textId="4A7EE1CA" w:rsidR="004E358D" w:rsidRPr="00360FAE" w:rsidRDefault="00BE29DD" w:rsidP="00360FAE">
      <w:pPr>
        <w:pStyle w:val="Prrafodelista"/>
        <w:numPr>
          <w:ilvl w:val="0"/>
          <w:numId w:val="20"/>
        </w:numPr>
        <w:spacing w:before="380" w:after="120" w:line="456" w:lineRule="auto"/>
        <w:ind w:left="284" w:hanging="284"/>
        <w:contextualSpacing w:val="0"/>
        <w:jc w:val="both"/>
        <w:rPr>
          <w:rFonts w:ascii="Artifex CF Extra Light" w:eastAsia="Arial" w:hAnsi="Artifex CF Extra Light" w:cs="Times New Roman"/>
          <w:b/>
          <w:color w:val="1F4E79" w:themeColor="accent1" w:themeShade="80"/>
          <w:spacing w:val="10"/>
          <w:sz w:val="18"/>
          <w:szCs w:val="18"/>
          <w:lang w:val="es-ES" w:eastAsia="es-ES" w:bidi="es-ES"/>
        </w:rPr>
      </w:pPr>
      <w:r w:rsidRPr="00360FAE">
        <w:rPr>
          <w:rFonts w:ascii="Artifex CF Extra Light" w:hAnsi="Artifex CF Extra Light" w:cs="Times New Roman"/>
          <w:b/>
          <w:color w:val="1F4E79" w:themeColor="accent1" w:themeShade="80"/>
          <w:spacing w:val="10"/>
          <w:sz w:val="18"/>
          <w:szCs w:val="18"/>
          <w:lang w:val="es-ES"/>
        </w:rPr>
        <w:t>Norma</w:t>
      </w:r>
      <w:r w:rsidRPr="00360FAE">
        <w:rPr>
          <w:rFonts w:ascii="Artifex CF Extra Light" w:eastAsia="Arial" w:hAnsi="Artifex CF Extra Light" w:cs="Times New Roman"/>
          <w:b/>
          <w:color w:val="1F4E79" w:themeColor="accent1" w:themeShade="80"/>
          <w:spacing w:val="10"/>
          <w:sz w:val="18"/>
          <w:szCs w:val="18"/>
          <w:lang w:val="es-ES" w:eastAsia="es-ES" w:bidi="es-ES"/>
        </w:rPr>
        <w:t xml:space="preserve"> para el Desarrollo y Gestión de los Medios Web del Estado Dominicano</w:t>
      </w:r>
    </w:p>
    <w:p w14:paraId="45B34DD1" w14:textId="36BC9337" w:rsidR="00164B9A" w:rsidRPr="00360FAE" w:rsidRDefault="19EFA2F5" w:rsidP="00360FAE">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360FAE">
        <w:rPr>
          <w:rFonts w:ascii="Artifex CF Extra Light" w:hAnsi="Artifex CF Extra Light" w:cs="Times New Roman"/>
          <w:color w:val="1F4E79" w:themeColor="accent1" w:themeShade="80"/>
          <w:spacing w:val="10"/>
          <w:sz w:val="18"/>
          <w:szCs w:val="18"/>
        </w:rPr>
        <w:t>E</w:t>
      </w:r>
      <w:r w:rsidR="557CCD4C" w:rsidRPr="00360FAE">
        <w:rPr>
          <w:rFonts w:ascii="Artifex CF Extra Light" w:hAnsi="Artifex CF Extra Light" w:cs="Times New Roman"/>
          <w:color w:val="1F4E79" w:themeColor="accent1" w:themeShade="80"/>
          <w:spacing w:val="10"/>
          <w:sz w:val="18"/>
          <w:szCs w:val="18"/>
        </w:rPr>
        <w:t>n el mes</w:t>
      </w:r>
      <w:r w:rsidR="00D02887" w:rsidRPr="00360FAE">
        <w:rPr>
          <w:rFonts w:ascii="Artifex CF Extra Light" w:hAnsi="Artifex CF Extra Light" w:cs="Times New Roman"/>
          <w:color w:val="1F4E79" w:themeColor="accent1" w:themeShade="80"/>
          <w:spacing w:val="10"/>
          <w:sz w:val="18"/>
          <w:szCs w:val="18"/>
        </w:rPr>
        <w:t xml:space="preserve"> de junio</w:t>
      </w:r>
      <w:r w:rsidR="3BC89BF1" w:rsidRPr="00360FAE">
        <w:rPr>
          <w:rFonts w:ascii="Artifex CF Extra Light" w:hAnsi="Artifex CF Extra Light" w:cs="Times New Roman"/>
          <w:color w:val="1F4E79" w:themeColor="accent1" w:themeShade="80"/>
          <w:spacing w:val="10"/>
          <w:sz w:val="18"/>
          <w:szCs w:val="18"/>
        </w:rPr>
        <w:t>,</w:t>
      </w:r>
      <w:r w:rsidR="00D02887" w:rsidRPr="00360FAE">
        <w:rPr>
          <w:rFonts w:ascii="Artifex CF Extra Light" w:hAnsi="Artifex CF Extra Light" w:cs="Times New Roman"/>
          <w:color w:val="1F4E79" w:themeColor="accent1" w:themeShade="80"/>
          <w:spacing w:val="10"/>
          <w:sz w:val="18"/>
          <w:szCs w:val="18"/>
        </w:rPr>
        <w:t xml:space="preserve"> ProDominicana obtuvo l</w:t>
      </w:r>
      <w:r w:rsidR="00BE29DD" w:rsidRPr="00360FAE">
        <w:rPr>
          <w:rFonts w:ascii="Artifex CF Extra Light" w:hAnsi="Artifex CF Extra Light" w:cs="Times New Roman"/>
          <w:color w:val="1F4E79" w:themeColor="accent1" w:themeShade="80"/>
          <w:spacing w:val="10"/>
          <w:sz w:val="18"/>
          <w:szCs w:val="18"/>
        </w:rPr>
        <w:t xml:space="preserve">a </w:t>
      </w:r>
      <w:r w:rsidR="00F71EE3" w:rsidRPr="00360FAE">
        <w:rPr>
          <w:rFonts w:ascii="Artifex CF Extra Light" w:hAnsi="Artifex CF Extra Light" w:cs="Times New Roman"/>
          <w:color w:val="1F4E79" w:themeColor="accent1" w:themeShade="80"/>
          <w:spacing w:val="10"/>
          <w:sz w:val="18"/>
          <w:szCs w:val="18"/>
        </w:rPr>
        <w:t>certificación</w:t>
      </w:r>
      <w:r w:rsidR="6635C23A" w:rsidRPr="00360FAE">
        <w:rPr>
          <w:rFonts w:ascii="Artifex CF Extra Light" w:hAnsi="Artifex CF Extra Light" w:cs="Times New Roman"/>
          <w:color w:val="1F4E79" w:themeColor="accent1" w:themeShade="80"/>
          <w:spacing w:val="10"/>
          <w:sz w:val="18"/>
          <w:szCs w:val="18"/>
        </w:rPr>
        <w:t xml:space="preserve"> </w:t>
      </w:r>
      <w:r w:rsidR="00BE29DD" w:rsidRPr="00360FAE">
        <w:rPr>
          <w:rFonts w:ascii="Artifex CF Extra Light" w:hAnsi="Artifex CF Extra Light" w:cs="Times New Roman"/>
          <w:color w:val="1F4E79" w:themeColor="accent1" w:themeShade="80"/>
          <w:spacing w:val="10"/>
          <w:sz w:val="18"/>
          <w:szCs w:val="18"/>
        </w:rPr>
        <w:t>NORTIC A2</w:t>
      </w:r>
      <w:r w:rsidR="661FE4A0" w:rsidRPr="00360FAE">
        <w:rPr>
          <w:rFonts w:ascii="Artifex CF Extra Light" w:hAnsi="Artifex CF Extra Light" w:cs="Times New Roman"/>
          <w:color w:val="1F4E79" w:themeColor="accent1" w:themeShade="80"/>
          <w:spacing w:val="10"/>
          <w:sz w:val="18"/>
          <w:szCs w:val="18"/>
        </w:rPr>
        <w:t>, que</w:t>
      </w:r>
      <w:r w:rsidR="00BE29DD" w:rsidRPr="00360FAE">
        <w:rPr>
          <w:rFonts w:ascii="Artifex CF Extra Light" w:hAnsi="Artifex CF Extra Light" w:cs="Times New Roman"/>
          <w:color w:val="1F4E79" w:themeColor="accent1" w:themeShade="80"/>
          <w:spacing w:val="10"/>
          <w:sz w:val="18"/>
          <w:szCs w:val="18"/>
        </w:rPr>
        <w:t xml:space="preserve"> es la norma que pauta las directrices y recomendaciones para la normalización de los portales del Gobierno Dominicano, logrando la homogeneidad en los medios web del Estado.</w:t>
      </w:r>
    </w:p>
    <w:p w14:paraId="0BF7E25A" w14:textId="77777777" w:rsidR="00BE29DD" w:rsidRDefault="5D521CBD" w:rsidP="00360FAE">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pPr>
      <w:r w:rsidRPr="00360FAE">
        <w:rPr>
          <w:rFonts w:ascii="Artifex CF Extra Light" w:hAnsi="Artifex CF Extra Light" w:cs="Times New Roman"/>
          <w:color w:val="1F4E79" w:themeColor="accent1" w:themeShade="80"/>
          <w:spacing w:val="10"/>
          <w:sz w:val="18"/>
          <w:szCs w:val="18"/>
        </w:rPr>
        <w:t>Bajo esta certificación,</w:t>
      </w:r>
      <w:r w:rsidR="00164B9A" w:rsidRPr="00360FAE">
        <w:rPr>
          <w:rFonts w:ascii="Artifex CF Extra Light" w:hAnsi="Artifex CF Extra Light" w:cs="Times New Roman"/>
          <w:color w:val="1F4E79" w:themeColor="accent1" w:themeShade="80"/>
          <w:spacing w:val="10"/>
          <w:sz w:val="18"/>
          <w:szCs w:val="18"/>
        </w:rPr>
        <w:t xml:space="preserve"> se pretende crear un efectivo medio de atención ciudadana, buscando que la experiencia de los usuarios sea más agradable, sencilla e intuitiva al visitar los medios web del organismo, sin importar el dispositivo por donde se acceda a los mismos</w:t>
      </w:r>
      <w:r w:rsidR="00553262">
        <w:rPr>
          <w:rFonts w:ascii="Artifex CF Extra Light" w:hAnsi="Artifex CF Extra Light" w:cs="Times New Roman"/>
          <w:color w:val="1F4E79" w:themeColor="accent1" w:themeShade="80"/>
          <w:spacing w:val="10"/>
          <w:sz w:val="18"/>
          <w:szCs w:val="18"/>
        </w:rPr>
        <w:t>.</w:t>
      </w:r>
    </w:p>
    <w:p w14:paraId="7F2FECAE" w14:textId="6D3B033B" w:rsidR="00553262" w:rsidRPr="00360FAE" w:rsidRDefault="00553262" w:rsidP="00360FAE">
      <w:pPr>
        <w:pStyle w:val="Textoindependiente"/>
        <w:spacing w:before="380" w:after="120" w:line="456" w:lineRule="auto"/>
        <w:ind w:firstLine="284"/>
        <w:jc w:val="both"/>
        <w:rPr>
          <w:rFonts w:ascii="Artifex CF Extra Light" w:hAnsi="Artifex CF Extra Light" w:cs="Times New Roman"/>
          <w:color w:val="1F4E79" w:themeColor="accent1" w:themeShade="80"/>
          <w:spacing w:val="10"/>
          <w:sz w:val="18"/>
          <w:szCs w:val="18"/>
        </w:rPr>
        <w:sectPr w:rsidR="00553262" w:rsidRPr="00360FAE" w:rsidSect="00723343">
          <w:pgSz w:w="12240" w:h="15840" w:code="1"/>
          <w:pgMar w:top="1440" w:right="2160" w:bottom="1440" w:left="2160" w:header="708" w:footer="708" w:gutter="0"/>
          <w:cols w:space="708"/>
          <w:titlePg/>
          <w:docGrid w:linePitch="360"/>
        </w:sectPr>
      </w:pPr>
    </w:p>
    <w:p w14:paraId="7D14A2A4" w14:textId="0A8D9A4B" w:rsidR="00360FAE" w:rsidRPr="00360FAE" w:rsidRDefault="00360FAE" w:rsidP="00360FAE">
      <w:pPr>
        <w:pStyle w:val="Prrafodelista"/>
        <w:keepNext/>
        <w:keepLines/>
        <w:numPr>
          <w:ilvl w:val="0"/>
          <w:numId w:val="5"/>
        </w:numPr>
        <w:spacing w:before="380" w:after="120" w:line="456" w:lineRule="auto"/>
        <w:ind w:left="284" w:hanging="284"/>
        <w:contextualSpacing w:val="0"/>
        <w:jc w:val="center"/>
        <w:outlineLvl w:val="0"/>
        <w:rPr>
          <w:rFonts w:ascii="Artifex CF Light" w:eastAsia="Times New Roman" w:hAnsi="Artifex CF Light" w:cs="Times New Roman"/>
          <w:color w:val="1F4E79" w:themeColor="accent1" w:themeShade="80"/>
          <w:spacing w:val="30"/>
          <w:sz w:val="26"/>
          <w:szCs w:val="32"/>
          <w:lang w:val="es-DO" w:eastAsia="es-DO"/>
        </w:rPr>
      </w:pPr>
      <w:bookmarkStart w:id="151" w:name="_Toc59528113"/>
      <w:r w:rsidRPr="00C374D9">
        <w:rPr>
          <w:noProof/>
          <w:color w:val="1F4E79" w:themeColor="accent1" w:themeShade="80"/>
          <w:spacing w:val="30"/>
        </w:rPr>
        <w:lastRenderedPageBreak/>
        <mc:AlternateContent>
          <mc:Choice Requires="wps">
            <w:drawing>
              <wp:anchor distT="0" distB="0" distL="114300" distR="114300" simplePos="0" relativeHeight="251913216" behindDoc="0" locked="0" layoutInCell="1" allowOverlap="1" wp14:anchorId="4D37278B" wp14:editId="20BE8D62">
                <wp:simplePos x="0" y="0"/>
                <wp:positionH relativeFrom="margin">
                  <wp:posOffset>2285365</wp:posOffset>
                </wp:positionH>
                <wp:positionV relativeFrom="paragraph">
                  <wp:posOffset>533704</wp:posOffset>
                </wp:positionV>
                <wp:extent cx="464820" cy="0"/>
                <wp:effectExtent l="0" t="19050" r="30480" b="19050"/>
                <wp:wrapNone/>
                <wp:docPr id="40" name="Conector recto 40"/>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A9AB16" id="Conector recto 40" o:spid="_x0000_s1026" style="position:absolute;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42pt" to="216.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" strokecolor="red" strokeweight="2.5pt">
                <v:stroke joinstyle="miter"/>
                <w10:wrap anchorx="margin"/>
              </v:line>
            </w:pict>
          </mc:Fallback>
        </mc:AlternateContent>
      </w:r>
      <w:r>
        <w:rPr>
          <w:rFonts w:ascii="Artifex CF Light" w:eastAsia="Times New Roman" w:hAnsi="Artifex CF Light" w:cs="Times New Roman"/>
          <w:color w:val="1F4E79" w:themeColor="accent1" w:themeShade="80"/>
          <w:spacing w:val="30"/>
          <w:sz w:val="26"/>
          <w:szCs w:val="32"/>
          <w:lang w:val="es-DO" w:eastAsia="es-DO"/>
        </w:rPr>
        <w:t>PROYECCIONES AL PROXIMO AÑO</w:t>
      </w:r>
      <w:bookmarkEnd w:id="151"/>
    </w:p>
    <w:p w14:paraId="17D53874" w14:textId="75A30898" w:rsidR="00E97A9E" w:rsidRPr="00360FAE" w:rsidRDefault="00D77388" w:rsidP="00864966">
      <w:pPr>
        <w:spacing w:before="380" w:after="120" w:line="456" w:lineRule="auto"/>
        <w:ind w:firstLine="284"/>
        <w:jc w:val="both"/>
        <w:rPr>
          <w:rFonts w:ascii="Artifex CF Extra Light" w:hAnsi="Artifex CF Extra Light" w:cs="Times New Roman"/>
          <w:color w:val="1F4E79" w:themeColor="accent1" w:themeShade="80"/>
          <w:spacing w:val="10"/>
          <w:sz w:val="18"/>
          <w:szCs w:val="18"/>
          <w:lang w:val="es-DO"/>
        </w:rPr>
      </w:pPr>
      <w:bookmarkStart w:id="152" w:name="_Toc58332536"/>
      <w:r w:rsidRPr="00360FAE">
        <w:rPr>
          <w:rFonts w:ascii="Artifex CF Extra Light" w:hAnsi="Artifex CF Extra Light" w:cs="Times New Roman"/>
          <w:color w:val="1F4E79" w:themeColor="accent1" w:themeShade="80"/>
          <w:spacing w:val="10"/>
          <w:sz w:val="18"/>
          <w:szCs w:val="18"/>
          <w:lang w:val="es-DO"/>
        </w:rPr>
        <w:t>Las metas p</w:t>
      </w:r>
      <w:r w:rsidR="00CD0878" w:rsidRPr="00360FAE">
        <w:rPr>
          <w:rFonts w:ascii="Artifex CF Extra Light" w:hAnsi="Artifex CF Extra Light" w:cs="Times New Roman"/>
          <w:color w:val="1F4E79" w:themeColor="accent1" w:themeShade="80"/>
          <w:spacing w:val="10"/>
          <w:sz w:val="18"/>
          <w:szCs w:val="18"/>
          <w:lang w:val="es-DO"/>
        </w:rPr>
        <w:t xml:space="preserve">ara el 2021, </w:t>
      </w:r>
      <w:r w:rsidRPr="00360FAE">
        <w:rPr>
          <w:rFonts w:ascii="Artifex CF Extra Light" w:hAnsi="Artifex CF Extra Light" w:cs="Times New Roman"/>
          <w:color w:val="1F4E79" w:themeColor="accent1" w:themeShade="80"/>
          <w:spacing w:val="10"/>
          <w:sz w:val="18"/>
          <w:szCs w:val="18"/>
          <w:lang w:val="es-DO"/>
        </w:rPr>
        <w:t>estarán pautadas en el Plan Estratégico Institucional 2021-2024</w:t>
      </w:r>
      <w:r w:rsidR="007636F2" w:rsidRPr="00360FAE">
        <w:rPr>
          <w:rFonts w:ascii="Artifex CF Extra Light" w:hAnsi="Artifex CF Extra Light" w:cs="Times New Roman"/>
          <w:color w:val="1F4E79" w:themeColor="accent1" w:themeShade="80"/>
          <w:spacing w:val="10"/>
          <w:sz w:val="18"/>
          <w:szCs w:val="18"/>
          <w:lang w:val="es-DO"/>
        </w:rPr>
        <w:t xml:space="preserve"> </w:t>
      </w:r>
      <w:r w:rsidR="00B05405" w:rsidRPr="00360FAE">
        <w:rPr>
          <w:rFonts w:ascii="Artifex CF Extra Light" w:hAnsi="Artifex CF Extra Light" w:cs="Times New Roman"/>
          <w:color w:val="1F4E79" w:themeColor="accent1" w:themeShade="80"/>
          <w:spacing w:val="10"/>
          <w:sz w:val="18"/>
          <w:szCs w:val="18"/>
          <w:lang w:val="es-DO"/>
        </w:rPr>
        <w:t xml:space="preserve">y el </w:t>
      </w:r>
      <w:r w:rsidR="00BA56C3" w:rsidRPr="00360FAE">
        <w:rPr>
          <w:rFonts w:ascii="Artifex CF Extra Light" w:hAnsi="Artifex CF Extra Light" w:cs="Times New Roman"/>
          <w:color w:val="1F4E79" w:themeColor="accent1" w:themeShade="80"/>
          <w:spacing w:val="10"/>
          <w:sz w:val="18"/>
          <w:szCs w:val="18"/>
          <w:lang w:val="es-DO"/>
        </w:rPr>
        <w:t>Plan Operativo</w:t>
      </w:r>
      <w:r w:rsidR="0053268B" w:rsidRPr="00360FAE">
        <w:rPr>
          <w:rFonts w:ascii="Artifex CF Extra Light" w:hAnsi="Artifex CF Extra Light" w:cs="Times New Roman"/>
          <w:color w:val="1F4E79" w:themeColor="accent1" w:themeShade="80"/>
          <w:spacing w:val="10"/>
          <w:sz w:val="18"/>
          <w:szCs w:val="18"/>
          <w:lang w:val="es-DO"/>
        </w:rPr>
        <w:t xml:space="preserve"> Anual 2021 </w:t>
      </w:r>
      <w:r w:rsidR="007636F2" w:rsidRPr="00360FAE">
        <w:rPr>
          <w:rFonts w:ascii="Artifex CF Extra Light" w:hAnsi="Artifex CF Extra Light" w:cs="Times New Roman"/>
          <w:color w:val="1F4E79" w:themeColor="accent1" w:themeShade="80"/>
          <w:spacing w:val="10"/>
          <w:sz w:val="18"/>
          <w:szCs w:val="18"/>
          <w:lang w:val="es-DO"/>
        </w:rPr>
        <w:t>(</w:t>
      </w:r>
      <w:r w:rsidR="0053268B" w:rsidRPr="00360FAE">
        <w:rPr>
          <w:rFonts w:ascii="Artifex CF Extra Light" w:hAnsi="Artifex CF Extra Light" w:cs="Times New Roman"/>
          <w:color w:val="1F4E79" w:themeColor="accent1" w:themeShade="80"/>
          <w:spacing w:val="10"/>
          <w:sz w:val="18"/>
          <w:szCs w:val="18"/>
          <w:lang w:val="es-DO"/>
        </w:rPr>
        <w:t xml:space="preserve">ambos </w:t>
      </w:r>
      <w:r w:rsidR="007636F2" w:rsidRPr="00360FAE">
        <w:rPr>
          <w:rFonts w:ascii="Artifex CF Extra Light" w:hAnsi="Artifex CF Extra Light" w:cs="Times New Roman"/>
          <w:color w:val="1F4E79" w:themeColor="accent1" w:themeShade="80"/>
          <w:spacing w:val="10"/>
          <w:sz w:val="18"/>
          <w:szCs w:val="18"/>
          <w:lang w:val="es-DO"/>
        </w:rPr>
        <w:t>en proceso de elaboración)</w:t>
      </w:r>
      <w:r w:rsidR="00622A4D" w:rsidRPr="00360FAE">
        <w:rPr>
          <w:rFonts w:ascii="Artifex CF Extra Light" w:hAnsi="Artifex CF Extra Light" w:cs="Times New Roman"/>
          <w:color w:val="1F4E79" w:themeColor="accent1" w:themeShade="80"/>
          <w:spacing w:val="10"/>
          <w:sz w:val="18"/>
          <w:szCs w:val="18"/>
          <w:lang w:val="es-DO"/>
        </w:rPr>
        <w:t xml:space="preserve">, preliminarmente los resultados </w:t>
      </w:r>
      <w:r w:rsidR="00B05405" w:rsidRPr="00360FAE">
        <w:rPr>
          <w:rFonts w:ascii="Artifex CF Extra Light" w:hAnsi="Artifex CF Extra Light" w:cs="Times New Roman"/>
          <w:color w:val="1F4E79" w:themeColor="accent1" w:themeShade="80"/>
          <w:spacing w:val="10"/>
          <w:sz w:val="18"/>
          <w:szCs w:val="18"/>
          <w:lang w:val="es-DO"/>
        </w:rPr>
        <w:t>que ProDominicana pre</w:t>
      </w:r>
      <w:r w:rsidR="0053268B" w:rsidRPr="00360FAE">
        <w:rPr>
          <w:rFonts w:ascii="Artifex CF Extra Light" w:hAnsi="Artifex CF Extra Light" w:cs="Times New Roman"/>
          <w:color w:val="1F4E79" w:themeColor="accent1" w:themeShade="80"/>
          <w:spacing w:val="10"/>
          <w:sz w:val="18"/>
          <w:szCs w:val="18"/>
          <w:lang w:val="es-DO"/>
        </w:rPr>
        <w:t>t</w:t>
      </w:r>
      <w:r w:rsidR="00B05405" w:rsidRPr="00360FAE">
        <w:rPr>
          <w:rFonts w:ascii="Artifex CF Extra Light" w:hAnsi="Artifex CF Extra Light" w:cs="Times New Roman"/>
          <w:color w:val="1F4E79" w:themeColor="accent1" w:themeShade="80"/>
          <w:spacing w:val="10"/>
          <w:sz w:val="18"/>
          <w:szCs w:val="18"/>
          <w:lang w:val="es-DO"/>
        </w:rPr>
        <w:t>en</w:t>
      </w:r>
      <w:r w:rsidR="0053268B" w:rsidRPr="00360FAE">
        <w:rPr>
          <w:rFonts w:ascii="Artifex CF Extra Light" w:hAnsi="Artifex CF Extra Light" w:cs="Times New Roman"/>
          <w:color w:val="1F4E79" w:themeColor="accent1" w:themeShade="80"/>
          <w:spacing w:val="10"/>
          <w:sz w:val="18"/>
          <w:szCs w:val="18"/>
          <w:lang w:val="es-DO"/>
        </w:rPr>
        <w:t>d</w:t>
      </w:r>
      <w:r w:rsidR="00B05405" w:rsidRPr="00360FAE">
        <w:rPr>
          <w:rFonts w:ascii="Artifex CF Extra Light" w:hAnsi="Artifex CF Extra Light" w:cs="Times New Roman"/>
          <w:color w:val="1F4E79" w:themeColor="accent1" w:themeShade="80"/>
          <w:spacing w:val="10"/>
          <w:sz w:val="18"/>
          <w:szCs w:val="18"/>
          <w:lang w:val="es-DO"/>
        </w:rPr>
        <w:t>e alcanzar e</w:t>
      </w:r>
      <w:r w:rsidR="0053268B" w:rsidRPr="00360FAE">
        <w:rPr>
          <w:rFonts w:ascii="Artifex CF Extra Light" w:hAnsi="Artifex CF Extra Light" w:cs="Times New Roman"/>
          <w:color w:val="1F4E79" w:themeColor="accent1" w:themeShade="80"/>
          <w:spacing w:val="10"/>
          <w:sz w:val="18"/>
          <w:szCs w:val="18"/>
          <w:lang w:val="es-DO"/>
        </w:rPr>
        <w:t>n</w:t>
      </w:r>
      <w:r w:rsidR="00B05405" w:rsidRPr="00360FAE">
        <w:rPr>
          <w:rFonts w:ascii="Artifex CF Extra Light" w:hAnsi="Artifex CF Extra Light" w:cs="Times New Roman"/>
          <w:color w:val="1F4E79" w:themeColor="accent1" w:themeShade="80"/>
          <w:spacing w:val="10"/>
          <w:sz w:val="18"/>
          <w:szCs w:val="18"/>
          <w:lang w:val="es-DO"/>
        </w:rPr>
        <w:t xml:space="preserve"> el 2021 son las </w:t>
      </w:r>
      <w:r w:rsidR="003653EA" w:rsidRPr="00360FAE">
        <w:rPr>
          <w:rFonts w:ascii="Artifex CF Extra Light" w:hAnsi="Artifex CF Extra Light" w:cs="Times New Roman"/>
          <w:color w:val="1F4E79" w:themeColor="accent1" w:themeShade="80"/>
          <w:spacing w:val="10"/>
          <w:sz w:val="18"/>
          <w:szCs w:val="18"/>
          <w:lang w:val="es-DO"/>
        </w:rPr>
        <w:t>siguientes:</w:t>
      </w:r>
    </w:p>
    <w:tbl>
      <w:tblPr>
        <w:tblW w:w="8364" w:type="dxa"/>
        <w:tblInd w:w="70" w:type="dxa"/>
        <w:tblCellMar>
          <w:top w:w="28" w:type="dxa"/>
          <w:left w:w="28" w:type="dxa"/>
          <w:bottom w:w="28" w:type="dxa"/>
          <w:right w:w="28" w:type="dxa"/>
        </w:tblCellMar>
        <w:tblLook w:val="04A0" w:firstRow="1" w:lastRow="0" w:firstColumn="1" w:lastColumn="0" w:noHBand="0" w:noVBand="1"/>
      </w:tblPr>
      <w:tblGrid>
        <w:gridCol w:w="580"/>
        <w:gridCol w:w="3079"/>
        <w:gridCol w:w="3155"/>
        <w:gridCol w:w="1550"/>
      </w:tblGrid>
      <w:tr w:rsidR="001B7EDE" w:rsidRPr="006F2F51" w14:paraId="704AD15B" w14:textId="77777777" w:rsidTr="00F473CF">
        <w:trPr>
          <w:cantSplit/>
          <w:trHeight w:val="20"/>
        </w:trPr>
        <w:tc>
          <w:tcPr>
            <w:tcW w:w="8364" w:type="dxa"/>
            <w:gridSpan w:val="4"/>
            <w:tcBorders>
              <w:top w:val="nil"/>
              <w:left w:val="nil"/>
              <w:bottom w:val="nil"/>
            </w:tcBorders>
            <w:shd w:val="clear" w:color="auto" w:fill="auto"/>
            <w:vAlign w:val="center"/>
          </w:tcPr>
          <w:p w14:paraId="7E828590" w14:textId="6A22D777" w:rsidR="009B08B3" w:rsidRPr="00360FAE" w:rsidRDefault="009B08B3" w:rsidP="00360FAE">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60FAE">
              <w:rPr>
                <w:rFonts w:ascii="Artifex CF Extra Light" w:hAnsi="Artifex CF Extra Light" w:cs="Times New Roman"/>
                <w:b/>
                <w:color w:val="1F4E79" w:themeColor="accent1" w:themeShade="80"/>
                <w:sz w:val="18"/>
                <w:szCs w:val="18"/>
                <w:lang w:val="es-DO"/>
              </w:rPr>
              <w:t>Tabla 11. Indicadores de resultados (Proyecciones)</w:t>
            </w:r>
          </w:p>
        </w:tc>
      </w:tr>
      <w:tr w:rsidR="00864966" w:rsidRPr="00360FAE" w14:paraId="232FD6D7" w14:textId="77777777" w:rsidTr="00F473CF">
        <w:trPr>
          <w:cantSplit/>
          <w:trHeight w:val="20"/>
        </w:trPr>
        <w:tc>
          <w:tcPr>
            <w:tcW w:w="525" w:type="dxa"/>
            <w:tcBorders>
              <w:top w:val="nil"/>
              <w:left w:val="nil"/>
              <w:bottom w:val="nil"/>
              <w:right w:val="nil"/>
            </w:tcBorders>
            <w:shd w:val="clear" w:color="auto" w:fill="auto"/>
            <w:vAlign w:val="center"/>
            <w:hideMark/>
          </w:tcPr>
          <w:p w14:paraId="47E99AFC" w14:textId="77777777" w:rsidR="00314922" w:rsidRPr="00360FAE" w:rsidRDefault="00314922" w:rsidP="00360FAE">
            <w:pPr>
              <w:spacing w:after="0" w:line="360" w:lineRule="auto"/>
              <w:ind w:firstLine="284"/>
              <w:jc w:val="center"/>
              <w:rPr>
                <w:rFonts w:ascii="Times New Roman" w:eastAsia="Times New Roman" w:hAnsi="Times New Roman" w:cs="Times New Roman"/>
                <w:color w:val="1F4E79" w:themeColor="accent1" w:themeShade="80"/>
                <w:sz w:val="14"/>
                <w:szCs w:val="14"/>
                <w:lang w:val="es-ES" w:eastAsia="es-ES"/>
              </w:rPr>
            </w:pPr>
          </w:p>
        </w:tc>
        <w:tc>
          <w:tcPr>
            <w:tcW w:w="3101" w:type="dxa"/>
            <w:tcBorders>
              <w:top w:val="single" w:sz="4" w:space="0" w:color="auto"/>
              <w:left w:val="single" w:sz="4" w:space="0" w:color="auto"/>
              <w:bottom w:val="single" w:sz="8" w:space="0" w:color="auto"/>
              <w:right w:val="single" w:sz="4" w:space="0" w:color="auto"/>
            </w:tcBorders>
            <w:shd w:val="clear" w:color="auto" w:fill="000000" w:themeFill="text1"/>
            <w:vAlign w:val="center"/>
            <w:hideMark/>
          </w:tcPr>
          <w:p w14:paraId="67EB97A0"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r w:rsidRPr="00360FAE">
              <w:rPr>
                <w:rFonts w:ascii="Artifex CF Extra Light" w:eastAsia="Times New Roman" w:hAnsi="Artifex CF Extra Light" w:cs="Calibri"/>
                <w:b/>
                <w:color w:val="FFFFFF" w:themeColor="background1"/>
                <w:sz w:val="14"/>
                <w:szCs w:val="14"/>
                <w:lang w:val="es-ES" w:eastAsia="es-ES"/>
              </w:rPr>
              <w:t>Resultado</w:t>
            </w:r>
          </w:p>
        </w:tc>
        <w:tc>
          <w:tcPr>
            <w:tcW w:w="3178" w:type="dxa"/>
            <w:tcBorders>
              <w:top w:val="single" w:sz="4" w:space="0" w:color="auto"/>
              <w:left w:val="nil"/>
              <w:bottom w:val="single" w:sz="8" w:space="0" w:color="auto"/>
              <w:right w:val="single" w:sz="4" w:space="0" w:color="auto"/>
            </w:tcBorders>
            <w:shd w:val="clear" w:color="auto" w:fill="000000" w:themeFill="text1"/>
            <w:vAlign w:val="center"/>
            <w:hideMark/>
          </w:tcPr>
          <w:p w14:paraId="5424CC69"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r w:rsidRPr="00360FAE">
              <w:rPr>
                <w:rFonts w:ascii="Artifex CF Extra Light" w:eastAsia="Times New Roman" w:hAnsi="Artifex CF Extra Light" w:cs="Calibri"/>
                <w:b/>
                <w:color w:val="FFFFFF" w:themeColor="background1"/>
                <w:sz w:val="14"/>
                <w:szCs w:val="14"/>
                <w:lang w:val="es-ES" w:eastAsia="es-ES"/>
              </w:rPr>
              <w:t>Indicador</w:t>
            </w:r>
          </w:p>
        </w:tc>
        <w:tc>
          <w:tcPr>
            <w:tcW w:w="1560" w:type="dxa"/>
            <w:tcBorders>
              <w:top w:val="single" w:sz="4" w:space="0" w:color="auto"/>
              <w:left w:val="nil"/>
              <w:bottom w:val="single" w:sz="4" w:space="0" w:color="000000"/>
              <w:right w:val="single" w:sz="4" w:space="0" w:color="auto"/>
            </w:tcBorders>
            <w:shd w:val="clear" w:color="auto" w:fill="000000" w:themeFill="text1"/>
            <w:vAlign w:val="center"/>
            <w:hideMark/>
          </w:tcPr>
          <w:p w14:paraId="22C2B894" w14:textId="0528FC15"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r w:rsidRPr="00360FAE">
              <w:rPr>
                <w:rFonts w:ascii="Artifex CF Extra Light" w:eastAsia="Times New Roman" w:hAnsi="Artifex CF Extra Light" w:cs="Calibri"/>
                <w:b/>
                <w:color w:val="FFFFFF" w:themeColor="background1"/>
                <w:sz w:val="14"/>
                <w:szCs w:val="14"/>
                <w:lang w:val="es-ES" w:eastAsia="es-ES"/>
              </w:rPr>
              <w:t>Meta</w:t>
            </w:r>
            <w:r w:rsidR="00F473CF" w:rsidRPr="00360FAE">
              <w:rPr>
                <w:rFonts w:ascii="Artifex CF Extra Light" w:eastAsia="Times New Roman" w:hAnsi="Artifex CF Extra Light" w:cs="Calibri"/>
                <w:b/>
                <w:color w:val="FFFFFF" w:themeColor="background1"/>
                <w:sz w:val="14"/>
                <w:szCs w:val="14"/>
                <w:lang w:val="es-ES" w:eastAsia="es-ES"/>
              </w:rPr>
              <w:t xml:space="preserve"> </w:t>
            </w:r>
            <w:r w:rsidRPr="00360FAE">
              <w:rPr>
                <w:rFonts w:ascii="Artifex CF Extra Light" w:eastAsia="Times New Roman" w:hAnsi="Artifex CF Extra Light" w:cs="Calibri"/>
                <w:b/>
                <w:color w:val="FFFFFF" w:themeColor="background1"/>
                <w:sz w:val="14"/>
                <w:szCs w:val="14"/>
                <w:lang w:val="es-ES" w:eastAsia="es-ES"/>
              </w:rPr>
              <w:t>2021</w:t>
            </w:r>
            <w:r w:rsidR="00A56204" w:rsidRPr="00360FAE">
              <w:rPr>
                <w:rFonts w:ascii="Artifex CF Extra Light" w:eastAsia="Times New Roman" w:hAnsi="Artifex CF Extra Light" w:cs="Calibri"/>
                <w:b/>
                <w:color w:val="FFFFFF" w:themeColor="background1"/>
                <w:sz w:val="14"/>
                <w:szCs w:val="14"/>
                <w:lang w:val="es-ES" w:eastAsia="es-ES"/>
              </w:rPr>
              <w:t>*</w:t>
            </w:r>
          </w:p>
        </w:tc>
      </w:tr>
      <w:tr w:rsidR="00864966" w:rsidRPr="00360FAE" w14:paraId="58813799" w14:textId="77777777" w:rsidTr="003A3AFE">
        <w:trPr>
          <w:cantSplit/>
          <w:trHeight w:val="20"/>
        </w:trPr>
        <w:tc>
          <w:tcPr>
            <w:tcW w:w="525" w:type="dxa"/>
            <w:vMerge w:val="restart"/>
            <w:tcBorders>
              <w:top w:val="single" w:sz="8" w:space="0" w:color="auto"/>
              <w:left w:val="single" w:sz="4" w:space="0" w:color="auto"/>
              <w:bottom w:val="single" w:sz="4" w:space="0" w:color="auto"/>
              <w:right w:val="single" w:sz="4" w:space="0" w:color="auto"/>
            </w:tcBorders>
            <w:shd w:val="clear" w:color="auto" w:fill="1F3864" w:themeFill="accent5" w:themeFillShade="80"/>
            <w:textDirection w:val="btLr"/>
            <w:vAlign w:val="center"/>
            <w:hideMark/>
          </w:tcPr>
          <w:p w14:paraId="7D51BE1C" w14:textId="5D8D3208"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r w:rsidRPr="00360FAE">
              <w:rPr>
                <w:rFonts w:ascii="Artifex CF Extra Light" w:eastAsia="Times New Roman" w:hAnsi="Artifex CF Extra Light" w:cs="Calibri"/>
                <w:b/>
                <w:color w:val="FFFFFF" w:themeColor="background1"/>
                <w:sz w:val="14"/>
                <w:szCs w:val="14"/>
                <w:lang w:val="es-ES" w:eastAsia="es-ES"/>
              </w:rPr>
              <w:t>Indicadores</w:t>
            </w:r>
            <w:r w:rsidR="00737D22" w:rsidRPr="00360FAE">
              <w:rPr>
                <w:rFonts w:ascii="Artifex CF Extra Light" w:eastAsia="Times New Roman" w:hAnsi="Artifex CF Extra Light" w:cs="Calibri"/>
                <w:b/>
                <w:color w:val="FFFFFF" w:themeColor="background1"/>
                <w:sz w:val="14"/>
                <w:szCs w:val="14"/>
                <w:lang w:val="es-ES" w:eastAsia="es-ES"/>
              </w:rPr>
              <w:t xml:space="preserve"> </w:t>
            </w:r>
            <w:r w:rsidRPr="00360FAE">
              <w:rPr>
                <w:rFonts w:ascii="Artifex CF Extra Light" w:eastAsia="Times New Roman" w:hAnsi="Artifex CF Extra Light" w:cs="Calibri"/>
                <w:b/>
                <w:color w:val="FFFFFF" w:themeColor="background1"/>
                <w:sz w:val="14"/>
                <w:szCs w:val="14"/>
                <w:lang w:val="es-ES" w:eastAsia="es-ES"/>
              </w:rPr>
              <w:t>Exportación</w:t>
            </w:r>
          </w:p>
        </w:tc>
        <w:tc>
          <w:tcPr>
            <w:tcW w:w="3101" w:type="dxa"/>
            <w:vMerge w:val="restart"/>
            <w:tcBorders>
              <w:top w:val="nil"/>
              <w:left w:val="single" w:sz="4" w:space="0" w:color="auto"/>
              <w:bottom w:val="single" w:sz="8" w:space="0" w:color="000000"/>
              <w:right w:val="single" w:sz="4" w:space="0" w:color="auto"/>
            </w:tcBorders>
            <w:shd w:val="clear" w:color="auto" w:fill="D9E2F3" w:themeFill="accent5" w:themeFillTint="33"/>
            <w:vAlign w:val="center"/>
            <w:hideMark/>
          </w:tcPr>
          <w:p w14:paraId="43F7275E"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Incremento de las exportaciones de bienes y servicios</w:t>
            </w:r>
          </w:p>
        </w:tc>
        <w:tc>
          <w:tcPr>
            <w:tcW w:w="3178" w:type="dxa"/>
            <w:tcBorders>
              <w:top w:val="nil"/>
              <w:left w:val="nil"/>
              <w:bottom w:val="single" w:sz="4" w:space="0" w:color="auto"/>
              <w:right w:val="single" w:sz="4" w:space="0" w:color="000000"/>
            </w:tcBorders>
            <w:shd w:val="clear" w:color="auto" w:fill="D9E2F3" w:themeFill="accent5" w:themeFillTint="33"/>
            <w:vAlign w:val="center"/>
            <w:hideMark/>
          </w:tcPr>
          <w:p w14:paraId="7BAE09E7"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Monto de exportaciones de bienes y servicios total (US millones)</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EBECB11" w14:textId="664A528C" w:rsidR="00314922" w:rsidRPr="00360FAE" w:rsidRDefault="005D1BB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1</w:t>
            </w:r>
            <w:r w:rsidR="00AD20C2" w:rsidRPr="00360FAE">
              <w:rPr>
                <w:rFonts w:ascii="Artifex CF Extra Light" w:eastAsia="Times New Roman" w:hAnsi="Artifex CF Extra Light" w:cs="Calibri"/>
                <w:color w:val="1F4E79" w:themeColor="accent1" w:themeShade="80"/>
                <w:sz w:val="14"/>
                <w:szCs w:val="14"/>
                <w:lang w:val="es-ES" w:eastAsia="es-ES"/>
              </w:rPr>
              <w:t>,1</w:t>
            </w:r>
            <w:r w:rsidRPr="00360FAE">
              <w:rPr>
                <w:rFonts w:ascii="Artifex CF Extra Light" w:eastAsia="Times New Roman" w:hAnsi="Artifex CF Extra Light" w:cs="Calibri"/>
                <w:color w:val="1F4E79" w:themeColor="accent1" w:themeShade="80"/>
                <w:sz w:val="14"/>
                <w:szCs w:val="14"/>
                <w:lang w:val="es-ES" w:eastAsia="es-ES"/>
              </w:rPr>
              <w:t xml:space="preserve">00 </w:t>
            </w:r>
            <w:r w:rsidR="003A3AFE" w:rsidRPr="00360FAE">
              <w:rPr>
                <w:rFonts w:ascii="Artifex CF Extra Light" w:eastAsia="Times New Roman" w:hAnsi="Artifex CF Extra Light" w:cs="Calibri"/>
                <w:color w:val="1F4E79" w:themeColor="accent1" w:themeShade="80"/>
                <w:sz w:val="14"/>
                <w:szCs w:val="14"/>
                <w:lang w:val="es-ES" w:eastAsia="es-ES"/>
              </w:rPr>
              <w:t>millones de dólares</w:t>
            </w:r>
          </w:p>
        </w:tc>
      </w:tr>
      <w:tr w:rsidR="00864966" w:rsidRPr="00360FAE" w14:paraId="62296465" w14:textId="77777777" w:rsidTr="00F473CF">
        <w:trPr>
          <w:cantSplit/>
          <w:trHeight w:val="20"/>
        </w:trPr>
        <w:tc>
          <w:tcPr>
            <w:tcW w:w="525" w:type="dxa"/>
            <w:vMerge/>
            <w:tcBorders>
              <w:top w:val="single" w:sz="8"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3EBC0D"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p>
        </w:tc>
        <w:tc>
          <w:tcPr>
            <w:tcW w:w="3101" w:type="dxa"/>
            <w:vMerge/>
            <w:tcBorders>
              <w:top w:val="nil"/>
              <w:left w:val="single" w:sz="4" w:space="0" w:color="auto"/>
              <w:bottom w:val="single" w:sz="8" w:space="0" w:color="000000"/>
              <w:right w:val="single" w:sz="4" w:space="0" w:color="auto"/>
            </w:tcBorders>
            <w:shd w:val="clear" w:color="auto" w:fill="D9E2F3" w:themeFill="accent5" w:themeFillTint="33"/>
            <w:vAlign w:val="center"/>
            <w:hideMark/>
          </w:tcPr>
          <w:p w14:paraId="31C125E6"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p>
        </w:tc>
        <w:tc>
          <w:tcPr>
            <w:tcW w:w="3178" w:type="dxa"/>
            <w:tcBorders>
              <w:top w:val="nil"/>
              <w:left w:val="nil"/>
              <w:bottom w:val="single" w:sz="8" w:space="0" w:color="auto"/>
              <w:right w:val="single" w:sz="4" w:space="0" w:color="000000"/>
            </w:tcBorders>
            <w:shd w:val="clear" w:color="auto" w:fill="D9E2F3" w:themeFill="accent5" w:themeFillTint="33"/>
            <w:vAlign w:val="center"/>
            <w:hideMark/>
          </w:tcPr>
          <w:p w14:paraId="59D7C70A"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 de incremento de las exportaciones de bienes y servicios total</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5FBA658" w14:textId="4D8E6608" w:rsidR="00314922" w:rsidRPr="00360FAE" w:rsidRDefault="004135DD"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10%</w:t>
            </w:r>
          </w:p>
        </w:tc>
      </w:tr>
      <w:tr w:rsidR="00864966" w:rsidRPr="00360FAE" w14:paraId="5AEC2BEC" w14:textId="77777777" w:rsidTr="00F473CF">
        <w:trPr>
          <w:cantSplit/>
          <w:trHeight w:val="20"/>
        </w:trPr>
        <w:tc>
          <w:tcPr>
            <w:tcW w:w="525" w:type="dxa"/>
            <w:vMerge/>
            <w:tcBorders>
              <w:top w:val="single" w:sz="8"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FD5C24"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p>
        </w:tc>
        <w:tc>
          <w:tcPr>
            <w:tcW w:w="3101" w:type="dxa"/>
            <w:tcBorders>
              <w:top w:val="nil"/>
              <w:left w:val="nil"/>
              <w:bottom w:val="single" w:sz="8" w:space="0" w:color="auto"/>
              <w:right w:val="single" w:sz="4" w:space="0" w:color="auto"/>
            </w:tcBorders>
            <w:shd w:val="clear" w:color="auto" w:fill="D9E2F3" w:themeFill="accent5" w:themeFillTint="33"/>
            <w:vAlign w:val="center"/>
            <w:hideMark/>
          </w:tcPr>
          <w:p w14:paraId="5AC4CF08"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Contribución efectiva a la creación de empleos</w:t>
            </w:r>
          </w:p>
        </w:tc>
        <w:tc>
          <w:tcPr>
            <w:tcW w:w="3178" w:type="dxa"/>
            <w:tcBorders>
              <w:top w:val="nil"/>
              <w:left w:val="nil"/>
              <w:bottom w:val="single" w:sz="8" w:space="0" w:color="auto"/>
              <w:right w:val="single" w:sz="4" w:space="0" w:color="000000"/>
            </w:tcBorders>
            <w:shd w:val="clear" w:color="auto" w:fill="D9E2F3" w:themeFill="accent5" w:themeFillTint="33"/>
            <w:vAlign w:val="center"/>
            <w:hideMark/>
          </w:tcPr>
          <w:p w14:paraId="4B474CB5"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Cantidad de empleos directos nuevos por proyectos de exportación</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9569DB0" w14:textId="13C273AF" w:rsidR="00314922" w:rsidRPr="00360FAE" w:rsidRDefault="00B072C4"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w:t>
            </w:r>
          </w:p>
        </w:tc>
      </w:tr>
      <w:tr w:rsidR="00864966" w:rsidRPr="00360FAE" w14:paraId="338F14A4" w14:textId="77777777" w:rsidTr="005D1BB2">
        <w:trPr>
          <w:cantSplit/>
          <w:trHeight w:val="20"/>
        </w:trPr>
        <w:tc>
          <w:tcPr>
            <w:tcW w:w="525" w:type="dxa"/>
            <w:vMerge w:val="restart"/>
            <w:tcBorders>
              <w:top w:val="single" w:sz="8" w:space="0" w:color="auto"/>
              <w:left w:val="single" w:sz="8" w:space="0" w:color="auto"/>
              <w:bottom w:val="single" w:sz="8" w:space="0" w:color="auto"/>
              <w:right w:val="single" w:sz="4" w:space="0" w:color="auto"/>
            </w:tcBorders>
            <w:shd w:val="clear" w:color="auto" w:fill="806000" w:themeFill="accent4" w:themeFillShade="80"/>
            <w:textDirection w:val="btLr"/>
            <w:vAlign w:val="center"/>
            <w:hideMark/>
          </w:tcPr>
          <w:p w14:paraId="315DE569"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r w:rsidRPr="00360FAE">
              <w:rPr>
                <w:rFonts w:ascii="Artifex CF Extra Light" w:eastAsia="Times New Roman" w:hAnsi="Artifex CF Extra Light" w:cs="Calibri"/>
                <w:b/>
                <w:color w:val="FFFFFF" w:themeColor="background1"/>
                <w:sz w:val="14"/>
                <w:szCs w:val="14"/>
                <w:lang w:val="es-ES" w:eastAsia="es-ES"/>
              </w:rPr>
              <w:t>Indicadores Inversión</w:t>
            </w:r>
          </w:p>
        </w:tc>
        <w:tc>
          <w:tcPr>
            <w:tcW w:w="3101" w:type="dxa"/>
            <w:vMerge w:val="restart"/>
            <w:tcBorders>
              <w:top w:val="nil"/>
              <w:left w:val="nil"/>
              <w:bottom w:val="single" w:sz="8" w:space="0" w:color="auto"/>
              <w:right w:val="single" w:sz="8" w:space="0" w:color="auto"/>
            </w:tcBorders>
            <w:shd w:val="clear" w:color="auto" w:fill="FFF2CC" w:themeFill="accent4" w:themeFillTint="33"/>
            <w:vAlign w:val="center"/>
            <w:hideMark/>
          </w:tcPr>
          <w:p w14:paraId="1D56C5CC"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Incremento del flujo de la Inversión Extranjera Directa captada por gestión de</w:t>
            </w:r>
            <w:r w:rsidR="00B654C2" w:rsidRPr="00360FAE">
              <w:rPr>
                <w:rFonts w:ascii="Artifex CF Extra Light" w:eastAsia="Times New Roman" w:hAnsi="Artifex CF Extra Light" w:cs="Calibri"/>
                <w:color w:val="1F4E79" w:themeColor="accent1" w:themeShade="80"/>
                <w:sz w:val="14"/>
                <w:szCs w:val="14"/>
                <w:lang w:val="es-ES" w:eastAsia="es-ES"/>
              </w:rPr>
              <w:t xml:space="preserve"> </w:t>
            </w:r>
            <w:r w:rsidR="00B654C2" w:rsidRPr="00360FAE">
              <w:rPr>
                <w:rFonts w:ascii="Artifex CF Extra Light" w:hAnsi="Artifex CF Extra Light"/>
                <w:color w:val="1F4E79" w:themeColor="accent1" w:themeShade="80"/>
                <w:sz w:val="14"/>
                <w:szCs w:val="14"/>
                <w:lang w:val="es-ES"/>
              </w:rPr>
              <w:t>ProDominicana</w:t>
            </w:r>
            <w:r w:rsidR="00B654C2" w:rsidRPr="00360FAE">
              <w:rPr>
                <w:rFonts w:ascii="Artifex CF Extra Light" w:eastAsia="Times New Roman" w:hAnsi="Artifex CF Extra Light" w:cs="Calibri"/>
                <w:color w:val="1F4E79" w:themeColor="accent1" w:themeShade="80"/>
                <w:sz w:val="14"/>
                <w:szCs w:val="14"/>
                <w:lang w:val="es-ES" w:eastAsia="es-ES"/>
              </w:rPr>
              <w:t xml:space="preserve"> </w:t>
            </w:r>
            <w:r w:rsidRPr="00360FAE">
              <w:rPr>
                <w:rFonts w:ascii="Artifex CF Extra Light" w:eastAsia="Times New Roman" w:hAnsi="Artifex CF Extra Light" w:cs="Calibri"/>
                <w:color w:val="1F4E79" w:themeColor="accent1" w:themeShade="80"/>
                <w:sz w:val="14"/>
                <w:szCs w:val="14"/>
                <w:lang w:val="es-ES" w:eastAsia="es-ES"/>
              </w:rPr>
              <w:t>*</w:t>
            </w:r>
          </w:p>
          <w:p w14:paraId="2CC34D4F" w14:textId="77777777" w:rsidR="00B452DC" w:rsidRPr="00360FAE" w:rsidRDefault="00B452DC"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p>
          <w:p w14:paraId="61453486" w14:textId="77777777" w:rsidR="00B452DC" w:rsidRPr="00360FAE" w:rsidRDefault="00B452DC"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p>
          <w:p w14:paraId="7A36BD77" w14:textId="5B798DE3" w:rsidR="00B452DC" w:rsidRPr="00360FAE" w:rsidRDefault="00B452DC"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p>
        </w:tc>
        <w:tc>
          <w:tcPr>
            <w:tcW w:w="3178" w:type="dxa"/>
            <w:tcBorders>
              <w:top w:val="nil"/>
              <w:left w:val="nil"/>
              <w:bottom w:val="single" w:sz="4" w:space="0" w:color="auto"/>
              <w:right w:val="single" w:sz="4" w:space="0" w:color="000000"/>
            </w:tcBorders>
            <w:shd w:val="clear" w:color="auto" w:fill="FFF2CC" w:themeFill="accent4" w:themeFillTint="33"/>
            <w:vAlign w:val="center"/>
            <w:hideMark/>
          </w:tcPr>
          <w:p w14:paraId="210F73A5"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Flujo de IED anual (US millones)</w:t>
            </w:r>
          </w:p>
        </w:tc>
        <w:tc>
          <w:tcPr>
            <w:tcW w:w="15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1AAF8269" w14:textId="15342138" w:rsidR="00404347" w:rsidRPr="00360FAE" w:rsidRDefault="00404347"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1,285</w:t>
            </w:r>
          </w:p>
          <w:p w14:paraId="68D44CB1" w14:textId="2D427BA0" w:rsidR="00314922" w:rsidRPr="00360FAE" w:rsidRDefault="005D1BB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millones de dólares</w:t>
            </w:r>
          </w:p>
        </w:tc>
      </w:tr>
      <w:tr w:rsidR="00864966" w:rsidRPr="00360FAE" w14:paraId="18FD48BE" w14:textId="77777777" w:rsidTr="00F473CF">
        <w:trPr>
          <w:cantSplit/>
          <w:trHeight w:val="20"/>
        </w:trPr>
        <w:tc>
          <w:tcPr>
            <w:tcW w:w="525" w:type="dxa"/>
            <w:vMerge/>
            <w:tcBorders>
              <w:top w:val="single" w:sz="8" w:space="0" w:color="auto"/>
              <w:left w:val="single" w:sz="8" w:space="0" w:color="auto"/>
              <w:bottom w:val="single" w:sz="8" w:space="0" w:color="auto"/>
              <w:right w:val="single" w:sz="4" w:space="0" w:color="auto"/>
            </w:tcBorders>
            <w:shd w:val="clear" w:color="auto" w:fill="806000" w:themeFill="accent4" w:themeFillShade="80"/>
            <w:vAlign w:val="center"/>
            <w:hideMark/>
          </w:tcPr>
          <w:p w14:paraId="1317B877"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p>
        </w:tc>
        <w:tc>
          <w:tcPr>
            <w:tcW w:w="3101" w:type="dxa"/>
            <w:vMerge/>
            <w:tcBorders>
              <w:top w:val="nil"/>
              <w:left w:val="nil"/>
              <w:bottom w:val="single" w:sz="8" w:space="0" w:color="auto"/>
              <w:right w:val="single" w:sz="8" w:space="0" w:color="auto"/>
            </w:tcBorders>
            <w:shd w:val="clear" w:color="auto" w:fill="FFF2CC" w:themeFill="accent4" w:themeFillTint="33"/>
            <w:vAlign w:val="center"/>
            <w:hideMark/>
          </w:tcPr>
          <w:p w14:paraId="100C5B64"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p>
        </w:tc>
        <w:tc>
          <w:tcPr>
            <w:tcW w:w="3178" w:type="dxa"/>
            <w:tcBorders>
              <w:top w:val="nil"/>
              <w:left w:val="nil"/>
              <w:bottom w:val="single" w:sz="8" w:space="0" w:color="auto"/>
              <w:right w:val="single" w:sz="4" w:space="0" w:color="000000"/>
            </w:tcBorders>
            <w:shd w:val="clear" w:color="auto" w:fill="FFF2CC" w:themeFill="accent4" w:themeFillTint="33"/>
            <w:vAlign w:val="center"/>
            <w:hideMark/>
          </w:tcPr>
          <w:p w14:paraId="451ABA9C" w14:textId="0B694E26"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 de crecimiento del flujo de IED captada por gestión de</w:t>
            </w:r>
            <w:r w:rsidR="00B654C2" w:rsidRPr="00360FAE">
              <w:rPr>
                <w:rFonts w:ascii="Artifex CF Extra Light" w:eastAsia="Times New Roman" w:hAnsi="Artifex CF Extra Light" w:cs="Calibri"/>
                <w:color w:val="1F4E79" w:themeColor="accent1" w:themeShade="80"/>
                <w:sz w:val="14"/>
                <w:szCs w:val="14"/>
                <w:lang w:val="es-ES" w:eastAsia="es-ES"/>
              </w:rPr>
              <w:t xml:space="preserve"> </w:t>
            </w:r>
            <w:r w:rsidR="00B654C2" w:rsidRPr="00360FAE">
              <w:rPr>
                <w:rFonts w:ascii="Artifex CF Extra Light" w:hAnsi="Artifex CF Extra Light"/>
                <w:color w:val="1F4E79" w:themeColor="accent1" w:themeShade="80"/>
                <w:sz w:val="14"/>
                <w:szCs w:val="14"/>
                <w:lang w:val="es-ES"/>
              </w:rPr>
              <w:t>ProDominicana</w:t>
            </w:r>
          </w:p>
        </w:tc>
        <w:tc>
          <w:tcPr>
            <w:tcW w:w="15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2D75BDC0" w14:textId="55C7902F" w:rsidR="00314922" w:rsidRPr="00360FAE" w:rsidRDefault="00680000"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10</w:t>
            </w:r>
            <w:r w:rsidR="00A14AED" w:rsidRPr="00360FAE">
              <w:rPr>
                <w:rFonts w:ascii="Artifex CF Extra Light" w:eastAsia="Times New Roman" w:hAnsi="Artifex CF Extra Light" w:cs="Calibri"/>
                <w:color w:val="1F4E79" w:themeColor="accent1" w:themeShade="80"/>
                <w:sz w:val="14"/>
                <w:szCs w:val="14"/>
                <w:lang w:val="es-ES" w:eastAsia="es-ES"/>
              </w:rPr>
              <w:t>%</w:t>
            </w:r>
          </w:p>
        </w:tc>
      </w:tr>
      <w:tr w:rsidR="00864966" w:rsidRPr="00360FAE" w14:paraId="3F9B525A" w14:textId="77777777" w:rsidTr="00F473CF">
        <w:trPr>
          <w:cantSplit/>
          <w:trHeight w:val="20"/>
        </w:trPr>
        <w:tc>
          <w:tcPr>
            <w:tcW w:w="525" w:type="dxa"/>
            <w:vMerge/>
            <w:tcBorders>
              <w:top w:val="single" w:sz="8" w:space="0" w:color="auto"/>
              <w:left w:val="single" w:sz="8" w:space="0" w:color="auto"/>
              <w:bottom w:val="single" w:sz="8" w:space="0" w:color="auto"/>
              <w:right w:val="single" w:sz="4" w:space="0" w:color="auto"/>
            </w:tcBorders>
            <w:shd w:val="clear" w:color="auto" w:fill="806000" w:themeFill="accent4" w:themeFillShade="80"/>
            <w:vAlign w:val="center"/>
            <w:hideMark/>
          </w:tcPr>
          <w:p w14:paraId="47DC5A45"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p>
        </w:tc>
        <w:tc>
          <w:tcPr>
            <w:tcW w:w="3101" w:type="dxa"/>
            <w:vMerge w:val="restart"/>
            <w:tcBorders>
              <w:top w:val="nil"/>
              <w:left w:val="nil"/>
              <w:bottom w:val="single" w:sz="8" w:space="0" w:color="auto"/>
              <w:right w:val="single" w:sz="8" w:space="0" w:color="auto"/>
            </w:tcBorders>
            <w:shd w:val="clear" w:color="auto" w:fill="FFF2CC" w:themeFill="accent4" w:themeFillTint="33"/>
            <w:vAlign w:val="center"/>
            <w:hideMark/>
          </w:tcPr>
          <w:p w14:paraId="6B7FDA36"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Contribución efectiva</w:t>
            </w:r>
            <w:r w:rsidRPr="00360FAE">
              <w:rPr>
                <w:rFonts w:ascii="Artifex CF Extra Light" w:eastAsia="Times New Roman" w:hAnsi="Artifex CF Extra Light" w:cs="Calibri"/>
                <w:color w:val="1F4E79" w:themeColor="accent1" w:themeShade="80"/>
                <w:sz w:val="14"/>
                <w:szCs w:val="14"/>
                <w:lang w:val="es-ES" w:eastAsia="es-ES"/>
              </w:rPr>
              <w:br/>
              <w:t>a la creación de empleos</w:t>
            </w:r>
          </w:p>
        </w:tc>
        <w:tc>
          <w:tcPr>
            <w:tcW w:w="3178" w:type="dxa"/>
            <w:tcBorders>
              <w:top w:val="nil"/>
              <w:left w:val="nil"/>
              <w:bottom w:val="single" w:sz="4" w:space="0" w:color="auto"/>
              <w:right w:val="single" w:sz="4" w:space="0" w:color="000000"/>
            </w:tcBorders>
            <w:shd w:val="clear" w:color="auto" w:fill="FFF2CC" w:themeFill="accent4" w:themeFillTint="33"/>
            <w:vAlign w:val="center"/>
            <w:hideMark/>
          </w:tcPr>
          <w:p w14:paraId="22E33EF5" w14:textId="3F49B896"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 xml:space="preserve">Cantidad de empleos directos generados por proyectos de IED gestionados por </w:t>
            </w:r>
            <w:r w:rsidR="0000738C" w:rsidRPr="00360FAE">
              <w:rPr>
                <w:rFonts w:ascii="Artifex CF Extra Light" w:hAnsi="Artifex CF Extra Light"/>
                <w:color w:val="1F4E79" w:themeColor="accent1" w:themeShade="80"/>
                <w:sz w:val="14"/>
                <w:szCs w:val="14"/>
                <w:lang w:val="es-ES"/>
              </w:rPr>
              <w:t>ProDominicana</w:t>
            </w:r>
          </w:p>
        </w:tc>
        <w:tc>
          <w:tcPr>
            <w:tcW w:w="15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02F301DE" w14:textId="78C99BC8" w:rsidR="00314922" w:rsidRPr="00360FAE" w:rsidRDefault="00CA3ABD"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6,229</w:t>
            </w:r>
          </w:p>
        </w:tc>
      </w:tr>
      <w:tr w:rsidR="00864966" w:rsidRPr="00360FAE" w14:paraId="4C29C657" w14:textId="77777777" w:rsidTr="00F473CF">
        <w:trPr>
          <w:cantSplit/>
          <w:trHeight w:val="20"/>
        </w:trPr>
        <w:tc>
          <w:tcPr>
            <w:tcW w:w="525" w:type="dxa"/>
            <w:vMerge/>
            <w:tcBorders>
              <w:top w:val="single" w:sz="8" w:space="0" w:color="auto"/>
              <w:left w:val="single" w:sz="8" w:space="0" w:color="auto"/>
              <w:bottom w:val="single" w:sz="8" w:space="0" w:color="auto"/>
              <w:right w:val="single" w:sz="4" w:space="0" w:color="auto"/>
            </w:tcBorders>
            <w:shd w:val="clear" w:color="auto" w:fill="806000" w:themeFill="accent4" w:themeFillShade="80"/>
            <w:vAlign w:val="center"/>
            <w:hideMark/>
          </w:tcPr>
          <w:p w14:paraId="44B32316"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p>
        </w:tc>
        <w:tc>
          <w:tcPr>
            <w:tcW w:w="3101" w:type="dxa"/>
            <w:vMerge/>
            <w:tcBorders>
              <w:top w:val="nil"/>
              <w:left w:val="nil"/>
              <w:bottom w:val="single" w:sz="8" w:space="0" w:color="auto"/>
              <w:right w:val="single" w:sz="8" w:space="0" w:color="auto"/>
            </w:tcBorders>
            <w:shd w:val="clear" w:color="auto" w:fill="FFF2CC" w:themeFill="accent4" w:themeFillTint="33"/>
            <w:vAlign w:val="center"/>
            <w:hideMark/>
          </w:tcPr>
          <w:p w14:paraId="2755CC0D"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p>
        </w:tc>
        <w:tc>
          <w:tcPr>
            <w:tcW w:w="3178" w:type="dxa"/>
            <w:tcBorders>
              <w:top w:val="nil"/>
              <w:left w:val="nil"/>
              <w:bottom w:val="single" w:sz="8" w:space="0" w:color="auto"/>
              <w:right w:val="single" w:sz="4" w:space="0" w:color="000000"/>
            </w:tcBorders>
            <w:shd w:val="clear" w:color="auto" w:fill="FFF2CC" w:themeFill="accent4" w:themeFillTint="33"/>
            <w:vAlign w:val="center"/>
            <w:hideMark/>
          </w:tcPr>
          <w:p w14:paraId="2181C606" w14:textId="4EBE79F1"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 xml:space="preserve">% de incremento de la cantidad de empleos directos generados por proyectos de IED gestionados por </w:t>
            </w:r>
            <w:r w:rsidR="0000738C" w:rsidRPr="00360FAE">
              <w:rPr>
                <w:rFonts w:ascii="Artifex CF Extra Light" w:hAnsi="Artifex CF Extra Light"/>
                <w:color w:val="1F4E79" w:themeColor="accent1" w:themeShade="80"/>
                <w:sz w:val="14"/>
                <w:szCs w:val="14"/>
                <w:lang w:val="es-ES"/>
              </w:rPr>
              <w:t>ProDominicana</w:t>
            </w:r>
          </w:p>
        </w:tc>
        <w:tc>
          <w:tcPr>
            <w:tcW w:w="15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0A96899B" w14:textId="0FBD7507" w:rsidR="00314922" w:rsidRPr="00360FAE" w:rsidRDefault="00745A5C"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1</w:t>
            </w:r>
            <w:r w:rsidR="00680000" w:rsidRPr="00360FAE">
              <w:rPr>
                <w:rFonts w:ascii="Artifex CF Extra Light" w:eastAsia="Times New Roman" w:hAnsi="Artifex CF Extra Light" w:cs="Calibri"/>
                <w:color w:val="1F4E79" w:themeColor="accent1" w:themeShade="80"/>
                <w:sz w:val="14"/>
                <w:szCs w:val="14"/>
                <w:lang w:val="es-ES" w:eastAsia="es-ES"/>
              </w:rPr>
              <w:t>0</w:t>
            </w:r>
            <w:r w:rsidRPr="00360FAE">
              <w:rPr>
                <w:rFonts w:ascii="Artifex CF Extra Light" w:eastAsia="Times New Roman" w:hAnsi="Artifex CF Extra Light" w:cs="Calibri"/>
                <w:color w:val="1F4E79" w:themeColor="accent1" w:themeShade="80"/>
                <w:sz w:val="14"/>
                <w:szCs w:val="14"/>
                <w:lang w:val="es-ES" w:eastAsia="es-ES"/>
              </w:rPr>
              <w:t>%</w:t>
            </w:r>
          </w:p>
        </w:tc>
      </w:tr>
      <w:tr w:rsidR="00864966" w:rsidRPr="00360FAE" w14:paraId="39AF1F73" w14:textId="77777777" w:rsidTr="00F473CF">
        <w:trPr>
          <w:cantSplit/>
          <w:trHeight w:val="20"/>
        </w:trPr>
        <w:tc>
          <w:tcPr>
            <w:tcW w:w="525" w:type="dxa"/>
            <w:vMerge/>
            <w:tcBorders>
              <w:top w:val="single" w:sz="8" w:space="0" w:color="auto"/>
              <w:left w:val="single" w:sz="8" w:space="0" w:color="auto"/>
              <w:bottom w:val="single" w:sz="8" w:space="0" w:color="auto"/>
              <w:right w:val="single" w:sz="4" w:space="0" w:color="auto"/>
            </w:tcBorders>
            <w:shd w:val="clear" w:color="auto" w:fill="806000" w:themeFill="accent4" w:themeFillShade="80"/>
            <w:vAlign w:val="center"/>
            <w:hideMark/>
          </w:tcPr>
          <w:p w14:paraId="79AAD8EF"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p>
        </w:tc>
        <w:tc>
          <w:tcPr>
            <w:tcW w:w="3101" w:type="dxa"/>
            <w:vMerge w:val="restart"/>
            <w:tcBorders>
              <w:top w:val="nil"/>
              <w:left w:val="nil"/>
              <w:bottom w:val="single" w:sz="8" w:space="0" w:color="auto"/>
              <w:right w:val="single" w:sz="8" w:space="0" w:color="auto"/>
            </w:tcBorders>
            <w:shd w:val="clear" w:color="auto" w:fill="FFF2CC" w:themeFill="accent4" w:themeFillTint="33"/>
            <w:vAlign w:val="center"/>
            <w:hideMark/>
          </w:tcPr>
          <w:p w14:paraId="2A514728"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Incremento de la cantidad</w:t>
            </w:r>
            <w:r w:rsidRPr="00360FAE">
              <w:rPr>
                <w:rFonts w:ascii="Artifex CF Extra Light" w:eastAsia="Times New Roman" w:hAnsi="Artifex CF Extra Light" w:cs="Calibri"/>
                <w:color w:val="1F4E79" w:themeColor="accent1" w:themeShade="80"/>
                <w:sz w:val="14"/>
                <w:szCs w:val="14"/>
                <w:lang w:val="es-ES" w:eastAsia="es-ES"/>
              </w:rPr>
              <w:br/>
              <w:t>de proyectos de inversión total</w:t>
            </w:r>
          </w:p>
        </w:tc>
        <w:tc>
          <w:tcPr>
            <w:tcW w:w="3178" w:type="dxa"/>
            <w:tcBorders>
              <w:top w:val="nil"/>
              <w:left w:val="nil"/>
              <w:bottom w:val="single" w:sz="4" w:space="0" w:color="auto"/>
              <w:right w:val="single" w:sz="4" w:space="0" w:color="000000"/>
            </w:tcBorders>
            <w:shd w:val="clear" w:color="auto" w:fill="FFF2CC" w:themeFill="accent4" w:themeFillTint="33"/>
            <w:vAlign w:val="center"/>
            <w:hideMark/>
          </w:tcPr>
          <w:p w14:paraId="0B23869A" w14:textId="3D516B92"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Cantidad de Proyectos IED generados por gestión de</w:t>
            </w:r>
            <w:r w:rsidR="0000738C" w:rsidRPr="00360FAE">
              <w:rPr>
                <w:rFonts w:ascii="Artifex CF Extra Light" w:eastAsia="Times New Roman" w:hAnsi="Artifex CF Extra Light" w:cs="Calibri"/>
                <w:color w:val="1F4E79" w:themeColor="accent1" w:themeShade="80"/>
                <w:sz w:val="14"/>
                <w:szCs w:val="14"/>
                <w:lang w:val="es-ES" w:eastAsia="es-ES"/>
              </w:rPr>
              <w:t xml:space="preserve"> </w:t>
            </w:r>
            <w:r w:rsidR="0000738C" w:rsidRPr="00360FAE">
              <w:rPr>
                <w:rFonts w:ascii="Artifex CF Extra Light" w:hAnsi="Artifex CF Extra Light"/>
                <w:color w:val="1F4E79" w:themeColor="accent1" w:themeShade="80"/>
                <w:sz w:val="14"/>
                <w:szCs w:val="14"/>
                <w:lang w:val="es-ES"/>
              </w:rPr>
              <w:t>ProDominicana</w:t>
            </w:r>
          </w:p>
        </w:tc>
        <w:tc>
          <w:tcPr>
            <w:tcW w:w="15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6CEF76D8" w14:textId="2CC8575A" w:rsidR="00314922" w:rsidRPr="00360FAE" w:rsidRDefault="0089672A"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40</w:t>
            </w:r>
          </w:p>
        </w:tc>
      </w:tr>
      <w:tr w:rsidR="00864966" w:rsidRPr="00360FAE" w14:paraId="18E45A19" w14:textId="77777777" w:rsidTr="00F473CF">
        <w:trPr>
          <w:cantSplit/>
          <w:trHeight w:val="20"/>
        </w:trPr>
        <w:tc>
          <w:tcPr>
            <w:tcW w:w="525" w:type="dxa"/>
            <w:vMerge/>
            <w:tcBorders>
              <w:top w:val="single" w:sz="8" w:space="0" w:color="auto"/>
              <w:left w:val="single" w:sz="8" w:space="0" w:color="auto"/>
              <w:bottom w:val="single" w:sz="8" w:space="0" w:color="auto"/>
              <w:right w:val="single" w:sz="4" w:space="0" w:color="auto"/>
            </w:tcBorders>
            <w:shd w:val="clear" w:color="auto" w:fill="806000" w:themeFill="accent4" w:themeFillShade="80"/>
            <w:vAlign w:val="center"/>
            <w:hideMark/>
          </w:tcPr>
          <w:p w14:paraId="0E5656AC"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p>
        </w:tc>
        <w:tc>
          <w:tcPr>
            <w:tcW w:w="3101" w:type="dxa"/>
            <w:vMerge/>
            <w:tcBorders>
              <w:top w:val="nil"/>
              <w:left w:val="nil"/>
              <w:bottom w:val="single" w:sz="8" w:space="0" w:color="auto"/>
              <w:right w:val="single" w:sz="8" w:space="0" w:color="auto"/>
            </w:tcBorders>
            <w:shd w:val="clear" w:color="auto" w:fill="FFF2CC" w:themeFill="accent4" w:themeFillTint="33"/>
            <w:vAlign w:val="center"/>
            <w:hideMark/>
          </w:tcPr>
          <w:p w14:paraId="2147BA6F"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p>
        </w:tc>
        <w:tc>
          <w:tcPr>
            <w:tcW w:w="3178" w:type="dxa"/>
            <w:tcBorders>
              <w:top w:val="nil"/>
              <w:left w:val="nil"/>
              <w:bottom w:val="single" w:sz="8" w:space="0" w:color="auto"/>
              <w:right w:val="single" w:sz="4" w:space="0" w:color="000000"/>
            </w:tcBorders>
            <w:shd w:val="clear" w:color="auto" w:fill="FFF2CC" w:themeFill="accent4" w:themeFillTint="33"/>
            <w:vAlign w:val="center"/>
            <w:hideMark/>
          </w:tcPr>
          <w:p w14:paraId="57C805C5" w14:textId="4678CD0A"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 xml:space="preserve">% de incremento de cantidad de proyectos IED generados por gestión </w:t>
            </w:r>
            <w:r w:rsidR="0000738C" w:rsidRPr="00360FAE">
              <w:rPr>
                <w:rFonts w:ascii="Artifex CF Extra Light" w:eastAsia="Times New Roman" w:hAnsi="Artifex CF Extra Light" w:cs="Calibri"/>
                <w:color w:val="1F4E79" w:themeColor="accent1" w:themeShade="80"/>
                <w:sz w:val="14"/>
                <w:szCs w:val="14"/>
                <w:lang w:val="es-ES" w:eastAsia="es-ES"/>
              </w:rPr>
              <w:t xml:space="preserve">de </w:t>
            </w:r>
            <w:r w:rsidR="0000738C" w:rsidRPr="00360FAE">
              <w:rPr>
                <w:rFonts w:ascii="Artifex CF Extra Light" w:hAnsi="Artifex CF Extra Light"/>
                <w:color w:val="1F4E79" w:themeColor="accent1" w:themeShade="80"/>
                <w:sz w:val="14"/>
                <w:szCs w:val="14"/>
                <w:lang w:val="es-ES"/>
              </w:rPr>
              <w:t>ProDominicana</w:t>
            </w:r>
          </w:p>
        </w:tc>
        <w:tc>
          <w:tcPr>
            <w:tcW w:w="156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2F92416A" w14:textId="36BCBA23" w:rsidR="00314922" w:rsidRPr="00360FAE" w:rsidRDefault="007B7A39"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20%</w:t>
            </w:r>
          </w:p>
        </w:tc>
      </w:tr>
      <w:tr w:rsidR="00864966" w:rsidRPr="00360FAE" w14:paraId="41DCA577" w14:textId="77777777" w:rsidTr="00F473CF">
        <w:trPr>
          <w:cantSplit/>
          <w:trHeight w:val="20"/>
        </w:trPr>
        <w:tc>
          <w:tcPr>
            <w:tcW w:w="525" w:type="dxa"/>
            <w:vMerge w:val="restart"/>
            <w:tcBorders>
              <w:top w:val="single" w:sz="8" w:space="0" w:color="auto"/>
              <w:left w:val="single" w:sz="4" w:space="0" w:color="auto"/>
              <w:bottom w:val="single" w:sz="4" w:space="0" w:color="auto"/>
              <w:right w:val="single" w:sz="4" w:space="0" w:color="auto"/>
            </w:tcBorders>
            <w:shd w:val="clear" w:color="auto" w:fill="385623" w:themeFill="accent6" w:themeFillShade="80"/>
            <w:textDirection w:val="btLr"/>
            <w:vAlign w:val="center"/>
            <w:hideMark/>
          </w:tcPr>
          <w:p w14:paraId="6B215073" w14:textId="77777777" w:rsidR="00F473CF"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r w:rsidRPr="00360FAE">
              <w:rPr>
                <w:rFonts w:ascii="Artifex CF Extra Light" w:eastAsia="Times New Roman" w:hAnsi="Artifex CF Extra Light" w:cs="Calibri"/>
                <w:b/>
                <w:color w:val="FFFFFF" w:themeColor="background1"/>
                <w:sz w:val="14"/>
                <w:szCs w:val="14"/>
                <w:lang w:val="es-ES" w:eastAsia="es-ES"/>
              </w:rPr>
              <w:t>Indicadores</w:t>
            </w:r>
          </w:p>
          <w:p w14:paraId="0B613BB7" w14:textId="7818337A" w:rsidR="00314922" w:rsidRPr="00360FAE" w:rsidRDefault="00314922" w:rsidP="00360FAE">
            <w:pPr>
              <w:spacing w:after="0" w:line="360" w:lineRule="auto"/>
              <w:ind w:firstLine="284"/>
              <w:jc w:val="center"/>
              <w:rPr>
                <w:rFonts w:ascii="Artifex CF Extra Light" w:eastAsia="Times New Roman" w:hAnsi="Artifex CF Extra Light" w:cs="Calibri"/>
                <w:b/>
                <w:color w:val="FFFFFF" w:themeColor="background1"/>
                <w:sz w:val="14"/>
                <w:szCs w:val="14"/>
                <w:lang w:val="es-ES" w:eastAsia="es-ES"/>
              </w:rPr>
            </w:pPr>
            <w:r w:rsidRPr="00360FAE">
              <w:rPr>
                <w:rFonts w:ascii="Artifex CF Extra Light" w:eastAsia="Times New Roman" w:hAnsi="Artifex CF Extra Light" w:cs="Calibri"/>
                <w:b/>
                <w:color w:val="FFFFFF" w:themeColor="background1"/>
                <w:sz w:val="14"/>
                <w:szCs w:val="14"/>
                <w:lang w:val="es-ES" w:eastAsia="es-ES"/>
              </w:rPr>
              <w:t>Capacitación</w:t>
            </w:r>
          </w:p>
        </w:tc>
        <w:tc>
          <w:tcPr>
            <w:tcW w:w="3101" w:type="dxa"/>
            <w:tcBorders>
              <w:top w:val="nil"/>
              <w:left w:val="nil"/>
              <w:bottom w:val="single" w:sz="8" w:space="0" w:color="auto"/>
              <w:right w:val="single" w:sz="4" w:space="0" w:color="auto"/>
            </w:tcBorders>
            <w:shd w:val="clear" w:color="auto" w:fill="E2EFD9" w:themeFill="accent6" w:themeFillTint="33"/>
            <w:vAlign w:val="center"/>
            <w:hideMark/>
          </w:tcPr>
          <w:p w14:paraId="2C3C8BA9"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Incremento de exportadores capacitados</w:t>
            </w:r>
          </w:p>
        </w:tc>
        <w:tc>
          <w:tcPr>
            <w:tcW w:w="3178" w:type="dxa"/>
            <w:tcBorders>
              <w:top w:val="nil"/>
              <w:left w:val="nil"/>
              <w:bottom w:val="single" w:sz="8" w:space="0" w:color="auto"/>
              <w:right w:val="single" w:sz="4" w:space="0" w:color="000000"/>
            </w:tcBorders>
            <w:shd w:val="clear" w:color="auto" w:fill="E2EFD9" w:themeFill="accent6" w:themeFillTint="33"/>
            <w:vAlign w:val="center"/>
            <w:hideMark/>
          </w:tcPr>
          <w:p w14:paraId="29C6A45E"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Cantidad de exportadores capacitados</w:t>
            </w:r>
          </w:p>
        </w:tc>
        <w:tc>
          <w:tcPr>
            <w:tcW w:w="15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49C790C" w14:textId="7A9492F4" w:rsidR="00314922" w:rsidRPr="00360FAE" w:rsidRDefault="00DB74CB"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450</w:t>
            </w:r>
          </w:p>
        </w:tc>
      </w:tr>
      <w:tr w:rsidR="00864966" w:rsidRPr="00360FAE" w14:paraId="06F4E568" w14:textId="77777777" w:rsidTr="00F473CF">
        <w:trPr>
          <w:cantSplit/>
          <w:trHeight w:val="20"/>
        </w:trPr>
        <w:tc>
          <w:tcPr>
            <w:tcW w:w="525" w:type="dxa"/>
            <w:vMerge/>
            <w:tcBorders>
              <w:top w:val="single" w:sz="8" w:space="0" w:color="auto"/>
              <w:left w:val="single" w:sz="4" w:space="0" w:color="auto"/>
              <w:bottom w:val="single" w:sz="4" w:space="0" w:color="auto"/>
              <w:right w:val="single" w:sz="4" w:space="0" w:color="auto"/>
            </w:tcBorders>
            <w:shd w:val="clear" w:color="auto" w:fill="385623" w:themeFill="accent6" w:themeFillShade="80"/>
            <w:vAlign w:val="center"/>
            <w:hideMark/>
          </w:tcPr>
          <w:p w14:paraId="48C4937B"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1F4E79" w:themeColor="accent1" w:themeShade="80"/>
                <w:sz w:val="14"/>
                <w:szCs w:val="14"/>
                <w:lang w:val="es-ES" w:eastAsia="es-ES"/>
              </w:rPr>
            </w:pPr>
          </w:p>
        </w:tc>
        <w:tc>
          <w:tcPr>
            <w:tcW w:w="3101" w:type="dxa"/>
            <w:tcBorders>
              <w:top w:val="nil"/>
              <w:left w:val="nil"/>
              <w:bottom w:val="single" w:sz="8" w:space="0" w:color="auto"/>
              <w:right w:val="single" w:sz="4" w:space="0" w:color="auto"/>
            </w:tcBorders>
            <w:shd w:val="clear" w:color="auto" w:fill="E2EFD9" w:themeFill="accent6" w:themeFillTint="33"/>
            <w:vAlign w:val="center"/>
            <w:hideMark/>
          </w:tcPr>
          <w:p w14:paraId="385AB9F0"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Incremento de</w:t>
            </w:r>
            <w:r w:rsidRPr="00360FAE">
              <w:rPr>
                <w:rFonts w:ascii="Artifex CF Extra Light" w:eastAsia="Times New Roman" w:hAnsi="Artifex CF Extra Light" w:cs="Calibri"/>
                <w:color w:val="1F4E79" w:themeColor="accent1" w:themeShade="80"/>
                <w:sz w:val="14"/>
                <w:szCs w:val="14"/>
                <w:lang w:val="es-ES" w:eastAsia="es-ES"/>
              </w:rPr>
              <w:br/>
              <w:t>exportadores</w:t>
            </w:r>
            <w:r w:rsidRPr="00360FAE">
              <w:rPr>
                <w:rFonts w:ascii="Artifex CF Extra Light" w:eastAsia="Times New Roman" w:hAnsi="Artifex CF Extra Light" w:cs="Calibri"/>
                <w:color w:val="1F4E79" w:themeColor="accent1" w:themeShade="80"/>
                <w:sz w:val="14"/>
                <w:szCs w:val="14"/>
                <w:lang w:val="es-ES" w:eastAsia="es-ES"/>
              </w:rPr>
              <w:br/>
              <w:t>potenciales capacitados</w:t>
            </w:r>
          </w:p>
        </w:tc>
        <w:tc>
          <w:tcPr>
            <w:tcW w:w="3178" w:type="dxa"/>
            <w:tcBorders>
              <w:top w:val="nil"/>
              <w:left w:val="nil"/>
              <w:bottom w:val="single" w:sz="8" w:space="0" w:color="auto"/>
              <w:right w:val="single" w:sz="4" w:space="0" w:color="000000"/>
            </w:tcBorders>
            <w:shd w:val="clear" w:color="auto" w:fill="E2EFD9" w:themeFill="accent6" w:themeFillTint="33"/>
            <w:vAlign w:val="center"/>
            <w:hideMark/>
          </w:tcPr>
          <w:p w14:paraId="0B9C0761"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Cantidad de potenciales exportadores capacitados</w:t>
            </w:r>
          </w:p>
        </w:tc>
        <w:tc>
          <w:tcPr>
            <w:tcW w:w="15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BD3C9E2" w14:textId="3F95EA48" w:rsidR="00314922" w:rsidRPr="00360FAE" w:rsidRDefault="000D6FE6"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75</w:t>
            </w:r>
          </w:p>
        </w:tc>
      </w:tr>
      <w:tr w:rsidR="00864966" w:rsidRPr="00360FAE" w14:paraId="4060A8BF" w14:textId="77777777" w:rsidTr="00F473CF">
        <w:trPr>
          <w:cantSplit/>
          <w:trHeight w:val="20"/>
        </w:trPr>
        <w:tc>
          <w:tcPr>
            <w:tcW w:w="525" w:type="dxa"/>
            <w:vMerge/>
            <w:tcBorders>
              <w:top w:val="single" w:sz="8" w:space="0" w:color="auto"/>
              <w:left w:val="single" w:sz="4" w:space="0" w:color="auto"/>
              <w:bottom w:val="single" w:sz="4" w:space="0" w:color="auto"/>
              <w:right w:val="single" w:sz="4" w:space="0" w:color="auto"/>
            </w:tcBorders>
            <w:shd w:val="clear" w:color="auto" w:fill="385623" w:themeFill="accent6" w:themeFillShade="80"/>
            <w:vAlign w:val="center"/>
            <w:hideMark/>
          </w:tcPr>
          <w:p w14:paraId="7C117575" w14:textId="77777777" w:rsidR="00314922" w:rsidRPr="00360FAE" w:rsidRDefault="00314922" w:rsidP="00360FAE">
            <w:pPr>
              <w:spacing w:after="0" w:line="360" w:lineRule="auto"/>
              <w:ind w:firstLine="284"/>
              <w:jc w:val="center"/>
              <w:rPr>
                <w:rFonts w:ascii="Artifex CF Extra Light" w:eastAsia="Times New Roman" w:hAnsi="Artifex CF Extra Light" w:cs="Calibri"/>
                <w:b/>
                <w:color w:val="1F4E79" w:themeColor="accent1" w:themeShade="80"/>
                <w:sz w:val="14"/>
                <w:szCs w:val="14"/>
                <w:lang w:val="es-ES" w:eastAsia="es-ES"/>
              </w:rPr>
            </w:pPr>
          </w:p>
        </w:tc>
        <w:tc>
          <w:tcPr>
            <w:tcW w:w="3101" w:type="dxa"/>
            <w:tcBorders>
              <w:top w:val="nil"/>
              <w:left w:val="nil"/>
              <w:bottom w:val="single" w:sz="8" w:space="0" w:color="auto"/>
              <w:right w:val="single" w:sz="4" w:space="0" w:color="auto"/>
            </w:tcBorders>
            <w:shd w:val="clear" w:color="auto" w:fill="E2EFD9" w:themeFill="accent6" w:themeFillTint="33"/>
            <w:vAlign w:val="center"/>
            <w:hideMark/>
          </w:tcPr>
          <w:p w14:paraId="44D40FED"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Incremento de personas interesadas en comercio exterior capacitados</w:t>
            </w:r>
          </w:p>
        </w:tc>
        <w:tc>
          <w:tcPr>
            <w:tcW w:w="3178" w:type="dxa"/>
            <w:tcBorders>
              <w:top w:val="nil"/>
              <w:left w:val="nil"/>
              <w:bottom w:val="single" w:sz="8" w:space="0" w:color="auto"/>
              <w:right w:val="single" w:sz="4" w:space="0" w:color="000000"/>
            </w:tcBorders>
            <w:shd w:val="clear" w:color="auto" w:fill="E2EFD9" w:themeFill="accent6" w:themeFillTint="33"/>
            <w:vAlign w:val="center"/>
            <w:hideMark/>
          </w:tcPr>
          <w:p w14:paraId="1673CBD8" w14:textId="77777777" w:rsidR="00314922" w:rsidRPr="00360FAE" w:rsidRDefault="00314922"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Cantidad de personas interesadas en comercio exterior capacitados</w:t>
            </w:r>
          </w:p>
        </w:tc>
        <w:tc>
          <w:tcPr>
            <w:tcW w:w="15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35FE1A7" w14:textId="15827095" w:rsidR="00314922" w:rsidRPr="00360FAE" w:rsidRDefault="000D6FE6" w:rsidP="00360FAE">
            <w:pPr>
              <w:spacing w:after="0" w:line="360" w:lineRule="auto"/>
              <w:ind w:firstLine="284"/>
              <w:jc w:val="center"/>
              <w:rPr>
                <w:rFonts w:ascii="Artifex CF Extra Light" w:eastAsia="Times New Roman" w:hAnsi="Artifex CF Extra Light" w:cs="Calibri"/>
                <w:color w:val="1F4E79" w:themeColor="accent1" w:themeShade="80"/>
                <w:sz w:val="14"/>
                <w:szCs w:val="14"/>
                <w:lang w:val="es-ES" w:eastAsia="es-ES"/>
              </w:rPr>
            </w:pPr>
            <w:r w:rsidRPr="00360FAE">
              <w:rPr>
                <w:rFonts w:ascii="Artifex CF Extra Light" w:eastAsia="Times New Roman" w:hAnsi="Artifex CF Extra Light" w:cs="Calibri"/>
                <w:color w:val="1F4E79" w:themeColor="accent1" w:themeShade="80"/>
                <w:sz w:val="14"/>
                <w:szCs w:val="14"/>
                <w:lang w:val="es-ES" w:eastAsia="es-ES"/>
              </w:rPr>
              <w:t>2,500</w:t>
            </w:r>
          </w:p>
        </w:tc>
      </w:tr>
    </w:tbl>
    <w:p w14:paraId="1CFD9196" w14:textId="6D6DE9AF" w:rsidR="00FE0C22" w:rsidRPr="00324A19" w:rsidRDefault="00314922" w:rsidP="00360FAE">
      <w:pPr>
        <w:spacing w:after="0" w:line="360" w:lineRule="auto"/>
        <w:ind w:firstLine="284"/>
        <w:jc w:val="both"/>
        <w:rPr>
          <w:rFonts w:ascii="Artifex CF Extra Light" w:hAnsi="Artifex CF Extra Light" w:cs="Times New Roman"/>
          <w:color w:val="1F4E79" w:themeColor="accent1" w:themeShade="80"/>
          <w:sz w:val="18"/>
          <w:szCs w:val="18"/>
          <w:lang w:val="es-DO"/>
        </w:rPr>
      </w:pPr>
      <w:r w:rsidRPr="00324A19">
        <w:rPr>
          <w:rFonts w:ascii="Artifex CF Extra Light" w:hAnsi="Artifex CF Extra Light" w:cs="Times New Roman"/>
          <w:color w:val="1F4E79" w:themeColor="accent1" w:themeShade="80"/>
          <w:sz w:val="18"/>
          <w:szCs w:val="18"/>
          <w:lang w:val="es-DO"/>
        </w:rPr>
        <w:t>Fuente: ProDominicana.</w:t>
      </w:r>
    </w:p>
    <w:p w14:paraId="328B3AA7" w14:textId="77777777" w:rsidR="00A56204" w:rsidRDefault="00A56204" w:rsidP="00360FAE">
      <w:pPr>
        <w:spacing w:after="0" w:line="456" w:lineRule="auto"/>
        <w:ind w:firstLine="284"/>
        <w:jc w:val="both"/>
        <w:rPr>
          <w:rFonts w:ascii="Artifex CF Extra Light" w:hAnsi="Artifex CF Extra Light" w:cs="Times New Roman"/>
          <w:color w:val="1F4E79" w:themeColor="accent1" w:themeShade="80"/>
          <w:sz w:val="18"/>
          <w:szCs w:val="18"/>
          <w:lang w:val="es-ES"/>
        </w:rPr>
      </w:pPr>
      <w:r w:rsidRPr="00324A19">
        <w:rPr>
          <w:rFonts w:ascii="Artifex CF Extra Light" w:hAnsi="Artifex CF Extra Light" w:cs="Times New Roman"/>
          <w:color w:val="1F4E79" w:themeColor="accent1" w:themeShade="80"/>
          <w:sz w:val="18"/>
          <w:szCs w:val="18"/>
          <w:lang w:val="es-ES"/>
        </w:rPr>
        <w:t>Notas: *</w:t>
      </w:r>
      <w:r w:rsidR="008B49F3" w:rsidRPr="00324A19">
        <w:rPr>
          <w:rFonts w:ascii="Artifex CF Extra Light" w:hAnsi="Artifex CF Extra Light" w:cs="Times New Roman"/>
          <w:color w:val="1F4E79" w:themeColor="accent1" w:themeShade="80"/>
          <w:sz w:val="18"/>
          <w:szCs w:val="18"/>
          <w:lang w:val="es-ES"/>
        </w:rPr>
        <w:t>D</w:t>
      </w:r>
      <w:r w:rsidRPr="00324A19">
        <w:rPr>
          <w:rFonts w:ascii="Artifex CF Extra Light" w:hAnsi="Artifex CF Extra Light" w:cs="Times New Roman"/>
          <w:color w:val="1F4E79" w:themeColor="accent1" w:themeShade="80"/>
          <w:sz w:val="18"/>
          <w:szCs w:val="18"/>
          <w:lang w:val="es-ES"/>
        </w:rPr>
        <w:t xml:space="preserve">atos preliminares, sujeto a cambios </w:t>
      </w:r>
      <w:r w:rsidR="00D37654" w:rsidRPr="00324A19">
        <w:rPr>
          <w:rFonts w:ascii="Artifex CF Extra Light" w:hAnsi="Artifex CF Extra Light" w:cs="Times New Roman"/>
          <w:color w:val="1F4E79" w:themeColor="accent1" w:themeShade="80"/>
          <w:sz w:val="18"/>
          <w:szCs w:val="18"/>
          <w:lang w:val="es-ES"/>
        </w:rPr>
        <w:t>según resultados</w:t>
      </w:r>
      <w:r w:rsidR="008B49F3" w:rsidRPr="00324A19">
        <w:rPr>
          <w:rFonts w:ascii="Artifex CF Extra Light" w:hAnsi="Artifex CF Extra Light" w:cs="Times New Roman"/>
          <w:color w:val="1F4E79" w:themeColor="accent1" w:themeShade="80"/>
          <w:sz w:val="18"/>
          <w:szCs w:val="18"/>
          <w:lang w:val="es-ES"/>
        </w:rPr>
        <w:t xml:space="preserve"> del ejercicio de elaboración del PEI 2021-2024.</w:t>
      </w:r>
      <w:r w:rsidR="00360FAE">
        <w:rPr>
          <w:rFonts w:ascii="Artifex CF Extra Light" w:hAnsi="Artifex CF Extra Light" w:cs="Times New Roman"/>
          <w:color w:val="1F4E79" w:themeColor="accent1" w:themeShade="80"/>
          <w:sz w:val="18"/>
          <w:szCs w:val="18"/>
          <w:lang w:val="es-ES"/>
        </w:rPr>
        <w:t xml:space="preserve"> </w:t>
      </w:r>
    </w:p>
    <w:p w14:paraId="3DDEC229" w14:textId="00680B6E" w:rsidR="00360FAE" w:rsidRPr="00324A19" w:rsidRDefault="00360FAE" w:rsidP="00360FAE">
      <w:pPr>
        <w:spacing w:after="0" w:line="456" w:lineRule="auto"/>
        <w:ind w:firstLine="284"/>
        <w:jc w:val="both"/>
        <w:rPr>
          <w:rFonts w:ascii="Artifex CF Extra Light" w:hAnsi="Artifex CF Extra Light" w:cs="Times New Roman"/>
          <w:color w:val="1F4E79" w:themeColor="accent1" w:themeShade="80"/>
          <w:sz w:val="18"/>
          <w:szCs w:val="18"/>
          <w:lang w:val="es-ES"/>
        </w:rPr>
        <w:sectPr w:rsidR="00360FAE" w:rsidRPr="00324A19" w:rsidSect="00723343">
          <w:pgSz w:w="12240" w:h="15840" w:code="1"/>
          <w:pgMar w:top="1440" w:right="2160" w:bottom="1440" w:left="2160" w:header="708" w:footer="708" w:gutter="0"/>
          <w:cols w:space="708"/>
          <w:titlePg/>
          <w:docGrid w:linePitch="360"/>
        </w:sectPr>
      </w:pPr>
    </w:p>
    <w:p w14:paraId="26582F8F" w14:textId="3ED4B835" w:rsidR="007F505F" w:rsidRPr="00360FAE" w:rsidRDefault="00360FAE" w:rsidP="00360FAE">
      <w:pPr>
        <w:pStyle w:val="Prrafodelista"/>
        <w:keepNext/>
        <w:keepLines/>
        <w:numPr>
          <w:ilvl w:val="0"/>
          <w:numId w:val="5"/>
        </w:numPr>
        <w:spacing w:before="380" w:after="120" w:line="456" w:lineRule="auto"/>
        <w:ind w:left="284" w:hanging="284"/>
        <w:contextualSpacing w:val="0"/>
        <w:jc w:val="center"/>
        <w:outlineLvl w:val="0"/>
        <w:rPr>
          <w:rFonts w:ascii="Artifex CF Light" w:eastAsia="Times New Roman" w:hAnsi="Artifex CF Light" w:cs="Times New Roman"/>
          <w:color w:val="1F4E79" w:themeColor="accent1" w:themeShade="80"/>
          <w:spacing w:val="30"/>
          <w:sz w:val="26"/>
          <w:szCs w:val="32"/>
          <w:lang w:val="es-DO" w:eastAsia="es-DO"/>
        </w:rPr>
      </w:pPr>
      <w:bookmarkStart w:id="153" w:name="_Toc59528114"/>
      <w:bookmarkStart w:id="154" w:name="_Toc58332541"/>
      <w:bookmarkEnd w:id="152"/>
      <w:r w:rsidRPr="00C374D9">
        <w:rPr>
          <w:noProof/>
          <w:color w:val="1F4E79" w:themeColor="accent1" w:themeShade="80"/>
          <w:spacing w:val="30"/>
        </w:rPr>
        <w:lastRenderedPageBreak/>
        <mc:AlternateContent>
          <mc:Choice Requires="wps">
            <w:drawing>
              <wp:anchor distT="0" distB="0" distL="114300" distR="114300" simplePos="0" relativeHeight="251926528" behindDoc="0" locked="0" layoutInCell="1" allowOverlap="1" wp14:anchorId="52CA2D60" wp14:editId="37A84917">
                <wp:simplePos x="0" y="0"/>
                <wp:positionH relativeFrom="margin">
                  <wp:posOffset>2285365</wp:posOffset>
                </wp:positionH>
                <wp:positionV relativeFrom="paragraph">
                  <wp:posOffset>598501</wp:posOffset>
                </wp:positionV>
                <wp:extent cx="464820" cy="0"/>
                <wp:effectExtent l="0" t="19050" r="30480" b="19050"/>
                <wp:wrapNone/>
                <wp:docPr id="42" name="Conector recto 42"/>
                <wp:cNvGraphicFramePr/>
                <a:graphic xmlns:a="http://schemas.openxmlformats.org/drawingml/2006/main">
                  <a:graphicData uri="http://schemas.microsoft.com/office/word/2010/wordprocessingShape">
                    <wps:wsp>
                      <wps:cNvCnPr/>
                      <wps:spPr>
                        <a:xfrm>
                          <a:off x="0" y="0"/>
                          <a:ext cx="464820" cy="0"/>
                        </a:xfrm>
                        <a:prstGeom prst="line">
                          <a:avLst/>
                        </a:prstGeom>
                        <a:noFill/>
                        <a:ln w="317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508DA8" id="Conector recto 42" o:spid="_x0000_s1026" style="position:absolute;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95pt,47.15pt" to="216.5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" strokecolor="red" strokeweight="2.5pt">
                <v:stroke joinstyle="miter"/>
                <w10:wrap anchorx="margin"/>
              </v:line>
            </w:pict>
          </mc:Fallback>
        </mc:AlternateContent>
      </w:r>
      <w:r>
        <w:rPr>
          <w:rFonts w:ascii="Artifex CF Light" w:eastAsia="Times New Roman" w:hAnsi="Artifex CF Light" w:cs="Times New Roman"/>
          <w:color w:val="1F4E79" w:themeColor="accent1" w:themeShade="80"/>
          <w:spacing w:val="30"/>
          <w:sz w:val="26"/>
          <w:szCs w:val="32"/>
          <w:lang w:val="es-DO" w:eastAsia="es-DO"/>
        </w:rPr>
        <w:t>ANEXOS</w:t>
      </w:r>
      <w:bookmarkEnd w:id="153"/>
    </w:p>
    <w:tbl>
      <w:tblPr>
        <w:tblW w:w="8600" w:type="dxa"/>
        <w:tblInd w:w="70" w:type="dxa"/>
        <w:tblCellMar>
          <w:left w:w="70" w:type="dxa"/>
          <w:right w:w="70" w:type="dxa"/>
        </w:tblCellMar>
        <w:tblLook w:val="04A0" w:firstRow="1" w:lastRow="0" w:firstColumn="1" w:lastColumn="0" w:noHBand="0" w:noVBand="1"/>
      </w:tblPr>
      <w:tblGrid>
        <w:gridCol w:w="1317"/>
        <w:gridCol w:w="1421"/>
        <w:gridCol w:w="1021"/>
        <w:gridCol w:w="1120"/>
        <w:gridCol w:w="1068"/>
        <w:gridCol w:w="1164"/>
        <w:gridCol w:w="1489"/>
      </w:tblGrid>
      <w:tr w:rsidR="001B7EDE" w:rsidRPr="00813E62" w14:paraId="7157E2E6" w14:textId="77777777" w:rsidTr="00360FAE">
        <w:trPr>
          <w:trHeight w:val="385"/>
        </w:trPr>
        <w:tc>
          <w:tcPr>
            <w:tcW w:w="8600" w:type="dxa"/>
            <w:gridSpan w:val="7"/>
            <w:tcBorders>
              <w:top w:val="nil"/>
              <w:left w:val="nil"/>
              <w:bottom w:val="nil"/>
              <w:right w:val="nil"/>
            </w:tcBorders>
            <w:shd w:val="clear" w:color="auto" w:fill="auto"/>
            <w:vAlign w:val="center"/>
            <w:hideMark/>
          </w:tcPr>
          <w:p w14:paraId="62754644" w14:textId="77777777" w:rsidR="00813E62" w:rsidRPr="00813E62" w:rsidRDefault="00813E62" w:rsidP="00813E62">
            <w:pPr>
              <w:spacing w:after="0" w:line="360" w:lineRule="auto"/>
              <w:ind w:firstLine="284"/>
              <w:jc w:val="center"/>
              <w:rPr>
                <w:rFonts w:ascii="Artifex CF Extra Light" w:eastAsia="Times New Roman" w:hAnsi="Artifex CF Extra Light" w:cs="Calibri"/>
                <w:b/>
                <w:color w:val="1F4E79" w:themeColor="accent1" w:themeShade="80"/>
                <w:sz w:val="16"/>
                <w:szCs w:val="16"/>
                <w:lang w:val="es-ES" w:eastAsia="es-ES"/>
              </w:rPr>
            </w:pPr>
            <w:bookmarkStart w:id="155" w:name="RANGE!A1"/>
          </w:p>
          <w:p w14:paraId="7EE8AE2F" w14:textId="77777777" w:rsidR="00813E62" w:rsidRPr="00813E62" w:rsidRDefault="00813E62" w:rsidP="00813E62">
            <w:pPr>
              <w:spacing w:after="0" w:line="360" w:lineRule="auto"/>
              <w:ind w:firstLine="284"/>
              <w:jc w:val="center"/>
              <w:rPr>
                <w:rFonts w:ascii="Artifex CF Extra Light" w:eastAsia="Times New Roman" w:hAnsi="Artifex CF Extra Light" w:cs="Calibri"/>
                <w:b/>
                <w:color w:val="1F4E79" w:themeColor="accent1" w:themeShade="80"/>
                <w:sz w:val="16"/>
                <w:szCs w:val="16"/>
                <w:lang w:val="es-ES" w:eastAsia="es-ES"/>
              </w:rPr>
            </w:pPr>
          </w:p>
          <w:p w14:paraId="00CDC6FF" w14:textId="48159457" w:rsidR="007F505F" w:rsidRPr="00813E62" w:rsidRDefault="007F505F" w:rsidP="00813E62">
            <w:pPr>
              <w:spacing w:after="0" w:line="360" w:lineRule="auto"/>
              <w:ind w:firstLine="284"/>
              <w:jc w:val="center"/>
              <w:rPr>
                <w:rFonts w:ascii="Artifex CF Extra Light" w:eastAsia="Times New Roman" w:hAnsi="Artifex CF Extra Light" w:cs="Calibri"/>
                <w:b/>
                <w:color w:val="1F4E79" w:themeColor="accent1" w:themeShade="80"/>
                <w:sz w:val="16"/>
                <w:szCs w:val="16"/>
                <w:lang w:val="es-ES" w:eastAsia="es-ES"/>
              </w:rPr>
            </w:pPr>
            <w:r w:rsidRPr="00813E62">
              <w:rPr>
                <w:rFonts w:ascii="Artifex CF Extra Light" w:eastAsia="Times New Roman" w:hAnsi="Artifex CF Extra Light" w:cs="Calibri"/>
                <w:b/>
                <w:color w:val="1F4E79" w:themeColor="accent1" w:themeShade="80"/>
                <w:sz w:val="16"/>
                <w:szCs w:val="16"/>
                <w:lang w:val="es-ES" w:eastAsia="es-ES"/>
              </w:rPr>
              <w:t>Anexo 1. Metas Institucionales Exportación</w:t>
            </w:r>
            <w:bookmarkEnd w:id="155"/>
          </w:p>
        </w:tc>
      </w:tr>
      <w:tr w:rsidR="001B7EDE" w:rsidRPr="00813E62" w14:paraId="38740156" w14:textId="77777777" w:rsidTr="00360FAE">
        <w:trPr>
          <w:trHeight w:val="480"/>
        </w:trPr>
        <w:tc>
          <w:tcPr>
            <w:tcW w:w="1317"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53A88F96" w14:textId="77777777" w:rsidR="007F505F" w:rsidRPr="00813E62" w:rsidRDefault="007F505F"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Resultado Esperado</w:t>
            </w:r>
          </w:p>
        </w:tc>
        <w:tc>
          <w:tcPr>
            <w:tcW w:w="1421"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4994071" w14:textId="77777777" w:rsidR="007F505F" w:rsidRPr="00813E62" w:rsidRDefault="007F505F"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Indicador de Resultado</w:t>
            </w:r>
          </w:p>
        </w:tc>
        <w:tc>
          <w:tcPr>
            <w:tcW w:w="1021"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0649E574" w14:textId="77777777" w:rsidR="007F505F" w:rsidRPr="00813E62" w:rsidRDefault="007F505F"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Línea Base (2015) *</w:t>
            </w:r>
          </w:p>
        </w:tc>
        <w:tc>
          <w:tcPr>
            <w:tcW w:w="112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5BF441AB" w14:textId="77777777" w:rsidR="007F505F" w:rsidRPr="00813E62" w:rsidRDefault="007F505F"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Meta (2017-2020)</w:t>
            </w:r>
          </w:p>
        </w:tc>
        <w:tc>
          <w:tcPr>
            <w:tcW w:w="1068"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4488359B" w14:textId="77777777" w:rsidR="007F505F" w:rsidRPr="00813E62" w:rsidRDefault="007F505F"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Meta (2020)</w:t>
            </w:r>
          </w:p>
        </w:tc>
        <w:tc>
          <w:tcPr>
            <w:tcW w:w="1164" w:type="dxa"/>
            <w:tcBorders>
              <w:top w:val="single" w:sz="4" w:space="0" w:color="auto"/>
              <w:left w:val="single" w:sz="4" w:space="0" w:color="auto"/>
              <w:bottom w:val="single" w:sz="4" w:space="0" w:color="auto"/>
              <w:right w:val="single" w:sz="4" w:space="0" w:color="000000"/>
            </w:tcBorders>
            <w:shd w:val="clear" w:color="000000" w:fill="1F4E78"/>
            <w:vAlign w:val="center"/>
            <w:hideMark/>
          </w:tcPr>
          <w:p w14:paraId="387D5825" w14:textId="77777777" w:rsidR="007F505F" w:rsidRPr="00813E62" w:rsidRDefault="007F505F"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Real Anual Acumulado</w:t>
            </w:r>
          </w:p>
        </w:tc>
        <w:tc>
          <w:tcPr>
            <w:tcW w:w="1489" w:type="dxa"/>
            <w:tcBorders>
              <w:top w:val="single" w:sz="4" w:space="0" w:color="000000"/>
              <w:left w:val="single" w:sz="4" w:space="0" w:color="000000"/>
              <w:bottom w:val="single" w:sz="4" w:space="0" w:color="000000"/>
              <w:right w:val="single" w:sz="4" w:space="0" w:color="000000"/>
            </w:tcBorders>
            <w:shd w:val="clear" w:color="000000" w:fill="1F4E78"/>
            <w:vAlign w:val="center"/>
            <w:hideMark/>
          </w:tcPr>
          <w:p w14:paraId="3BAB5F4E" w14:textId="77777777" w:rsidR="007F505F" w:rsidRPr="00813E62" w:rsidRDefault="007F505F"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Porcentaje de cumplimiento</w:t>
            </w:r>
          </w:p>
        </w:tc>
      </w:tr>
      <w:tr w:rsidR="001B7EDE" w:rsidRPr="00813E62" w14:paraId="65B5E067" w14:textId="77777777" w:rsidTr="00360FAE">
        <w:trPr>
          <w:trHeight w:val="1356"/>
        </w:trPr>
        <w:tc>
          <w:tcPr>
            <w:tcW w:w="13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641D74"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Incremento de las     exportaciones de bienes y servicios</w:t>
            </w:r>
          </w:p>
        </w:tc>
        <w:tc>
          <w:tcPr>
            <w:tcW w:w="1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CAC37A"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Monto de exportaciones de bienes y servicios total (US millones)</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BA2572" w14:textId="7EC47DE5"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$388.50</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B3F49" w14:textId="531EAD95"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$1,919.30</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7A831"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548.3</w:t>
            </w:r>
          </w:p>
        </w:tc>
        <w:tc>
          <w:tcPr>
            <w:tcW w:w="116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3FC1D05" w14:textId="067F443E"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$1,000.00</w:t>
            </w:r>
            <w:r w:rsidR="007D5A47" w:rsidRPr="00813E62">
              <w:rPr>
                <w:rFonts w:ascii="Artifex CF Extra Light" w:eastAsia="Times New Roman" w:hAnsi="Artifex CF Extra Light" w:cs="Calibri"/>
                <w:color w:val="1F4E79" w:themeColor="accent1" w:themeShade="80"/>
                <w:sz w:val="16"/>
                <w:szCs w:val="16"/>
                <w:lang w:val="es-ES" w:eastAsia="es-ES"/>
              </w:rPr>
              <w:t>*</w:t>
            </w:r>
          </w:p>
        </w:tc>
        <w:tc>
          <w:tcPr>
            <w:tcW w:w="148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9F20BA7"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182%</w:t>
            </w:r>
          </w:p>
        </w:tc>
      </w:tr>
      <w:tr w:rsidR="001B7EDE" w:rsidRPr="00813E62" w14:paraId="708ECAC1" w14:textId="77777777" w:rsidTr="00360FAE">
        <w:trPr>
          <w:trHeight w:val="1596"/>
        </w:trPr>
        <w:tc>
          <w:tcPr>
            <w:tcW w:w="13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6ECE5A"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Contribución efectiva a la creación de empleos</w:t>
            </w:r>
          </w:p>
        </w:tc>
        <w:tc>
          <w:tcPr>
            <w:tcW w:w="1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EFAA1"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Cantidad de empleos directos nuevos por proyectos de exportación</w:t>
            </w:r>
          </w:p>
        </w:tc>
        <w:tc>
          <w:tcPr>
            <w:tcW w:w="1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11EB92"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1,496</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72E43"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7,391</w:t>
            </w:r>
          </w:p>
        </w:tc>
        <w:tc>
          <w:tcPr>
            <w:tcW w:w="10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067B3B" w14:textId="77777777"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2,111</w:t>
            </w:r>
          </w:p>
        </w:tc>
        <w:tc>
          <w:tcPr>
            <w:tcW w:w="1164"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BB27DCB" w14:textId="4E55A47D"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w:t>
            </w:r>
            <w:r w:rsidR="007D5A47" w:rsidRPr="00813E62">
              <w:rPr>
                <w:rFonts w:ascii="Artifex CF Extra Light" w:eastAsia="Times New Roman" w:hAnsi="Artifex CF Extra Light" w:cs="Calibri"/>
                <w:color w:val="1F4E79" w:themeColor="accent1" w:themeShade="80"/>
                <w:sz w:val="16"/>
                <w:szCs w:val="16"/>
                <w:lang w:val="es-ES" w:eastAsia="es-ES"/>
              </w:rPr>
              <w:t>**</w:t>
            </w:r>
          </w:p>
        </w:tc>
        <w:tc>
          <w:tcPr>
            <w:tcW w:w="1489"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90BC25" w14:textId="46941C5D" w:rsidR="007F505F" w:rsidRPr="00813E62" w:rsidRDefault="007F505F"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w:t>
            </w:r>
            <w:r w:rsidR="007D5A47" w:rsidRPr="00813E62">
              <w:rPr>
                <w:rFonts w:ascii="Artifex CF Extra Light" w:eastAsia="Times New Roman" w:hAnsi="Artifex CF Extra Light" w:cs="Calibri"/>
                <w:color w:val="1F4E79" w:themeColor="accent1" w:themeShade="80"/>
                <w:sz w:val="16"/>
                <w:szCs w:val="16"/>
                <w:lang w:val="es-ES" w:eastAsia="es-ES"/>
              </w:rPr>
              <w:t>**</w:t>
            </w:r>
          </w:p>
        </w:tc>
      </w:tr>
      <w:tr w:rsidR="001B7EDE" w:rsidRPr="006F2F51" w14:paraId="30FC8962" w14:textId="77777777" w:rsidTr="00360FAE">
        <w:trPr>
          <w:trHeight w:val="264"/>
        </w:trPr>
        <w:tc>
          <w:tcPr>
            <w:tcW w:w="8600" w:type="dxa"/>
            <w:gridSpan w:val="7"/>
            <w:tcBorders>
              <w:top w:val="nil"/>
              <w:left w:val="nil"/>
              <w:bottom w:val="nil"/>
              <w:right w:val="nil"/>
            </w:tcBorders>
            <w:shd w:val="clear" w:color="auto" w:fill="auto"/>
            <w:vAlign w:val="center"/>
            <w:hideMark/>
          </w:tcPr>
          <w:p w14:paraId="31053CDC" w14:textId="77777777" w:rsidR="007F505F" w:rsidRPr="00813E62" w:rsidRDefault="007F505F" w:rsidP="00553262">
            <w:pPr>
              <w:spacing w:before="240"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Fuente: Elaborado por ProDominicana, con datos DGA.</w:t>
            </w:r>
          </w:p>
        </w:tc>
      </w:tr>
      <w:tr w:rsidR="001B7EDE" w:rsidRPr="006F2F51" w14:paraId="2551DFB9" w14:textId="77777777" w:rsidTr="00360FAE">
        <w:trPr>
          <w:trHeight w:val="276"/>
        </w:trPr>
        <w:tc>
          <w:tcPr>
            <w:tcW w:w="8600" w:type="dxa"/>
            <w:gridSpan w:val="7"/>
            <w:tcBorders>
              <w:top w:val="nil"/>
              <w:left w:val="nil"/>
              <w:bottom w:val="nil"/>
              <w:right w:val="nil"/>
            </w:tcBorders>
            <w:shd w:val="clear" w:color="auto" w:fill="auto"/>
            <w:vAlign w:val="center"/>
            <w:hideMark/>
          </w:tcPr>
          <w:p w14:paraId="27BA90C7" w14:textId="3B10E42B" w:rsidR="007F505F" w:rsidRPr="00813E62" w:rsidRDefault="007F505F" w:rsidP="00553262">
            <w:pPr>
              <w:spacing w:before="240"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 xml:space="preserve">Notas: </w:t>
            </w:r>
            <w:r w:rsidR="007D5A47" w:rsidRPr="00813E62">
              <w:rPr>
                <w:rFonts w:ascii="Artifex CF Extra Light" w:eastAsia="Times New Roman" w:hAnsi="Artifex CF Extra Light" w:cs="Calibri"/>
                <w:color w:val="1F4E79" w:themeColor="accent1" w:themeShade="80"/>
                <w:sz w:val="16"/>
                <w:szCs w:val="16"/>
                <w:lang w:val="es-ES" w:eastAsia="es-ES"/>
              </w:rPr>
              <w:t>*</w:t>
            </w:r>
            <w:r w:rsidRPr="00813E62">
              <w:rPr>
                <w:rFonts w:ascii="Artifex CF Extra Light" w:eastAsia="Times New Roman" w:hAnsi="Artifex CF Extra Light" w:cs="Calibri"/>
                <w:color w:val="1F4E79" w:themeColor="accent1" w:themeShade="80"/>
                <w:sz w:val="16"/>
                <w:szCs w:val="16"/>
                <w:lang w:val="es-ES" w:eastAsia="es-ES"/>
              </w:rPr>
              <w:t>Para obtener el real acumulado 2020 se tomaron en cuenta proyecciones del mes de diciembre.</w:t>
            </w:r>
          </w:p>
          <w:p w14:paraId="3B50EB93" w14:textId="3FC626FA" w:rsidR="007D5A47" w:rsidRPr="00813E62" w:rsidRDefault="007D5A47" w:rsidP="00553262">
            <w:pPr>
              <w:pStyle w:val="Textonotaalfinal"/>
              <w:spacing w:before="240" w:line="360" w:lineRule="auto"/>
              <w:ind w:firstLine="284"/>
              <w:jc w:val="both"/>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**La situación actual de COVID-19 ha colocado la economía local e internacional en una situación delicada en cuanto a creación de nuevos empleos, debido a que a nivel general se evidencia un aumento de la tasa de desempleo en los principales sectores de la economía, incluyendo el sector exportación.</w:t>
            </w:r>
          </w:p>
          <w:p w14:paraId="2A6A329B" w14:textId="77777777" w:rsidR="007D5A47" w:rsidRPr="00813E62" w:rsidRDefault="007D5A47" w:rsidP="00553262">
            <w:pPr>
              <w:pStyle w:val="Textonotaalfinal"/>
              <w:spacing w:before="240" w:line="360" w:lineRule="auto"/>
              <w:ind w:firstLine="284"/>
              <w:jc w:val="both"/>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Por otro lado, analizando la data de empleo, encontramos que existe una varianza sumamente elevada, provocada por registros atípicos propios de los programas de ayuda a las empresas FASE 1 y FASE 2, esto provoca un sesgo importante en la data para identificar la información solicitada.</w:t>
            </w:r>
          </w:p>
          <w:p w14:paraId="472433BC" w14:textId="77777777" w:rsidR="007D5A47" w:rsidRPr="00813E62" w:rsidRDefault="007D5A47" w:rsidP="00553262">
            <w:pPr>
              <w:pStyle w:val="Textonotaalfinal"/>
              <w:spacing w:before="240" w:line="360" w:lineRule="auto"/>
              <w:ind w:firstLine="284"/>
              <w:jc w:val="both"/>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Adicional a esto, estamos corrigiendo un problema estructural en la data de empleo que recibimos de la TSS, por lo cual, no está disponible para validar estos datos en la actualidad.</w:t>
            </w:r>
          </w:p>
          <w:p w14:paraId="52E17B74" w14:textId="77777777" w:rsidR="007D5A47" w:rsidRPr="00813E62" w:rsidRDefault="007D5A47" w:rsidP="00553262">
            <w:pPr>
              <w:pStyle w:val="Textonotapie"/>
              <w:spacing w:before="24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Por todo esto no podemos externar un valor certero de creación de nuevos empleos.</w:t>
            </w:r>
          </w:p>
          <w:p w14:paraId="632F36B0" w14:textId="4FC3DB22" w:rsidR="007D5A47" w:rsidRPr="00813E62" w:rsidRDefault="007D5A47" w:rsidP="00553262">
            <w:pPr>
              <w:spacing w:before="240" w:after="0" w:line="360" w:lineRule="auto"/>
              <w:ind w:firstLine="284"/>
              <w:rPr>
                <w:rFonts w:ascii="Artifex CF Extra Light" w:eastAsia="Times New Roman" w:hAnsi="Artifex CF Extra Light" w:cs="Calibri"/>
                <w:color w:val="1F4E79" w:themeColor="accent1" w:themeShade="80"/>
                <w:sz w:val="16"/>
                <w:szCs w:val="16"/>
                <w:lang w:val="es-ES" w:eastAsia="es-ES"/>
              </w:rPr>
            </w:pPr>
          </w:p>
        </w:tc>
      </w:tr>
    </w:tbl>
    <w:p w14:paraId="3737330A" w14:textId="77777777" w:rsidR="00813E62" w:rsidRPr="006F2F51" w:rsidRDefault="00813E62">
      <w:pPr>
        <w:rPr>
          <w:lang w:val="es-ES"/>
        </w:rPr>
      </w:pPr>
      <w:r w:rsidRPr="006F2F51">
        <w:rPr>
          <w:lang w:val="es-ES"/>
        </w:rPr>
        <w:br w:type="page"/>
      </w:r>
    </w:p>
    <w:tbl>
      <w:tblPr>
        <w:tblW w:w="8600" w:type="dxa"/>
        <w:tblInd w:w="70" w:type="dxa"/>
        <w:tblCellMar>
          <w:left w:w="70" w:type="dxa"/>
          <w:right w:w="70" w:type="dxa"/>
        </w:tblCellMar>
        <w:tblLook w:val="04A0" w:firstRow="1" w:lastRow="0" w:firstColumn="1" w:lastColumn="0" w:noHBand="0" w:noVBand="1"/>
      </w:tblPr>
      <w:tblGrid>
        <w:gridCol w:w="1311"/>
        <w:gridCol w:w="1412"/>
        <w:gridCol w:w="1009"/>
        <w:gridCol w:w="1105"/>
        <w:gridCol w:w="1052"/>
        <w:gridCol w:w="1154"/>
        <w:gridCol w:w="1557"/>
      </w:tblGrid>
      <w:tr w:rsidR="001B7EDE" w:rsidRPr="00813E62" w14:paraId="7192DDAF" w14:textId="77777777" w:rsidTr="00360FAE">
        <w:trPr>
          <w:trHeight w:val="385"/>
        </w:trPr>
        <w:tc>
          <w:tcPr>
            <w:tcW w:w="8600" w:type="dxa"/>
            <w:gridSpan w:val="7"/>
            <w:tcBorders>
              <w:top w:val="nil"/>
              <w:left w:val="nil"/>
              <w:bottom w:val="nil"/>
              <w:right w:val="nil"/>
            </w:tcBorders>
            <w:shd w:val="clear" w:color="auto" w:fill="auto"/>
            <w:vAlign w:val="center"/>
            <w:hideMark/>
          </w:tcPr>
          <w:p w14:paraId="751D5B0C" w14:textId="3FA4FAD2" w:rsidR="007F505F" w:rsidRPr="00813E62" w:rsidRDefault="007F505F" w:rsidP="00813E62">
            <w:pPr>
              <w:spacing w:after="0" w:line="360" w:lineRule="auto"/>
              <w:ind w:firstLine="284"/>
              <w:jc w:val="center"/>
              <w:rPr>
                <w:rFonts w:ascii="Artifex CF Extra Light" w:eastAsia="Times New Roman" w:hAnsi="Artifex CF Extra Light" w:cs="Calibri"/>
                <w:b/>
                <w:color w:val="1F4E79" w:themeColor="accent1" w:themeShade="80"/>
                <w:sz w:val="16"/>
                <w:szCs w:val="16"/>
                <w:lang w:val="es-ES" w:eastAsia="es-ES"/>
              </w:rPr>
            </w:pPr>
          </w:p>
          <w:p w14:paraId="2839874C" w14:textId="77777777" w:rsidR="007F505F" w:rsidRPr="00813E62" w:rsidRDefault="007F505F" w:rsidP="00813E62">
            <w:pPr>
              <w:spacing w:after="0" w:line="360" w:lineRule="auto"/>
              <w:ind w:firstLine="284"/>
              <w:jc w:val="center"/>
              <w:rPr>
                <w:rFonts w:ascii="Artifex CF Extra Light" w:eastAsia="Times New Roman" w:hAnsi="Artifex CF Extra Light" w:cs="Calibri"/>
                <w:b/>
                <w:color w:val="1F4E79" w:themeColor="accent1" w:themeShade="80"/>
                <w:sz w:val="16"/>
                <w:szCs w:val="16"/>
                <w:lang w:val="es-ES" w:eastAsia="es-ES"/>
              </w:rPr>
            </w:pPr>
          </w:p>
          <w:p w14:paraId="51FE75E4" w14:textId="77777777" w:rsidR="007F505F" w:rsidRPr="00813E62" w:rsidRDefault="007F505F" w:rsidP="00813E62">
            <w:pPr>
              <w:spacing w:after="0" w:line="360" w:lineRule="auto"/>
              <w:ind w:firstLine="284"/>
              <w:jc w:val="center"/>
              <w:rPr>
                <w:rFonts w:ascii="Artifex CF Extra Light" w:eastAsia="Times New Roman" w:hAnsi="Artifex CF Extra Light" w:cs="Calibri"/>
                <w:b/>
                <w:color w:val="1F4E79" w:themeColor="accent1" w:themeShade="80"/>
                <w:sz w:val="16"/>
                <w:szCs w:val="16"/>
                <w:lang w:val="es-ES" w:eastAsia="es-ES"/>
              </w:rPr>
            </w:pPr>
          </w:p>
          <w:p w14:paraId="0F314E3B" w14:textId="77777777" w:rsidR="00407DFD" w:rsidRPr="00813E62" w:rsidRDefault="00407DFD" w:rsidP="00813E62">
            <w:pPr>
              <w:spacing w:after="0" w:line="360" w:lineRule="auto"/>
              <w:ind w:firstLine="284"/>
              <w:jc w:val="center"/>
              <w:rPr>
                <w:rFonts w:ascii="Artifex CF Extra Light" w:eastAsia="Times New Roman" w:hAnsi="Artifex CF Extra Light" w:cs="Calibri"/>
                <w:b/>
                <w:color w:val="1F4E79" w:themeColor="accent1" w:themeShade="80"/>
                <w:sz w:val="16"/>
                <w:szCs w:val="16"/>
                <w:lang w:val="es-ES" w:eastAsia="es-ES"/>
              </w:rPr>
            </w:pPr>
            <w:r w:rsidRPr="00813E62">
              <w:rPr>
                <w:rFonts w:ascii="Artifex CF Extra Light" w:eastAsia="Times New Roman" w:hAnsi="Artifex CF Extra Light" w:cs="Calibri"/>
                <w:b/>
                <w:color w:val="1F4E79" w:themeColor="accent1" w:themeShade="80"/>
                <w:sz w:val="16"/>
                <w:szCs w:val="16"/>
                <w:lang w:val="es-ES" w:eastAsia="es-ES"/>
              </w:rPr>
              <w:t>Anexo 2. Metas Institucionales Capacitación</w:t>
            </w:r>
          </w:p>
        </w:tc>
      </w:tr>
      <w:tr w:rsidR="001B7EDE" w:rsidRPr="00813E62" w14:paraId="14A9F5F6" w14:textId="77777777" w:rsidTr="00360FAE">
        <w:trPr>
          <w:trHeight w:val="684"/>
        </w:trPr>
        <w:tc>
          <w:tcPr>
            <w:tcW w:w="1311"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2A4F81E1" w14:textId="77777777" w:rsidR="00407DFD" w:rsidRPr="00813E62" w:rsidRDefault="00407DFD"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Resultado Esperado</w:t>
            </w:r>
          </w:p>
        </w:tc>
        <w:tc>
          <w:tcPr>
            <w:tcW w:w="1412" w:type="dxa"/>
            <w:tcBorders>
              <w:top w:val="single" w:sz="4" w:space="0" w:color="auto"/>
              <w:left w:val="nil"/>
              <w:bottom w:val="single" w:sz="4" w:space="0" w:color="auto"/>
              <w:right w:val="single" w:sz="4" w:space="0" w:color="auto"/>
            </w:tcBorders>
            <w:shd w:val="clear" w:color="000000" w:fill="1F4E78"/>
            <w:vAlign w:val="center"/>
            <w:hideMark/>
          </w:tcPr>
          <w:p w14:paraId="47365F97" w14:textId="77777777" w:rsidR="00407DFD" w:rsidRPr="00813E62" w:rsidRDefault="00407DFD"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Indicador de Resultado</w:t>
            </w:r>
          </w:p>
        </w:tc>
        <w:tc>
          <w:tcPr>
            <w:tcW w:w="1009" w:type="dxa"/>
            <w:tcBorders>
              <w:top w:val="single" w:sz="4" w:space="0" w:color="auto"/>
              <w:left w:val="nil"/>
              <w:bottom w:val="single" w:sz="4" w:space="0" w:color="auto"/>
              <w:right w:val="single" w:sz="4" w:space="0" w:color="auto"/>
            </w:tcBorders>
            <w:shd w:val="clear" w:color="000000" w:fill="1F4E78"/>
            <w:vAlign w:val="center"/>
            <w:hideMark/>
          </w:tcPr>
          <w:p w14:paraId="0BFE0F4E" w14:textId="77777777" w:rsidR="00407DFD" w:rsidRPr="00813E62" w:rsidRDefault="00407DFD"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Línea Base (2015) *</w:t>
            </w:r>
          </w:p>
        </w:tc>
        <w:tc>
          <w:tcPr>
            <w:tcW w:w="1105" w:type="dxa"/>
            <w:tcBorders>
              <w:top w:val="single" w:sz="4" w:space="0" w:color="auto"/>
              <w:left w:val="nil"/>
              <w:bottom w:val="single" w:sz="4" w:space="0" w:color="auto"/>
              <w:right w:val="single" w:sz="4" w:space="0" w:color="auto"/>
            </w:tcBorders>
            <w:shd w:val="clear" w:color="000000" w:fill="1F4E78"/>
            <w:vAlign w:val="center"/>
            <w:hideMark/>
          </w:tcPr>
          <w:p w14:paraId="2C9DE8F2" w14:textId="77777777" w:rsidR="00407DFD" w:rsidRPr="00813E62" w:rsidRDefault="00407DFD"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Meta (2017-2020)</w:t>
            </w:r>
          </w:p>
        </w:tc>
        <w:tc>
          <w:tcPr>
            <w:tcW w:w="1052" w:type="dxa"/>
            <w:tcBorders>
              <w:top w:val="single" w:sz="4" w:space="0" w:color="auto"/>
              <w:left w:val="nil"/>
              <w:bottom w:val="single" w:sz="4" w:space="0" w:color="auto"/>
              <w:right w:val="single" w:sz="4" w:space="0" w:color="auto"/>
            </w:tcBorders>
            <w:shd w:val="clear" w:color="000000" w:fill="1F4E78"/>
            <w:vAlign w:val="center"/>
            <w:hideMark/>
          </w:tcPr>
          <w:p w14:paraId="40FE5BF0" w14:textId="77777777" w:rsidR="00407DFD" w:rsidRPr="00813E62" w:rsidRDefault="00407DFD"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Meta (2020)</w:t>
            </w:r>
          </w:p>
        </w:tc>
        <w:tc>
          <w:tcPr>
            <w:tcW w:w="1154" w:type="dxa"/>
            <w:tcBorders>
              <w:top w:val="single" w:sz="4" w:space="0" w:color="auto"/>
              <w:left w:val="nil"/>
              <w:bottom w:val="single" w:sz="4" w:space="0" w:color="auto"/>
              <w:right w:val="single" w:sz="4" w:space="0" w:color="auto"/>
            </w:tcBorders>
            <w:shd w:val="clear" w:color="000000" w:fill="1F4E78"/>
            <w:vAlign w:val="center"/>
            <w:hideMark/>
          </w:tcPr>
          <w:p w14:paraId="7919DFB9" w14:textId="2FD2087B" w:rsidR="00407DFD" w:rsidRPr="00813E62" w:rsidRDefault="00407DFD"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Real Anual Acumulado 2020</w:t>
            </w:r>
            <w:r w:rsidR="007D5A47" w:rsidRPr="00813E62">
              <w:rPr>
                <w:rFonts w:ascii="Artifex CF Extra Light" w:eastAsia="Times New Roman" w:hAnsi="Artifex CF Extra Light" w:cs="Calibri"/>
                <w:b/>
                <w:color w:val="FFFFFF" w:themeColor="background1"/>
                <w:sz w:val="16"/>
                <w:szCs w:val="16"/>
                <w:lang w:val="es-ES" w:eastAsia="es-ES"/>
              </w:rPr>
              <w:t>*</w:t>
            </w:r>
          </w:p>
        </w:tc>
        <w:tc>
          <w:tcPr>
            <w:tcW w:w="1557" w:type="dxa"/>
            <w:tcBorders>
              <w:top w:val="single" w:sz="4" w:space="0" w:color="auto"/>
              <w:left w:val="nil"/>
              <w:bottom w:val="single" w:sz="4" w:space="0" w:color="auto"/>
              <w:right w:val="single" w:sz="4" w:space="0" w:color="auto"/>
            </w:tcBorders>
            <w:shd w:val="clear" w:color="000000" w:fill="1F4E78"/>
            <w:vAlign w:val="center"/>
            <w:hideMark/>
          </w:tcPr>
          <w:p w14:paraId="70A8BEBB" w14:textId="77777777" w:rsidR="00407DFD" w:rsidRPr="00813E62" w:rsidRDefault="00407DFD"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Porcentaje de cumplimiento</w:t>
            </w:r>
          </w:p>
        </w:tc>
      </w:tr>
      <w:tr w:rsidR="001B7EDE" w:rsidRPr="00813E62" w14:paraId="7C0AE733" w14:textId="77777777" w:rsidTr="00360FAE">
        <w:trPr>
          <w:trHeight w:val="720"/>
        </w:trPr>
        <w:tc>
          <w:tcPr>
            <w:tcW w:w="1311" w:type="dxa"/>
            <w:tcBorders>
              <w:top w:val="nil"/>
              <w:left w:val="single" w:sz="4" w:space="0" w:color="auto"/>
              <w:bottom w:val="single" w:sz="4" w:space="0" w:color="auto"/>
              <w:right w:val="single" w:sz="4" w:space="0" w:color="auto"/>
            </w:tcBorders>
            <w:shd w:val="clear" w:color="000000" w:fill="FFFFFF"/>
            <w:vAlign w:val="center"/>
            <w:hideMark/>
          </w:tcPr>
          <w:p w14:paraId="574D92BE"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Incremento de exportadores capacitados</w:t>
            </w:r>
          </w:p>
        </w:tc>
        <w:tc>
          <w:tcPr>
            <w:tcW w:w="1412" w:type="dxa"/>
            <w:tcBorders>
              <w:top w:val="nil"/>
              <w:left w:val="nil"/>
              <w:bottom w:val="single" w:sz="4" w:space="0" w:color="auto"/>
              <w:right w:val="single" w:sz="4" w:space="0" w:color="auto"/>
            </w:tcBorders>
            <w:shd w:val="clear" w:color="000000" w:fill="FFFFFF"/>
            <w:vAlign w:val="center"/>
            <w:hideMark/>
          </w:tcPr>
          <w:p w14:paraId="56035B96"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Cantidad de Exportadores capacitados</w:t>
            </w:r>
          </w:p>
        </w:tc>
        <w:tc>
          <w:tcPr>
            <w:tcW w:w="1009" w:type="dxa"/>
            <w:tcBorders>
              <w:top w:val="nil"/>
              <w:left w:val="nil"/>
              <w:bottom w:val="single" w:sz="4" w:space="0" w:color="auto"/>
              <w:right w:val="single" w:sz="4" w:space="0" w:color="auto"/>
            </w:tcBorders>
            <w:shd w:val="clear" w:color="000000" w:fill="FFFFFF"/>
            <w:vAlign w:val="center"/>
            <w:hideMark/>
          </w:tcPr>
          <w:p w14:paraId="59DD7E27"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464</w:t>
            </w:r>
          </w:p>
        </w:tc>
        <w:tc>
          <w:tcPr>
            <w:tcW w:w="1105" w:type="dxa"/>
            <w:tcBorders>
              <w:top w:val="nil"/>
              <w:left w:val="nil"/>
              <w:bottom w:val="single" w:sz="4" w:space="0" w:color="auto"/>
              <w:right w:val="single" w:sz="4" w:space="0" w:color="auto"/>
            </w:tcBorders>
            <w:shd w:val="clear" w:color="000000" w:fill="FFFFFF"/>
            <w:vAlign w:val="center"/>
            <w:hideMark/>
          </w:tcPr>
          <w:p w14:paraId="213D9741"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3,223</w:t>
            </w:r>
          </w:p>
        </w:tc>
        <w:tc>
          <w:tcPr>
            <w:tcW w:w="1052" w:type="dxa"/>
            <w:tcBorders>
              <w:top w:val="nil"/>
              <w:left w:val="nil"/>
              <w:bottom w:val="single" w:sz="4" w:space="0" w:color="auto"/>
              <w:right w:val="single" w:sz="4" w:space="0" w:color="auto"/>
            </w:tcBorders>
            <w:shd w:val="clear" w:color="000000" w:fill="FFFFFF"/>
            <w:vAlign w:val="center"/>
            <w:hideMark/>
          </w:tcPr>
          <w:p w14:paraId="52E06078"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1,129</w:t>
            </w:r>
          </w:p>
        </w:tc>
        <w:tc>
          <w:tcPr>
            <w:tcW w:w="1154" w:type="dxa"/>
            <w:tcBorders>
              <w:top w:val="nil"/>
              <w:left w:val="nil"/>
              <w:bottom w:val="single" w:sz="4" w:space="0" w:color="auto"/>
              <w:right w:val="single" w:sz="4" w:space="0" w:color="auto"/>
            </w:tcBorders>
            <w:shd w:val="clear" w:color="000000" w:fill="FFFFFF"/>
            <w:vAlign w:val="center"/>
            <w:hideMark/>
          </w:tcPr>
          <w:p w14:paraId="04E1BCDB" w14:textId="77777777" w:rsidR="00407DFD" w:rsidRPr="00813E62" w:rsidRDefault="00407DFD" w:rsidP="00813E62">
            <w:pPr>
              <w:spacing w:after="0" w:line="360" w:lineRule="auto"/>
              <w:ind w:firstLine="284"/>
              <w:jc w:val="center"/>
              <w:rPr>
                <w:rFonts w:ascii="Times New Roman" w:eastAsia="Times New Roman" w:hAnsi="Times New Roman" w:cs="Times New Roman"/>
                <w:color w:val="1F4E79" w:themeColor="accent1" w:themeShade="80"/>
                <w:sz w:val="16"/>
                <w:szCs w:val="16"/>
                <w:lang w:val="es-ES" w:eastAsia="es-ES"/>
              </w:rPr>
            </w:pPr>
            <w:r w:rsidRPr="00813E62">
              <w:rPr>
                <w:rFonts w:ascii="Times New Roman" w:eastAsia="Times New Roman" w:hAnsi="Times New Roman" w:cs="Times New Roman"/>
                <w:color w:val="1F4E79" w:themeColor="accent1" w:themeShade="80"/>
                <w:sz w:val="16"/>
                <w:szCs w:val="16"/>
                <w:lang w:val="es-ES" w:eastAsia="es-ES"/>
              </w:rPr>
              <w:t>395</w:t>
            </w:r>
          </w:p>
        </w:tc>
        <w:tc>
          <w:tcPr>
            <w:tcW w:w="1557" w:type="dxa"/>
            <w:tcBorders>
              <w:top w:val="nil"/>
              <w:left w:val="nil"/>
              <w:bottom w:val="single" w:sz="4" w:space="0" w:color="auto"/>
              <w:right w:val="single" w:sz="4" w:space="0" w:color="auto"/>
            </w:tcBorders>
            <w:shd w:val="clear" w:color="000000" w:fill="FFFFFF"/>
            <w:vAlign w:val="center"/>
            <w:hideMark/>
          </w:tcPr>
          <w:p w14:paraId="6316C831" w14:textId="77777777" w:rsidR="00407DFD" w:rsidRPr="00813E62" w:rsidRDefault="00407DFD" w:rsidP="00813E62">
            <w:pPr>
              <w:spacing w:after="0" w:line="360" w:lineRule="auto"/>
              <w:ind w:firstLine="284"/>
              <w:jc w:val="center"/>
              <w:rPr>
                <w:rFonts w:ascii="Times New Roman" w:eastAsia="Times New Roman" w:hAnsi="Times New Roman" w:cs="Times New Roman"/>
                <w:color w:val="1F4E79" w:themeColor="accent1" w:themeShade="80"/>
                <w:sz w:val="16"/>
                <w:szCs w:val="16"/>
                <w:lang w:val="es-ES" w:eastAsia="es-ES"/>
              </w:rPr>
            </w:pPr>
            <w:r w:rsidRPr="00813E62">
              <w:rPr>
                <w:rFonts w:ascii="Times New Roman" w:eastAsia="Times New Roman" w:hAnsi="Times New Roman" w:cs="Times New Roman"/>
                <w:color w:val="1F4E79" w:themeColor="accent1" w:themeShade="80"/>
                <w:sz w:val="16"/>
                <w:szCs w:val="16"/>
                <w:lang w:val="es-ES" w:eastAsia="es-ES"/>
              </w:rPr>
              <w:t>35%</w:t>
            </w:r>
          </w:p>
        </w:tc>
      </w:tr>
      <w:tr w:rsidR="001B7EDE" w:rsidRPr="00813E62" w14:paraId="534A1DFF" w14:textId="77777777" w:rsidTr="00360FAE">
        <w:trPr>
          <w:trHeight w:val="912"/>
        </w:trPr>
        <w:tc>
          <w:tcPr>
            <w:tcW w:w="1311" w:type="dxa"/>
            <w:tcBorders>
              <w:top w:val="nil"/>
              <w:left w:val="single" w:sz="4" w:space="0" w:color="auto"/>
              <w:bottom w:val="single" w:sz="4" w:space="0" w:color="auto"/>
              <w:right w:val="single" w:sz="4" w:space="0" w:color="auto"/>
            </w:tcBorders>
            <w:shd w:val="clear" w:color="000000" w:fill="FFFFFF"/>
            <w:vAlign w:val="center"/>
            <w:hideMark/>
          </w:tcPr>
          <w:p w14:paraId="495482D7"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Incremento de exportadores potenciales capacitados</w:t>
            </w:r>
          </w:p>
        </w:tc>
        <w:tc>
          <w:tcPr>
            <w:tcW w:w="1412" w:type="dxa"/>
            <w:tcBorders>
              <w:top w:val="nil"/>
              <w:left w:val="nil"/>
              <w:bottom w:val="single" w:sz="4" w:space="0" w:color="auto"/>
              <w:right w:val="single" w:sz="4" w:space="0" w:color="auto"/>
            </w:tcBorders>
            <w:shd w:val="clear" w:color="000000" w:fill="FFFFFF"/>
            <w:vAlign w:val="center"/>
            <w:hideMark/>
          </w:tcPr>
          <w:p w14:paraId="4A2C60ED"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Cantidad de potenciales exportadores capacitados</w:t>
            </w:r>
          </w:p>
        </w:tc>
        <w:tc>
          <w:tcPr>
            <w:tcW w:w="1009" w:type="dxa"/>
            <w:tcBorders>
              <w:top w:val="nil"/>
              <w:left w:val="nil"/>
              <w:bottom w:val="single" w:sz="4" w:space="0" w:color="auto"/>
              <w:right w:val="single" w:sz="4" w:space="0" w:color="auto"/>
            </w:tcBorders>
            <w:shd w:val="clear" w:color="000000" w:fill="FFFFFF"/>
            <w:vAlign w:val="center"/>
            <w:hideMark/>
          </w:tcPr>
          <w:p w14:paraId="238F3060"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720</w:t>
            </w:r>
          </w:p>
        </w:tc>
        <w:tc>
          <w:tcPr>
            <w:tcW w:w="1105" w:type="dxa"/>
            <w:tcBorders>
              <w:top w:val="nil"/>
              <w:left w:val="nil"/>
              <w:bottom w:val="single" w:sz="4" w:space="0" w:color="auto"/>
              <w:right w:val="single" w:sz="4" w:space="0" w:color="auto"/>
            </w:tcBorders>
            <w:shd w:val="clear" w:color="000000" w:fill="FFFFFF"/>
            <w:vAlign w:val="center"/>
            <w:hideMark/>
          </w:tcPr>
          <w:p w14:paraId="473FA944"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5,002</w:t>
            </w:r>
          </w:p>
        </w:tc>
        <w:tc>
          <w:tcPr>
            <w:tcW w:w="1052" w:type="dxa"/>
            <w:tcBorders>
              <w:top w:val="nil"/>
              <w:left w:val="nil"/>
              <w:bottom w:val="single" w:sz="4" w:space="0" w:color="auto"/>
              <w:right w:val="single" w:sz="4" w:space="0" w:color="auto"/>
            </w:tcBorders>
            <w:shd w:val="clear" w:color="000000" w:fill="FFFFFF"/>
            <w:vAlign w:val="center"/>
            <w:hideMark/>
          </w:tcPr>
          <w:p w14:paraId="704D8019"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1,753</w:t>
            </w:r>
          </w:p>
        </w:tc>
        <w:tc>
          <w:tcPr>
            <w:tcW w:w="1154" w:type="dxa"/>
            <w:tcBorders>
              <w:top w:val="nil"/>
              <w:left w:val="nil"/>
              <w:bottom w:val="single" w:sz="4" w:space="0" w:color="auto"/>
              <w:right w:val="single" w:sz="4" w:space="0" w:color="auto"/>
            </w:tcBorders>
            <w:shd w:val="clear" w:color="000000" w:fill="FFFFFF"/>
            <w:vAlign w:val="center"/>
            <w:hideMark/>
          </w:tcPr>
          <w:p w14:paraId="68383C96" w14:textId="77777777" w:rsidR="00407DFD" w:rsidRPr="00813E62" w:rsidRDefault="00407DFD" w:rsidP="00813E62">
            <w:pPr>
              <w:spacing w:after="0" w:line="360" w:lineRule="auto"/>
              <w:ind w:firstLine="284"/>
              <w:jc w:val="center"/>
              <w:rPr>
                <w:rFonts w:ascii="Times New Roman" w:eastAsia="Times New Roman" w:hAnsi="Times New Roman" w:cs="Times New Roman"/>
                <w:color w:val="1F4E79" w:themeColor="accent1" w:themeShade="80"/>
                <w:sz w:val="16"/>
                <w:szCs w:val="16"/>
                <w:lang w:val="es-ES" w:eastAsia="es-ES"/>
              </w:rPr>
            </w:pPr>
            <w:r w:rsidRPr="00813E62">
              <w:rPr>
                <w:rFonts w:ascii="Times New Roman" w:eastAsia="Times New Roman" w:hAnsi="Times New Roman" w:cs="Times New Roman"/>
                <w:color w:val="1F4E79" w:themeColor="accent1" w:themeShade="80"/>
                <w:sz w:val="16"/>
                <w:szCs w:val="16"/>
                <w:lang w:val="es-ES" w:eastAsia="es-ES"/>
              </w:rPr>
              <w:t>497</w:t>
            </w:r>
          </w:p>
        </w:tc>
        <w:tc>
          <w:tcPr>
            <w:tcW w:w="1557" w:type="dxa"/>
            <w:tcBorders>
              <w:top w:val="nil"/>
              <w:left w:val="nil"/>
              <w:bottom w:val="single" w:sz="4" w:space="0" w:color="auto"/>
              <w:right w:val="single" w:sz="4" w:space="0" w:color="auto"/>
            </w:tcBorders>
            <w:shd w:val="clear" w:color="000000" w:fill="FFFFFF"/>
            <w:vAlign w:val="center"/>
            <w:hideMark/>
          </w:tcPr>
          <w:p w14:paraId="507929EC" w14:textId="77777777" w:rsidR="00407DFD" w:rsidRPr="00813E62" w:rsidRDefault="00407DFD" w:rsidP="00813E62">
            <w:pPr>
              <w:spacing w:after="0" w:line="360" w:lineRule="auto"/>
              <w:ind w:firstLine="284"/>
              <w:jc w:val="center"/>
              <w:rPr>
                <w:rFonts w:ascii="Times New Roman" w:eastAsia="Times New Roman" w:hAnsi="Times New Roman" w:cs="Times New Roman"/>
                <w:color w:val="1F4E79" w:themeColor="accent1" w:themeShade="80"/>
                <w:sz w:val="16"/>
                <w:szCs w:val="16"/>
                <w:lang w:val="es-ES" w:eastAsia="es-ES"/>
              </w:rPr>
            </w:pPr>
            <w:r w:rsidRPr="00813E62">
              <w:rPr>
                <w:rFonts w:ascii="Times New Roman" w:eastAsia="Times New Roman" w:hAnsi="Times New Roman" w:cs="Times New Roman"/>
                <w:color w:val="1F4E79" w:themeColor="accent1" w:themeShade="80"/>
                <w:sz w:val="16"/>
                <w:szCs w:val="16"/>
                <w:lang w:val="es-ES" w:eastAsia="es-ES"/>
              </w:rPr>
              <w:t>28%</w:t>
            </w:r>
          </w:p>
        </w:tc>
      </w:tr>
      <w:tr w:rsidR="001B7EDE" w:rsidRPr="00813E62" w14:paraId="62C2D308" w14:textId="77777777" w:rsidTr="00360FAE">
        <w:trPr>
          <w:trHeight w:val="1548"/>
        </w:trPr>
        <w:tc>
          <w:tcPr>
            <w:tcW w:w="1311" w:type="dxa"/>
            <w:tcBorders>
              <w:top w:val="nil"/>
              <w:left w:val="single" w:sz="4" w:space="0" w:color="auto"/>
              <w:bottom w:val="single" w:sz="4" w:space="0" w:color="auto"/>
              <w:right w:val="single" w:sz="4" w:space="0" w:color="auto"/>
            </w:tcBorders>
            <w:shd w:val="clear" w:color="000000" w:fill="FFFFFF"/>
            <w:vAlign w:val="center"/>
            <w:hideMark/>
          </w:tcPr>
          <w:p w14:paraId="5D6DA29E"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Incremento de personas interesadas en comercio exterior capacitados</w:t>
            </w:r>
          </w:p>
        </w:tc>
        <w:tc>
          <w:tcPr>
            <w:tcW w:w="1412" w:type="dxa"/>
            <w:tcBorders>
              <w:top w:val="nil"/>
              <w:left w:val="nil"/>
              <w:bottom w:val="single" w:sz="4" w:space="0" w:color="auto"/>
              <w:right w:val="single" w:sz="4" w:space="0" w:color="auto"/>
            </w:tcBorders>
            <w:shd w:val="clear" w:color="000000" w:fill="FFFFFF"/>
            <w:vAlign w:val="center"/>
            <w:hideMark/>
          </w:tcPr>
          <w:p w14:paraId="52045F37" w14:textId="235874DC"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Cantidad de personas interesadas en comercio exterior capacitados</w:t>
            </w:r>
          </w:p>
        </w:tc>
        <w:tc>
          <w:tcPr>
            <w:tcW w:w="1009" w:type="dxa"/>
            <w:tcBorders>
              <w:top w:val="nil"/>
              <w:left w:val="nil"/>
              <w:bottom w:val="single" w:sz="4" w:space="0" w:color="auto"/>
              <w:right w:val="single" w:sz="4" w:space="0" w:color="auto"/>
            </w:tcBorders>
            <w:shd w:val="clear" w:color="000000" w:fill="FFFFFF"/>
            <w:vAlign w:val="center"/>
            <w:hideMark/>
          </w:tcPr>
          <w:p w14:paraId="0CC59654"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599</w:t>
            </w:r>
          </w:p>
        </w:tc>
        <w:tc>
          <w:tcPr>
            <w:tcW w:w="1105" w:type="dxa"/>
            <w:tcBorders>
              <w:top w:val="nil"/>
              <w:left w:val="nil"/>
              <w:bottom w:val="single" w:sz="4" w:space="0" w:color="auto"/>
              <w:right w:val="single" w:sz="4" w:space="0" w:color="auto"/>
            </w:tcBorders>
            <w:shd w:val="clear" w:color="000000" w:fill="FFFFFF"/>
            <w:vAlign w:val="center"/>
            <w:hideMark/>
          </w:tcPr>
          <w:p w14:paraId="1324C3B9"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4,263</w:t>
            </w:r>
          </w:p>
        </w:tc>
        <w:tc>
          <w:tcPr>
            <w:tcW w:w="1052" w:type="dxa"/>
            <w:tcBorders>
              <w:top w:val="nil"/>
              <w:left w:val="nil"/>
              <w:bottom w:val="single" w:sz="4" w:space="0" w:color="auto"/>
              <w:right w:val="single" w:sz="4" w:space="0" w:color="auto"/>
            </w:tcBorders>
            <w:shd w:val="clear" w:color="000000" w:fill="FFFFFF"/>
            <w:vAlign w:val="center"/>
            <w:hideMark/>
          </w:tcPr>
          <w:p w14:paraId="04755452" w14:textId="77777777" w:rsidR="00407DFD" w:rsidRPr="00813E62" w:rsidRDefault="00407DFD"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1,500</w:t>
            </w:r>
          </w:p>
        </w:tc>
        <w:tc>
          <w:tcPr>
            <w:tcW w:w="1154" w:type="dxa"/>
            <w:tcBorders>
              <w:top w:val="nil"/>
              <w:left w:val="nil"/>
              <w:bottom w:val="single" w:sz="4" w:space="0" w:color="auto"/>
              <w:right w:val="single" w:sz="4" w:space="0" w:color="auto"/>
            </w:tcBorders>
            <w:shd w:val="clear" w:color="000000" w:fill="FFFFFF"/>
            <w:vAlign w:val="center"/>
            <w:hideMark/>
          </w:tcPr>
          <w:p w14:paraId="2430858A" w14:textId="77777777" w:rsidR="00407DFD" w:rsidRPr="00813E62" w:rsidRDefault="00407DFD" w:rsidP="00813E62">
            <w:pPr>
              <w:spacing w:after="0" w:line="360" w:lineRule="auto"/>
              <w:ind w:firstLine="284"/>
              <w:jc w:val="center"/>
              <w:rPr>
                <w:rFonts w:ascii="Times New Roman" w:eastAsia="Times New Roman" w:hAnsi="Times New Roman" w:cs="Times New Roman"/>
                <w:color w:val="1F4E79" w:themeColor="accent1" w:themeShade="80"/>
                <w:sz w:val="16"/>
                <w:szCs w:val="16"/>
                <w:lang w:val="es-ES" w:eastAsia="es-ES"/>
              </w:rPr>
            </w:pPr>
            <w:r w:rsidRPr="00813E62">
              <w:rPr>
                <w:rFonts w:ascii="Times New Roman" w:eastAsia="Times New Roman" w:hAnsi="Times New Roman" w:cs="Times New Roman"/>
                <w:color w:val="1F4E79" w:themeColor="accent1" w:themeShade="80"/>
                <w:sz w:val="16"/>
                <w:szCs w:val="16"/>
                <w:lang w:val="es-ES" w:eastAsia="es-ES"/>
              </w:rPr>
              <w:t>3,000</w:t>
            </w:r>
          </w:p>
        </w:tc>
        <w:tc>
          <w:tcPr>
            <w:tcW w:w="1557" w:type="dxa"/>
            <w:tcBorders>
              <w:top w:val="nil"/>
              <w:left w:val="nil"/>
              <w:bottom w:val="single" w:sz="4" w:space="0" w:color="auto"/>
              <w:right w:val="single" w:sz="4" w:space="0" w:color="auto"/>
            </w:tcBorders>
            <w:shd w:val="clear" w:color="000000" w:fill="FFFFFF"/>
            <w:vAlign w:val="center"/>
            <w:hideMark/>
          </w:tcPr>
          <w:p w14:paraId="747FB800" w14:textId="77777777" w:rsidR="00407DFD" w:rsidRPr="00813E62" w:rsidRDefault="00407DFD" w:rsidP="00813E62">
            <w:pPr>
              <w:spacing w:after="0" w:line="360" w:lineRule="auto"/>
              <w:ind w:firstLine="284"/>
              <w:jc w:val="center"/>
              <w:rPr>
                <w:rFonts w:ascii="Times New Roman" w:eastAsia="Times New Roman" w:hAnsi="Times New Roman" w:cs="Times New Roman"/>
                <w:color w:val="1F4E79" w:themeColor="accent1" w:themeShade="80"/>
                <w:sz w:val="16"/>
                <w:szCs w:val="16"/>
                <w:lang w:val="es-ES" w:eastAsia="es-ES"/>
              </w:rPr>
            </w:pPr>
            <w:r w:rsidRPr="00813E62">
              <w:rPr>
                <w:rFonts w:ascii="Times New Roman" w:eastAsia="Times New Roman" w:hAnsi="Times New Roman" w:cs="Times New Roman"/>
                <w:color w:val="1F4E79" w:themeColor="accent1" w:themeShade="80"/>
                <w:sz w:val="16"/>
                <w:szCs w:val="16"/>
                <w:lang w:val="es-ES" w:eastAsia="es-ES"/>
              </w:rPr>
              <w:t>200%</w:t>
            </w:r>
          </w:p>
        </w:tc>
      </w:tr>
      <w:tr w:rsidR="001B7EDE" w:rsidRPr="00813E62" w14:paraId="5445E6FD" w14:textId="77777777" w:rsidTr="00360FAE">
        <w:trPr>
          <w:trHeight w:val="288"/>
        </w:trPr>
        <w:tc>
          <w:tcPr>
            <w:tcW w:w="8600" w:type="dxa"/>
            <w:gridSpan w:val="7"/>
            <w:tcBorders>
              <w:top w:val="nil"/>
              <w:left w:val="nil"/>
              <w:bottom w:val="nil"/>
              <w:right w:val="nil"/>
            </w:tcBorders>
            <w:shd w:val="clear" w:color="auto" w:fill="auto"/>
            <w:vAlign w:val="center"/>
            <w:hideMark/>
          </w:tcPr>
          <w:p w14:paraId="6726BDA2" w14:textId="77777777" w:rsidR="00407DFD" w:rsidRPr="00813E62" w:rsidRDefault="00407DFD"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Fuente: ProDominicana.</w:t>
            </w:r>
          </w:p>
        </w:tc>
      </w:tr>
      <w:tr w:rsidR="001B7EDE" w:rsidRPr="006F2F51" w14:paraId="64225118" w14:textId="77777777" w:rsidTr="00360FAE">
        <w:trPr>
          <w:trHeight w:val="288"/>
        </w:trPr>
        <w:tc>
          <w:tcPr>
            <w:tcW w:w="8600" w:type="dxa"/>
            <w:gridSpan w:val="7"/>
            <w:tcBorders>
              <w:top w:val="nil"/>
              <w:left w:val="nil"/>
              <w:bottom w:val="nil"/>
              <w:right w:val="nil"/>
            </w:tcBorders>
            <w:shd w:val="clear" w:color="auto" w:fill="auto"/>
            <w:vAlign w:val="center"/>
            <w:hideMark/>
          </w:tcPr>
          <w:p w14:paraId="18BB4A69" w14:textId="279C3159" w:rsidR="00407DFD" w:rsidRPr="00813E62" w:rsidRDefault="00407DFD"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 xml:space="preserve">Notas: </w:t>
            </w:r>
            <w:r w:rsidR="007D5A47" w:rsidRPr="00813E62">
              <w:rPr>
                <w:rFonts w:ascii="Artifex CF Extra Light" w:eastAsia="Times New Roman" w:hAnsi="Artifex CF Extra Light" w:cs="Calibri"/>
                <w:color w:val="1F4E79" w:themeColor="accent1" w:themeShade="80"/>
                <w:sz w:val="16"/>
                <w:szCs w:val="16"/>
                <w:lang w:val="es-ES" w:eastAsia="es-ES"/>
              </w:rPr>
              <w:t>*</w:t>
            </w:r>
            <w:r w:rsidRPr="00813E62">
              <w:rPr>
                <w:rFonts w:ascii="Artifex CF Extra Light" w:eastAsia="Times New Roman" w:hAnsi="Artifex CF Extra Light" w:cs="Calibri"/>
                <w:color w:val="1F4E79" w:themeColor="accent1" w:themeShade="80"/>
                <w:sz w:val="16"/>
                <w:szCs w:val="16"/>
                <w:lang w:val="es-ES" w:eastAsia="es-ES"/>
              </w:rPr>
              <w:t>Para obtener el real acumulado 2020 se tomaron en cuenta proyecciones del mes de diciembre.</w:t>
            </w:r>
          </w:p>
        </w:tc>
      </w:tr>
    </w:tbl>
    <w:p w14:paraId="6EAD4298" w14:textId="77777777" w:rsidR="007F505F" w:rsidRPr="00324A19" w:rsidRDefault="007F505F" w:rsidP="00864966">
      <w:pPr>
        <w:spacing w:before="380" w:after="120" w:line="456" w:lineRule="auto"/>
        <w:ind w:firstLine="284"/>
        <w:jc w:val="both"/>
        <w:rPr>
          <w:rFonts w:ascii="Artifex CF Extra Light" w:hAnsi="Artifex CF Extra Light" w:cs="Times New Roman"/>
          <w:color w:val="1F4E79" w:themeColor="accent1" w:themeShade="80"/>
          <w:sz w:val="18"/>
          <w:szCs w:val="18"/>
          <w:lang w:val="es-ES"/>
        </w:rPr>
      </w:pPr>
    </w:p>
    <w:p w14:paraId="2CE3F6F3" w14:textId="77777777" w:rsidR="00813E62" w:rsidRPr="006F2F51" w:rsidRDefault="00813E62">
      <w:pPr>
        <w:rPr>
          <w:lang w:val="es-ES"/>
        </w:rPr>
      </w:pPr>
      <w:r w:rsidRPr="006F2F51">
        <w:rPr>
          <w:lang w:val="es-ES"/>
        </w:rPr>
        <w:br w:type="page"/>
      </w:r>
    </w:p>
    <w:tbl>
      <w:tblPr>
        <w:tblW w:w="8440" w:type="dxa"/>
        <w:tblInd w:w="70" w:type="dxa"/>
        <w:tblCellMar>
          <w:left w:w="70" w:type="dxa"/>
          <w:right w:w="70" w:type="dxa"/>
        </w:tblCellMar>
        <w:tblLook w:val="04A0" w:firstRow="1" w:lastRow="0" w:firstColumn="1" w:lastColumn="0" w:noHBand="0" w:noVBand="1"/>
      </w:tblPr>
      <w:tblGrid>
        <w:gridCol w:w="1313"/>
        <w:gridCol w:w="1412"/>
        <w:gridCol w:w="1033"/>
        <w:gridCol w:w="1124"/>
        <w:gridCol w:w="1089"/>
        <w:gridCol w:w="1140"/>
        <w:gridCol w:w="1329"/>
      </w:tblGrid>
      <w:tr w:rsidR="001B7EDE" w:rsidRPr="00813E62" w14:paraId="5749DB3B" w14:textId="77777777" w:rsidTr="00220C90">
        <w:trPr>
          <w:trHeight w:val="354"/>
        </w:trPr>
        <w:tc>
          <w:tcPr>
            <w:tcW w:w="8440" w:type="dxa"/>
            <w:gridSpan w:val="7"/>
            <w:tcBorders>
              <w:top w:val="nil"/>
              <w:left w:val="nil"/>
              <w:bottom w:val="nil"/>
              <w:right w:val="nil"/>
            </w:tcBorders>
            <w:shd w:val="clear" w:color="auto" w:fill="auto"/>
            <w:vAlign w:val="center"/>
            <w:hideMark/>
          </w:tcPr>
          <w:p w14:paraId="39FDC3B5" w14:textId="184BBED0" w:rsidR="007C5C62" w:rsidRPr="00813E62" w:rsidRDefault="007C5C62" w:rsidP="00813E62">
            <w:pPr>
              <w:spacing w:after="0" w:line="360" w:lineRule="auto"/>
              <w:ind w:firstLine="284"/>
              <w:jc w:val="center"/>
              <w:rPr>
                <w:rFonts w:ascii="Artifex CF Extra Light" w:eastAsia="Times New Roman" w:hAnsi="Artifex CF Extra Light" w:cs="Calibri"/>
                <w:b/>
                <w:color w:val="1F4E79" w:themeColor="accent1" w:themeShade="80"/>
                <w:sz w:val="16"/>
                <w:szCs w:val="16"/>
                <w:lang w:val="es-ES" w:eastAsia="es-ES"/>
              </w:rPr>
            </w:pPr>
            <w:r w:rsidRPr="00813E62">
              <w:rPr>
                <w:rFonts w:ascii="Artifex CF Extra Light" w:eastAsia="Times New Roman" w:hAnsi="Artifex CF Extra Light" w:cs="Calibri"/>
                <w:b/>
                <w:color w:val="1F4E79" w:themeColor="accent1" w:themeShade="80"/>
                <w:sz w:val="16"/>
                <w:szCs w:val="16"/>
                <w:lang w:val="es-ES" w:eastAsia="es-ES"/>
              </w:rPr>
              <w:lastRenderedPageBreak/>
              <w:t>Anexo 3. Metas Institucionales Inversión</w:t>
            </w:r>
          </w:p>
        </w:tc>
      </w:tr>
      <w:tr w:rsidR="001B7EDE" w:rsidRPr="00813E62" w14:paraId="0BD6AB77" w14:textId="77777777" w:rsidTr="00813E62">
        <w:trPr>
          <w:trHeight w:val="480"/>
        </w:trPr>
        <w:tc>
          <w:tcPr>
            <w:tcW w:w="1313"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476C5687" w14:textId="77777777" w:rsidR="007C5C62" w:rsidRPr="00813E62" w:rsidRDefault="007C5C62"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Resultado Esperado</w:t>
            </w:r>
          </w:p>
        </w:tc>
        <w:tc>
          <w:tcPr>
            <w:tcW w:w="1412" w:type="dxa"/>
            <w:tcBorders>
              <w:top w:val="single" w:sz="4" w:space="0" w:color="auto"/>
              <w:left w:val="nil"/>
              <w:bottom w:val="single" w:sz="4" w:space="0" w:color="auto"/>
              <w:right w:val="single" w:sz="4" w:space="0" w:color="auto"/>
            </w:tcBorders>
            <w:shd w:val="clear" w:color="000000" w:fill="1F4E78"/>
            <w:vAlign w:val="center"/>
            <w:hideMark/>
          </w:tcPr>
          <w:p w14:paraId="224048B2" w14:textId="77777777" w:rsidR="007C5C62" w:rsidRPr="00813E62" w:rsidRDefault="007C5C62"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Indicador de Resultado</w:t>
            </w:r>
          </w:p>
        </w:tc>
        <w:tc>
          <w:tcPr>
            <w:tcW w:w="1033" w:type="dxa"/>
            <w:tcBorders>
              <w:top w:val="single" w:sz="4" w:space="0" w:color="auto"/>
              <w:left w:val="nil"/>
              <w:bottom w:val="single" w:sz="4" w:space="0" w:color="auto"/>
              <w:right w:val="single" w:sz="4" w:space="0" w:color="auto"/>
            </w:tcBorders>
            <w:shd w:val="clear" w:color="000000" w:fill="1F4E78"/>
            <w:vAlign w:val="center"/>
            <w:hideMark/>
          </w:tcPr>
          <w:p w14:paraId="17318B5D" w14:textId="77777777" w:rsidR="007C5C62" w:rsidRPr="00813E62" w:rsidRDefault="007C5C62"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Línea Base (2015) *</w:t>
            </w:r>
          </w:p>
        </w:tc>
        <w:tc>
          <w:tcPr>
            <w:tcW w:w="1124" w:type="dxa"/>
            <w:tcBorders>
              <w:top w:val="single" w:sz="4" w:space="0" w:color="auto"/>
              <w:left w:val="nil"/>
              <w:bottom w:val="single" w:sz="4" w:space="0" w:color="auto"/>
              <w:right w:val="single" w:sz="4" w:space="0" w:color="auto"/>
            </w:tcBorders>
            <w:shd w:val="clear" w:color="000000" w:fill="1F4E78"/>
            <w:vAlign w:val="center"/>
            <w:hideMark/>
          </w:tcPr>
          <w:p w14:paraId="62BC3930" w14:textId="77777777" w:rsidR="007C5C62" w:rsidRPr="00813E62" w:rsidRDefault="007C5C62"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Meta (2017-2020)</w:t>
            </w:r>
          </w:p>
        </w:tc>
        <w:tc>
          <w:tcPr>
            <w:tcW w:w="1089" w:type="dxa"/>
            <w:tcBorders>
              <w:top w:val="single" w:sz="4" w:space="0" w:color="auto"/>
              <w:left w:val="nil"/>
              <w:bottom w:val="single" w:sz="4" w:space="0" w:color="auto"/>
              <w:right w:val="single" w:sz="4" w:space="0" w:color="auto"/>
            </w:tcBorders>
            <w:shd w:val="clear" w:color="000000" w:fill="1F4E78"/>
            <w:vAlign w:val="center"/>
            <w:hideMark/>
          </w:tcPr>
          <w:p w14:paraId="69EACE70" w14:textId="77777777" w:rsidR="007C5C62" w:rsidRPr="00813E62" w:rsidRDefault="007C5C62"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Meta (2020)</w:t>
            </w:r>
          </w:p>
        </w:tc>
        <w:tc>
          <w:tcPr>
            <w:tcW w:w="1140" w:type="dxa"/>
            <w:tcBorders>
              <w:top w:val="single" w:sz="4" w:space="0" w:color="auto"/>
              <w:left w:val="nil"/>
              <w:bottom w:val="single" w:sz="4" w:space="0" w:color="auto"/>
              <w:right w:val="single" w:sz="4" w:space="0" w:color="auto"/>
            </w:tcBorders>
            <w:shd w:val="clear" w:color="000000" w:fill="1F4E78"/>
            <w:vAlign w:val="center"/>
            <w:hideMark/>
          </w:tcPr>
          <w:p w14:paraId="6FFE7D05" w14:textId="77777777" w:rsidR="007C5C62" w:rsidRPr="00813E62" w:rsidRDefault="007C5C62"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Real Anual Acumulado 2020</w:t>
            </w:r>
          </w:p>
        </w:tc>
        <w:tc>
          <w:tcPr>
            <w:tcW w:w="1329" w:type="dxa"/>
            <w:tcBorders>
              <w:top w:val="single" w:sz="4" w:space="0" w:color="auto"/>
              <w:left w:val="nil"/>
              <w:bottom w:val="single" w:sz="4" w:space="0" w:color="auto"/>
              <w:right w:val="single" w:sz="4" w:space="0" w:color="auto"/>
            </w:tcBorders>
            <w:shd w:val="clear" w:color="000000" w:fill="1F4E78"/>
            <w:vAlign w:val="center"/>
            <w:hideMark/>
          </w:tcPr>
          <w:p w14:paraId="110F1CF5" w14:textId="77777777" w:rsidR="007C5C62" w:rsidRPr="00813E62" w:rsidRDefault="007C5C62" w:rsidP="00861C0C">
            <w:pPr>
              <w:spacing w:after="0" w:line="360" w:lineRule="auto"/>
              <w:jc w:val="center"/>
              <w:rPr>
                <w:rFonts w:ascii="Artifex CF Extra Light" w:eastAsia="Times New Roman" w:hAnsi="Artifex CF Extra Light" w:cs="Calibri"/>
                <w:b/>
                <w:color w:val="FFFFFF" w:themeColor="background1"/>
                <w:sz w:val="16"/>
                <w:szCs w:val="16"/>
                <w:lang w:val="es-ES" w:eastAsia="es-ES"/>
              </w:rPr>
            </w:pPr>
            <w:r w:rsidRPr="00813E62">
              <w:rPr>
                <w:rFonts w:ascii="Artifex CF Extra Light" w:eastAsia="Times New Roman" w:hAnsi="Artifex CF Extra Light" w:cs="Calibri"/>
                <w:b/>
                <w:color w:val="FFFFFF" w:themeColor="background1"/>
                <w:sz w:val="16"/>
                <w:szCs w:val="16"/>
                <w:lang w:val="es-ES" w:eastAsia="es-ES"/>
              </w:rPr>
              <w:t>Porcentaje de cumplimiento</w:t>
            </w:r>
          </w:p>
        </w:tc>
      </w:tr>
      <w:tr w:rsidR="001B7EDE" w:rsidRPr="00813E62" w14:paraId="26E25B1B" w14:textId="77777777" w:rsidTr="00813E62">
        <w:trPr>
          <w:trHeight w:val="1596"/>
        </w:trPr>
        <w:tc>
          <w:tcPr>
            <w:tcW w:w="1313" w:type="dxa"/>
            <w:tcBorders>
              <w:top w:val="nil"/>
              <w:left w:val="single" w:sz="4" w:space="0" w:color="auto"/>
              <w:bottom w:val="single" w:sz="4" w:space="0" w:color="auto"/>
              <w:right w:val="single" w:sz="4" w:space="0" w:color="auto"/>
            </w:tcBorders>
            <w:shd w:val="clear" w:color="000000" w:fill="FFFFFF"/>
            <w:vAlign w:val="center"/>
            <w:hideMark/>
          </w:tcPr>
          <w:p w14:paraId="457C9A25" w14:textId="3902E71B"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Incremento del flujo de la Inversión Extranjera Directa captada por gestión del CEI-RD</w:t>
            </w:r>
          </w:p>
        </w:tc>
        <w:tc>
          <w:tcPr>
            <w:tcW w:w="1412" w:type="dxa"/>
            <w:tcBorders>
              <w:top w:val="nil"/>
              <w:left w:val="nil"/>
              <w:bottom w:val="single" w:sz="4" w:space="0" w:color="auto"/>
              <w:right w:val="single" w:sz="4" w:space="0" w:color="auto"/>
            </w:tcBorders>
            <w:shd w:val="clear" w:color="000000" w:fill="FFFFFF"/>
            <w:vAlign w:val="center"/>
            <w:hideMark/>
          </w:tcPr>
          <w:p w14:paraId="583253D5"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Flujo de IED anual (US millones)</w:t>
            </w:r>
          </w:p>
        </w:tc>
        <w:tc>
          <w:tcPr>
            <w:tcW w:w="1033" w:type="dxa"/>
            <w:tcBorders>
              <w:top w:val="nil"/>
              <w:left w:val="nil"/>
              <w:bottom w:val="single" w:sz="4" w:space="0" w:color="auto"/>
              <w:right w:val="single" w:sz="4" w:space="0" w:color="auto"/>
            </w:tcBorders>
            <w:shd w:val="clear" w:color="000000" w:fill="FFFFFF"/>
            <w:vAlign w:val="center"/>
            <w:hideMark/>
          </w:tcPr>
          <w:p w14:paraId="1DC6FCC8"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 xml:space="preserve">$179.20 </w:t>
            </w:r>
          </w:p>
        </w:tc>
        <w:tc>
          <w:tcPr>
            <w:tcW w:w="1124" w:type="dxa"/>
            <w:tcBorders>
              <w:top w:val="nil"/>
              <w:left w:val="nil"/>
              <w:bottom w:val="single" w:sz="4" w:space="0" w:color="auto"/>
              <w:right w:val="single" w:sz="4" w:space="0" w:color="auto"/>
            </w:tcBorders>
            <w:shd w:val="clear" w:color="000000" w:fill="FFFFFF"/>
            <w:vAlign w:val="center"/>
            <w:hideMark/>
          </w:tcPr>
          <w:p w14:paraId="75DC356E"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 xml:space="preserve">$841.88 </w:t>
            </w:r>
          </w:p>
        </w:tc>
        <w:tc>
          <w:tcPr>
            <w:tcW w:w="1089" w:type="dxa"/>
            <w:tcBorders>
              <w:top w:val="nil"/>
              <w:left w:val="nil"/>
              <w:bottom w:val="single" w:sz="4" w:space="0" w:color="auto"/>
              <w:right w:val="single" w:sz="4" w:space="0" w:color="auto"/>
            </w:tcBorders>
            <w:shd w:val="clear" w:color="000000" w:fill="FFFFFF"/>
            <w:vAlign w:val="center"/>
            <w:hideMark/>
          </w:tcPr>
          <w:p w14:paraId="1BFAC6AF"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 xml:space="preserve">$236.97 </w:t>
            </w:r>
          </w:p>
        </w:tc>
        <w:tc>
          <w:tcPr>
            <w:tcW w:w="1140" w:type="dxa"/>
            <w:tcBorders>
              <w:top w:val="nil"/>
              <w:left w:val="nil"/>
              <w:bottom w:val="single" w:sz="4" w:space="0" w:color="auto"/>
              <w:right w:val="single" w:sz="4" w:space="0" w:color="auto"/>
            </w:tcBorders>
            <w:shd w:val="clear" w:color="000000" w:fill="FFFFFF"/>
            <w:vAlign w:val="center"/>
            <w:hideMark/>
          </w:tcPr>
          <w:p w14:paraId="7EA4D5A7"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 xml:space="preserve">$1,169.07 </w:t>
            </w:r>
          </w:p>
        </w:tc>
        <w:tc>
          <w:tcPr>
            <w:tcW w:w="1329" w:type="dxa"/>
            <w:tcBorders>
              <w:top w:val="nil"/>
              <w:left w:val="nil"/>
              <w:bottom w:val="single" w:sz="4" w:space="0" w:color="auto"/>
              <w:right w:val="single" w:sz="4" w:space="0" w:color="auto"/>
            </w:tcBorders>
            <w:shd w:val="clear" w:color="000000" w:fill="FFFFFF"/>
            <w:vAlign w:val="center"/>
            <w:hideMark/>
          </w:tcPr>
          <w:p w14:paraId="14A55CB5" w14:textId="5FEB09A8" w:rsidR="007C5C62" w:rsidRPr="00813E62" w:rsidRDefault="00C60577"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w:t>
            </w:r>
            <w:r w:rsidR="007C5C62" w:rsidRPr="00813E62">
              <w:rPr>
                <w:rFonts w:ascii="Artifex CF Extra Light" w:eastAsia="Times New Roman" w:hAnsi="Artifex CF Extra Light" w:cs="Calibri"/>
                <w:color w:val="1F4E79" w:themeColor="accent1" w:themeShade="80"/>
                <w:sz w:val="16"/>
                <w:szCs w:val="16"/>
                <w:lang w:val="es-ES" w:eastAsia="es-ES"/>
              </w:rPr>
              <w:t>493%</w:t>
            </w:r>
          </w:p>
        </w:tc>
      </w:tr>
      <w:tr w:rsidR="001B7EDE" w:rsidRPr="00813E62" w14:paraId="4F2F3D53" w14:textId="77777777" w:rsidTr="00813E62">
        <w:trPr>
          <w:trHeight w:val="1440"/>
        </w:trPr>
        <w:tc>
          <w:tcPr>
            <w:tcW w:w="1313" w:type="dxa"/>
            <w:tcBorders>
              <w:top w:val="nil"/>
              <w:left w:val="single" w:sz="4" w:space="0" w:color="auto"/>
              <w:bottom w:val="single" w:sz="4" w:space="0" w:color="auto"/>
              <w:right w:val="single" w:sz="4" w:space="0" w:color="auto"/>
            </w:tcBorders>
            <w:shd w:val="clear" w:color="000000" w:fill="FFFFFF"/>
            <w:vAlign w:val="center"/>
            <w:hideMark/>
          </w:tcPr>
          <w:p w14:paraId="54CDDBFF" w14:textId="17D8CB7F"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Contribución efectiva a la creación de empleos</w:t>
            </w:r>
            <w:r w:rsidR="001658A6" w:rsidRPr="00813E62">
              <w:rPr>
                <w:rFonts w:ascii="Artifex CF Extra Light" w:eastAsia="Times New Roman" w:hAnsi="Artifex CF Extra Light" w:cs="Calibri"/>
                <w:color w:val="1F4E79" w:themeColor="accent1" w:themeShade="80"/>
                <w:sz w:val="16"/>
                <w:szCs w:val="16"/>
                <w:lang w:val="es-ES" w:eastAsia="es-ES"/>
              </w:rPr>
              <w:t>*</w:t>
            </w:r>
          </w:p>
        </w:tc>
        <w:tc>
          <w:tcPr>
            <w:tcW w:w="1412" w:type="dxa"/>
            <w:tcBorders>
              <w:top w:val="nil"/>
              <w:left w:val="nil"/>
              <w:bottom w:val="single" w:sz="4" w:space="0" w:color="auto"/>
              <w:right w:val="single" w:sz="4" w:space="0" w:color="auto"/>
            </w:tcBorders>
            <w:shd w:val="clear" w:color="000000" w:fill="FFFFFF"/>
            <w:vAlign w:val="center"/>
            <w:hideMark/>
          </w:tcPr>
          <w:p w14:paraId="787DA086"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Cantidad de empleos directos generados por proyectos de IED</w:t>
            </w:r>
            <w:r w:rsidRPr="00813E62">
              <w:rPr>
                <w:rFonts w:ascii="Artifex CF Extra Light" w:eastAsia="Times New Roman" w:hAnsi="Artifex CF Extra Light" w:cs="Calibri"/>
                <w:color w:val="1F4E79" w:themeColor="accent1" w:themeShade="80"/>
                <w:sz w:val="16"/>
                <w:szCs w:val="16"/>
                <w:lang w:val="es-ES" w:eastAsia="es-ES"/>
              </w:rPr>
              <w:br/>
              <w:t>gestionados por el CEI-RD</w:t>
            </w:r>
          </w:p>
        </w:tc>
        <w:tc>
          <w:tcPr>
            <w:tcW w:w="1033" w:type="dxa"/>
            <w:tcBorders>
              <w:top w:val="nil"/>
              <w:left w:val="nil"/>
              <w:bottom w:val="single" w:sz="4" w:space="0" w:color="auto"/>
              <w:right w:val="single" w:sz="4" w:space="0" w:color="auto"/>
            </w:tcBorders>
            <w:shd w:val="clear" w:color="000000" w:fill="FFFFFF"/>
            <w:vAlign w:val="center"/>
            <w:hideMark/>
          </w:tcPr>
          <w:p w14:paraId="06841B2F"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2,945</w:t>
            </w:r>
          </w:p>
        </w:tc>
        <w:tc>
          <w:tcPr>
            <w:tcW w:w="1124" w:type="dxa"/>
            <w:tcBorders>
              <w:top w:val="nil"/>
              <w:left w:val="nil"/>
              <w:bottom w:val="single" w:sz="4" w:space="0" w:color="auto"/>
              <w:right w:val="single" w:sz="4" w:space="0" w:color="auto"/>
            </w:tcBorders>
            <w:shd w:val="clear" w:color="000000" w:fill="FFFFFF"/>
            <w:vAlign w:val="center"/>
            <w:hideMark/>
          </w:tcPr>
          <w:p w14:paraId="1513A023"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13,835</w:t>
            </w:r>
          </w:p>
        </w:tc>
        <w:tc>
          <w:tcPr>
            <w:tcW w:w="1089" w:type="dxa"/>
            <w:tcBorders>
              <w:top w:val="nil"/>
              <w:left w:val="nil"/>
              <w:bottom w:val="single" w:sz="4" w:space="0" w:color="auto"/>
              <w:right w:val="single" w:sz="4" w:space="0" w:color="auto"/>
            </w:tcBorders>
            <w:shd w:val="clear" w:color="000000" w:fill="FFFFFF"/>
            <w:vAlign w:val="center"/>
            <w:hideMark/>
          </w:tcPr>
          <w:p w14:paraId="2CF30BD3"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3,894</w:t>
            </w:r>
          </w:p>
        </w:tc>
        <w:tc>
          <w:tcPr>
            <w:tcW w:w="1140" w:type="dxa"/>
            <w:tcBorders>
              <w:top w:val="nil"/>
              <w:left w:val="nil"/>
              <w:bottom w:val="single" w:sz="4" w:space="0" w:color="auto"/>
              <w:right w:val="single" w:sz="4" w:space="0" w:color="auto"/>
            </w:tcBorders>
            <w:shd w:val="clear" w:color="000000" w:fill="FFFFFF"/>
            <w:vAlign w:val="center"/>
            <w:hideMark/>
          </w:tcPr>
          <w:p w14:paraId="03195E78" w14:textId="0CD1B281"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5,663</w:t>
            </w:r>
            <w:r w:rsidR="0030374B" w:rsidRPr="00813E62">
              <w:rPr>
                <w:rFonts w:ascii="Artifex CF Extra Light" w:eastAsia="Times New Roman" w:hAnsi="Artifex CF Extra Light" w:cs="Calibri"/>
                <w:color w:val="1F4E79" w:themeColor="accent1" w:themeShade="80"/>
                <w:sz w:val="16"/>
                <w:szCs w:val="16"/>
                <w:lang w:val="es-ES" w:eastAsia="es-ES"/>
              </w:rPr>
              <w:t>*</w:t>
            </w:r>
          </w:p>
        </w:tc>
        <w:tc>
          <w:tcPr>
            <w:tcW w:w="1329" w:type="dxa"/>
            <w:tcBorders>
              <w:top w:val="nil"/>
              <w:left w:val="nil"/>
              <w:bottom w:val="single" w:sz="4" w:space="0" w:color="auto"/>
              <w:right w:val="single" w:sz="4" w:space="0" w:color="auto"/>
            </w:tcBorders>
            <w:shd w:val="clear" w:color="000000" w:fill="FFFFFF"/>
            <w:vAlign w:val="center"/>
            <w:hideMark/>
          </w:tcPr>
          <w:p w14:paraId="7F49D9A3" w14:textId="7B66FC3F" w:rsidR="007C5C62" w:rsidRPr="00813E62" w:rsidRDefault="007C5C62"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145%</w:t>
            </w:r>
            <w:r w:rsidR="00961F1B" w:rsidRPr="00813E62">
              <w:rPr>
                <w:rFonts w:ascii="Artifex CF Extra Light" w:eastAsia="Times New Roman" w:hAnsi="Artifex CF Extra Light" w:cs="Calibri"/>
                <w:color w:val="1F4E79" w:themeColor="accent1" w:themeShade="80"/>
                <w:sz w:val="16"/>
                <w:szCs w:val="16"/>
                <w:lang w:val="es-ES" w:eastAsia="es-ES"/>
              </w:rPr>
              <w:t>*</w:t>
            </w:r>
          </w:p>
        </w:tc>
      </w:tr>
      <w:tr w:rsidR="001B7EDE" w:rsidRPr="00813E62" w14:paraId="38B8C744" w14:textId="77777777" w:rsidTr="00813E62">
        <w:trPr>
          <w:trHeight w:val="1332"/>
        </w:trPr>
        <w:tc>
          <w:tcPr>
            <w:tcW w:w="1313" w:type="dxa"/>
            <w:tcBorders>
              <w:top w:val="nil"/>
              <w:left w:val="single" w:sz="4" w:space="0" w:color="auto"/>
              <w:bottom w:val="single" w:sz="4" w:space="0" w:color="auto"/>
              <w:right w:val="single" w:sz="4" w:space="0" w:color="auto"/>
            </w:tcBorders>
            <w:shd w:val="clear" w:color="000000" w:fill="FFFFFF"/>
            <w:vAlign w:val="center"/>
            <w:hideMark/>
          </w:tcPr>
          <w:p w14:paraId="62507457"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Incremento de la cantidad de proyectos de inversión total</w:t>
            </w:r>
          </w:p>
        </w:tc>
        <w:tc>
          <w:tcPr>
            <w:tcW w:w="1412" w:type="dxa"/>
            <w:tcBorders>
              <w:top w:val="nil"/>
              <w:left w:val="nil"/>
              <w:bottom w:val="single" w:sz="4" w:space="0" w:color="auto"/>
              <w:right w:val="single" w:sz="4" w:space="0" w:color="auto"/>
            </w:tcBorders>
            <w:shd w:val="clear" w:color="000000" w:fill="FFFFFF"/>
            <w:vAlign w:val="center"/>
            <w:hideMark/>
          </w:tcPr>
          <w:p w14:paraId="438C099E"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Cantidad de Proyectos IED generados por gestión del CEI-RD</w:t>
            </w:r>
          </w:p>
        </w:tc>
        <w:tc>
          <w:tcPr>
            <w:tcW w:w="1033" w:type="dxa"/>
            <w:tcBorders>
              <w:top w:val="nil"/>
              <w:left w:val="nil"/>
              <w:bottom w:val="single" w:sz="4" w:space="0" w:color="auto"/>
              <w:right w:val="single" w:sz="4" w:space="0" w:color="auto"/>
            </w:tcBorders>
            <w:shd w:val="clear" w:color="000000" w:fill="FFFFFF"/>
            <w:vAlign w:val="center"/>
            <w:hideMark/>
          </w:tcPr>
          <w:p w14:paraId="6E59CE55"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12</w:t>
            </w:r>
          </w:p>
        </w:tc>
        <w:tc>
          <w:tcPr>
            <w:tcW w:w="1124" w:type="dxa"/>
            <w:tcBorders>
              <w:top w:val="nil"/>
              <w:left w:val="nil"/>
              <w:bottom w:val="single" w:sz="4" w:space="0" w:color="auto"/>
              <w:right w:val="single" w:sz="4" w:space="0" w:color="auto"/>
            </w:tcBorders>
            <w:shd w:val="clear" w:color="000000" w:fill="FFFFFF"/>
            <w:vAlign w:val="center"/>
            <w:hideMark/>
          </w:tcPr>
          <w:p w14:paraId="064D8E37"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108</w:t>
            </w:r>
          </w:p>
        </w:tc>
        <w:tc>
          <w:tcPr>
            <w:tcW w:w="1089" w:type="dxa"/>
            <w:tcBorders>
              <w:top w:val="nil"/>
              <w:left w:val="nil"/>
              <w:bottom w:val="single" w:sz="4" w:space="0" w:color="auto"/>
              <w:right w:val="single" w:sz="4" w:space="0" w:color="auto"/>
            </w:tcBorders>
            <w:shd w:val="clear" w:color="000000" w:fill="FFFFFF"/>
            <w:vAlign w:val="center"/>
            <w:hideMark/>
          </w:tcPr>
          <w:p w14:paraId="685586DB"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35</w:t>
            </w:r>
          </w:p>
        </w:tc>
        <w:tc>
          <w:tcPr>
            <w:tcW w:w="1140" w:type="dxa"/>
            <w:tcBorders>
              <w:top w:val="nil"/>
              <w:left w:val="nil"/>
              <w:bottom w:val="single" w:sz="4" w:space="0" w:color="auto"/>
              <w:right w:val="single" w:sz="4" w:space="0" w:color="auto"/>
            </w:tcBorders>
            <w:shd w:val="clear" w:color="000000" w:fill="FFFFFF"/>
            <w:vAlign w:val="center"/>
            <w:hideMark/>
          </w:tcPr>
          <w:p w14:paraId="34236636" w14:textId="7777777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15</w:t>
            </w:r>
          </w:p>
        </w:tc>
        <w:tc>
          <w:tcPr>
            <w:tcW w:w="1329" w:type="dxa"/>
            <w:tcBorders>
              <w:top w:val="nil"/>
              <w:left w:val="nil"/>
              <w:bottom w:val="single" w:sz="4" w:space="0" w:color="auto"/>
              <w:right w:val="single" w:sz="4" w:space="0" w:color="auto"/>
            </w:tcBorders>
            <w:shd w:val="clear" w:color="000000" w:fill="FFFFFF"/>
            <w:vAlign w:val="center"/>
            <w:hideMark/>
          </w:tcPr>
          <w:p w14:paraId="4D14F99D" w14:textId="77777777" w:rsidR="007C5C62" w:rsidRPr="00813E62" w:rsidRDefault="007C5C62" w:rsidP="00813E62">
            <w:pPr>
              <w:spacing w:after="0" w:line="360" w:lineRule="auto"/>
              <w:ind w:firstLine="284"/>
              <w:jc w:val="center"/>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43%</w:t>
            </w:r>
          </w:p>
        </w:tc>
      </w:tr>
      <w:tr w:rsidR="001B7EDE" w:rsidRPr="006F2F51" w14:paraId="47583112" w14:textId="77777777" w:rsidTr="007C5C62">
        <w:trPr>
          <w:trHeight w:val="288"/>
        </w:trPr>
        <w:tc>
          <w:tcPr>
            <w:tcW w:w="8440" w:type="dxa"/>
            <w:gridSpan w:val="7"/>
            <w:tcBorders>
              <w:top w:val="nil"/>
              <w:left w:val="nil"/>
              <w:bottom w:val="nil"/>
              <w:right w:val="nil"/>
            </w:tcBorders>
            <w:shd w:val="clear" w:color="auto" w:fill="auto"/>
            <w:vAlign w:val="bottom"/>
            <w:hideMark/>
          </w:tcPr>
          <w:p w14:paraId="23C13D44" w14:textId="189D8E09"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 xml:space="preserve">Fuente: </w:t>
            </w:r>
            <w:r w:rsidR="007F505F" w:rsidRPr="00813E62">
              <w:rPr>
                <w:rFonts w:ascii="Artifex CF Extra Light" w:eastAsia="Times New Roman" w:hAnsi="Artifex CF Extra Light" w:cs="Calibri"/>
                <w:color w:val="1F4E79" w:themeColor="accent1" w:themeShade="80"/>
                <w:sz w:val="16"/>
                <w:szCs w:val="16"/>
                <w:lang w:val="es-ES" w:eastAsia="es-ES"/>
              </w:rPr>
              <w:t xml:space="preserve">Elaborado por </w:t>
            </w:r>
            <w:r w:rsidRPr="00813E62">
              <w:rPr>
                <w:rFonts w:ascii="Artifex CF Extra Light" w:eastAsia="Times New Roman" w:hAnsi="Artifex CF Extra Light" w:cs="Calibri"/>
                <w:color w:val="1F4E79" w:themeColor="accent1" w:themeShade="80"/>
                <w:sz w:val="16"/>
                <w:szCs w:val="16"/>
                <w:lang w:val="es-ES" w:eastAsia="es-ES"/>
              </w:rPr>
              <w:t>ProDominicana</w:t>
            </w:r>
            <w:r w:rsidR="007F505F" w:rsidRPr="00813E62">
              <w:rPr>
                <w:rFonts w:ascii="Artifex CF Extra Light" w:eastAsia="Times New Roman" w:hAnsi="Artifex CF Extra Light" w:cs="Calibri"/>
                <w:color w:val="1F4E79" w:themeColor="accent1" w:themeShade="80"/>
                <w:sz w:val="16"/>
                <w:szCs w:val="16"/>
                <w:lang w:val="es-ES" w:eastAsia="es-ES"/>
              </w:rPr>
              <w:t>, fuentes diversas.</w:t>
            </w:r>
          </w:p>
        </w:tc>
      </w:tr>
      <w:tr w:rsidR="001B7EDE" w:rsidRPr="006F2F51" w14:paraId="6CC3FD9E" w14:textId="77777777" w:rsidTr="007C5C62">
        <w:trPr>
          <w:trHeight w:val="492"/>
        </w:trPr>
        <w:tc>
          <w:tcPr>
            <w:tcW w:w="8440" w:type="dxa"/>
            <w:gridSpan w:val="7"/>
            <w:tcBorders>
              <w:top w:val="nil"/>
              <w:left w:val="nil"/>
              <w:bottom w:val="nil"/>
              <w:right w:val="nil"/>
            </w:tcBorders>
            <w:shd w:val="clear" w:color="auto" w:fill="auto"/>
            <w:vAlign w:val="bottom"/>
            <w:hideMark/>
          </w:tcPr>
          <w:p w14:paraId="1D5F5170" w14:textId="5A102907" w:rsidR="007C5C62" w:rsidRPr="00813E62" w:rsidRDefault="007C5C62" w:rsidP="00813E62">
            <w:pPr>
              <w:spacing w:after="0" w:line="360" w:lineRule="auto"/>
              <w:ind w:firstLine="284"/>
              <w:rPr>
                <w:rFonts w:ascii="Artifex CF Extra Light" w:eastAsia="Times New Roman" w:hAnsi="Artifex CF Extra Light" w:cs="Calibri"/>
                <w:color w:val="1F4E79" w:themeColor="accent1" w:themeShade="80"/>
                <w:sz w:val="16"/>
                <w:szCs w:val="16"/>
                <w:lang w:val="es-ES" w:eastAsia="es-ES"/>
              </w:rPr>
            </w:pPr>
            <w:r w:rsidRPr="00813E62">
              <w:rPr>
                <w:rFonts w:ascii="Artifex CF Extra Light" w:eastAsia="Times New Roman" w:hAnsi="Artifex CF Extra Light" w:cs="Calibri"/>
                <w:color w:val="1F4E79" w:themeColor="accent1" w:themeShade="80"/>
                <w:sz w:val="16"/>
                <w:szCs w:val="16"/>
                <w:lang w:val="es-ES" w:eastAsia="es-ES"/>
              </w:rPr>
              <w:t xml:space="preserve">Notas: </w:t>
            </w:r>
            <w:r w:rsidR="007D5A47" w:rsidRPr="00813E62">
              <w:rPr>
                <w:rFonts w:ascii="Artifex CF Extra Light" w:eastAsia="Times New Roman" w:hAnsi="Artifex CF Extra Light" w:cs="Calibri"/>
                <w:color w:val="1F4E79" w:themeColor="accent1" w:themeShade="80"/>
                <w:sz w:val="16"/>
                <w:szCs w:val="16"/>
                <w:lang w:val="es-ES" w:eastAsia="es-ES"/>
              </w:rPr>
              <w:t>*</w:t>
            </w:r>
            <w:r w:rsidRPr="00813E62">
              <w:rPr>
                <w:rFonts w:ascii="Artifex CF Extra Light" w:eastAsia="Times New Roman" w:hAnsi="Artifex CF Extra Light" w:cs="Calibri"/>
                <w:color w:val="1F4E79" w:themeColor="accent1" w:themeShade="80"/>
                <w:sz w:val="16"/>
                <w:szCs w:val="16"/>
                <w:lang w:val="es-ES" w:eastAsia="es-ES"/>
              </w:rPr>
              <w:t>El real acumulado 2020 del indicador de empleos es preliminar, e incluye empleos directos e indirectos.</w:t>
            </w:r>
          </w:p>
        </w:tc>
      </w:tr>
      <w:bookmarkEnd w:id="154"/>
    </w:tbl>
    <w:p w14:paraId="63F5D413" w14:textId="77777777" w:rsidR="007F505F" w:rsidRPr="00324A19" w:rsidRDefault="007F505F" w:rsidP="00864966">
      <w:pPr>
        <w:spacing w:before="380" w:after="120" w:line="456" w:lineRule="auto"/>
        <w:ind w:firstLine="284"/>
        <w:jc w:val="center"/>
        <w:rPr>
          <w:rFonts w:ascii="Artifex CF Extra Light" w:eastAsia="Times New Roman" w:hAnsi="Artifex CF Extra Light" w:cs="Calibri"/>
          <w:b/>
          <w:color w:val="1F4E79" w:themeColor="accent1" w:themeShade="80"/>
          <w:sz w:val="18"/>
          <w:szCs w:val="18"/>
          <w:lang w:val="es-ES" w:eastAsia="es-ES"/>
        </w:rPr>
      </w:pPr>
    </w:p>
    <w:p w14:paraId="6CF5447B" w14:textId="77777777" w:rsidR="007F505F" w:rsidRPr="00324A19" w:rsidRDefault="007F505F" w:rsidP="00864966">
      <w:pPr>
        <w:spacing w:before="380" w:after="120" w:line="456" w:lineRule="auto"/>
        <w:ind w:firstLine="284"/>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br w:type="page"/>
      </w:r>
    </w:p>
    <w:p w14:paraId="00113C79" w14:textId="32A25CEB" w:rsidR="007057DF" w:rsidRPr="00324A19" w:rsidRDefault="00B84167" w:rsidP="00864966">
      <w:pPr>
        <w:spacing w:before="380" w:after="120" w:line="456"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lastRenderedPageBreak/>
        <w:t>Anexo 4. Plan Anual de Compras y Contrataciones</w:t>
      </w:r>
    </w:p>
    <w:p w14:paraId="3049954C" w14:textId="7D1D2665" w:rsidR="007057DF" w:rsidRPr="00324A19" w:rsidRDefault="00801EA5" w:rsidP="00864966">
      <w:pPr>
        <w:spacing w:before="380" w:after="120" w:line="456" w:lineRule="auto"/>
        <w:ind w:firstLine="284"/>
        <w:jc w:val="both"/>
        <w:rPr>
          <w:rFonts w:ascii="Artifex CF Extra Light" w:hAnsi="Artifex CF Extra Light" w:cs="Times New Roman"/>
          <w:color w:val="1F4E79" w:themeColor="accent1" w:themeShade="80"/>
          <w:sz w:val="18"/>
          <w:szCs w:val="18"/>
        </w:rPr>
      </w:pPr>
      <w:r w:rsidRPr="00324A19">
        <w:rPr>
          <w:noProof/>
          <w:color w:val="1F4E79" w:themeColor="accent1" w:themeShade="80"/>
        </w:rPr>
        <w:drawing>
          <wp:inline distT="0" distB="0" distL="0" distR="0" wp14:anchorId="4E604A45" wp14:editId="2BB8C61C">
            <wp:extent cx="5006669" cy="6454142"/>
            <wp:effectExtent l="0" t="0" r="381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7">
                      <a:extLst>
                        <a:ext uri="{28A0092B-C50C-407E-A947-70E740481C1C}">
                          <a14:useLocalDpi xmlns:a14="http://schemas.microsoft.com/office/drawing/2010/main" val="0"/>
                        </a:ext>
                      </a:extLst>
                    </a:blip>
                    <a:stretch>
                      <a:fillRect/>
                    </a:stretch>
                  </pic:blipFill>
                  <pic:spPr>
                    <a:xfrm>
                      <a:off x="0" y="0"/>
                      <a:ext cx="5006669" cy="6454142"/>
                    </a:xfrm>
                    <a:prstGeom prst="rect">
                      <a:avLst/>
                    </a:prstGeom>
                  </pic:spPr>
                </pic:pic>
              </a:graphicData>
            </a:graphic>
          </wp:inline>
        </w:drawing>
      </w:r>
    </w:p>
    <w:p w14:paraId="11F145F4" w14:textId="667903F0" w:rsidR="007057DF" w:rsidRPr="00324A19" w:rsidRDefault="007057DF" w:rsidP="00864966">
      <w:pPr>
        <w:spacing w:before="380" w:after="120" w:line="456" w:lineRule="auto"/>
        <w:ind w:firstLine="284"/>
        <w:jc w:val="both"/>
        <w:rPr>
          <w:rFonts w:ascii="Artifex CF Extra Light" w:hAnsi="Artifex CF Extra Light" w:cs="Times New Roman"/>
          <w:color w:val="1F4E79" w:themeColor="accent1" w:themeShade="80"/>
          <w:sz w:val="18"/>
          <w:szCs w:val="18"/>
        </w:rPr>
      </w:pPr>
    </w:p>
    <w:p w14:paraId="2C6D4262" w14:textId="76987C9E" w:rsidR="009A34A0" w:rsidRPr="00324A19" w:rsidRDefault="009A34A0" w:rsidP="00813E62">
      <w:pPr>
        <w:spacing w:before="380" w:after="120" w:line="456" w:lineRule="auto"/>
        <w:jc w:val="both"/>
        <w:rPr>
          <w:rFonts w:ascii="Artifex CF Extra Light" w:hAnsi="Artifex CF Extra Light" w:cs="Times New Roman"/>
          <w:color w:val="1F4E79" w:themeColor="accent1" w:themeShade="80"/>
          <w:sz w:val="18"/>
          <w:szCs w:val="18"/>
        </w:rPr>
      </w:pPr>
    </w:p>
    <w:tbl>
      <w:tblPr>
        <w:tblW w:w="7607" w:type="dxa"/>
        <w:tblInd w:w="70" w:type="dxa"/>
        <w:tblCellMar>
          <w:left w:w="70" w:type="dxa"/>
          <w:right w:w="70" w:type="dxa"/>
        </w:tblCellMar>
        <w:tblLook w:val="04A0" w:firstRow="1" w:lastRow="0" w:firstColumn="1" w:lastColumn="0" w:noHBand="0" w:noVBand="1"/>
      </w:tblPr>
      <w:tblGrid>
        <w:gridCol w:w="2463"/>
        <w:gridCol w:w="1723"/>
        <w:gridCol w:w="1726"/>
        <w:gridCol w:w="1485"/>
        <w:gridCol w:w="210"/>
      </w:tblGrid>
      <w:tr w:rsidR="001B7EDE" w:rsidRPr="00324A19" w14:paraId="43DD723A" w14:textId="77777777" w:rsidTr="00813E62">
        <w:trPr>
          <w:gridAfter w:val="1"/>
          <w:wAfter w:w="210" w:type="dxa"/>
          <w:trHeight w:val="527"/>
        </w:trPr>
        <w:tc>
          <w:tcPr>
            <w:tcW w:w="7397" w:type="dxa"/>
            <w:gridSpan w:val="4"/>
            <w:vMerge w:val="restart"/>
            <w:tcBorders>
              <w:top w:val="nil"/>
              <w:left w:val="nil"/>
              <w:bottom w:val="single" w:sz="4" w:space="0" w:color="000000"/>
              <w:right w:val="nil"/>
            </w:tcBorders>
            <w:shd w:val="clear" w:color="000000" w:fill="FFFFFF"/>
            <w:vAlign w:val="center"/>
            <w:hideMark/>
          </w:tcPr>
          <w:p w14:paraId="1FE589A0" w14:textId="77777777" w:rsidR="009A34A0" w:rsidRPr="00324A19" w:rsidRDefault="009A34A0" w:rsidP="00813E62">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lastRenderedPageBreak/>
              <w:t>Anexo 5. Producción Institucional.</w:t>
            </w:r>
          </w:p>
        </w:tc>
      </w:tr>
      <w:tr w:rsidR="001B7EDE" w:rsidRPr="00324A19" w14:paraId="47793798" w14:textId="77777777" w:rsidTr="00813E62">
        <w:trPr>
          <w:trHeight w:val="19"/>
        </w:trPr>
        <w:tc>
          <w:tcPr>
            <w:tcW w:w="7397" w:type="dxa"/>
            <w:gridSpan w:val="4"/>
            <w:vMerge/>
            <w:tcBorders>
              <w:top w:val="nil"/>
              <w:left w:val="nil"/>
              <w:bottom w:val="single" w:sz="4" w:space="0" w:color="000000"/>
              <w:right w:val="nil"/>
            </w:tcBorders>
            <w:vAlign w:val="center"/>
            <w:hideMark/>
          </w:tcPr>
          <w:p w14:paraId="2173F044" w14:textId="77777777" w:rsidR="009A34A0" w:rsidRPr="00324A19" w:rsidRDefault="009A34A0" w:rsidP="00813E62">
            <w:pPr>
              <w:spacing w:after="0" w:line="360" w:lineRule="auto"/>
              <w:ind w:firstLine="284"/>
              <w:rPr>
                <w:rFonts w:ascii="Calibri" w:eastAsia="Times New Roman" w:hAnsi="Calibri" w:cs="Calibri"/>
                <w:b/>
                <w:color w:val="1F4E79" w:themeColor="accent1" w:themeShade="80"/>
                <w:sz w:val="22"/>
                <w:szCs w:val="22"/>
                <w:lang w:val="es-ES" w:eastAsia="es-ES"/>
              </w:rPr>
            </w:pPr>
          </w:p>
        </w:tc>
        <w:tc>
          <w:tcPr>
            <w:tcW w:w="210" w:type="dxa"/>
            <w:tcBorders>
              <w:top w:val="nil"/>
              <w:left w:val="nil"/>
              <w:bottom w:val="nil"/>
              <w:right w:val="nil"/>
            </w:tcBorders>
            <w:shd w:val="clear" w:color="auto" w:fill="auto"/>
            <w:noWrap/>
            <w:vAlign w:val="bottom"/>
            <w:hideMark/>
          </w:tcPr>
          <w:p w14:paraId="77D52855" w14:textId="77777777" w:rsidR="009A34A0" w:rsidRPr="00324A19" w:rsidRDefault="009A34A0" w:rsidP="00813E62">
            <w:pPr>
              <w:spacing w:after="0" w:line="360" w:lineRule="auto"/>
              <w:ind w:firstLine="284"/>
              <w:jc w:val="center"/>
              <w:rPr>
                <w:rFonts w:ascii="Calibri" w:eastAsia="Times New Roman" w:hAnsi="Calibri" w:cs="Calibri"/>
                <w:b/>
                <w:color w:val="1F4E79" w:themeColor="accent1" w:themeShade="80"/>
                <w:sz w:val="22"/>
                <w:szCs w:val="22"/>
                <w:lang w:val="es-ES" w:eastAsia="es-ES"/>
              </w:rPr>
            </w:pPr>
          </w:p>
        </w:tc>
      </w:tr>
      <w:tr w:rsidR="001B7EDE" w:rsidRPr="00324A19" w14:paraId="0C841568"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1F4E78"/>
            <w:vAlign w:val="center"/>
            <w:hideMark/>
          </w:tcPr>
          <w:p w14:paraId="10569FA8" w14:textId="77777777" w:rsidR="009A34A0" w:rsidRPr="00813E62" w:rsidRDefault="009A34A0" w:rsidP="00861C0C">
            <w:pPr>
              <w:spacing w:after="0" w:line="360" w:lineRule="auto"/>
              <w:jc w:val="center"/>
              <w:rPr>
                <w:rFonts w:ascii="Artifex CF Extra Light" w:eastAsia="Times New Roman" w:hAnsi="Artifex CF Extra Light" w:cs="Calibri"/>
                <w:b/>
                <w:color w:val="FFFFFF" w:themeColor="background1"/>
                <w:sz w:val="18"/>
                <w:szCs w:val="18"/>
                <w:lang w:val="es-ES" w:eastAsia="es-ES"/>
              </w:rPr>
            </w:pPr>
            <w:r w:rsidRPr="00813E62">
              <w:rPr>
                <w:rFonts w:ascii="Artifex CF Extra Light" w:eastAsia="Times New Roman" w:hAnsi="Artifex CF Extra Light" w:cs="Calibri"/>
                <w:b/>
                <w:color w:val="FFFFFF" w:themeColor="background1"/>
                <w:sz w:val="18"/>
                <w:szCs w:val="18"/>
                <w:lang w:val="es-ES" w:eastAsia="es-ES"/>
              </w:rPr>
              <w:t>Producto</w:t>
            </w:r>
          </w:p>
        </w:tc>
        <w:tc>
          <w:tcPr>
            <w:tcW w:w="1723" w:type="dxa"/>
            <w:tcBorders>
              <w:top w:val="nil"/>
              <w:left w:val="nil"/>
              <w:bottom w:val="single" w:sz="4" w:space="0" w:color="auto"/>
              <w:right w:val="single" w:sz="4" w:space="0" w:color="auto"/>
            </w:tcBorders>
            <w:shd w:val="clear" w:color="000000" w:fill="1F4E78"/>
            <w:vAlign w:val="center"/>
            <w:hideMark/>
          </w:tcPr>
          <w:p w14:paraId="6637B6E9" w14:textId="4A47A1E2" w:rsidR="009A34A0" w:rsidRPr="00813E62" w:rsidRDefault="009A34A0" w:rsidP="00861C0C">
            <w:pPr>
              <w:spacing w:after="0" w:line="360" w:lineRule="auto"/>
              <w:jc w:val="center"/>
              <w:rPr>
                <w:rFonts w:ascii="Artifex CF Extra Light" w:eastAsia="Times New Roman" w:hAnsi="Artifex CF Extra Light" w:cs="Calibri"/>
                <w:b/>
                <w:color w:val="FFFFFF" w:themeColor="background1"/>
                <w:sz w:val="18"/>
                <w:szCs w:val="18"/>
                <w:lang w:val="es-ES" w:eastAsia="es-ES"/>
              </w:rPr>
            </w:pPr>
            <w:r w:rsidRPr="00813E62">
              <w:rPr>
                <w:rFonts w:ascii="Artifex CF Extra Light" w:eastAsia="Times New Roman" w:hAnsi="Artifex CF Extra Light" w:cs="Calibri"/>
                <w:b/>
                <w:color w:val="FFFFFF" w:themeColor="background1"/>
                <w:sz w:val="18"/>
                <w:szCs w:val="18"/>
                <w:lang w:val="es-ES" w:eastAsia="es-ES"/>
              </w:rPr>
              <w:t>Producción planificada</w:t>
            </w:r>
          </w:p>
        </w:tc>
        <w:tc>
          <w:tcPr>
            <w:tcW w:w="1726" w:type="dxa"/>
            <w:tcBorders>
              <w:top w:val="nil"/>
              <w:left w:val="nil"/>
              <w:bottom w:val="single" w:sz="4" w:space="0" w:color="auto"/>
              <w:right w:val="single" w:sz="4" w:space="0" w:color="auto"/>
            </w:tcBorders>
            <w:shd w:val="clear" w:color="000000" w:fill="1F4E78"/>
            <w:vAlign w:val="center"/>
            <w:hideMark/>
          </w:tcPr>
          <w:p w14:paraId="02710268" w14:textId="3CFAD865" w:rsidR="009A34A0" w:rsidRPr="00813E62" w:rsidRDefault="009A34A0" w:rsidP="00861C0C">
            <w:pPr>
              <w:spacing w:after="0" w:line="360" w:lineRule="auto"/>
              <w:jc w:val="center"/>
              <w:rPr>
                <w:rFonts w:ascii="Artifex CF Extra Light" w:eastAsia="Times New Roman" w:hAnsi="Artifex CF Extra Light" w:cs="Calibri"/>
                <w:b/>
                <w:color w:val="FFFFFF" w:themeColor="background1"/>
                <w:sz w:val="18"/>
                <w:szCs w:val="18"/>
                <w:lang w:val="es-ES" w:eastAsia="es-ES"/>
              </w:rPr>
            </w:pPr>
            <w:r w:rsidRPr="00813E62">
              <w:rPr>
                <w:rFonts w:ascii="Artifex CF Extra Light" w:eastAsia="Times New Roman" w:hAnsi="Artifex CF Extra Light" w:cs="Calibri"/>
                <w:b/>
                <w:color w:val="FFFFFF" w:themeColor="background1"/>
                <w:sz w:val="18"/>
                <w:szCs w:val="18"/>
                <w:lang w:val="es-ES" w:eastAsia="es-ES"/>
              </w:rPr>
              <w:t>Producción ejecutada</w:t>
            </w:r>
          </w:p>
        </w:tc>
        <w:tc>
          <w:tcPr>
            <w:tcW w:w="1485" w:type="dxa"/>
            <w:tcBorders>
              <w:top w:val="nil"/>
              <w:left w:val="nil"/>
              <w:bottom w:val="single" w:sz="4" w:space="0" w:color="auto"/>
              <w:right w:val="single" w:sz="4" w:space="0" w:color="auto"/>
            </w:tcBorders>
            <w:shd w:val="clear" w:color="000000" w:fill="1F4E78"/>
            <w:vAlign w:val="center"/>
            <w:hideMark/>
          </w:tcPr>
          <w:p w14:paraId="447609A0" w14:textId="77777777" w:rsidR="009A34A0" w:rsidRPr="00813E62" w:rsidRDefault="009A34A0" w:rsidP="00861C0C">
            <w:pPr>
              <w:spacing w:after="0" w:line="360" w:lineRule="auto"/>
              <w:jc w:val="center"/>
              <w:rPr>
                <w:rFonts w:ascii="Artifex CF Extra Light" w:eastAsia="Times New Roman" w:hAnsi="Artifex CF Extra Light" w:cs="Calibri"/>
                <w:b/>
                <w:color w:val="FFFFFF" w:themeColor="background1"/>
                <w:sz w:val="18"/>
                <w:szCs w:val="18"/>
                <w:lang w:val="es-ES" w:eastAsia="es-ES"/>
              </w:rPr>
            </w:pPr>
            <w:r w:rsidRPr="00813E62">
              <w:rPr>
                <w:rFonts w:ascii="Artifex CF Extra Light" w:eastAsia="Times New Roman" w:hAnsi="Artifex CF Extra Light" w:cs="Calibri"/>
                <w:b/>
                <w:color w:val="FFFFFF" w:themeColor="background1"/>
                <w:sz w:val="18"/>
                <w:szCs w:val="18"/>
                <w:lang w:val="es-ES" w:eastAsia="es-ES"/>
              </w:rPr>
              <w:t>% de avance</w:t>
            </w:r>
          </w:p>
        </w:tc>
        <w:tc>
          <w:tcPr>
            <w:tcW w:w="210" w:type="dxa"/>
            <w:vAlign w:val="center"/>
            <w:hideMark/>
          </w:tcPr>
          <w:p w14:paraId="7F5C21A8"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28158013"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4235F57F"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Proyectos de Inversión Extranjera Directa (IED) establecidos en el país captados por el CEI-RD.</w:t>
            </w:r>
          </w:p>
        </w:tc>
        <w:tc>
          <w:tcPr>
            <w:tcW w:w="1723" w:type="dxa"/>
            <w:tcBorders>
              <w:top w:val="nil"/>
              <w:left w:val="nil"/>
              <w:bottom w:val="single" w:sz="4" w:space="0" w:color="000000"/>
              <w:right w:val="single" w:sz="4" w:space="0" w:color="000000"/>
            </w:tcBorders>
            <w:shd w:val="clear" w:color="auto" w:fill="auto"/>
            <w:vAlign w:val="center"/>
            <w:hideMark/>
          </w:tcPr>
          <w:p w14:paraId="2B17E440"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14</w:t>
            </w:r>
          </w:p>
        </w:tc>
        <w:tc>
          <w:tcPr>
            <w:tcW w:w="1726" w:type="dxa"/>
            <w:tcBorders>
              <w:top w:val="nil"/>
              <w:left w:val="nil"/>
              <w:bottom w:val="single" w:sz="4" w:space="0" w:color="000000"/>
              <w:right w:val="single" w:sz="4" w:space="0" w:color="000000"/>
            </w:tcBorders>
            <w:shd w:val="clear" w:color="auto" w:fill="auto"/>
            <w:vAlign w:val="center"/>
            <w:hideMark/>
          </w:tcPr>
          <w:p w14:paraId="4E9C404B"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9</w:t>
            </w:r>
          </w:p>
        </w:tc>
        <w:tc>
          <w:tcPr>
            <w:tcW w:w="1485" w:type="dxa"/>
            <w:tcBorders>
              <w:top w:val="nil"/>
              <w:left w:val="nil"/>
              <w:bottom w:val="single" w:sz="4" w:space="0" w:color="000000"/>
              <w:right w:val="single" w:sz="4" w:space="0" w:color="000000"/>
            </w:tcBorders>
            <w:shd w:val="clear" w:color="auto" w:fill="auto"/>
            <w:vAlign w:val="center"/>
            <w:hideMark/>
          </w:tcPr>
          <w:p w14:paraId="5B5B5D4E"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64%</w:t>
            </w:r>
          </w:p>
        </w:tc>
        <w:tc>
          <w:tcPr>
            <w:tcW w:w="210" w:type="dxa"/>
            <w:vAlign w:val="center"/>
            <w:hideMark/>
          </w:tcPr>
          <w:p w14:paraId="5B174DEE"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4ABB9A8E"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5BDF1FDC"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Asistencia técnica a inversionistas y potenciales inversionistas</w:t>
            </w:r>
          </w:p>
        </w:tc>
        <w:tc>
          <w:tcPr>
            <w:tcW w:w="1723" w:type="dxa"/>
            <w:tcBorders>
              <w:top w:val="nil"/>
              <w:left w:val="nil"/>
              <w:bottom w:val="single" w:sz="4" w:space="0" w:color="000000"/>
              <w:right w:val="single" w:sz="4" w:space="0" w:color="000000"/>
            </w:tcBorders>
            <w:shd w:val="clear" w:color="auto" w:fill="auto"/>
            <w:vAlign w:val="center"/>
            <w:hideMark/>
          </w:tcPr>
          <w:p w14:paraId="19D6154A"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1,787</w:t>
            </w:r>
          </w:p>
        </w:tc>
        <w:tc>
          <w:tcPr>
            <w:tcW w:w="1726" w:type="dxa"/>
            <w:tcBorders>
              <w:top w:val="nil"/>
              <w:left w:val="nil"/>
              <w:bottom w:val="single" w:sz="4" w:space="0" w:color="000000"/>
              <w:right w:val="single" w:sz="4" w:space="0" w:color="000000"/>
            </w:tcBorders>
            <w:shd w:val="clear" w:color="auto" w:fill="auto"/>
            <w:vAlign w:val="center"/>
            <w:hideMark/>
          </w:tcPr>
          <w:p w14:paraId="44FB6D9B"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280</w:t>
            </w:r>
          </w:p>
        </w:tc>
        <w:tc>
          <w:tcPr>
            <w:tcW w:w="1485" w:type="dxa"/>
            <w:tcBorders>
              <w:top w:val="nil"/>
              <w:left w:val="nil"/>
              <w:bottom w:val="single" w:sz="4" w:space="0" w:color="000000"/>
              <w:right w:val="single" w:sz="4" w:space="0" w:color="000000"/>
            </w:tcBorders>
            <w:shd w:val="clear" w:color="auto" w:fill="auto"/>
            <w:vAlign w:val="center"/>
            <w:hideMark/>
          </w:tcPr>
          <w:p w14:paraId="7CA8B636"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16%</w:t>
            </w:r>
          </w:p>
        </w:tc>
        <w:tc>
          <w:tcPr>
            <w:tcW w:w="210" w:type="dxa"/>
            <w:vAlign w:val="center"/>
            <w:hideMark/>
          </w:tcPr>
          <w:p w14:paraId="6F632CD3"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39D159EC"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1A2515D3"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Formación y Desarrollo para exportadores y potenciales exportadores</w:t>
            </w:r>
          </w:p>
        </w:tc>
        <w:tc>
          <w:tcPr>
            <w:tcW w:w="1723" w:type="dxa"/>
            <w:tcBorders>
              <w:top w:val="nil"/>
              <w:left w:val="nil"/>
              <w:bottom w:val="single" w:sz="4" w:space="0" w:color="000000"/>
              <w:right w:val="single" w:sz="4" w:space="0" w:color="000000"/>
            </w:tcBorders>
            <w:shd w:val="clear" w:color="auto" w:fill="auto"/>
            <w:vAlign w:val="center"/>
            <w:hideMark/>
          </w:tcPr>
          <w:p w14:paraId="1BC30A22"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4,341</w:t>
            </w:r>
          </w:p>
        </w:tc>
        <w:tc>
          <w:tcPr>
            <w:tcW w:w="1726" w:type="dxa"/>
            <w:tcBorders>
              <w:top w:val="nil"/>
              <w:left w:val="nil"/>
              <w:bottom w:val="single" w:sz="4" w:space="0" w:color="000000"/>
              <w:right w:val="single" w:sz="4" w:space="0" w:color="000000"/>
            </w:tcBorders>
            <w:shd w:val="clear" w:color="auto" w:fill="auto"/>
            <w:vAlign w:val="center"/>
            <w:hideMark/>
          </w:tcPr>
          <w:p w14:paraId="246882F6"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892</w:t>
            </w:r>
          </w:p>
        </w:tc>
        <w:tc>
          <w:tcPr>
            <w:tcW w:w="1485" w:type="dxa"/>
            <w:tcBorders>
              <w:top w:val="nil"/>
              <w:left w:val="nil"/>
              <w:bottom w:val="single" w:sz="4" w:space="0" w:color="000000"/>
              <w:right w:val="single" w:sz="4" w:space="0" w:color="000000"/>
            </w:tcBorders>
            <w:shd w:val="clear" w:color="auto" w:fill="auto"/>
            <w:vAlign w:val="center"/>
            <w:hideMark/>
          </w:tcPr>
          <w:p w14:paraId="5874CB37"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21%</w:t>
            </w:r>
          </w:p>
        </w:tc>
        <w:tc>
          <w:tcPr>
            <w:tcW w:w="210" w:type="dxa"/>
            <w:vAlign w:val="center"/>
            <w:hideMark/>
          </w:tcPr>
          <w:p w14:paraId="13A4F17F"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2FD37D26"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2F7382D6"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Proyectos de retención y expansión de Inversión Extranjera Directa</w:t>
            </w:r>
          </w:p>
        </w:tc>
        <w:tc>
          <w:tcPr>
            <w:tcW w:w="1723" w:type="dxa"/>
            <w:tcBorders>
              <w:top w:val="nil"/>
              <w:left w:val="nil"/>
              <w:bottom w:val="single" w:sz="4" w:space="0" w:color="000000"/>
              <w:right w:val="single" w:sz="4" w:space="0" w:color="000000"/>
            </w:tcBorders>
            <w:shd w:val="clear" w:color="auto" w:fill="auto"/>
            <w:vAlign w:val="center"/>
            <w:hideMark/>
          </w:tcPr>
          <w:p w14:paraId="7D6F05E2"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21</w:t>
            </w:r>
          </w:p>
        </w:tc>
        <w:tc>
          <w:tcPr>
            <w:tcW w:w="1726" w:type="dxa"/>
            <w:tcBorders>
              <w:top w:val="nil"/>
              <w:left w:val="nil"/>
              <w:bottom w:val="single" w:sz="4" w:space="0" w:color="000000"/>
              <w:right w:val="single" w:sz="4" w:space="0" w:color="000000"/>
            </w:tcBorders>
            <w:shd w:val="clear" w:color="auto" w:fill="auto"/>
            <w:vAlign w:val="center"/>
            <w:hideMark/>
          </w:tcPr>
          <w:p w14:paraId="2741AD82"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6</w:t>
            </w:r>
          </w:p>
        </w:tc>
        <w:tc>
          <w:tcPr>
            <w:tcW w:w="1485" w:type="dxa"/>
            <w:tcBorders>
              <w:top w:val="nil"/>
              <w:left w:val="nil"/>
              <w:bottom w:val="single" w:sz="4" w:space="0" w:color="000000"/>
              <w:right w:val="single" w:sz="4" w:space="0" w:color="000000"/>
            </w:tcBorders>
            <w:shd w:val="clear" w:color="auto" w:fill="auto"/>
            <w:vAlign w:val="center"/>
            <w:hideMark/>
          </w:tcPr>
          <w:p w14:paraId="1DAA1830"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29%</w:t>
            </w:r>
          </w:p>
        </w:tc>
        <w:tc>
          <w:tcPr>
            <w:tcW w:w="210" w:type="dxa"/>
            <w:vAlign w:val="center"/>
            <w:hideMark/>
          </w:tcPr>
          <w:p w14:paraId="216EB99D"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75E2F826"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5F74EEB9"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Registro de Inversión Extranjera Directa y/o Transferencia de Tecnología</w:t>
            </w:r>
          </w:p>
        </w:tc>
        <w:tc>
          <w:tcPr>
            <w:tcW w:w="1723" w:type="dxa"/>
            <w:tcBorders>
              <w:top w:val="nil"/>
              <w:left w:val="nil"/>
              <w:bottom w:val="single" w:sz="4" w:space="0" w:color="000000"/>
              <w:right w:val="single" w:sz="4" w:space="0" w:color="000000"/>
            </w:tcBorders>
            <w:shd w:val="clear" w:color="auto" w:fill="auto"/>
            <w:vAlign w:val="center"/>
            <w:hideMark/>
          </w:tcPr>
          <w:p w14:paraId="23F719D5"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72</w:t>
            </w:r>
          </w:p>
        </w:tc>
        <w:tc>
          <w:tcPr>
            <w:tcW w:w="1726" w:type="dxa"/>
            <w:tcBorders>
              <w:top w:val="nil"/>
              <w:left w:val="nil"/>
              <w:bottom w:val="single" w:sz="4" w:space="0" w:color="000000"/>
              <w:right w:val="single" w:sz="4" w:space="0" w:color="000000"/>
            </w:tcBorders>
            <w:shd w:val="clear" w:color="auto" w:fill="auto"/>
            <w:vAlign w:val="center"/>
            <w:hideMark/>
          </w:tcPr>
          <w:p w14:paraId="59A6C610" w14:textId="656006FC"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1</w:t>
            </w:r>
            <w:r w:rsidR="00D55D74" w:rsidRPr="00324A19">
              <w:rPr>
                <w:rFonts w:ascii="Calibri" w:eastAsia="Times New Roman" w:hAnsi="Calibri" w:cs="Calibri"/>
                <w:color w:val="1F4E79" w:themeColor="accent1" w:themeShade="80"/>
                <w:sz w:val="22"/>
                <w:szCs w:val="22"/>
                <w:lang w:val="es-ES" w:eastAsia="es-ES"/>
              </w:rPr>
              <w:t>6</w:t>
            </w:r>
          </w:p>
        </w:tc>
        <w:tc>
          <w:tcPr>
            <w:tcW w:w="1485" w:type="dxa"/>
            <w:tcBorders>
              <w:top w:val="nil"/>
              <w:left w:val="nil"/>
              <w:bottom w:val="single" w:sz="4" w:space="0" w:color="000000"/>
              <w:right w:val="single" w:sz="4" w:space="0" w:color="000000"/>
            </w:tcBorders>
            <w:shd w:val="clear" w:color="auto" w:fill="auto"/>
            <w:vAlign w:val="center"/>
            <w:hideMark/>
          </w:tcPr>
          <w:p w14:paraId="6E092ACD" w14:textId="74A10CA5" w:rsidR="009A34A0" w:rsidRPr="00324A19" w:rsidRDefault="00D55D74"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22</w:t>
            </w:r>
            <w:r w:rsidR="009A34A0" w:rsidRPr="00324A19">
              <w:rPr>
                <w:rFonts w:ascii="Calibri" w:eastAsia="Times New Roman" w:hAnsi="Calibri" w:cs="Calibri"/>
                <w:color w:val="1F4E79" w:themeColor="accent1" w:themeShade="80"/>
                <w:sz w:val="22"/>
                <w:szCs w:val="22"/>
                <w:lang w:val="es-ES" w:eastAsia="es-ES"/>
              </w:rPr>
              <w:t>%</w:t>
            </w:r>
          </w:p>
        </w:tc>
        <w:tc>
          <w:tcPr>
            <w:tcW w:w="210" w:type="dxa"/>
            <w:vAlign w:val="center"/>
            <w:hideMark/>
          </w:tcPr>
          <w:p w14:paraId="70BBF640"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29A16069"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1F56B03C"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Asistencias Técnicas a MiPymes en proceso de internacionalización y exportación de bienes y servicios</w:t>
            </w:r>
          </w:p>
        </w:tc>
        <w:tc>
          <w:tcPr>
            <w:tcW w:w="1723" w:type="dxa"/>
            <w:tcBorders>
              <w:top w:val="nil"/>
              <w:left w:val="nil"/>
              <w:bottom w:val="single" w:sz="4" w:space="0" w:color="000000"/>
              <w:right w:val="single" w:sz="4" w:space="0" w:color="000000"/>
            </w:tcBorders>
            <w:shd w:val="clear" w:color="auto" w:fill="auto"/>
            <w:vAlign w:val="center"/>
            <w:hideMark/>
          </w:tcPr>
          <w:p w14:paraId="5BB3ACF6"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68</w:t>
            </w:r>
          </w:p>
        </w:tc>
        <w:tc>
          <w:tcPr>
            <w:tcW w:w="1726" w:type="dxa"/>
            <w:tcBorders>
              <w:top w:val="nil"/>
              <w:left w:val="nil"/>
              <w:bottom w:val="single" w:sz="4" w:space="0" w:color="000000"/>
              <w:right w:val="single" w:sz="4" w:space="0" w:color="000000"/>
            </w:tcBorders>
            <w:shd w:val="clear" w:color="auto" w:fill="auto"/>
            <w:vAlign w:val="center"/>
            <w:hideMark/>
          </w:tcPr>
          <w:p w14:paraId="16FF37EE" w14:textId="7CBFB361"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3</w:t>
            </w:r>
            <w:r w:rsidR="00996011" w:rsidRPr="00324A19">
              <w:rPr>
                <w:rFonts w:ascii="Calibri" w:eastAsia="Times New Roman" w:hAnsi="Calibri" w:cs="Calibri"/>
                <w:color w:val="1F4E79" w:themeColor="accent1" w:themeShade="80"/>
                <w:sz w:val="22"/>
                <w:szCs w:val="22"/>
                <w:lang w:val="es-ES" w:eastAsia="es-ES"/>
              </w:rPr>
              <w:t>7</w:t>
            </w:r>
          </w:p>
        </w:tc>
        <w:tc>
          <w:tcPr>
            <w:tcW w:w="1485" w:type="dxa"/>
            <w:tcBorders>
              <w:top w:val="nil"/>
              <w:left w:val="nil"/>
              <w:bottom w:val="single" w:sz="4" w:space="0" w:color="000000"/>
              <w:right w:val="single" w:sz="4" w:space="0" w:color="000000"/>
            </w:tcBorders>
            <w:shd w:val="clear" w:color="auto" w:fill="auto"/>
            <w:vAlign w:val="center"/>
            <w:hideMark/>
          </w:tcPr>
          <w:p w14:paraId="581161C7" w14:textId="0E5910AB"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5</w:t>
            </w:r>
            <w:r w:rsidR="00996011" w:rsidRPr="00324A19">
              <w:rPr>
                <w:rFonts w:ascii="Calibri" w:eastAsia="Times New Roman" w:hAnsi="Calibri" w:cs="Calibri"/>
                <w:color w:val="1F4E79" w:themeColor="accent1" w:themeShade="80"/>
                <w:sz w:val="22"/>
                <w:szCs w:val="22"/>
                <w:lang w:val="es-ES" w:eastAsia="es-ES"/>
              </w:rPr>
              <w:t>4</w:t>
            </w:r>
            <w:r w:rsidRPr="00324A19">
              <w:rPr>
                <w:rFonts w:ascii="Calibri" w:eastAsia="Times New Roman" w:hAnsi="Calibri" w:cs="Calibri"/>
                <w:color w:val="1F4E79" w:themeColor="accent1" w:themeShade="80"/>
                <w:sz w:val="22"/>
                <w:szCs w:val="22"/>
                <w:lang w:val="es-ES" w:eastAsia="es-ES"/>
              </w:rPr>
              <w:t>%</w:t>
            </w:r>
          </w:p>
        </w:tc>
        <w:tc>
          <w:tcPr>
            <w:tcW w:w="210" w:type="dxa"/>
            <w:vAlign w:val="center"/>
            <w:hideMark/>
          </w:tcPr>
          <w:p w14:paraId="2DE0F19A"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2A401F82"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2EFC7037"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Asistencia Técnica para la Innovación Empresarial de los exportadores</w:t>
            </w:r>
          </w:p>
        </w:tc>
        <w:tc>
          <w:tcPr>
            <w:tcW w:w="1723" w:type="dxa"/>
            <w:tcBorders>
              <w:top w:val="nil"/>
              <w:left w:val="nil"/>
              <w:bottom w:val="single" w:sz="4" w:space="0" w:color="000000"/>
              <w:right w:val="single" w:sz="4" w:space="0" w:color="000000"/>
            </w:tcBorders>
            <w:shd w:val="clear" w:color="auto" w:fill="auto"/>
            <w:vAlign w:val="center"/>
            <w:hideMark/>
          </w:tcPr>
          <w:p w14:paraId="2569C02E"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450</w:t>
            </w:r>
          </w:p>
        </w:tc>
        <w:tc>
          <w:tcPr>
            <w:tcW w:w="1726" w:type="dxa"/>
            <w:tcBorders>
              <w:top w:val="nil"/>
              <w:left w:val="nil"/>
              <w:bottom w:val="single" w:sz="4" w:space="0" w:color="000000"/>
              <w:right w:val="single" w:sz="4" w:space="0" w:color="000000"/>
            </w:tcBorders>
            <w:shd w:val="clear" w:color="auto" w:fill="auto"/>
            <w:vAlign w:val="center"/>
            <w:hideMark/>
          </w:tcPr>
          <w:p w14:paraId="64FE6226"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417</w:t>
            </w:r>
          </w:p>
        </w:tc>
        <w:tc>
          <w:tcPr>
            <w:tcW w:w="1485" w:type="dxa"/>
            <w:tcBorders>
              <w:top w:val="nil"/>
              <w:left w:val="nil"/>
              <w:bottom w:val="single" w:sz="4" w:space="0" w:color="000000"/>
              <w:right w:val="single" w:sz="4" w:space="0" w:color="000000"/>
            </w:tcBorders>
            <w:shd w:val="clear" w:color="auto" w:fill="auto"/>
            <w:vAlign w:val="center"/>
            <w:hideMark/>
          </w:tcPr>
          <w:p w14:paraId="0E0849EA"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93%</w:t>
            </w:r>
          </w:p>
        </w:tc>
        <w:tc>
          <w:tcPr>
            <w:tcW w:w="210" w:type="dxa"/>
            <w:vAlign w:val="center"/>
            <w:hideMark/>
          </w:tcPr>
          <w:p w14:paraId="6F083E04"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0A536241"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79058209"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Resoluciones de Admisión Temporal de la Ley 84-99</w:t>
            </w:r>
          </w:p>
        </w:tc>
        <w:tc>
          <w:tcPr>
            <w:tcW w:w="1723" w:type="dxa"/>
            <w:tcBorders>
              <w:top w:val="nil"/>
              <w:left w:val="nil"/>
              <w:bottom w:val="single" w:sz="4" w:space="0" w:color="000000"/>
              <w:right w:val="single" w:sz="4" w:space="0" w:color="000000"/>
            </w:tcBorders>
            <w:shd w:val="clear" w:color="auto" w:fill="auto"/>
            <w:vAlign w:val="center"/>
            <w:hideMark/>
          </w:tcPr>
          <w:p w14:paraId="635A7BDE"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60</w:t>
            </w:r>
          </w:p>
        </w:tc>
        <w:tc>
          <w:tcPr>
            <w:tcW w:w="1726" w:type="dxa"/>
            <w:tcBorders>
              <w:top w:val="nil"/>
              <w:left w:val="nil"/>
              <w:bottom w:val="single" w:sz="4" w:space="0" w:color="000000"/>
              <w:right w:val="single" w:sz="4" w:space="0" w:color="000000"/>
            </w:tcBorders>
            <w:shd w:val="clear" w:color="auto" w:fill="auto"/>
            <w:vAlign w:val="center"/>
            <w:hideMark/>
          </w:tcPr>
          <w:p w14:paraId="214EE35E"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30</w:t>
            </w:r>
          </w:p>
        </w:tc>
        <w:tc>
          <w:tcPr>
            <w:tcW w:w="1485" w:type="dxa"/>
            <w:tcBorders>
              <w:top w:val="nil"/>
              <w:left w:val="nil"/>
              <w:bottom w:val="single" w:sz="4" w:space="0" w:color="000000"/>
              <w:right w:val="single" w:sz="4" w:space="0" w:color="000000"/>
            </w:tcBorders>
            <w:shd w:val="clear" w:color="auto" w:fill="auto"/>
            <w:vAlign w:val="center"/>
            <w:hideMark/>
          </w:tcPr>
          <w:p w14:paraId="6A756051"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50%</w:t>
            </w:r>
          </w:p>
        </w:tc>
        <w:tc>
          <w:tcPr>
            <w:tcW w:w="210" w:type="dxa"/>
            <w:vAlign w:val="center"/>
            <w:hideMark/>
          </w:tcPr>
          <w:p w14:paraId="33FCF518"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1B7EDE" w:rsidRPr="00324A19" w14:paraId="696F1D87" w14:textId="77777777" w:rsidTr="00813E62">
        <w:trPr>
          <w:trHeight w:val="19"/>
        </w:trPr>
        <w:tc>
          <w:tcPr>
            <w:tcW w:w="2463" w:type="dxa"/>
            <w:tcBorders>
              <w:top w:val="nil"/>
              <w:left w:val="single" w:sz="4" w:space="0" w:color="auto"/>
              <w:bottom w:val="single" w:sz="4" w:space="0" w:color="auto"/>
              <w:right w:val="single" w:sz="4" w:space="0" w:color="auto"/>
            </w:tcBorders>
            <w:shd w:val="clear" w:color="000000" w:fill="FFFFFF"/>
            <w:vAlign w:val="center"/>
            <w:hideMark/>
          </w:tcPr>
          <w:p w14:paraId="3BED047F" w14:textId="6F84D7B0"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Empresas beneficiadas en encadenamiento productivo</w:t>
            </w:r>
          </w:p>
        </w:tc>
        <w:tc>
          <w:tcPr>
            <w:tcW w:w="1723" w:type="dxa"/>
            <w:tcBorders>
              <w:top w:val="nil"/>
              <w:left w:val="nil"/>
              <w:bottom w:val="single" w:sz="4" w:space="0" w:color="000000"/>
              <w:right w:val="single" w:sz="4" w:space="0" w:color="000000"/>
            </w:tcBorders>
            <w:shd w:val="clear" w:color="auto" w:fill="auto"/>
            <w:vAlign w:val="center"/>
            <w:hideMark/>
          </w:tcPr>
          <w:p w14:paraId="0ED24E69"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31</w:t>
            </w:r>
          </w:p>
        </w:tc>
        <w:tc>
          <w:tcPr>
            <w:tcW w:w="1726" w:type="dxa"/>
            <w:tcBorders>
              <w:top w:val="nil"/>
              <w:left w:val="nil"/>
              <w:bottom w:val="single" w:sz="4" w:space="0" w:color="000000"/>
              <w:right w:val="single" w:sz="4" w:space="0" w:color="000000"/>
            </w:tcBorders>
            <w:shd w:val="clear" w:color="auto" w:fill="auto"/>
            <w:vAlign w:val="center"/>
            <w:hideMark/>
          </w:tcPr>
          <w:p w14:paraId="3516D68E"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0</w:t>
            </w:r>
          </w:p>
        </w:tc>
        <w:tc>
          <w:tcPr>
            <w:tcW w:w="1485" w:type="dxa"/>
            <w:tcBorders>
              <w:top w:val="nil"/>
              <w:left w:val="nil"/>
              <w:bottom w:val="single" w:sz="4" w:space="0" w:color="000000"/>
              <w:right w:val="single" w:sz="4" w:space="0" w:color="000000"/>
            </w:tcBorders>
            <w:shd w:val="clear" w:color="auto" w:fill="auto"/>
            <w:vAlign w:val="center"/>
            <w:hideMark/>
          </w:tcPr>
          <w:p w14:paraId="4831D935" w14:textId="77777777" w:rsidR="009A34A0" w:rsidRPr="00324A19" w:rsidRDefault="009A34A0" w:rsidP="00813E62">
            <w:pPr>
              <w:spacing w:after="0" w:line="360" w:lineRule="auto"/>
              <w:ind w:firstLine="284"/>
              <w:jc w:val="center"/>
              <w:rPr>
                <w:rFonts w:ascii="Calibri" w:eastAsia="Times New Roman" w:hAnsi="Calibri" w:cs="Calibri"/>
                <w:color w:val="1F4E79" w:themeColor="accent1" w:themeShade="80"/>
                <w:sz w:val="22"/>
                <w:szCs w:val="22"/>
                <w:lang w:val="es-ES" w:eastAsia="es-ES"/>
              </w:rPr>
            </w:pPr>
            <w:r w:rsidRPr="00324A19">
              <w:rPr>
                <w:rFonts w:ascii="Calibri" w:eastAsia="Times New Roman" w:hAnsi="Calibri" w:cs="Calibri"/>
                <w:color w:val="1F4E79" w:themeColor="accent1" w:themeShade="80"/>
                <w:sz w:val="22"/>
                <w:szCs w:val="22"/>
                <w:lang w:val="es-ES" w:eastAsia="es-ES"/>
              </w:rPr>
              <w:t>0%</w:t>
            </w:r>
          </w:p>
        </w:tc>
        <w:tc>
          <w:tcPr>
            <w:tcW w:w="210" w:type="dxa"/>
            <w:vAlign w:val="center"/>
            <w:hideMark/>
          </w:tcPr>
          <w:p w14:paraId="3B669501"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r w:rsidR="009A34A0" w:rsidRPr="00324A19" w14:paraId="638A27AE" w14:textId="77777777" w:rsidTr="00813E62">
        <w:trPr>
          <w:trHeight w:val="19"/>
        </w:trPr>
        <w:tc>
          <w:tcPr>
            <w:tcW w:w="7397" w:type="dxa"/>
            <w:gridSpan w:val="4"/>
            <w:tcBorders>
              <w:top w:val="nil"/>
              <w:left w:val="nil"/>
              <w:bottom w:val="nil"/>
              <w:right w:val="nil"/>
            </w:tcBorders>
            <w:shd w:val="clear" w:color="auto" w:fill="auto"/>
            <w:vAlign w:val="bottom"/>
            <w:hideMark/>
          </w:tcPr>
          <w:p w14:paraId="66CCBFE6" w14:textId="77777777" w:rsidR="009A34A0" w:rsidRPr="00324A19" w:rsidRDefault="009A34A0"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Fuente: ProDominicana.</w:t>
            </w:r>
          </w:p>
        </w:tc>
        <w:tc>
          <w:tcPr>
            <w:tcW w:w="210" w:type="dxa"/>
            <w:vAlign w:val="center"/>
            <w:hideMark/>
          </w:tcPr>
          <w:p w14:paraId="57EABE0F" w14:textId="77777777" w:rsidR="009A34A0" w:rsidRPr="00324A19" w:rsidRDefault="009A34A0" w:rsidP="00813E62">
            <w:pPr>
              <w:spacing w:after="0" w:line="360" w:lineRule="auto"/>
              <w:ind w:firstLine="284"/>
              <w:rPr>
                <w:rFonts w:ascii="Times New Roman" w:eastAsia="Times New Roman" w:hAnsi="Times New Roman" w:cs="Times New Roman"/>
                <w:color w:val="1F4E79" w:themeColor="accent1" w:themeShade="80"/>
                <w:sz w:val="20"/>
                <w:szCs w:val="20"/>
                <w:lang w:val="es-ES" w:eastAsia="es-ES"/>
              </w:rPr>
            </w:pPr>
          </w:p>
        </w:tc>
      </w:tr>
    </w:tbl>
    <w:p w14:paraId="0E193B6F" w14:textId="02CE6EC6" w:rsidR="00D72D16" w:rsidRPr="00324A19" w:rsidRDefault="00D72D16" w:rsidP="00813E62">
      <w:pPr>
        <w:spacing w:before="380" w:after="120" w:line="456" w:lineRule="auto"/>
        <w:jc w:val="both"/>
        <w:rPr>
          <w:rFonts w:ascii="Artifex CF Extra Light" w:hAnsi="Artifex CF Extra Light" w:cs="Times New Roman"/>
          <w:b/>
          <w:color w:val="1F4E79" w:themeColor="accent1" w:themeShade="80"/>
          <w:sz w:val="18"/>
          <w:szCs w:val="18"/>
          <w:lang w:val="es-DO"/>
        </w:rPr>
      </w:pPr>
    </w:p>
    <w:tbl>
      <w:tblPr>
        <w:tblW w:w="0" w:type="auto"/>
        <w:tblLayout w:type="fixed"/>
        <w:tblCellMar>
          <w:left w:w="70" w:type="dxa"/>
          <w:right w:w="70" w:type="dxa"/>
        </w:tblCellMar>
        <w:tblLook w:val="04A0" w:firstRow="1" w:lastRow="0" w:firstColumn="1" w:lastColumn="0" w:noHBand="0" w:noVBand="1"/>
      </w:tblPr>
      <w:tblGrid>
        <w:gridCol w:w="4180"/>
        <w:gridCol w:w="3880"/>
      </w:tblGrid>
      <w:tr w:rsidR="001B7EDE" w:rsidRPr="00324A19" w14:paraId="5533677C" w14:textId="77777777" w:rsidTr="00C37131">
        <w:trPr>
          <w:trHeight w:val="20"/>
          <w:tblHeader/>
        </w:trPr>
        <w:tc>
          <w:tcPr>
            <w:tcW w:w="8060" w:type="dxa"/>
            <w:gridSpan w:val="2"/>
            <w:tcBorders>
              <w:top w:val="nil"/>
              <w:left w:val="nil"/>
              <w:bottom w:val="single" w:sz="4" w:space="0" w:color="auto"/>
              <w:right w:val="nil"/>
            </w:tcBorders>
            <w:shd w:val="clear" w:color="auto" w:fill="auto"/>
            <w:vAlign w:val="bottom"/>
            <w:hideMark/>
          </w:tcPr>
          <w:p w14:paraId="1326DE86" w14:textId="6A788CAA" w:rsidR="00613F42" w:rsidRPr="00324A19" w:rsidRDefault="00613F42" w:rsidP="00813E62">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324A19">
              <w:rPr>
                <w:rFonts w:ascii="Artifex CF Extra Light" w:eastAsia="Times New Roman" w:hAnsi="Artifex CF Extra Light" w:cs="Calibri"/>
                <w:b/>
                <w:color w:val="1F4E79" w:themeColor="accent1" w:themeShade="80"/>
                <w:sz w:val="18"/>
                <w:szCs w:val="18"/>
                <w:lang w:val="es-ES" w:eastAsia="es-ES"/>
              </w:rPr>
              <w:lastRenderedPageBreak/>
              <w:t xml:space="preserve">Anexo </w:t>
            </w:r>
            <w:r w:rsidR="002F1E43" w:rsidRPr="00324A19">
              <w:rPr>
                <w:rFonts w:ascii="Artifex CF Extra Light" w:eastAsia="Times New Roman" w:hAnsi="Artifex CF Extra Light" w:cs="Calibri"/>
                <w:b/>
                <w:color w:val="1F4E79" w:themeColor="accent1" w:themeShade="80"/>
                <w:sz w:val="18"/>
                <w:szCs w:val="18"/>
                <w:lang w:val="es-ES" w:eastAsia="es-ES"/>
              </w:rPr>
              <w:t>6</w:t>
            </w:r>
            <w:r w:rsidRPr="00324A19">
              <w:rPr>
                <w:rFonts w:ascii="Artifex CF Extra Light" w:eastAsia="Times New Roman" w:hAnsi="Artifex CF Extra Light" w:cs="Calibri"/>
                <w:b/>
                <w:color w:val="1F4E79" w:themeColor="accent1" w:themeShade="80"/>
                <w:sz w:val="18"/>
                <w:szCs w:val="18"/>
                <w:lang w:val="es-ES" w:eastAsia="es-ES"/>
              </w:rPr>
              <w:t>. Proveedores de ProDominicana.</w:t>
            </w:r>
          </w:p>
        </w:tc>
      </w:tr>
      <w:tr w:rsidR="001B7EDE" w:rsidRPr="006F2F51" w14:paraId="54E6C203" w14:textId="77777777" w:rsidTr="00C37131">
        <w:trPr>
          <w:trHeight w:val="20"/>
          <w:tblHeader/>
        </w:trPr>
        <w:tc>
          <w:tcPr>
            <w:tcW w:w="8060" w:type="dxa"/>
            <w:gridSpan w:val="2"/>
            <w:tcBorders>
              <w:top w:val="single" w:sz="4" w:space="0" w:color="auto"/>
              <w:left w:val="single" w:sz="4" w:space="0" w:color="auto"/>
              <w:bottom w:val="single" w:sz="4" w:space="0" w:color="auto"/>
              <w:right w:val="single" w:sz="4" w:space="0" w:color="000000"/>
            </w:tcBorders>
            <w:shd w:val="clear" w:color="000000" w:fill="1F4E78"/>
            <w:vAlign w:val="center"/>
            <w:hideMark/>
          </w:tcPr>
          <w:p w14:paraId="3015F1B7" w14:textId="74B9E255" w:rsidR="00613F42" w:rsidRPr="00324A19" w:rsidRDefault="00613F42" w:rsidP="00813E62">
            <w:pPr>
              <w:spacing w:after="0" w:line="360" w:lineRule="auto"/>
              <w:ind w:firstLine="284"/>
              <w:jc w:val="center"/>
              <w:rPr>
                <w:rFonts w:ascii="Artifex CF Extra Light" w:eastAsia="Times New Roman" w:hAnsi="Artifex CF Extra Light" w:cs="Calibri"/>
                <w:b/>
                <w:color w:val="1F4E79" w:themeColor="accent1" w:themeShade="80"/>
                <w:sz w:val="18"/>
                <w:szCs w:val="18"/>
                <w:lang w:val="es-ES" w:eastAsia="es-ES"/>
              </w:rPr>
            </w:pPr>
            <w:r w:rsidRPr="00813E62">
              <w:rPr>
                <w:rFonts w:ascii="Artifex CF Extra Light" w:eastAsia="Times New Roman" w:hAnsi="Artifex CF Extra Light" w:cs="Calibri"/>
                <w:b/>
                <w:color w:val="FFFFFF" w:themeColor="background1"/>
                <w:sz w:val="18"/>
                <w:szCs w:val="18"/>
                <w:lang w:val="es-ES" w:eastAsia="es-ES"/>
              </w:rPr>
              <w:t>Proveedores contratados por ProDominicana durante el 2020</w:t>
            </w:r>
          </w:p>
        </w:tc>
      </w:tr>
      <w:tr w:rsidR="001B7EDE" w:rsidRPr="00324A19" w14:paraId="5E810D5C"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33ADC056"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Abogados Cabrera &amp; Hernández, SRL</w:t>
            </w:r>
          </w:p>
        </w:tc>
        <w:tc>
          <w:tcPr>
            <w:tcW w:w="3880" w:type="dxa"/>
            <w:tcBorders>
              <w:top w:val="nil"/>
              <w:left w:val="nil"/>
              <w:bottom w:val="single" w:sz="4" w:space="0" w:color="auto"/>
              <w:right w:val="single" w:sz="4" w:space="0" w:color="auto"/>
            </w:tcBorders>
            <w:shd w:val="clear" w:color="000000" w:fill="FFFFFF"/>
            <w:vAlign w:val="center"/>
            <w:hideMark/>
          </w:tcPr>
          <w:p w14:paraId="2BB87584"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Gaman Copicentro, SRL</w:t>
            </w:r>
          </w:p>
        </w:tc>
      </w:tr>
      <w:tr w:rsidR="001B7EDE" w:rsidRPr="00324A19" w14:paraId="13F0E794"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17EA7C68"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Acanto, EIRL</w:t>
            </w:r>
          </w:p>
        </w:tc>
        <w:tc>
          <w:tcPr>
            <w:tcW w:w="3880" w:type="dxa"/>
            <w:tcBorders>
              <w:top w:val="nil"/>
              <w:left w:val="nil"/>
              <w:bottom w:val="single" w:sz="4" w:space="0" w:color="auto"/>
              <w:right w:val="single" w:sz="4" w:space="0" w:color="auto"/>
            </w:tcBorders>
            <w:shd w:val="clear" w:color="000000" w:fill="FFFFFF"/>
            <w:vAlign w:val="center"/>
            <w:hideMark/>
          </w:tcPr>
          <w:p w14:paraId="19B37089"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Garcia Llallacachi Suministros, SRL</w:t>
            </w:r>
          </w:p>
        </w:tc>
      </w:tr>
      <w:tr w:rsidR="001B7EDE" w:rsidRPr="00324A19" w14:paraId="28FCB1E6"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1BF0C7E6"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Actividades Caoma, SRL</w:t>
            </w:r>
          </w:p>
        </w:tc>
        <w:tc>
          <w:tcPr>
            <w:tcW w:w="3880" w:type="dxa"/>
            <w:tcBorders>
              <w:top w:val="nil"/>
              <w:left w:val="nil"/>
              <w:bottom w:val="single" w:sz="4" w:space="0" w:color="auto"/>
              <w:right w:val="single" w:sz="4" w:space="0" w:color="auto"/>
            </w:tcBorders>
            <w:shd w:val="clear" w:color="000000" w:fill="FFFFFF"/>
            <w:vAlign w:val="center"/>
            <w:hideMark/>
          </w:tcPr>
          <w:p w14:paraId="7F317FB1"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Gout Investments, SRL</w:t>
            </w:r>
          </w:p>
        </w:tc>
      </w:tr>
      <w:tr w:rsidR="001B7EDE" w:rsidRPr="00324A19" w14:paraId="2885D3B9"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01417D21"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Agencia de Viajes Milena Tours, SRL</w:t>
            </w:r>
          </w:p>
        </w:tc>
        <w:tc>
          <w:tcPr>
            <w:tcW w:w="3880" w:type="dxa"/>
            <w:tcBorders>
              <w:top w:val="nil"/>
              <w:left w:val="nil"/>
              <w:bottom w:val="single" w:sz="4" w:space="0" w:color="auto"/>
              <w:right w:val="single" w:sz="4" w:space="0" w:color="auto"/>
            </w:tcBorders>
            <w:shd w:val="clear" w:color="000000" w:fill="FFFFFF"/>
            <w:vAlign w:val="center"/>
            <w:hideMark/>
          </w:tcPr>
          <w:p w14:paraId="486A13C9"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Grafik2, SRL</w:t>
            </w:r>
          </w:p>
        </w:tc>
      </w:tr>
      <w:tr w:rsidR="001B7EDE" w:rsidRPr="00324A19" w14:paraId="5BCD0352"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31182D03"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Agua Planeta Azul, S.A.</w:t>
            </w:r>
          </w:p>
        </w:tc>
        <w:tc>
          <w:tcPr>
            <w:tcW w:w="3880" w:type="dxa"/>
            <w:tcBorders>
              <w:top w:val="nil"/>
              <w:left w:val="nil"/>
              <w:bottom w:val="single" w:sz="4" w:space="0" w:color="auto"/>
              <w:right w:val="single" w:sz="4" w:space="0" w:color="auto"/>
            </w:tcBorders>
            <w:shd w:val="clear" w:color="000000" w:fill="FFFFFF"/>
            <w:vAlign w:val="center"/>
            <w:hideMark/>
          </w:tcPr>
          <w:p w14:paraId="0783868A"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Green Dew Group, SRL</w:t>
            </w:r>
          </w:p>
        </w:tc>
      </w:tr>
      <w:tr w:rsidR="001B7EDE" w:rsidRPr="00324A19" w14:paraId="66110864"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63053A8D"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Almacenes Unidos, S A S</w:t>
            </w:r>
          </w:p>
        </w:tc>
        <w:tc>
          <w:tcPr>
            <w:tcW w:w="3880" w:type="dxa"/>
            <w:tcBorders>
              <w:top w:val="nil"/>
              <w:left w:val="nil"/>
              <w:bottom w:val="single" w:sz="4" w:space="0" w:color="auto"/>
              <w:right w:val="single" w:sz="4" w:space="0" w:color="auto"/>
            </w:tcBorders>
            <w:shd w:val="clear" w:color="000000" w:fill="FFFFFF"/>
            <w:vAlign w:val="center"/>
            <w:hideMark/>
          </w:tcPr>
          <w:p w14:paraId="5AA4244A"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Grupo Astro, SRL</w:t>
            </w:r>
          </w:p>
        </w:tc>
      </w:tr>
      <w:tr w:rsidR="001B7EDE" w:rsidRPr="00324A19" w14:paraId="52493526"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367BD88B"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Alumhouse Import, SRL</w:t>
            </w:r>
          </w:p>
        </w:tc>
        <w:tc>
          <w:tcPr>
            <w:tcW w:w="3880" w:type="dxa"/>
            <w:tcBorders>
              <w:top w:val="nil"/>
              <w:left w:val="nil"/>
              <w:bottom w:val="single" w:sz="4" w:space="0" w:color="auto"/>
              <w:right w:val="single" w:sz="4" w:space="0" w:color="auto"/>
            </w:tcBorders>
            <w:shd w:val="clear" w:color="000000" w:fill="FFFFFF"/>
            <w:vAlign w:val="center"/>
            <w:hideMark/>
          </w:tcPr>
          <w:p w14:paraId="482F1BC5"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Grupo Hencury, SRL</w:t>
            </w:r>
          </w:p>
        </w:tc>
      </w:tr>
      <w:tr w:rsidR="001B7EDE" w:rsidRPr="00324A19" w14:paraId="666895E1"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5D88D1D0"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eastAsia="es-ES"/>
              </w:rPr>
            </w:pPr>
            <w:r w:rsidRPr="00324A19">
              <w:rPr>
                <w:rFonts w:ascii="Artifex CF Extra Light" w:eastAsia="Times New Roman" w:hAnsi="Artifex CF Extra Light" w:cs="Calibri"/>
                <w:color w:val="1F4E79" w:themeColor="accent1" w:themeShade="80"/>
                <w:sz w:val="18"/>
                <w:szCs w:val="18"/>
                <w:lang w:eastAsia="es-ES"/>
              </w:rPr>
              <w:t>American Business Machine, SRL (ABM)</w:t>
            </w:r>
          </w:p>
        </w:tc>
        <w:tc>
          <w:tcPr>
            <w:tcW w:w="3880" w:type="dxa"/>
            <w:tcBorders>
              <w:top w:val="nil"/>
              <w:left w:val="nil"/>
              <w:bottom w:val="single" w:sz="4" w:space="0" w:color="auto"/>
              <w:right w:val="single" w:sz="4" w:space="0" w:color="auto"/>
            </w:tcBorders>
            <w:shd w:val="clear" w:color="000000" w:fill="FFFFFF"/>
            <w:vAlign w:val="center"/>
            <w:hideMark/>
          </w:tcPr>
          <w:p w14:paraId="64E5FEB0"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Grupo KM MT, EIRL</w:t>
            </w:r>
          </w:p>
        </w:tc>
      </w:tr>
      <w:tr w:rsidR="001B7EDE" w:rsidRPr="00324A19" w14:paraId="6C009E4D"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554AC0D0"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Angie Porcella Catering, SRL</w:t>
            </w:r>
          </w:p>
        </w:tc>
        <w:tc>
          <w:tcPr>
            <w:tcW w:w="3880" w:type="dxa"/>
            <w:tcBorders>
              <w:top w:val="nil"/>
              <w:left w:val="nil"/>
              <w:bottom w:val="single" w:sz="4" w:space="0" w:color="auto"/>
              <w:right w:val="single" w:sz="4" w:space="0" w:color="auto"/>
            </w:tcBorders>
            <w:shd w:val="clear" w:color="000000" w:fill="FFFFFF"/>
            <w:vAlign w:val="center"/>
            <w:hideMark/>
          </w:tcPr>
          <w:p w14:paraId="2FD3D0DE"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Grupo LFA, SRL</w:t>
            </w:r>
          </w:p>
        </w:tc>
      </w:tr>
      <w:tr w:rsidR="001B7EDE" w:rsidRPr="00324A19" w14:paraId="5F2B600F"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6EC5DF04"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Angie Porcella Catering, SRL</w:t>
            </w:r>
          </w:p>
        </w:tc>
        <w:tc>
          <w:tcPr>
            <w:tcW w:w="3880" w:type="dxa"/>
            <w:tcBorders>
              <w:top w:val="nil"/>
              <w:left w:val="nil"/>
              <w:bottom w:val="single" w:sz="4" w:space="0" w:color="auto"/>
              <w:right w:val="single" w:sz="4" w:space="0" w:color="auto"/>
            </w:tcBorders>
            <w:shd w:val="clear" w:color="000000" w:fill="FFFFFF"/>
            <w:vAlign w:val="center"/>
            <w:hideMark/>
          </w:tcPr>
          <w:p w14:paraId="38097DC9"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Grupo Pocatello, SRL</w:t>
            </w:r>
          </w:p>
        </w:tc>
      </w:tr>
      <w:tr w:rsidR="001B7EDE" w:rsidRPr="00324A19" w14:paraId="3FA68008"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1E1109B3"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Aquarius Conesol, SRL</w:t>
            </w:r>
          </w:p>
        </w:tc>
        <w:tc>
          <w:tcPr>
            <w:tcW w:w="3880" w:type="dxa"/>
            <w:tcBorders>
              <w:top w:val="nil"/>
              <w:left w:val="nil"/>
              <w:bottom w:val="single" w:sz="4" w:space="0" w:color="auto"/>
              <w:right w:val="single" w:sz="4" w:space="0" w:color="auto"/>
            </w:tcBorders>
            <w:shd w:val="clear" w:color="000000" w:fill="FFFFFF"/>
            <w:vAlign w:val="center"/>
            <w:hideMark/>
          </w:tcPr>
          <w:p w14:paraId="0EADE13C"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GTG Industrial, SRL</w:t>
            </w:r>
          </w:p>
        </w:tc>
      </w:tr>
      <w:tr w:rsidR="001B7EDE" w:rsidRPr="00324A19" w14:paraId="53EC532C"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18A8673"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Ascary Corp, SRL</w:t>
            </w:r>
          </w:p>
        </w:tc>
        <w:tc>
          <w:tcPr>
            <w:tcW w:w="3880" w:type="dxa"/>
            <w:tcBorders>
              <w:top w:val="nil"/>
              <w:left w:val="nil"/>
              <w:bottom w:val="single" w:sz="4" w:space="0" w:color="auto"/>
              <w:right w:val="single" w:sz="4" w:space="0" w:color="auto"/>
            </w:tcBorders>
            <w:shd w:val="clear" w:color="000000" w:fill="FFFFFF"/>
            <w:vAlign w:val="center"/>
            <w:hideMark/>
          </w:tcPr>
          <w:p w14:paraId="6A54D7EB"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Haffet Artemania, SRL</w:t>
            </w:r>
          </w:p>
        </w:tc>
      </w:tr>
      <w:tr w:rsidR="001B7EDE" w:rsidRPr="00324A19" w14:paraId="27D93218"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2C3FA20B"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Ascary, SRL</w:t>
            </w:r>
          </w:p>
        </w:tc>
        <w:tc>
          <w:tcPr>
            <w:tcW w:w="3880" w:type="dxa"/>
            <w:tcBorders>
              <w:top w:val="nil"/>
              <w:left w:val="nil"/>
              <w:bottom w:val="single" w:sz="4" w:space="0" w:color="auto"/>
              <w:right w:val="single" w:sz="4" w:space="0" w:color="auto"/>
            </w:tcBorders>
            <w:shd w:val="clear" w:color="000000" w:fill="FFFFFF"/>
            <w:vAlign w:val="center"/>
            <w:hideMark/>
          </w:tcPr>
          <w:p w14:paraId="2038386B"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Imprenta la Unión, SRL</w:t>
            </w:r>
          </w:p>
        </w:tc>
      </w:tr>
      <w:tr w:rsidR="001B7EDE" w:rsidRPr="00324A19" w14:paraId="440389D6"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526398A9"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Banderas del Mundo, SRL</w:t>
            </w:r>
          </w:p>
        </w:tc>
        <w:tc>
          <w:tcPr>
            <w:tcW w:w="3880" w:type="dxa"/>
            <w:tcBorders>
              <w:top w:val="nil"/>
              <w:left w:val="nil"/>
              <w:bottom w:val="single" w:sz="4" w:space="0" w:color="auto"/>
              <w:right w:val="single" w:sz="4" w:space="0" w:color="auto"/>
            </w:tcBorders>
            <w:shd w:val="clear" w:color="000000" w:fill="FFFFFF"/>
            <w:vAlign w:val="center"/>
            <w:hideMark/>
          </w:tcPr>
          <w:p w14:paraId="51E47258"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Industria Bauger, SRL</w:t>
            </w:r>
          </w:p>
        </w:tc>
      </w:tr>
      <w:tr w:rsidR="001B7EDE" w:rsidRPr="006F2F51" w14:paraId="4DF95242"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56CBB7D9"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Banderas Global HC SRL</w:t>
            </w:r>
          </w:p>
        </w:tc>
        <w:tc>
          <w:tcPr>
            <w:tcW w:w="3880" w:type="dxa"/>
            <w:tcBorders>
              <w:top w:val="nil"/>
              <w:left w:val="nil"/>
              <w:bottom w:val="single" w:sz="4" w:space="0" w:color="auto"/>
              <w:right w:val="single" w:sz="4" w:space="0" w:color="auto"/>
            </w:tcBorders>
            <w:shd w:val="clear" w:color="000000" w:fill="FFFFFF"/>
            <w:vAlign w:val="center"/>
            <w:hideMark/>
          </w:tcPr>
          <w:p w14:paraId="6058E941"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Industria Gráfica Dominicana INDUGRAFD, SRL</w:t>
            </w:r>
          </w:p>
        </w:tc>
      </w:tr>
      <w:tr w:rsidR="001B7EDE" w:rsidRPr="00324A19" w14:paraId="16A134E0"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0D57A2D"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Banderpack, SRL</w:t>
            </w:r>
          </w:p>
        </w:tc>
        <w:tc>
          <w:tcPr>
            <w:tcW w:w="3880" w:type="dxa"/>
            <w:tcBorders>
              <w:top w:val="nil"/>
              <w:left w:val="nil"/>
              <w:bottom w:val="single" w:sz="4" w:space="0" w:color="auto"/>
              <w:right w:val="single" w:sz="4" w:space="0" w:color="auto"/>
            </w:tcBorders>
            <w:shd w:val="clear" w:color="000000" w:fill="FFFFFF"/>
            <w:vAlign w:val="center"/>
            <w:hideMark/>
          </w:tcPr>
          <w:p w14:paraId="48BD0622"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Industrias Claudette, SRL</w:t>
            </w:r>
          </w:p>
        </w:tc>
      </w:tr>
      <w:tr w:rsidR="001B7EDE" w:rsidRPr="00324A19" w14:paraId="0B229C86"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17625C7"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Batissa, SRL</w:t>
            </w:r>
          </w:p>
        </w:tc>
        <w:tc>
          <w:tcPr>
            <w:tcW w:w="3880" w:type="dxa"/>
            <w:tcBorders>
              <w:top w:val="nil"/>
              <w:left w:val="nil"/>
              <w:bottom w:val="single" w:sz="4" w:space="0" w:color="auto"/>
              <w:right w:val="single" w:sz="4" w:space="0" w:color="auto"/>
            </w:tcBorders>
            <w:shd w:val="clear" w:color="000000" w:fill="FFFFFF"/>
            <w:vAlign w:val="center"/>
            <w:hideMark/>
          </w:tcPr>
          <w:p w14:paraId="6C942A2B"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Interdeco, SRL</w:t>
            </w:r>
          </w:p>
        </w:tc>
      </w:tr>
      <w:tr w:rsidR="001B7EDE" w:rsidRPr="00324A19" w14:paraId="438B27A9"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9DB7F8B"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Benigno Zapatero, SRL</w:t>
            </w:r>
          </w:p>
        </w:tc>
        <w:tc>
          <w:tcPr>
            <w:tcW w:w="3880" w:type="dxa"/>
            <w:tcBorders>
              <w:top w:val="nil"/>
              <w:left w:val="nil"/>
              <w:bottom w:val="single" w:sz="4" w:space="0" w:color="auto"/>
              <w:right w:val="single" w:sz="4" w:space="0" w:color="auto"/>
            </w:tcBorders>
            <w:shd w:val="clear" w:color="000000" w:fill="FFFFFF"/>
            <w:vAlign w:val="center"/>
            <w:hideMark/>
          </w:tcPr>
          <w:p w14:paraId="04B8E08D"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Inversiones Alethea, SRL</w:t>
            </w:r>
          </w:p>
        </w:tc>
      </w:tr>
      <w:tr w:rsidR="001B7EDE" w:rsidRPr="00324A19" w14:paraId="7EBB97D0"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C7D5F34"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Big Films, SRL</w:t>
            </w:r>
          </w:p>
        </w:tc>
        <w:tc>
          <w:tcPr>
            <w:tcW w:w="3880" w:type="dxa"/>
            <w:tcBorders>
              <w:top w:val="nil"/>
              <w:left w:val="nil"/>
              <w:bottom w:val="single" w:sz="4" w:space="0" w:color="auto"/>
              <w:right w:val="single" w:sz="4" w:space="0" w:color="auto"/>
            </w:tcBorders>
            <w:shd w:val="clear" w:color="000000" w:fill="FFFFFF"/>
            <w:vAlign w:val="center"/>
            <w:hideMark/>
          </w:tcPr>
          <w:p w14:paraId="00BA1B72"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Inversiones AMV, SRL</w:t>
            </w:r>
          </w:p>
        </w:tc>
      </w:tr>
      <w:tr w:rsidR="001B7EDE" w:rsidRPr="00324A19" w14:paraId="3DDE8EE1"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DBBF7A1"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Big Films, SRL</w:t>
            </w:r>
          </w:p>
        </w:tc>
        <w:tc>
          <w:tcPr>
            <w:tcW w:w="3880" w:type="dxa"/>
            <w:tcBorders>
              <w:top w:val="nil"/>
              <w:left w:val="nil"/>
              <w:bottom w:val="single" w:sz="4" w:space="0" w:color="auto"/>
              <w:right w:val="single" w:sz="4" w:space="0" w:color="auto"/>
            </w:tcBorders>
            <w:shd w:val="clear" w:color="000000" w:fill="FFFFFF"/>
            <w:vAlign w:val="center"/>
            <w:hideMark/>
          </w:tcPr>
          <w:p w14:paraId="2F17C49D"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Isbcomercciall, SRL</w:t>
            </w:r>
          </w:p>
        </w:tc>
      </w:tr>
      <w:tr w:rsidR="001B7EDE" w:rsidRPr="00324A19" w14:paraId="1C9C13C2"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1E1C3165"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Blackout Dominicana SK, SRL</w:t>
            </w:r>
          </w:p>
        </w:tc>
        <w:tc>
          <w:tcPr>
            <w:tcW w:w="3880" w:type="dxa"/>
            <w:tcBorders>
              <w:top w:val="nil"/>
              <w:left w:val="nil"/>
              <w:bottom w:val="single" w:sz="4" w:space="0" w:color="auto"/>
              <w:right w:val="single" w:sz="4" w:space="0" w:color="auto"/>
            </w:tcBorders>
            <w:shd w:val="clear" w:color="000000" w:fill="FFFFFF"/>
            <w:vAlign w:val="center"/>
            <w:hideMark/>
          </w:tcPr>
          <w:p w14:paraId="3A9FB97F"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JDI Soluciones Empresariales, SRL</w:t>
            </w:r>
          </w:p>
        </w:tc>
      </w:tr>
      <w:tr w:rsidR="001B7EDE" w:rsidRPr="00324A19" w14:paraId="716985C3"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2AAEAC0E"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eastAsia="es-ES"/>
              </w:rPr>
            </w:pPr>
            <w:r w:rsidRPr="00324A19">
              <w:rPr>
                <w:rFonts w:ascii="Artifex CF Extra Light" w:eastAsia="Times New Roman" w:hAnsi="Artifex CF Extra Light" w:cs="Calibri"/>
                <w:color w:val="1F4E79" w:themeColor="accent1" w:themeShade="80"/>
                <w:sz w:val="18"/>
                <w:szCs w:val="18"/>
                <w:lang w:eastAsia="es-ES"/>
              </w:rPr>
              <w:t>Brothers RSR Suply Offices, SRL</w:t>
            </w:r>
          </w:p>
        </w:tc>
        <w:tc>
          <w:tcPr>
            <w:tcW w:w="3880" w:type="dxa"/>
            <w:tcBorders>
              <w:top w:val="nil"/>
              <w:left w:val="nil"/>
              <w:bottom w:val="single" w:sz="4" w:space="0" w:color="auto"/>
              <w:right w:val="single" w:sz="4" w:space="0" w:color="auto"/>
            </w:tcBorders>
            <w:shd w:val="clear" w:color="000000" w:fill="FFFFFF"/>
            <w:vAlign w:val="center"/>
            <w:hideMark/>
          </w:tcPr>
          <w:p w14:paraId="0A0B5FDE"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Kaual Medios &amp; Comunications, SRL</w:t>
            </w:r>
          </w:p>
        </w:tc>
      </w:tr>
      <w:tr w:rsidR="001B7EDE" w:rsidRPr="00324A19" w14:paraId="45222018"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83D79EE"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Calai Tours, SRL</w:t>
            </w:r>
          </w:p>
        </w:tc>
        <w:tc>
          <w:tcPr>
            <w:tcW w:w="3880" w:type="dxa"/>
            <w:tcBorders>
              <w:top w:val="nil"/>
              <w:left w:val="nil"/>
              <w:bottom w:val="single" w:sz="4" w:space="0" w:color="auto"/>
              <w:right w:val="single" w:sz="4" w:space="0" w:color="auto"/>
            </w:tcBorders>
            <w:shd w:val="clear" w:color="000000" w:fill="FFFFFF"/>
            <w:vAlign w:val="center"/>
            <w:hideMark/>
          </w:tcPr>
          <w:p w14:paraId="697B9579"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Laitue, SRL</w:t>
            </w:r>
          </w:p>
        </w:tc>
      </w:tr>
      <w:tr w:rsidR="001B7EDE" w:rsidRPr="00324A19" w14:paraId="3398F482"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9360A17"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Cartel, SRL</w:t>
            </w:r>
          </w:p>
        </w:tc>
        <w:tc>
          <w:tcPr>
            <w:tcW w:w="3880" w:type="dxa"/>
            <w:tcBorders>
              <w:top w:val="nil"/>
              <w:left w:val="nil"/>
              <w:bottom w:val="single" w:sz="4" w:space="0" w:color="auto"/>
              <w:right w:val="single" w:sz="4" w:space="0" w:color="auto"/>
            </w:tcBorders>
            <w:shd w:val="clear" w:color="000000" w:fill="FFFFFF"/>
            <w:vAlign w:val="center"/>
            <w:hideMark/>
          </w:tcPr>
          <w:p w14:paraId="392DF83C"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Logomarca, SA</w:t>
            </w:r>
          </w:p>
        </w:tc>
      </w:tr>
      <w:tr w:rsidR="001B7EDE" w:rsidRPr="00324A19" w14:paraId="511A9EF6"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0DE8E97C"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Casting Scorpion, SRL</w:t>
            </w:r>
          </w:p>
        </w:tc>
        <w:tc>
          <w:tcPr>
            <w:tcW w:w="3880" w:type="dxa"/>
            <w:tcBorders>
              <w:top w:val="nil"/>
              <w:left w:val="nil"/>
              <w:bottom w:val="single" w:sz="4" w:space="0" w:color="auto"/>
              <w:right w:val="single" w:sz="4" w:space="0" w:color="auto"/>
            </w:tcBorders>
            <w:shd w:val="clear" w:color="000000" w:fill="FFFFFF"/>
            <w:vAlign w:val="center"/>
            <w:hideMark/>
          </w:tcPr>
          <w:p w14:paraId="3B51EDBF"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Luis Alberto Cienfuentes Chapuseaux</w:t>
            </w:r>
          </w:p>
        </w:tc>
      </w:tr>
      <w:tr w:rsidR="001B7EDE" w:rsidRPr="00324A19" w14:paraId="1C6AA935"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055136C3"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Centro Cuesta Nacional, SAS</w:t>
            </w:r>
          </w:p>
        </w:tc>
        <w:tc>
          <w:tcPr>
            <w:tcW w:w="3880" w:type="dxa"/>
            <w:tcBorders>
              <w:top w:val="nil"/>
              <w:left w:val="nil"/>
              <w:bottom w:val="single" w:sz="4" w:space="0" w:color="auto"/>
              <w:right w:val="single" w:sz="4" w:space="0" w:color="auto"/>
            </w:tcBorders>
            <w:shd w:val="clear" w:color="000000" w:fill="FFFFFF"/>
            <w:vAlign w:val="center"/>
            <w:hideMark/>
          </w:tcPr>
          <w:p w14:paraId="17AE7FD4"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Mariposas Decobuffet, SRL</w:t>
            </w:r>
          </w:p>
        </w:tc>
      </w:tr>
      <w:tr w:rsidR="001B7EDE" w:rsidRPr="00324A19" w14:paraId="1A240A2C"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2EA0AC7"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Centroxpert STE, SRL</w:t>
            </w:r>
          </w:p>
        </w:tc>
        <w:tc>
          <w:tcPr>
            <w:tcW w:w="3880" w:type="dxa"/>
            <w:tcBorders>
              <w:top w:val="nil"/>
              <w:left w:val="nil"/>
              <w:bottom w:val="single" w:sz="4" w:space="0" w:color="auto"/>
              <w:right w:val="single" w:sz="4" w:space="0" w:color="auto"/>
            </w:tcBorders>
            <w:shd w:val="clear" w:color="000000" w:fill="FFFFFF"/>
            <w:vAlign w:val="center"/>
            <w:hideMark/>
          </w:tcPr>
          <w:p w14:paraId="27AC5ACC"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Mediolleno Marketing Strategy, SRL</w:t>
            </w:r>
          </w:p>
        </w:tc>
      </w:tr>
      <w:tr w:rsidR="001B7EDE" w:rsidRPr="00324A19" w14:paraId="3CDDF3E4"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3A6E717"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Chaly Eventos, SRL</w:t>
            </w:r>
          </w:p>
        </w:tc>
        <w:tc>
          <w:tcPr>
            <w:tcW w:w="3880" w:type="dxa"/>
            <w:tcBorders>
              <w:top w:val="nil"/>
              <w:left w:val="nil"/>
              <w:bottom w:val="single" w:sz="4" w:space="0" w:color="auto"/>
              <w:right w:val="single" w:sz="4" w:space="0" w:color="auto"/>
            </w:tcBorders>
            <w:shd w:val="clear" w:color="000000" w:fill="FFFFFF"/>
            <w:vAlign w:val="center"/>
            <w:hideMark/>
          </w:tcPr>
          <w:p w14:paraId="64FC4488"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 xml:space="preserve">Medios MR, SRL. </w:t>
            </w:r>
          </w:p>
        </w:tc>
      </w:tr>
      <w:tr w:rsidR="001B7EDE" w:rsidRPr="00324A19" w14:paraId="5AD48C67"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29E24D8B"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Christos Investments, SRL</w:t>
            </w:r>
          </w:p>
        </w:tc>
        <w:tc>
          <w:tcPr>
            <w:tcW w:w="3880" w:type="dxa"/>
            <w:tcBorders>
              <w:top w:val="nil"/>
              <w:left w:val="nil"/>
              <w:bottom w:val="single" w:sz="4" w:space="0" w:color="auto"/>
              <w:right w:val="single" w:sz="4" w:space="0" w:color="auto"/>
            </w:tcBorders>
            <w:shd w:val="clear" w:color="000000" w:fill="FFFFFF"/>
            <w:vAlign w:val="center"/>
            <w:hideMark/>
          </w:tcPr>
          <w:p w14:paraId="69C58D8F"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Modesto Portes y Lorenzo</w:t>
            </w:r>
          </w:p>
        </w:tc>
      </w:tr>
      <w:tr w:rsidR="001B7EDE" w:rsidRPr="00324A19" w14:paraId="3EA41EFA"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271B2303"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Clickteck , SRL</w:t>
            </w:r>
          </w:p>
        </w:tc>
        <w:tc>
          <w:tcPr>
            <w:tcW w:w="3880" w:type="dxa"/>
            <w:tcBorders>
              <w:top w:val="nil"/>
              <w:left w:val="nil"/>
              <w:bottom w:val="single" w:sz="4" w:space="0" w:color="auto"/>
              <w:right w:val="single" w:sz="4" w:space="0" w:color="auto"/>
            </w:tcBorders>
            <w:shd w:val="clear" w:color="000000" w:fill="FFFFFF"/>
            <w:vAlign w:val="center"/>
            <w:hideMark/>
          </w:tcPr>
          <w:p w14:paraId="571AEA87"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Multiservicios F &amp; S, SRL</w:t>
            </w:r>
          </w:p>
        </w:tc>
      </w:tr>
      <w:tr w:rsidR="001B7EDE" w:rsidRPr="00324A19" w14:paraId="19BA13EA"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39451FCF"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Clickteck , SRL</w:t>
            </w:r>
          </w:p>
        </w:tc>
        <w:tc>
          <w:tcPr>
            <w:tcW w:w="3880" w:type="dxa"/>
            <w:tcBorders>
              <w:top w:val="nil"/>
              <w:left w:val="nil"/>
              <w:bottom w:val="single" w:sz="4" w:space="0" w:color="auto"/>
              <w:right w:val="single" w:sz="4" w:space="0" w:color="auto"/>
            </w:tcBorders>
            <w:shd w:val="clear" w:color="000000" w:fill="FFFFFF"/>
            <w:vAlign w:val="center"/>
            <w:hideMark/>
          </w:tcPr>
          <w:p w14:paraId="2BE20A83"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Muñoz Concepto Mobiliario, SRL</w:t>
            </w:r>
          </w:p>
        </w:tc>
      </w:tr>
      <w:tr w:rsidR="001B7EDE" w:rsidRPr="00324A19" w14:paraId="049BF500"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129AC70F"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Comercial Corage, SRL</w:t>
            </w:r>
          </w:p>
        </w:tc>
        <w:tc>
          <w:tcPr>
            <w:tcW w:w="3880" w:type="dxa"/>
            <w:tcBorders>
              <w:top w:val="nil"/>
              <w:left w:val="nil"/>
              <w:bottom w:val="single" w:sz="4" w:space="0" w:color="auto"/>
              <w:right w:val="single" w:sz="4" w:space="0" w:color="auto"/>
            </w:tcBorders>
            <w:shd w:val="clear" w:color="000000" w:fill="FFFFFF"/>
            <w:vAlign w:val="center"/>
            <w:hideMark/>
          </w:tcPr>
          <w:p w14:paraId="56D35620"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Nedercorp Investment, SRL</w:t>
            </w:r>
          </w:p>
        </w:tc>
      </w:tr>
      <w:tr w:rsidR="001B7EDE" w:rsidRPr="00324A19" w14:paraId="49C3F472"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6E12BFA3"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Comercial Offitek, SRL</w:t>
            </w:r>
          </w:p>
        </w:tc>
        <w:tc>
          <w:tcPr>
            <w:tcW w:w="3880" w:type="dxa"/>
            <w:tcBorders>
              <w:top w:val="nil"/>
              <w:left w:val="nil"/>
              <w:bottom w:val="single" w:sz="4" w:space="0" w:color="auto"/>
              <w:right w:val="single" w:sz="4" w:space="0" w:color="auto"/>
            </w:tcBorders>
            <w:shd w:val="clear" w:color="000000" w:fill="FFFFFF"/>
            <w:vAlign w:val="center"/>
            <w:hideMark/>
          </w:tcPr>
          <w:p w14:paraId="604ECAB9"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Offitek, SRL</w:t>
            </w:r>
          </w:p>
        </w:tc>
      </w:tr>
      <w:tr w:rsidR="001B7EDE" w:rsidRPr="00324A19" w14:paraId="4CF3E349"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D85A010"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Consultora Hanomas, SRL</w:t>
            </w:r>
          </w:p>
        </w:tc>
        <w:tc>
          <w:tcPr>
            <w:tcW w:w="3880" w:type="dxa"/>
            <w:tcBorders>
              <w:top w:val="nil"/>
              <w:left w:val="nil"/>
              <w:bottom w:val="single" w:sz="4" w:space="0" w:color="auto"/>
              <w:right w:val="single" w:sz="4" w:space="0" w:color="auto"/>
            </w:tcBorders>
            <w:shd w:val="clear" w:color="000000" w:fill="FFFFFF"/>
            <w:vAlign w:val="center"/>
            <w:hideMark/>
          </w:tcPr>
          <w:p w14:paraId="0A5A802D"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Omed Trading, SRL</w:t>
            </w:r>
          </w:p>
        </w:tc>
      </w:tr>
      <w:tr w:rsidR="001B7EDE" w:rsidRPr="00324A19" w14:paraId="20F20563" w14:textId="77777777" w:rsidTr="00C37131">
        <w:trPr>
          <w:trHeight w:val="20"/>
          <w:tblHeader/>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363566A"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lastRenderedPageBreak/>
              <w:t>Delta Comercial, SA</w:t>
            </w:r>
          </w:p>
        </w:tc>
        <w:tc>
          <w:tcPr>
            <w:tcW w:w="3880" w:type="dxa"/>
            <w:tcBorders>
              <w:top w:val="nil"/>
              <w:left w:val="nil"/>
              <w:bottom w:val="single" w:sz="4" w:space="0" w:color="auto"/>
              <w:right w:val="single" w:sz="4" w:space="0" w:color="auto"/>
            </w:tcBorders>
            <w:shd w:val="clear" w:color="000000" w:fill="FFFFFF"/>
            <w:vAlign w:val="center"/>
            <w:hideMark/>
          </w:tcPr>
          <w:p w14:paraId="54F6F3C1"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Pablo Johnson &amp; Asociados, SRL</w:t>
            </w:r>
          </w:p>
        </w:tc>
      </w:tr>
      <w:tr w:rsidR="001B7EDE" w:rsidRPr="00324A19" w14:paraId="650677E2"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FC56B5F"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Distheca, SRL</w:t>
            </w:r>
          </w:p>
        </w:tc>
        <w:tc>
          <w:tcPr>
            <w:tcW w:w="3880" w:type="dxa"/>
            <w:tcBorders>
              <w:top w:val="nil"/>
              <w:left w:val="nil"/>
              <w:bottom w:val="single" w:sz="4" w:space="0" w:color="auto"/>
              <w:right w:val="single" w:sz="4" w:space="0" w:color="auto"/>
            </w:tcBorders>
            <w:shd w:val="clear" w:color="000000" w:fill="FFFFFF"/>
            <w:vAlign w:val="center"/>
            <w:hideMark/>
          </w:tcPr>
          <w:p w14:paraId="53B5157E"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Padron Office Supply, SRL</w:t>
            </w:r>
          </w:p>
        </w:tc>
      </w:tr>
      <w:tr w:rsidR="001B7EDE" w:rsidRPr="00324A19" w14:paraId="2990BC7A"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43215A2"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Distribuidora Siglo XVI, SRL</w:t>
            </w:r>
          </w:p>
        </w:tc>
        <w:tc>
          <w:tcPr>
            <w:tcW w:w="3880" w:type="dxa"/>
            <w:tcBorders>
              <w:top w:val="nil"/>
              <w:left w:val="nil"/>
              <w:bottom w:val="single" w:sz="4" w:space="0" w:color="auto"/>
              <w:right w:val="single" w:sz="4" w:space="0" w:color="auto"/>
            </w:tcBorders>
            <w:shd w:val="clear" w:color="000000" w:fill="FFFFFF"/>
            <w:vAlign w:val="center"/>
            <w:hideMark/>
          </w:tcPr>
          <w:p w14:paraId="5074BD58"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Palo Diseños Creativos, SRL</w:t>
            </w:r>
          </w:p>
        </w:tc>
      </w:tr>
      <w:tr w:rsidR="001B7EDE" w:rsidRPr="00324A19" w14:paraId="6FC3DBCC"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309B5030"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Distribuidora y Servicios Diversos DISOPE, SRL</w:t>
            </w:r>
          </w:p>
        </w:tc>
        <w:tc>
          <w:tcPr>
            <w:tcW w:w="3880" w:type="dxa"/>
            <w:tcBorders>
              <w:top w:val="nil"/>
              <w:left w:val="nil"/>
              <w:bottom w:val="single" w:sz="4" w:space="0" w:color="auto"/>
              <w:right w:val="single" w:sz="4" w:space="0" w:color="auto"/>
            </w:tcBorders>
            <w:shd w:val="clear" w:color="000000" w:fill="FFFFFF"/>
            <w:vAlign w:val="center"/>
            <w:hideMark/>
          </w:tcPr>
          <w:p w14:paraId="5160204C"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Plures, SRL</w:t>
            </w:r>
          </w:p>
        </w:tc>
      </w:tr>
      <w:tr w:rsidR="001B7EDE" w:rsidRPr="00324A19" w14:paraId="2B3C8263"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7D4194B"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Distribuidores Internacionales de Petróleo, S. A.</w:t>
            </w:r>
          </w:p>
        </w:tc>
        <w:tc>
          <w:tcPr>
            <w:tcW w:w="3880" w:type="dxa"/>
            <w:tcBorders>
              <w:top w:val="nil"/>
              <w:left w:val="nil"/>
              <w:bottom w:val="single" w:sz="4" w:space="0" w:color="auto"/>
              <w:right w:val="single" w:sz="4" w:space="0" w:color="auto"/>
            </w:tcBorders>
            <w:shd w:val="clear" w:color="000000" w:fill="FFFFFF"/>
            <w:vAlign w:val="center"/>
            <w:hideMark/>
          </w:tcPr>
          <w:p w14:paraId="2EDB3993" w14:textId="77777777" w:rsidR="00613F42" w:rsidRPr="00324A19" w:rsidRDefault="00613F42"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Pricontrex, SRL</w:t>
            </w:r>
          </w:p>
        </w:tc>
      </w:tr>
      <w:tr w:rsidR="001B7EDE" w:rsidRPr="006F2F51" w14:paraId="56D79514"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B62DC77"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DJ Fox, SRL</w:t>
            </w:r>
          </w:p>
        </w:tc>
        <w:tc>
          <w:tcPr>
            <w:tcW w:w="3880" w:type="dxa"/>
            <w:tcBorders>
              <w:top w:val="nil"/>
              <w:left w:val="nil"/>
              <w:bottom w:val="single" w:sz="4" w:space="0" w:color="auto"/>
              <w:right w:val="single" w:sz="4" w:space="0" w:color="auto"/>
            </w:tcBorders>
            <w:shd w:val="clear" w:color="000000" w:fill="FFFFFF"/>
            <w:vAlign w:val="center"/>
            <w:hideMark/>
          </w:tcPr>
          <w:p w14:paraId="2AB0AC88" w14:textId="7B5E0A6D"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Transmisiones Automáticas Valenzuela Díaz, SRL</w:t>
            </w:r>
          </w:p>
        </w:tc>
      </w:tr>
      <w:tr w:rsidR="001B7EDE" w:rsidRPr="00324A19" w14:paraId="2C8B2B5F"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277EF888"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Domingo De los Santos Rosario</w:t>
            </w:r>
          </w:p>
        </w:tc>
        <w:tc>
          <w:tcPr>
            <w:tcW w:w="3880" w:type="dxa"/>
            <w:tcBorders>
              <w:top w:val="nil"/>
              <w:left w:val="nil"/>
              <w:bottom w:val="single" w:sz="4" w:space="0" w:color="auto"/>
              <w:right w:val="single" w:sz="4" w:space="0" w:color="auto"/>
            </w:tcBorders>
            <w:shd w:val="clear" w:color="000000" w:fill="FFFFFF"/>
            <w:vAlign w:val="center"/>
            <w:hideMark/>
          </w:tcPr>
          <w:p w14:paraId="4D115232" w14:textId="0FFF8158"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Unique Representaciones, SRL</w:t>
            </w:r>
          </w:p>
        </w:tc>
      </w:tr>
      <w:tr w:rsidR="001B7EDE" w:rsidRPr="00324A19" w14:paraId="168BD71E"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20BA1DE"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Ducto Limpio S. D. SRL</w:t>
            </w:r>
          </w:p>
        </w:tc>
        <w:tc>
          <w:tcPr>
            <w:tcW w:w="3880" w:type="dxa"/>
            <w:tcBorders>
              <w:top w:val="nil"/>
              <w:left w:val="nil"/>
              <w:bottom w:val="single" w:sz="4" w:space="0" w:color="auto"/>
              <w:right w:val="single" w:sz="4" w:space="0" w:color="auto"/>
            </w:tcBorders>
            <w:shd w:val="clear" w:color="000000" w:fill="FFFFFF"/>
            <w:vAlign w:val="center"/>
            <w:hideMark/>
          </w:tcPr>
          <w:p w14:paraId="434DB0FE" w14:textId="3BC30A94"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Verónica María Rosa Rosario</w:t>
            </w:r>
          </w:p>
        </w:tc>
      </w:tr>
      <w:tr w:rsidR="001B7EDE" w:rsidRPr="00324A19" w14:paraId="27499E0F"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0DC86162"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E &amp; C Multiservices,, EIRL</w:t>
            </w:r>
          </w:p>
        </w:tc>
        <w:tc>
          <w:tcPr>
            <w:tcW w:w="3880" w:type="dxa"/>
            <w:tcBorders>
              <w:top w:val="nil"/>
              <w:left w:val="nil"/>
              <w:bottom w:val="single" w:sz="4" w:space="0" w:color="auto"/>
              <w:right w:val="single" w:sz="4" w:space="0" w:color="auto"/>
            </w:tcBorders>
            <w:shd w:val="clear" w:color="000000" w:fill="FFFFFF"/>
            <w:vAlign w:val="center"/>
            <w:hideMark/>
          </w:tcPr>
          <w:p w14:paraId="5B4CAB04" w14:textId="09C8985B"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Waterlux Enterprises, SRL</w:t>
            </w:r>
          </w:p>
        </w:tc>
      </w:tr>
      <w:tr w:rsidR="001B7EDE" w:rsidRPr="00324A19" w14:paraId="3285DEE7"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4E41649D"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Elmo Productuons</w:t>
            </w:r>
          </w:p>
        </w:tc>
        <w:tc>
          <w:tcPr>
            <w:tcW w:w="3880" w:type="dxa"/>
            <w:tcBorders>
              <w:top w:val="nil"/>
              <w:left w:val="nil"/>
              <w:bottom w:val="single" w:sz="4" w:space="0" w:color="auto"/>
              <w:right w:val="single" w:sz="4" w:space="0" w:color="auto"/>
            </w:tcBorders>
            <w:shd w:val="clear" w:color="000000" w:fill="FFFFFF"/>
            <w:vAlign w:val="center"/>
            <w:hideMark/>
          </w:tcPr>
          <w:p w14:paraId="3DBDB998" w14:textId="0BD1C813"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Wicked Events &amp; Travel, SRL</w:t>
            </w:r>
          </w:p>
        </w:tc>
      </w:tr>
      <w:tr w:rsidR="001B7EDE" w:rsidRPr="00324A19" w14:paraId="099019D3"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54C4FFDC"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Ricos Buffet SRL</w:t>
            </w:r>
          </w:p>
        </w:tc>
        <w:tc>
          <w:tcPr>
            <w:tcW w:w="3880" w:type="dxa"/>
            <w:tcBorders>
              <w:top w:val="nil"/>
              <w:left w:val="nil"/>
              <w:bottom w:val="single" w:sz="4" w:space="0" w:color="auto"/>
              <w:right w:val="single" w:sz="4" w:space="0" w:color="auto"/>
            </w:tcBorders>
            <w:shd w:val="clear" w:color="000000" w:fill="FFFFFF"/>
            <w:vAlign w:val="center"/>
            <w:hideMark/>
          </w:tcPr>
          <w:p w14:paraId="249880C0" w14:textId="1E23C7B5"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Producciones Tic Tac Tuk, SRL</w:t>
            </w:r>
          </w:p>
        </w:tc>
      </w:tr>
      <w:tr w:rsidR="001B7EDE" w:rsidRPr="00324A19" w14:paraId="3E2CB1F0"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783B5F7B"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Rotulpak, S. A.</w:t>
            </w:r>
          </w:p>
        </w:tc>
        <w:tc>
          <w:tcPr>
            <w:tcW w:w="3880" w:type="dxa"/>
            <w:tcBorders>
              <w:top w:val="nil"/>
              <w:left w:val="nil"/>
              <w:bottom w:val="single" w:sz="4" w:space="0" w:color="auto"/>
              <w:right w:val="single" w:sz="4" w:space="0" w:color="auto"/>
            </w:tcBorders>
            <w:shd w:val="clear" w:color="000000" w:fill="FFFFFF"/>
            <w:vAlign w:val="center"/>
            <w:hideMark/>
          </w:tcPr>
          <w:p w14:paraId="18CAFBDB" w14:textId="7090BBB4"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Profilm, SRL</w:t>
            </w:r>
          </w:p>
        </w:tc>
      </w:tr>
      <w:tr w:rsidR="001B7EDE" w:rsidRPr="00324A19" w14:paraId="6CC60219"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53B31290"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San Miguel, &amp; Cía, SRL</w:t>
            </w:r>
          </w:p>
        </w:tc>
        <w:tc>
          <w:tcPr>
            <w:tcW w:w="3880" w:type="dxa"/>
            <w:tcBorders>
              <w:top w:val="nil"/>
              <w:left w:val="nil"/>
              <w:bottom w:val="single" w:sz="4" w:space="0" w:color="auto"/>
              <w:right w:val="single" w:sz="4" w:space="0" w:color="auto"/>
            </w:tcBorders>
            <w:shd w:val="clear" w:color="000000" w:fill="FFFFFF"/>
            <w:vAlign w:val="center"/>
            <w:hideMark/>
          </w:tcPr>
          <w:p w14:paraId="17DBF801" w14:textId="2798E93F"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Profilms</w:t>
            </w:r>
          </w:p>
        </w:tc>
      </w:tr>
      <w:tr w:rsidR="001B7EDE" w:rsidRPr="00324A19" w14:paraId="4EE2C8AC"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034B5AB8"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 xml:space="preserve">Santo Domingo motors company, SA </w:t>
            </w:r>
          </w:p>
        </w:tc>
        <w:tc>
          <w:tcPr>
            <w:tcW w:w="3880" w:type="dxa"/>
            <w:tcBorders>
              <w:top w:val="nil"/>
              <w:left w:val="nil"/>
              <w:bottom w:val="single" w:sz="4" w:space="0" w:color="auto"/>
              <w:right w:val="single" w:sz="4" w:space="0" w:color="auto"/>
            </w:tcBorders>
            <w:shd w:val="clear" w:color="000000" w:fill="FFFFFF"/>
            <w:vAlign w:val="center"/>
            <w:hideMark/>
          </w:tcPr>
          <w:p w14:paraId="7CE3EC07" w14:textId="0DD6C35B"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Publicidad Sarmiento Dominicana, SA</w:t>
            </w:r>
          </w:p>
        </w:tc>
      </w:tr>
      <w:tr w:rsidR="001B7EDE" w:rsidRPr="00324A19" w14:paraId="20487574"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6D395043"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Santos Catano e Inversiones &amp; Eventos, SRL</w:t>
            </w:r>
          </w:p>
        </w:tc>
        <w:tc>
          <w:tcPr>
            <w:tcW w:w="3880" w:type="dxa"/>
            <w:tcBorders>
              <w:top w:val="nil"/>
              <w:left w:val="nil"/>
              <w:bottom w:val="single" w:sz="4" w:space="0" w:color="auto"/>
              <w:right w:val="single" w:sz="4" w:space="0" w:color="auto"/>
            </w:tcBorders>
            <w:shd w:val="clear" w:color="000000" w:fill="FFFFFF"/>
            <w:vAlign w:val="center"/>
            <w:hideMark/>
          </w:tcPr>
          <w:p w14:paraId="4AC91C1E" w14:textId="47685748"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Ramirez &amp; Mojica Envoy Pack Courier Express, SRL</w:t>
            </w:r>
          </w:p>
        </w:tc>
      </w:tr>
      <w:tr w:rsidR="001B7EDE" w:rsidRPr="00324A19" w14:paraId="424291ED"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16CEB2B8"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Seguros Reservas, SA</w:t>
            </w:r>
          </w:p>
        </w:tc>
        <w:tc>
          <w:tcPr>
            <w:tcW w:w="3880" w:type="dxa"/>
            <w:tcBorders>
              <w:top w:val="nil"/>
              <w:left w:val="nil"/>
              <w:bottom w:val="single" w:sz="4" w:space="0" w:color="auto"/>
              <w:right w:val="single" w:sz="4" w:space="0" w:color="auto"/>
            </w:tcBorders>
            <w:shd w:val="clear" w:color="000000" w:fill="FFFFFF"/>
            <w:vAlign w:val="center"/>
            <w:hideMark/>
          </w:tcPr>
          <w:p w14:paraId="12AAEC93" w14:textId="76F1514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Supligensa, SRL</w:t>
            </w:r>
          </w:p>
        </w:tc>
      </w:tr>
      <w:tr w:rsidR="001B7EDE" w:rsidRPr="00324A19" w14:paraId="3C696F32"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0EE518BA"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Seguros Sura, S. A.</w:t>
            </w:r>
          </w:p>
        </w:tc>
        <w:tc>
          <w:tcPr>
            <w:tcW w:w="3880" w:type="dxa"/>
            <w:tcBorders>
              <w:top w:val="nil"/>
              <w:left w:val="nil"/>
              <w:bottom w:val="single" w:sz="4" w:space="0" w:color="auto"/>
              <w:right w:val="single" w:sz="4" w:space="0" w:color="auto"/>
            </w:tcBorders>
            <w:shd w:val="clear" w:color="000000" w:fill="FFFFFF"/>
            <w:vAlign w:val="center"/>
            <w:hideMark/>
          </w:tcPr>
          <w:p w14:paraId="05F25311" w14:textId="709CD43E"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TCO Networking, SRL</w:t>
            </w:r>
          </w:p>
        </w:tc>
      </w:tr>
      <w:tr w:rsidR="001B7EDE" w:rsidRPr="00324A19" w14:paraId="440F6BFA"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33DB9799"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Servicios Empresariales Canaan, SRL</w:t>
            </w:r>
          </w:p>
        </w:tc>
        <w:tc>
          <w:tcPr>
            <w:tcW w:w="3880" w:type="dxa"/>
            <w:tcBorders>
              <w:top w:val="nil"/>
              <w:left w:val="nil"/>
              <w:bottom w:val="single" w:sz="4" w:space="0" w:color="auto"/>
              <w:right w:val="single" w:sz="4" w:space="0" w:color="auto"/>
            </w:tcBorders>
            <w:shd w:val="clear" w:color="000000" w:fill="FFFFFF"/>
            <w:vAlign w:val="center"/>
            <w:hideMark/>
          </w:tcPr>
          <w:p w14:paraId="0A539889" w14:textId="1F5A391D"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Tecnología Vidosa, SRL</w:t>
            </w:r>
          </w:p>
        </w:tc>
      </w:tr>
      <w:tr w:rsidR="001B7EDE" w:rsidRPr="00324A19" w14:paraId="6D865029"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1EAE361B"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Sifra Comercial, SRL</w:t>
            </w:r>
          </w:p>
        </w:tc>
        <w:tc>
          <w:tcPr>
            <w:tcW w:w="3880" w:type="dxa"/>
            <w:tcBorders>
              <w:top w:val="nil"/>
              <w:left w:val="nil"/>
              <w:bottom w:val="single" w:sz="4" w:space="0" w:color="auto"/>
              <w:right w:val="single" w:sz="4" w:space="0" w:color="auto"/>
            </w:tcBorders>
            <w:shd w:val="clear" w:color="000000" w:fill="FFFFFF"/>
            <w:vAlign w:val="center"/>
            <w:hideMark/>
          </w:tcPr>
          <w:p w14:paraId="1C5E6CF2" w14:textId="3956FD3C"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Tercotech, SRL</w:t>
            </w:r>
          </w:p>
        </w:tc>
      </w:tr>
      <w:tr w:rsidR="001B7EDE" w:rsidRPr="00324A19" w14:paraId="4FDC6A28" w14:textId="77777777" w:rsidTr="00C37131">
        <w:trPr>
          <w:trHeight w:val="20"/>
        </w:trPr>
        <w:tc>
          <w:tcPr>
            <w:tcW w:w="4180" w:type="dxa"/>
            <w:tcBorders>
              <w:top w:val="nil"/>
              <w:left w:val="single" w:sz="4" w:space="0" w:color="auto"/>
              <w:bottom w:val="single" w:sz="4" w:space="0" w:color="auto"/>
              <w:right w:val="single" w:sz="4" w:space="0" w:color="auto"/>
            </w:tcBorders>
            <w:shd w:val="clear" w:color="000000" w:fill="FFFFFF"/>
            <w:vAlign w:val="center"/>
            <w:hideMark/>
          </w:tcPr>
          <w:p w14:paraId="54BE2357"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Suplidora Yanmelani, SRL</w:t>
            </w:r>
          </w:p>
        </w:tc>
        <w:tc>
          <w:tcPr>
            <w:tcW w:w="3880" w:type="dxa"/>
            <w:tcBorders>
              <w:top w:val="nil"/>
              <w:left w:val="nil"/>
              <w:bottom w:val="single" w:sz="4" w:space="0" w:color="auto"/>
              <w:right w:val="single" w:sz="4" w:space="0" w:color="auto"/>
            </w:tcBorders>
            <w:shd w:val="clear" w:color="000000" w:fill="FFFFFF"/>
            <w:vAlign w:val="center"/>
            <w:hideMark/>
          </w:tcPr>
          <w:p w14:paraId="1D5E908E" w14:textId="77777777" w:rsidR="006C4B88" w:rsidRPr="00324A19" w:rsidRDefault="006C4B88" w:rsidP="00813E62">
            <w:pPr>
              <w:spacing w:after="0" w:line="360" w:lineRule="auto"/>
              <w:ind w:firstLine="284"/>
              <w:rPr>
                <w:rFonts w:ascii="Artifex CF Extra Light" w:eastAsia="Times New Roman" w:hAnsi="Artifex CF Extra Light" w:cs="Calibri"/>
                <w:color w:val="1F4E79" w:themeColor="accent1" w:themeShade="80"/>
                <w:sz w:val="18"/>
                <w:szCs w:val="18"/>
                <w:lang w:val="es-ES" w:eastAsia="es-ES"/>
              </w:rPr>
            </w:pPr>
            <w:r w:rsidRPr="00324A19">
              <w:rPr>
                <w:rFonts w:ascii="Artifex CF Extra Light" w:eastAsia="Times New Roman" w:hAnsi="Artifex CF Extra Light" w:cs="Calibri"/>
                <w:color w:val="1F4E79" w:themeColor="accent1" w:themeShade="80"/>
                <w:sz w:val="18"/>
                <w:szCs w:val="18"/>
                <w:lang w:val="es-ES" w:eastAsia="es-ES"/>
              </w:rPr>
              <w:t> </w:t>
            </w:r>
          </w:p>
        </w:tc>
      </w:tr>
    </w:tbl>
    <w:p w14:paraId="07BD3F20" w14:textId="77777777" w:rsidR="00C6348B" w:rsidRPr="00324A19" w:rsidRDefault="00C6348B" w:rsidP="00864966">
      <w:pPr>
        <w:spacing w:before="380" w:after="120" w:line="456" w:lineRule="auto"/>
        <w:ind w:firstLine="284"/>
        <w:jc w:val="both"/>
        <w:rPr>
          <w:rFonts w:ascii="Artifex CF Extra Light" w:hAnsi="Artifex CF Extra Light" w:cs="Times New Roman"/>
          <w:b/>
          <w:color w:val="1F4E79" w:themeColor="accent1" w:themeShade="80"/>
          <w:sz w:val="22"/>
          <w:szCs w:val="22"/>
          <w:lang w:val="es-DO"/>
        </w:rPr>
      </w:pPr>
    </w:p>
    <w:p w14:paraId="26CDD54F" w14:textId="77777777" w:rsidR="00DC5C7B" w:rsidRPr="00324A19" w:rsidRDefault="00DC5C7B" w:rsidP="00864966">
      <w:pPr>
        <w:spacing w:before="380" w:after="120" w:line="456" w:lineRule="auto"/>
        <w:ind w:firstLine="284"/>
        <w:jc w:val="both"/>
        <w:rPr>
          <w:rFonts w:ascii="Artifex CF Extra Light" w:hAnsi="Artifex CF Extra Light" w:cs="Times New Roman"/>
          <w:b/>
          <w:color w:val="1F4E79" w:themeColor="accent1" w:themeShade="80"/>
          <w:sz w:val="22"/>
          <w:szCs w:val="22"/>
          <w:lang w:val="es-DO"/>
        </w:rPr>
      </w:pPr>
    </w:p>
    <w:p w14:paraId="71064721" w14:textId="77777777" w:rsidR="00DC5C7B" w:rsidRPr="00324A19" w:rsidRDefault="00DC5C7B" w:rsidP="00864966">
      <w:pPr>
        <w:spacing w:before="380" w:after="120" w:line="456" w:lineRule="auto"/>
        <w:ind w:firstLine="284"/>
        <w:jc w:val="both"/>
        <w:rPr>
          <w:rFonts w:ascii="Artifex CF Extra Light" w:hAnsi="Artifex CF Extra Light" w:cs="Times New Roman"/>
          <w:b/>
          <w:color w:val="1F4E79" w:themeColor="accent1" w:themeShade="80"/>
          <w:sz w:val="22"/>
          <w:szCs w:val="22"/>
          <w:lang w:val="es-DO"/>
        </w:rPr>
      </w:pPr>
    </w:p>
    <w:p w14:paraId="1D377EE4" w14:textId="77777777" w:rsidR="00DC5C7B" w:rsidRPr="00324A19" w:rsidRDefault="00DC5C7B" w:rsidP="00864966">
      <w:pPr>
        <w:spacing w:before="380" w:after="120" w:line="456" w:lineRule="auto"/>
        <w:ind w:right="2160" w:firstLine="284"/>
        <w:jc w:val="both"/>
        <w:rPr>
          <w:rFonts w:ascii="Artifex CF Extra Light" w:hAnsi="Artifex CF Extra Light" w:cs="Times New Roman"/>
          <w:b/>
          <w:color w:val="1F4E79" w:themeColor="accent1" w:themeShade="80"/>
          <w:sz w:val="22"/>
          <w:szCs w:val="22"/>
          <w:lang w:val="es-DO"/>
        </w:rPr>
      </w:pPr>
    </w:p>
    <w:sectPr w:rsidR="00DC5C7B" w:rsidRPr="00324A19" w:rsidSect="00723343">
      <w:pgSz w:w="12240" w:h="15840" w:code="1"/>
      <w:pgMar w:top="1440" w:right="2160" w:bottom="1440" w:left="21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AE364" w14:textId="77777777" w:rsidR="006F2F51" w:rsidRDefault="006F2F51" w:rsidP="00D37FE7">
      <w:r>
        <w:separator/>
      </w:r>
    </w:p>
  </w:endnote>
  <w:endnote w:type="continuationSeparator" w:id="0">
    <w:p w14:paraId="64EE51F6" w14:textId="77777777" w:rsidR="006F2F51" w:rsidRDefault="006F2F51" w:rsidP="00D37FE7">
      <w:r>
        <w:continuationSeparator/>
      </w:r>
    </w:p>
  </w:endnote>
  <w:endnote w:type="continuationNotice" w:id="1">
    <w:p w14:paraId="023ADD40" w14:textId="77777777" w:rsidR="006F2F51" w:rsidRDefault="006F2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tifex CF Extra Light">
    <w:altName w:val="Cambria"/>
    <w:panose1 w:val="00000300000000000000"/>
    <w:charset w:val="00"/>
    <w:family w:val="modern"/>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tifex CF Demi Bold">
    <w:panose1 w:val="00000700000000000000"/>
    <w:charset w:val="00"/>
    <w:family w:val="modern"/>
    <w:notTrueType/>
    <w:pitch w:val="variable"/>
    <w:sig w:usb0="00000007" w:usb1="00000000" w:usb2="00000000" w:usb3="00000000" w:csb0="00000093" w:csb1="00000000"/>
  </w:font>
  <w:font w:name="Artifex CF">
    <w:panose1 w:val="000005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Ghotam">
    <w:altName w:val="Cambria"/>
    <w:panose1 w:val="00000000000000000000"/>
    <w:charset w:val="00"/>
    <w:family w:val="roman"/>
    <w:notTrueType/>
    <w:pitch w:val="default"/>
  </w:font>
  <w:font w:name="Artifex CF Light">
    <w:altName w:val="Cambria"/>
    <w:panose1 w:val="00000400000000000000"/>
    <w:charset w:val="00"/>
    <w:family w:val="modern"/>
    <w:notTrueType/>
    <w:pitch w:val="variable"/>
    <w:sig w:usb0="00000007" w:usb1="00000000" w:usb2="00000000" w:usb3="00000000" w:csb0="00000093" w:csb1="00000000"/>
  </w:font>
  <w:font w:name="Gotham HTF Light">
    <w:panose1 w:val="00000000000000000000"/>
    <w:charset w:val="00"/>
    <w:family w:val="modern"/>
    <w:notTrueType/>
    <w:pitch w:val="variable"/>
    <w:sig w:usb0="A00000AF" w:usb1="50000048" w:usb2="00000000" w:usb3="00000000" w:csb0="00000111" w:csb1="00000000"/>
  </w:font>
  <w:font w:name="Montserrat">
    <w:altName w:val="Calibri"/>
    <w:charset w:val="00"/>
    <w:family w:val="auto"/>
    <w:pitch w:val="default"/>
  </w:font>
  <w:font w:name="Open sans">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Oswald">
    <w:altName w:val="Arial Narrow"/>
    <w:charset w:val="00"/>
    <w:family w:val="auto"/>
    <w:pitch w:val="default"/>
  </w:font>
  <w:font w:name="Calibri-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B541D" w14:textId="336D54A1" w:rsidR="006F2F51" w:rsidRDefault="006F2F51" w:rsidP="005734E0">
    <w:pPr>
      <w:pStyle w:val="Piedepgina"/>
    </w:pPr>
  </w:p>
  <w:p w14:paraId="3D86C895" w14:textId="77777777" w:rsidR="006F2F51" w:rsidRDefault="006F2F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F4873" w14:textId="1403B267" w:rsidR="006F2F51" w:rsidRDefault="006F2F51">
    <w:pPr>
      <w:pStyle w:val="Piedepgina"/>
      <w:tabs>
        <w:tab w:val="clear" w:pos="4680"/>
        <w:tab w:val="clear" w:pos="9360"/>
      </w:tabs>
      <w:jc w:val="center"/>
      <w:rPr>
        <w:caps/>
        <w:color w:val="5B9BD5" w:themeColor="accent1"/>
        <w:sz w:val="15"/>
        <w:szCs w:val="15"/>
      </w:rPr>
    </w:pPr>
    <w:r>
      <w:rPr>
        <w:noProof/>
      </w:rPr>
      <w:drawing>
        <wp:anchor distT="0" distB="0" distL="114300" distR="114300" simplePos="0" relativeHeight="251657216" behindDoc="0" locked="0" layoutInCell="1" allowOverlap="1" wp14:anchorId="029FE7F1" wp14:editId="052788B6">
          <wp:simplePos x="0" y="0"/>
          <wp:positionH relativeFrom="column">
            <wp:posOffset>1033647</wp:posOffset>
          </wp:positionH>
          <wp:positionV relativeFrom="paragraph">
            <wp:posOffset>8255</wp:posOffset>
          </wp:positionV>
          <wp:extent cx="3000375" cy="400050"/>
          <wp:effectExtent l="0" t="0" r="9525" b="0"/>
          <wp:wrapTopAndBottom/>
          <wp:docPr id="1"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anchor>
      </w:drawing>
    </w:r>
  </w:p>
  <w:p w14:paraId="5E94B365" w14:textId="40DDB208" w:rsidR="006F2F51" w:rsidRDefault="006F2F51">
    <w:pPr>
      <w:pStyle w:val="Piedepgina"/>
      <w:tabs>
        <w:tab w:val="clear" w:pos="4680"/>
        <w:tab w:val="clear" w:pos="9360"/>
      </w:tabs>
      <w:jc w:val="center"/>
      <w:rPr>
        <w:caps/>
        <w:color w:val="5B9BD5" w:themeColor="accent1"/>
        <w:sz w:val="15"/>
        <w:szCs w:val="15"/>
      </w:rPr>
    </w:pPr>
  </w:p>
  <w:p w14:paraId="7D3C9952" w14:textId="77777777" w:rsidR="006F2F51" w:rsidRDefault="006F2F51" w:rsidP="00FE1545">
    <w:pPr>
      <w:pStyle w:val="Piedepgina"/>
      <w:tabs>
        <w:tab w:val="clear" w:pos="4680"/>
        <w:tab w:val="clear" w:pos="9360"/>
      </w:tabs>
      <w:jc w:val="center"/>
      <w:rPr>
        <w:caps/>
        <w:color w:val="5B9BD5" w:themeColor="accent1"/>
        <w:sz w:val="15"/>
        <w:szCs w:val="15"/>
      </w:rPr>
    </w:pPr>
  </w:p>
  <w:p w14:paraId="33DB455B" w14:textId="55F398DF" w:rsidR="006F2F51" w:rsidRPr="00FE1545" w:rsidRDefault="006F2F51" w:rsidP="00FE1545">
    <w:pPr>
      <w:pStyle w:val="Piedepgina"/>
      <w:tabs>
        <w:tab w:val="clear" w:pos="4680"/>
        <w:tab w:val="clear" w:pos="9360"/>
      </w:tabs>
      <w:jc w:val="center"/>
      <w:rPr>
        <w:caps/>
        <w:color w:val="5B9BD5" w:themeColor="accent1"/>
        <w:sz w:val="15"/>
        <w:szCs w:val="15"/>
      </w:rPr>
    </w:pPr>
    <w:r w:rsidRPr="00B82F4E">
      <w:rPr>
        <w:caps/>
        <w:color w:val="5B9BD5" w:themeColor="accent1"/>
        <w:sz w:val="15"/>
        <w:szCs w:val="15"/>
      </w:rPr>
      <w:fldChar w:fldCharType="begin"/>
    </w:r>
    <w:r w:rsidRPr="00B82F4E">
      <w:rPr>
        <w:caps/>
        <w:color w:val="5B9BD5" w:themeColor="accent1"/>
        <w:sz w:val="15"/>
        <w:szCs w:val="15"/>
      </w:rPr>
      <w:instrText>PAGE   \* MERGEFORMAT</w:instrText>
    </w:r>
    <w:r w:rsidRPr="00B82F4E">
      <w:rPr>
        <w:caps/>
        <w:color w:val="5B9BD5" w:themeColor="accent1"/>
        <w:sz w:val="15"/>
        <w:szCs w:val="15"/>
      </w:rPr>
      <w:fldChar w:fldCharType="separate"/>
    </w:r>
    <w:r w:rsidRPr="00B82F4E">
      <w:rPr>
        <w:caps/>
        <w:color w:val="5B9BD5" w:themeColor="accent1"/>
        <w:sz w:val="15"/>
        <w:szCs w:val="15"/>
        <w:lang w:val="es-ES"/>
      </w:rPr>
      <w:t>2</w:t>
    </w:r>
    <w:r w:rsidRPr="00B82F4E">
      <w:rPr>
        <w:caps/>
        <w:color w:val="5B9BD5" w:themeColor="accent1"/>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2BD91" w14:textId="006FD604" w:rsidR="006F2F51" w:rsidRDefault="006F2F51">
    <w:pPr>
      <w:pStyle w:val="Piedepgina"/>
      <w:tabs>
        <w:tab w:val="clear" w:pos="4680"/>
        <w:tab w:val="clear" w:pos="9360"/>
      </w:tabs>
      <w:jc w:val="center"/>
      <w:rPr>
        <w:caps/>
        <w:color w:val="5B9BD5" w:themeColor="accent1"/>
      </w:rPr>
    </w:pPr>
    <w:r>
      <w:rPr>
        <w:noProof/>
      </w:rPr>
      <w:drawing>
        <wp:anchor distT="0" distB="0" distL="114300" distR="114300" simplePos="0" relativeHeight="251659264" behindDoc="0" locked="0" layoutInCell="1" allowOverlap="1" wp14:anchorId="49FF0F89" wp14:editId="24A09928">
          <wp:simplePos x="0" y="0"/>
          <wp:positionH relativeFrom="column">
            <wp:posOffset>1017270</wp:posOffset>
          </wp:positionH>
          <wp:positionV relativeFrom="paragraph">
            <wp:posOffset>-17780</wp:posOffset>
          </wp:positionV>
          <wp:extent cx="3000375" cy="400050"/>
          <wp:effectExtent l="0" t="0" r="9525" b="0"/>
          <wp:wrapTopAndBottom/>
          <wp:docPr id="3" name="Picture 3"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anchor>
      </w:drawing>
    </w:r>
  </w:p>
  <w:p w14:paraId="17AADE90" w14:textId="77777777" w:rsidR="006F2F51" w:rsidRDefault="006F2F51">
    <w:pPr>
      <w:pStyle w:val="Piedepgina"/>
      <w:tabs>
        <w:tab w:val="clear" w:pos="4680"/>
        <w:tab w:val="clear" w:pos="9360"/>
      </w:tabs>
      <w:jc w:val="center"/>
      <w:rPr>
        <w:caps/>
        <w:color w:val="5B9BD5" w:themeColor="accent1"/>
      </w:rPr>
    </w:pPr>
  </w:p>
  <w:p w14:paraId="7DF48FC3" w14:textId="6E90D01D" w:rsidR="006F2F51" w:rsidRPr="00CB70CE" w:rsidRDefault="006F2F51" w:rsidP="00CB70CE">
    <w:pPr>
      <w:pStyle w:val="Piedepgina"/>
      <w:tabs>
        <w:tab w:val="clear" w:pos="4680"/>
        <w:tab w:val="clear" w:pos="9360"/>
      </w:tabs>
      <w:jc w:val="center"/>
      <w:rPr>
        <w:caps/>
        <w:color w:val="5B9BD5" w:themeColor="accent1"/>
        <w:sz w:val="15"/>
        <w:szCs w:val="15"/>
      </w:rPr>
    </w:pPr>
    <w:r w:rsidRPr="00CB70CE">
      <w:rPr>
        <w:caps/>
        <w:color w:val="5B9BD5" w:themeColor="accent1"/>
        <w:sz w:val="15"/>
        <w:szCs w:val="15"/>
      </w:rPr>
      <w:fldChar w:fldCharType="begin"/>
    </w:r>
    <w:r w:rsidRPr="00CB70CE">
      <w:rPr>
        <w:caps/>
        <w:color w:val="5B9BD5" w:themeColor="accent1"/>
        <w:sz w:val="15"/>
        <w:szCs w:val="15"/>
      </w:rPr>
      <w:instrText>PAGE   \* MERGEFORMAT</w:instrText>
    </w:r>
    <w:r w:rsidRPr="00CB70CE">
      <w:rPr>
        <w:caps/>
        <w:color w:val="5B9BD5" w:themeColor="accent1"/>
        <w:sz w:val="15"/>
        <w:szCs w:val="15"/>
      </w:rPr>
      <w:fldChar w:fldCharType="separate"/>
    </w:r>
    <w:r w:rsidRPr="00CB70CE">
      <w:rPr>
        <w:caps/>
        <w:color w:val="5B9BD5" w:themeColor="accent1"/>
        <w:sz w:val="15"/>
        <w:szCs w:val="15"/>
        <w:lang w:val="es-ES"/>
      </w:rPr>
      <w:t>2</w:t>
    </w:r>
    <w:r w:rsidRPr="00CB70CE">
      <w:rPr>
        <w:caps/>
        <w:color w:val="5B9BD5" w:themeColor="accent1"/>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8A5DF" w14:textId="77777777" w:rsidR="006F2F51" w:rsidRDefault="006F2F51" w:rsidP="00D37FE7">
      <w:r>
        <w:separator/>
      </w:r>
    </w:p>
  </w:footnote>
  <w:footnote w:type="continuationSeparator" w:id="0">
    <w:p w14:paraId="7FF30878" w14:textId="77777777" w:rsidR="006F2F51" w:rsidRDefault="006F2F51" w:rsidP="00D37FE7">
      <w:r>
        <w:continuationSeparator/>
      </w:r>
    </w:p>
  </w:footnote>
  <w:footnote w:type="continuationNotice" w:id="1">
    <w:p w14:paraId="683CE84E" w14:textId="77777777" w:rsidR="006F2F51" w:rsidRDefault="006F2F51"/>
  </w:footnote>
  <w:footnote w:id="2">
    <w:p w14:paraId="5E341AF1" w14:textId="31AE4F7C" w:rsidR="006F2F51" w:rsidRPr="00FD664E" w:rsidRDefault="006F2F51" w:rsidP="007D0284">
      <w:pPr>
        <w:pStyle w:val="Textonotaalfinal"/>
        <w:jc w:val="both"/>
        <w:rPr>
          <w:rFonts w:cstheme="minorHAnsi"/>
          <w:color w:val="1F4E79" w:themeColor="accent1" w:themeShade="80"/>
          <w:sz w:val="15"/>
          <w:szCs w:val="15"/>
          <w:lang w:val="es-ES"/>
        </w:rPr>
      </w:pPr>
      <w:r w:rsidRPr="001F40E4">
        <w:rPr>
          <w:rStyle w:val="Refdenotaalpie"/>
          <w:rFonts w:ascii="Gotham HTF Light" w:hAnsi="Gotham HTF Light"/>
          <w:sz w:val="15"/>
          <w:szCs w:val="15"/>
        </w:rPr>
        <w:footnoteRef/>
      </w:r>
      <w:r w:rsidRPr="001F40E4">
        <w:rPr>
          <w:rFonts w:ascii="Gotham HTF Light" w:hAnsi="Gotham HTF Light"/>
          <w:sz w:val="15"/>
          <w:szCs w:val="15"/>
          <w:lang w:val="es-ES"/>
        </w:rPr>
        <w:t xml:space="preserve"> </w:t>
      </w:r>
      <w:r w:rsidRPr="00FD664E">
        <w:rPr>
          <w:rFonts w:cstheme="minorHAnsi"/>
          <w:color w:val="1F4E79" w:themeColor="accent1" w:themeShade="80"/>
          <w:sz w:val="15"/>
          <w:szCs w:val="15"/>
          <w:lang w:val="es-ES"/>
        </w:rPr>
        <w:t>La situación actual de COVID-19 ha colocado la economía local e internacional en una situación delicada en cuanto a creación de nuevos empleos, debido a que a nivel general se evidencia un aumento de la tasa de desempleo en los principales sectores de la economía, incluyendo el sector exportación.</w:t>
      </w:r>
    </w:p>
    <w:p w14:paraId="0FFA8770" w14:textId="77777777" w:rsidR="006F2F51" w:rsidRPr="00FD664E" w:rsidRDefault="006F2F51" w:rsidP="007D0284">
      <w:pPr>
        <w:pStyle w:val="Textonotaalfinal"/>
        <w:jc w:val="both"/>
        <w:rPr>
          <w:rFonts w:cstheme="minorHAnsi"/>
          <w:color w:val="1F4E79" w:themeColor="accent1" w:themeShade="80"/>
          <w:sz w:val="15"/>
          <w:szCs w:val="15"/>
          <w:lang w:val="es-ES"/>
        </w:rPr>
      </w:pPr>
      <w:r w:rsidRPr="00FD664E">
        <w:rPr>
          <w:rFonts w:cstheme="minorHAnsi"/>
          <w:color w:val="1F4E79" w:themeColor="accent1" w:themeShade="80"/>
          <w:sz w:val="15"/>
          <w:szCs w:val="15"/>
          <w:lang w:val="es-ES"/>
        </w:rPr>
        <w:t>Por otro lado, analizando la data de empleo, encontramos que existe una varianza sumamente elevada, provocada por registros atípicos propios de los programas de ayuda a las empresas FASE 1 y FASE 2, esto provoca un sesgo importante en la data para identificar la información solicitada.</w:t>
      </w:r>
    </w:p>
    <w:p w14:paraId="192A9F25" w14:textId="77777777" w:rsidR="006F2F51" w:rsidRPr="00FD664E" w:rsidRDefault="006F2F51" w:rsidP="007D0284">
      <w:pPr>
        <w:pStyle w:val="Textonotaalfinal"/>
        <w:jc w:val="both"/>
        <w:rPr>
          <w:rFonts w:cstheme="minorHAnsi"/>
          <w:color w:val="1F4E79" w:themeColor="accent1" w:themeShade="80"/>
          <w:sz w:val="15"/>
          <w:szCs w:val="15"/>
          <w:lang w:val="es-ES"/>
        </w:rPr>
      </w:pPr>
      <w:r w:rsidRPr="00FD664E">
        <w:rPr>
          <w:rFonts w:cstheme="minorHAnsi"/>
          <w:color w:val="1F4E79" w:themeColor="accent1" w:themeShade="80"/>
          <w:sz w:val="15"/>
          <w:szCs w:val="15"/>
          <w:lang w:val="es-ES"/>
        </w:rPr>
        <w:t>Adicional a esto, estamos corrigiendo un problema estructural en la data de empleo que recibimos de la TSS, por lo cual, no está disponible para validar estos datos en la actualidad.</w:t>
      </w:r>
    </w:p>
    <w:p w14:paraId="5C579B14" w14:textId="072C0AF6" w:rsidR="006F2F51" w:rsidRPr="007D0284" w:rsidRDefault="006F2F51">
      <w:pPr>
        <w:pStyle w:val="Textonotapie"/>
        <w:rPr>
          <w:rFonts w:cstheme="minorHAnsi"/>
          <w:color w:val="1F4E79" w:themeColor="accent1" w:themeShade="80"/>
          <w:sz w:val="15"/>
          <w:szCs w:val="15"/>
          <w:lang w:val="es-DO"/>
        </w:rPr>
      </w:pPr>
      <w:r w:rsidRPr="00FD664E">
        <w:rPr>
          <w:rFonts w:cstheme="minorHAnsi"/>
          <w:color w:val="1F4E79" w:themeColor="accent1" w:themeShade="80"/>
          <w:sz w:val="15"/>
          <w:szCs w:val="15"/>
          <w:lang w:val="es-ES"/>
        </w:rPr>
        <w:t>Por todo esto no podemos externar un valor certero de creación de nuevos empleos.</w:t>
      </w:r>
    </w:p>
  </w:footnote>
  <w:footnote w:id="3">
    <w:p w14:paraId="4D9C1BE9" w14:textId="685FC5E9" w:rsidR="006F2F51" w:rsidRPr="00FD664E" w:rsidRDefault="006F2F51" w:rsidP="00403735">
      <w:pPr>
        <w:pStyle w:val="Textonotaalfinal"/>
        <w:spacing w:before="120" w:after="120"/>
        <w:jc w:val="both"/>
        <w:rPr>
          <w:rFonts w:cstheme="minorHAnsi"/>
          <w:color w:val="1F4E79" w:themeColor="accent1" w:themeShade="80"/>
          <w:sz w:val="15"/>
          <w:szCs w:val="15"/>
          <w:lang w:val="es-ES"/>
        </w:rPr>
      </w:pPr>
      <w:r w:rsidRPr="00FD664E">
        <w:rPr>
          <w:rStyle w:val="Refdenotaalpie"/>
          <w:rFonts w:cstheme="minorHAnsi"/>
          <w:color w:val="1F4E79" w:themeColor="accent1" w:themeShade="80"/>
          <w:sz w:val="15"/>
          <w:szCs w:val="15"/>
        </w:rPr>
        <w:footnoteRef/>
      </w:r>
      <w:r w:rsidRPr="00FD664E">
        <w:rPr>
          <w:rFonts w:cstheme="minorHAnsi"/>
          <w:color w:val="1F4E79" w:themeColor="accent1" w:themeShade="80"/>
          <w:sz w:val="15"/>
          <w:szCs w:val="15"/>
          <w:lang w:val="es-ES"/>
        </w:rPr>
        <w:t xml:space="preserve"> La situación actual de COVID-19 ha colocado la economía local e internacional en una situación delicada en cuanto a creación de nuevos empleos, debido a que a nivel general se evidencia un aumento de la tasa de desempleo en los principales sectores de la economía, incluyendo el sector exportación.</w:t>
      </w:r>
    </w:p>
    <w:p w14:paraId="4E8CCE68" w14:textId="77777777" w:rsidR="006F2F51" w:rsidRPr="00861C0C" w:rsidRDefault="006F2F51" w:rsidP="00403735">
      <w:pPr>
        <w:pStyle w:val="Textonotaalfinal"/>
        <w:spacing w:before="120" w:after="120"/>
        <w:jc w:val="both"/>
        <w:rPr>
          <w:rFonts w:cstheme="minorHAnsi"/>
          <w:color w:val="1F4E79" w:themeColor="accent1" w:themeShade="80"/>
          <w:sz w:val="15"/>
          <w:szCs w:val="15"/>
          <w:lang w:val="es-ES"/>
        </w:rPr>
      </w:pPr>
      <w:r w:rsidRPr="00861C0C">
        <w:rPr>
          <w:rFonts w:cstheme="minorHAnsi"/>
          <w:color w:val="1F4E79" w:themeColor="accent1" w:themeShade="80"/>
          <w:sz w:val="15"/>
          <w:szCs w:val="15"/>
          <w:lang w:val="es-ES"/>
        </w:rPr>
        <w:t>Por otro lado, analizando la data de empleo, encontramos que existe una varianza sumamente elevada, provocada por registros atípicos propios de los programas de ayuda a las empresas FASE 1 y FASE 2, esto provoca un sesgo importante en la data para identificar la información solicitada.</w:t>
      </w:r>
    </w:p>
    <w:p w14:paraId="0AD73E48" w14:textId="77777777" w:rsidR="006F2F51" w:rsidRPr="00861C0C" w:rsidRDefault="006F2F51" w:rsidP="00403735">
      <w:pPr>
        <w:pStyle w:val="Textonotaalfinal"/>
        <w:spacing w:before="120" w:after="120"/>
        <w:jc w:val="both"/>
        <w:rPr>
          <w:rFonts w:cstheme="minorHAnsi"/>
          <w:color w:val="1F4E79" w:themeColor="accent1" w:themeShade="80"/>
          <w:sz w:val="15"/>
          <w:szCs w:val="15"/>
          <w:lang w:val="es-ES"/>
        </w:rPr>
      </w:pPr>
      <w:r w:rsidRPr="00861C0C">
        <w:rPr>
          <w:rFonts w:cstheme="minorHAnsi"/>
          <w:color w:val="1F4E79" w:themeColor="accent1" w:themeShade="80"/>
          <w:sz w:val="15"/>
          <w:szCs w:val="15"/>
          <w:lang w:val="es-ES"/>
        </w:rPr>
        <w:t>Adicional a esto, estamos corrigiendo un problema estructural en la data de empleo que recibimos de la TSS, por lo cual, no está disponible para validar estos datos en la actualidad.</w:t>
      </w:r>
    </w:p>
    <w:p w14:paraId="3E6C2130" w14:textId="7E7D031B" w:rsidR="006F2F51" w:rsidRPr="00861C0C" w:rsidRDefault="006F2F51" w:rsidP="00403735">
      <w:pPr>
        <w:pStyle w:val="Textonotaalfinal"/>
        <w:spacing w:before="120" w:after="120"/>
        <w:jc w:val="both"/>
        <w:rPr>
          <w:rFonts w:cstheme="minorHAnsi"/>
          <w:color w:val="1F4E79" w:themeColor="accent1" w:themeShade="80"/>
          <w:sz w:val="15"/>
          <w:szCs w:val="15"/>
          <w:lang w:val="es-ES"/>
        </w:rPr>
      </w:pPr>
      <w:r w:rsidRPr="00861C0C">
        <w:rPr>
          <w:rFonts w:cstheme="minorHAnsi"/>
          <w:color w:val="1F4E79" w:themeColor="accent1" w:themeShade="80"/>
          <w:sz w:val="15"/>
          <w:szCs w:val="15"/>
          <w:lang w:val="es-ES"/>
        </w:rPr>
        <w:t>Por todo esto no podemos externar un valor certero de creación de nuevos empleos.</w:t>
      </w:r>
    </w:p>
    <w:p w14:paraId="6267A640" w14:textId="7C776DB0" w:rsidR="006F2F51" w:rsidRPr="0067166E" w:rsidRDefault="006F2F51" w:rsidP="0067166E">
      <w:pPr>
        <w:pStyle w:val="Textonotapie"/>
        <w:rPr>
          <w:lang w:val="es-D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C1C7F" w14:textId="27F5042C" w:rsidR="006F2F51" w:rsidRDefault="006F2F51">
    <w:pPr>
      <w:pStyle w:val="Encabezado"/>
    </w:pPr>
  </w:p>
  <w:p w14:paraId="28F9455D" w14:textId="134E277F" w:rsidR="006F2F51" w:rsidRDefault="006F2F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16CC5" w14:textId="6D0B2E46" w:rsidR="006F2F51" w:rsidRDefault="006F2F51">
    <w:pPr>
      <w:pStyle w:val="Encabezado"/>
    </w:pPr>
  </w:p>
  <w:p w14:paraId="6F2AE66D" w14:textId="77777777" w:rsidR="006F2F51" w:rsidRDefault="006F2F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A3779"/>
    <w:multiLevelType w:val="hybridMultilevel"/>
    <w:tmpl w:val="2E70F2CE"/>
    <w:lvl w:ilvl="0" w:tplc="87C2AE0A">
      <w:start w:val="1"/>
      <w:numFmt w:val="upperLetter"/>
      <w:lvlText w:val="%1."/>
      <w:lvlJc w:val="left"/>
      <w:pPr>
        <w:ind w:left="2935" w:hanging="360"/>
      </w:pPr>
      <w:rPr>
        <w:rFonts w:hint="default"/>
        <w:b/>
        <w:bCs/>
      </w:rPr>
    </w:lvl>
    <w:lvl w:ilvl="1" w:tplc="1C0A0019">
      <w:start w:val="1"/>
      <w:numFmt w:val="lowerLetter"/>
      <w:lvlText w:val="%2."/>
      <w:lvlJc w:val="left"/>
      <w:pPr>
        <w:ind w:left="3655" w:hanging="360"/>
      </w:pPr>
    </w:lvl>
    <w:lvl w:ilvl="2" w:tplc="D1344A34">
      <w:start w:val="92"/>
      <w:numFmt w:val="bullet"/>
      <w:lvlText w:val="-"/>
      <w:lvlJc w:val="left"/>
      <w:pPr>
        <w:ind w:left="4555" w:hanging="360"/>
      </w:pPr>
      <w:rPr>
        <w:rFonts w:ascii="Times New Roman" w:eastAsiaTheme="minorHAnsi" w:hAnsi="Times New Roman" w:cs="Times New Roman" w:hint="default"/>
      </w:rPr>
    </w:lvl>
    <w:lvl w:ilvl="3" w:tplc="1C0A000F" w:tentative="1">
      <w:start w:val="1"/>
      <w:numFmt w:val="decimal"/>
      <w:lvlText w:val="%4."/>
      <w:lvlJc w:val="left"/>
      <w:pPr>
        <w:ind w:left="5095" w:hanging="360"/>
      </w:pPr>
    </w:lvl>
    <w:lvl w:ilvl="4" w:tplc="1C0A0019" w:tentative="1">
      <w:start w:val="1"/>
      <w:numFmt w:val="lowerLetter"/>
      <w:lvlText w:val="%5."/>
      <w:lvlJc w:val="left"/>
      <w:pPr>
        <w:ind w:left="5815" w:hanging="360"/>
      </w:pPr>
    </w:lvl>
    <w:lvl w:ilvl="5" w:tplc="1C0A001B" w:tentative="1">
      <w:start w:val="1"/>
      <w:numFmt w:val="lowerRoman"/>
      <w:lvlText w:val="%6."/>
      <w:lvlJc w:val="right"/>
      <w:pPr>
        <w:ind w:left="6535" w:hanging="180"/>
      </w:pPr>
    </w:lvl>
    <w:lvl w:ilvl="6" w:tplc="1C0A000F" w:tentative="1">
      <w:start w:val="1"/>
      <w:numFmt w:val="decimal"/>
      <w:lvlText w:val="%7."/>
      <w:lvlJc w:val="left"/>
      <w:pPr>
        <w:ind w:left="7255" w:hanging="360"/>
      </w:pPr>
    </w:lvl>
    <w:lvl w:ilvl="7" w:tplc="1C0A0019" w:tentative="1">
      <w:start w:val="1"/>
      <w:numFmt w:val="lowerLetter"/>
      <w:lvlText w:val="%8."/>
      <w:lvlJc w:val="left"/>
      <w:pPr>
        <w:ind w:left="7975" w:hanging="360"/>
      </w:pPr>
    </w:lvl>
    <w:lvl w:ilvl="8" w:tplc="1C0A001B" w:tentative="1">
      <w:start w:val="1"/>
      <w:numFmt w:val="lowerRoman"/>
      <w:lvlText w:val="%9."/>
      <w:lvlJc w:val="right"/>
      <w:pPr>
        <w:ind w:left="8695" w:hanging="180"/>
      </w:pPr>
    </w:lvl>
  </w:abstractNum>
  <w:abstractNum w:abstractNumId="1" w15:restartNumberingAfterBreak="0">
    <w:nsid w:val="025354EE"/>
    <w:multiLevelType w:val="hybridMultilevel"/>
    <w:tmpl w:val="62001BC2"/>
    <w:lvl w:ilvl="0" w:tplc="6C64A18A">
      <w:start w:val="1"/>
      <w:numFmt w:val="upperLetter"/>
      <w:lvlText w:val="%1."/>
      <w:lvlJc w:val="left"/>
      <w:pPr>
        <w:ind w:left="1920" w:hanging="360"/>
      </w:pPr>
      <w:rPr>
        <w:rFonts w:ascii="Artifex CF Extra Light" w:hAnsi="Artifex CF Extra Light" w:hint="default"/>
        <w:b/>
        <w:bCs/>
        <w:sz w:val="18"/>
        <w:szCs w:val="18"/>
      </w:rPr>
    </w:lvl>
    <w:lvl w:ilvl="1" w:tplc="1C0A0019">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 w15:restartNumberingAfterBreak="0">
    <w:nsid w:val="0A422E1F"/>
    <w:multiLevelType w:val="hybridMultilevel"/>
    <w:tmpl w:val="4CB2C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48772F"/>
    <w:multiLevelType w:val="hybridMultilevel"/>
    <w:tmpl w:val="576C632C"/>
    <w:lvl w:ilvl="0" w:tplc="2E3294F6">
      <w:start w:val="1"/>
      <w:numFmt w:val="bullet"/>
      <w:lvlText w:val=""/>
      <w:lvlJc w:val="left"/>
      <w:pPr>
        <w:ind w:left="480" w:hanging="360"/>
      </w:pPr>
      <w:rPr>
        <w:rFonts w:ascii="Symbol" w:hAnsi="Symbol" w:hint="default"/>
        <w:color w:val="1F4E79" w:themeColor="accent1" w:themeShade="80"/>
        <w:sz w:val="18"/>
        <w:szCs w:val="18"/>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FBB34A5"/>
    <w:multiLevelType w:val="hybridMultilevel"/>
    <w:tmpl w:val="FFFFFFFF"/>
    <w:lvl w:ilvl="0" w:tplc="DE0ACF96">
      <w:start w:val="1"/>
      <w:numFmt w:val="bullet"/>
      <w:lvlText w:val=""/>
      <w:lvlJc w:val="left"/>
      <w:pPr>
        <w:ind w:left="720" w:hanging="360"/>
      </w:pPr>
      <w:rPr>
        <w:rFonts w:ascii="Symbol" w:hAnsi="Symbol" w:hint="default"/>
      </w:rPr>
    </w:lvl>
    <w:lvl w:ilvl="1" w:tplc="44ACEBA8">
      <w:start w:val="1"/>
      <w:numFmt w:val="bullet"/>
      <w:lvlText w:val="o"/>
      <w:lvlJc w:val="left"/>
      <w:pPr>
        <w:ind w:left="1440" w:hanging="360"/>
      </w:pPr>
      <w:rPr>
        <w:rFonts w:ascii="Courier New" w:hAnsi="Courier New" w:hint="default"/>
      </w:rPr>
    </w:lvl>
    <w:lvl w:ilvl="2" w:tplc="13EED2DA">
      <w:start w:val="1"/>
      <w:numFmt w:val="bullet"/>
      <w:lvlText w:val=""/>
      <w:lvlJc w:val="left"/>
      <w:pPr>
        <w:ind w:left="2160" w:hanging="360"/>
      </w:pPr>
      <w:rPr>
        <w:rFonts w:ascii="Wingdings" w:hAnsi="Wingdings" w:hint="default"/>
      </w:rPr>
    </w:lvl>
    <w:lvl w:ilvl="3" w:tplc="73448860">
      <w:start w:val="1"/>
      <w:numFmt w:val="bullet"/>
      <w:lvlText w:val=""/>
      <w:lvlJc w:val="left"/>
      <w:pPr>
        <w:ind w:left="2880" w:hanging="360"/>
      </w:pPr>
      <w:rPr>
        <w:rFonts w:ascii="Symbol" w:hAnsi="Symbol" w:hint="default"/>
      </w:rPr>
    </w:lvl>
    <w:lvl w:ilvl="4" w:tplc="2D96617A">
      <w:start w:val="1"/>
      <w:numFmt w:val="bullet"/>
      <w:lvlText w:val="o"/>
      <w:lvlJc w:val="left"/>
      <w:pPr>
        <w:ind w:left="3600" w:hanging="360"/>
      </w:pPr>
      <w:rPr>
        <w:rFonts w:ascii="Courier New" w:hAnsi="Courier New" w:hint="default"/>
      </w:rPr>
    </w:lvl>
    <w:lvl w:ilvl="5" w:tplc="FAE82978">
      <w:start w:val="1"/>
      <w:numFmt w:val="bullet"/>
      <w:lvlText w:val=""/>
      <w:lvlJc w:val="left"/>
      <w:pPr>
        <w:ind w:left="4320" w:hanging="360"/>
      </w:pPr>
      <w:rPr>
        <w:rFonts w:ascii="Wingdings" w:hAnsi="Wingdings" w:hint="default"/>
      </w:rPr>
    </w:lvl>
    <w:lvl w:ilvl="6" w:tplc="39AAB8A6">
      <w:start w:val="1"/>
      <w:numFmt w:val="bullet"/>
      <w:lvlText w:val=""/>
      <w:lvlJc w:val="left"/>
      <w:pPr>
        <w:ind w:left="5040" w:hanging="360"/>
      </w:pPr>
      <w:rPr>
        <w:rFonts w:ascii="Symbol" w:hAnsi="Symbol" w:hint="default"/>
      </w:rPr>
    </w:lvl>
    <w:lvl w:ilvl="7" w:tplc="486253D2">
      <w:start w:val="1"/>
      <w:numFmt w:val="bullet"/>
      <w:lvlText w:val="o"/>
      <w:lvlJc w:val="left"/>
      <w:pPr>
        <w:ind w:left="5760" w:hanging="360"/>
      </w:pPr>
      <w:rPr>
        <w:rFonts w:ascii="Courier New" w:hAnsi="Courier New" w:hint="default"/>
      </w:rPr>
    </w:lvl>
    <w:lvl w:ilvl="8" w:tplc="FB8CC556">
      <w:start w:val="1"/>
      <w:numFmt w:val="bullet"/>
      <w:lvlText w:val=""/>
      <w:lvlJc w:val="left"/>
      <w:pPr>
        <w:ind w:left="6480" w:hanging="360"/>
      </w:pPr>
      <w:rPr>
        <w:rFonts w:ascii="Wingdings" w:hAnsi="Wingdings" w:hint="default"/>
      </w:rPr>
    </w:lvl>
  </w:abstractNum>
  <w:abstractNum w:abstractNumId="5" w15:restartNumberingAfterBreak="0">
    <w:nsid w:val="15B151E0"/>
    <w:multiLevelType w:val="hybridMultilevel"/>
    <w:tmpl w:val="744E4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EE51E5"/>
    <w:multiLevelType w:val="hybridMultilevel"/>
    <w:tmpl w:val="FFFFFFFF"/>
    <w:lvl w:ilvl="0" w:tplc="036C89F0">
      <w:start w:val="1"/>
      <w:numFmt w:val="bullet"/>
      <w:lvlText w:val="o"/>
      <w:lvlJc w:val="left"/>
      <w:pPr>
        <w:ind w:left="1440" w:hanging="360"/>
      </w:pPr>
      <w:rPr>
        <w:rFonts w:ascii="Courier New" w:hAnsi="Courier New" w:hint="default"/>
      </w:rPr>
    </w:lvl>
    <w:lvl w:ilvl="1" w:tplc="483CA66E">
      <w:start w:val="1"/>
      <w:numFmt w:val="bullet"/>
      <w:lvlText w:val="o"/>
      <w:lvlJc w:val="left"/>
      <w:pPr>
        <w:ind w:left="2160" w:hanging="360"/>
      </w:pPr>
      <w:rPr>
        <w:rFonts w:ascii="Courier New" w:hAnsi="Courier New" w:hint="default"/>
      </w:rPr>
    </w:lvl>
    <w:lvl w:ilvl="2" w:tplc="5E28B0FE">
      <w:start w:val="1"/>
      <w:numFmt w:val="bullet"/>
      <w:lvlText w:val=""/>
      <w:lvlJc w:val="left"/>
      <w:pPr>
        <w:ind w:left="2880" w:hanging="360"/>
      </w:pPr>
      <w:rPr>
        <w:rFonts w:ascii="Wingdings" w:hAnsi="Wingdings" w:hint="default"/>
      </w:rPr>
    </w:lvl>
    <w:lvl w:ilvl="3" w:tplc="ABF0A7A6">
      <w:start w:val="1"/>
      <w:numFmt w:val="bullet"/>
      <w:lvlText w:val=""/>
      <w:lvlJc w:val="left"/>
      <w:pPr>
        <w:ind w:left="3600" w:hanging="360"/>
      </w:pPr>
      <w:rPr>
        <w:rFonts w:ascii="Symbol" w:hAnsi="Symbol" w:hint="default"/>
      </w:rPr>
    </w:lvl>
    <w:lvl w:ilvl="4" w:tplc="239C8680">
      <w:start w:val="1"/>
      <w:numFmt w:val="bullet"/>
      <w:lvlText w:val="o"/>
      <w:lvlJc w:val="left"/>
      <w:pPr>
        <w:ind w:left="4320" w:hanging="360"/>
      </w:pPr>
      <w:rPr>
        <w:rFonts w:ascii="Courier New" w:hAnsi="Courier New" w:hint="default"/>
      </w:rPr>
    </w:lvl>
    <w:lvl w:ilvl="5" w:tplc="51F0C92A">
      <w:start w:val="1"/>
      <w:numFmt w:val="bullet"/>
      <w:lvlText w:val=""/>
      <w:lvlJc w:val="left"/>
      <w:pPr>
        <w:ind w:left="5040" w:hanging="360"/>
      </w:pPr>
      <w:rPr>
        <w:rFonts w:ascii="Wingdings" w:hAnsi="Wingdings" w:hint="default"/>
      </w:rPr>
    </w:lvl>
    <w:lvl w:ilvl="6" w:tplc="CC7EB562">
      <w:start w:val="1"/>
      <w:numFmt w:val="bullet"/>
      <w:lvlText w:val=""/>
      <w:lvlJc w:val="left"/>
      <w:pPr>
        <w:ind w:left="5760" w:hanging="360"/>
      </w:pPr>
      <w:rPr>
        <w:rFonts w:ascii="Symbol" w:hAnsi="Symbol" w:hint="default"/>
      </w:rPr>
    </w:lvl>
    <w:lvl w:ilvl="7" w:tplc="01F678F4">
      <w:start w:val="1"/>
      <w:numFmt w:val="bullet"/>
      <w:lvlText w:val="o"/>
      <w:lvlJc w:val="left"/>
      <w:pPr>
        <w:ind w:left="6480" w:hanging="360"/>
      </w:pPr>
      <w:rPr>
        <w:rFonts w:ascii="Courier New" w:hAnsi="Courier New" w:hint="default"/>
      </w:rPr>
    </w:lvl>
    <w:lvl w:ilvl="8" w:tplc="8A84857C">
      <w:start w:val="1"/>
      <w:numFmt w:val="bullet"/>
      <w:lvlText w:val=""/>
      <w:lvlJc w:val="left"/>
      <w:pPr>
        <w:ind w:left="7200" w:hanging="360"/>
      </w:pPr>
      <w:rPr>
        <w:rFonts w:ascii="Wingdings" w:hAnsi="Wingdings" w:hint="default"/>
      </w:rPr>
    </w:lvl>
  </w:abstractNum>
  <w:abstractNum w:abstractNumId="7" w15:restartNumberingAfterBreak="0">
    <w:nsid w:val="1D7B2026"/>
    <w:multiLevelType w:val="multilevel"/>
    <w:tmpl w:val="3286B1EC"/>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D800C9"/>
    <w:multiLevelType w:val="hybridMultilevel"/>
    <w:tmpl w:val="B1B02C1E"/>
    <w:lvl w:ilvl="0" w:tplc="B9B614E4">
      <w:start w:val="1"/>
      <w:numFmt w:val="decimal"/>
      <w:lvlText w:val="%1."/>
      <w:lvlJc w:val="left"/>
      <w:pPr>
        <w:ind w:left="644" w:hanging="360"/>
      </w:pPr>
      <w:rPr>
        <w:rFonts w:eastAsia="Times New Roman" w:hint="default"/>
        <w:b w:val="0"/>
        <w:color w:val="1F386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 w15:restartNumberingAfterBreak="0">
    <w:nsid w:val="23261BCA"/>
    <w:multiLevelType w:val="hybridMultilevel"/>
    <w:tmpl w:val="FFFFFFFF"/>
    <w:lvl w:ilvl="0" w:tplc="915A9D76">
      <w:start w:val="1"/>
      <w:numFmt w:val="bullet"/>
      <w:lvlText w:val=""/>
      <w:lvlJc w:val="left"/>
      <w:pPr>
        <w:ind w:left="720" w:hanging="360"/>
      </w:pPr>
      <w:rPr>
        <w:rFonts w:ascii="Symbol" w:hAnsi="Symbol" w:hint="default"/>
      </w:rPr>
    </w:lvl>
    <w:lvl w:ilvl="1" w:tplc="384C3780">
      <w:start w:val="1"/>
      <w:numFmt w:val="bullet"/>
      <w:lvlText w:val="o"/>
      <w:lvlJc w:val="left"/>
      <w:pPr>
        <w:ind w:left="1440" w:hanging="360"/>
      </w:pPr>
      <w:rPr>
        <w:rFonts w:ascii="Courier New" w:hAnsi="Courier New" w:hint="default"/>
      </w:rPr>
    </w:lvl>
    <w:lvl w:ilvl="2" w:tplc="9CDAD3C8">
      <w:start w:val="1"/>
      <w:numFmt w:val="bullet"/>
      <w:lvlText w:val=""/>
      <w:lvlJc w:val="left"/>
      <w:pPr>
        <w:ind w:left="2160" w:hanging="360"/>
      </w:pPr>
      <w:rPr>
        <w:rFonts w:ascii="Wingdings" w:hAnsi="Wingdings" w:hint="default"/>
      </w:rPr>
    </w:lvl>
    <w:lvl w:ilvl="3" w:tplc="16E25C78">
      <w:start w:val="1"/>
      <w:numFmt w:val="bullet"/>
      <w:lvlText w:val=""/>
      <w:lvlJc w:val="left"/>
      <w:pPr>
        <w:ind w:left="2880" w:hanging="360"/>
      </w:pPr>
      <w:rPr>
        <w:rFonts w:ascii="Symbol" w:hAnsi="Symbol" w:hint="default"/>
      </w:rPr>
    </w:lvl>
    <w:lvl w:ilvl="4" w:tplc="BDEEDC1E">
      <w:start w:val="1"/>
      <w:numFmt w:val="bullet"/>
      <w:lvlText w:val="o"/>
      <w:lvlJc w:val="left"/>
      <w:pPr>
        <w:ind w:left="3600" w:hanging="360"/>
      </w:pPr>
      <w:rPr>
        <w:rFonts w:ascii="Courier New" w:hAnsi="Courier New" w:hint="default"/>
      </w:rPr>
    </w:lvl>
    <w:lvl w:ilvl="5" w:tplc="0E3ED4FA">
      <w:start w:val="1"/>
      <w:numFmt w:val="bullet"/>
      <w:lvlText w:val=""/>
      <w:lvlJc w:val="left"/>
      <w:pPr>
        <w:ind w:left="4320" w:hanging="360"/>
      </w:pPr>
      <w:rPr>
        <w:rFonts w:ascii="Wingdings" w:hAnsi="Wingdings" w:hint="default"/>
      </w:rPr>
    </w:lvl>
    <w:lvl w:ilvl="6" w:tplc="236EABAC">
      <w:start w:val="1"/>
      <w:numFmt w:val="bullet"/>
      <w:lvlText w:val=""/>
      <w:lvlJc w:val="left"/>
      <w:pPr>
        <w:ind w:left="5040" w:hanging="360"/>
      </w:pPr>
      <w:rPr>
        <w:rFonts w:ascii="Symbol" w:hAnsi="Symbol" w:hint="default"/>
      </w:rPr>
    </w:lvl>
    <w:lvl w:ilvl="7" w:tplc="5AF4CD38">
      <w:start w:val="1"/>
      <w:numFmt w:val="bullet"/>
      <w:lvlText w:val="o"/>
      <w:lvlJc w:val="left"/>
      <w:pPr>
        <w:ind w:left="5760" w:hanging="360"/>
      </w:pPr>
      <w:rPr>
        <w:rFonts w:ascii="Courier New" w:hAnsi="Courier New" w:hint="default"/>
      </w:rPr>
    </w:lvl>
    <w:lvl w:ilvl="8" w:tplc="898A0A94">
      <w:start w:val="1"/>
      <w:numFmt w:val="bullet"/>
      <w:lvlText w:val=""/>
      <w:lvlJc w:val="left"/>
      <w:pPr>
        <w:ind w:left="6480" w:hanging="360"/>
      </w:pPr>
      <w:rPr>
        <w:rFonts w:ascii="Wingdings" w:hAnsi="Wingdings" w:hint="default"/>
      </w:rPr>
    </w:lvl>
  </w:abstractNum>
  <w:abstractNum w:abstractNumId="10" w15:restartNumberingAfterBreak="0">
    <w:nsid w:val="2A9F41B4"/>
    <w:multiLevelType w:val="hybridMultilevel"/>
    <w:tmpl w:val="38F0C47C"/>
    <w:lvl w:ilvl="0" w:tplc="DB086466">
      <w:start w:val="1"/>
      <w:numFmt w:val="bullet"/>
      <w:lvlText w:val=""/>
      <w:lvlJc w:val="left"/>
      <w:pPr>
        <w:ind w:left="1800" w:hanging="360"/>
      </w:pPr>
      <w:rPr>
        <w:rFonts w:ascii="Symbol" w:hAnsi="Symbol" w:hint="default"/>
        <w:u w:val="none"/>
      </w:rPr>
    </w:lvl>
    <w:lvl w:ilvl="1" w:tplc="0C0A0003">
      <w:start w:val="1"/>
      <w:numFmt w:val="bullet"/>
      <w:lvlText w:val="o"/>
      <w:lvlJc w:val="left"/>
      <w:pPr>
        <w:ind w:left="2520" w:hanging="360"/>
      </w:pPr>
      <w:rPr>
        <w:rFonts w:ascii="Courier New" w:hAnsi="Courier New" w:cs="Courier New" w:hint="default"/>
        <w:u w:val="none"/>
      </w:rPr>
    </w:lvl>
    <w:lvl w:ilvl="2" w:tplc="766C9EC8">
      <w:start w:val="1"/>
      <w:numFmt w:val="bullet"/>
      <w:lvlText w:val="■"/>
      <w:lvlJc w:val="left"/>
      <w:pPr>
        <w:ind w:left="3240" w:hanging="360"/>
      </w:pPr>
      <w:rPr>
        <w:u w:val="none"/>
      </w:rPr>
    </w:lvl>
    <w:lvl w:ilvl="3" w:tplc="DAA69FE4">
      <w:start w:val="1"/>
      <w:numFmt w:val="bullet"/>
      <w:lvlText w:val="●"/>
      <w:lvlJc w:val="left"/>
      <w:pPr>
        <w:ind w:left="3960" w:hanging="360"/>
      </w:pPr>
      <w:rPr>
        <w:u w:val="none"/>
      </w:rPr>
    </w:lvl>
    <w:lvl w:ilvl="4" w:tplc="68422F3C">
      <w:start w:val="1"/>
      <w:numFmt w:val="bullet"/>
      <w:lvlText w:val="○"/>
      <w:lvlJc w:val="left"/>
      <w:pPr>
        <w:ind w:left="4680" w:hanging="360"/>
      </w:pPr>
      <w:rPr>
        <w:u w:val="none"/>
      </w:rPr>
    </w:lvl>
    <w:lvl w:ilvl="5" w:tplc="85F6CF0E">
      <w:start w:val="1"/>
      <w:numFmt w:val="bullet"/>
      <w:lvlText w:val="■"/>
      <w:lvlJc w:val="left"/>
      <w:pPr>
        <w:ind w:left="5400" w:hanging="360"/>
      </w:pPr>
      <w:rPr>
        <w:u w:val="none"/>
      </w:rPr>
    </w:lvl>
    <w:lvl w:ilvl="6" w:tplc="E09C7242">
      <w:start w:val="1"/>
      <w:numFmt w:val="bullet"/>
      <w:lvlText w:val="●"/>
      <w:lvlJc w:val="left"/>
      <w:pPr>
        <w:ind w:left="6120" w:hanging="360"/>
      </w:pPr>
      <w:rPr>
        <w:u w:val="none"/>
      </w:rPr>
    </w:lvl>
    <w:lvl w:ilvl="7" w:tplc="A7063068">
      <w:start w:val="1"/>
      <w:numFmt w:val="bullet"/>
      <w:lvlText w:val="○"/>
      <w:lvlJc w:val="left"/>
      <w:pPr>
        <w:ind w:left="6840" w:hanging="360"/>
      </w:pPr>
      <w:rPr>
        <w:u w:val="none"/>
      </w:rPr>
    </w:lvl>
    <w:lvl w:ilvl="8" w:tplc="58566618">
      <w:start w:val="1"/>
      <w:numFmt w:val="bullet"/>
      <w:lvlText w:val="■"/>
      <w:lvlJc w:val="left"/>
      <w:pPr>
        <w:ind w:left="7560" w:hanging="360"/>
      </w:pPr>
      <w:rPr>
        <w:u w:val="none"/>
      </w:rPr>
    </w:lvl>
  </w:abstractNum>
  <w:abstractNum w:abstractNumId="11" w15:restartNumberingAfterBreak="0">
    <w:nsid w:val="2D9B4E70"/>
    <w:multiLevelType w:val="hybridMultilevel"/>
    <w:tmpl w:val="76D8DA24"/>
    <w:lvl w:ilvl="0" w:tplc="52063B04">
      <w:start w:val="1"/>
      <w:numFmt w:val="bullet"/>
      <w:lvlText w:val=""/>
      <w:lvlJc w:val="left"/>
      <w:pPr>
        <w:tabs>
          <w:tab w:val="num" w:pos="720"/>
        </w:tabs>
        <w:ind w:left="284" w:firstLine="76"/>
      </w:pPr>
      <w:rPr>
        <w:rFonts w:ascii="Symbol" w:hAnsi="Symbol" w:hint="default"/>
        <w:sz w:val="18"/>
        <w:szCs w:val="18"/>
      </w:rPr>
    </w:lvl>
    <w:lvl w:ilvl="1" w:tplc="AF6E7F96">
      <w:start w:val="1"/>
      <w:numFmt w:val="bullet"/>
      <w:lvlText w:val=""/>
      <w:lvlJc w:val="left"/>
      <w:pPr>
        <w:tabs>
          <w:tab w:val="num" w:pos="1440"/>
        </w:tabs>
        <w:ind w:left="284" w:firstLine="796"/>
      </w:pPr>
      <w:rPr>
        <w:rFonts w:ascii="Symbol" w:hAnsi="Symbol" w:hint="default"/>
        <w:sz w:val="20"/>
      </w:rPr>
    </w:lvl>
    <w:lvl w:ilvl="2" w:tplc="F9FE3D42">
      <w:start w:val="1"/>
      <w:numFmt w:val="bullet"/>
      <w:lvlText w:val=""/>
      <w:lvlJc w:val="left"/>
      <w:pPr>
        <w:tabs>
          <w:tab w:val="num" w:pos="2160"/>
        </w:tabs>
        <w:ind w:left="2160" w:hanging="360"/>
      </w:pPr>
      <w:rPr>
        <w:rFonts w:ascii="Symbol" w:hAnsi="Symbol" w:hint="default"/>
        <w:sz w:val="20"/>
      </w:rPr>
    </w:lvl>
    <w:lvl w:ilvl="3" w:tplc="89F6495E">
      <w:start w:val="1"/>
      <w:numFmt w:val="bullet"/>
      <w:lvlText w:val=""/>
      <w:lvlJc w:val="left"/>
      <w:pPr>
        <w:tabs>
          <w:tab w:val="num" w:pos="2880"/>
        </w:tabs>
        <w:ind w:left="2880" w:hanging="360"/>
      </w:pPr>
      <w:rPr>
        <w:rFonts w:ascii="Symbol" w:hAnsi="Symbol" w:hint="default"/>
        <w:sz w:val="20"/>
      </w:rPr>
    </w:lvl>
    <w:lvl w:ilvl="4" w:tplc="26FC1098">
      <w:start w:val="1"/>
      <w:numFmt w:val="bullet"/>
      <w:lvlText w:val=""/>
      <w:lvlJc w:val="left"/>
      <w:pPr>
        <w:tabs>
          <w:tab w:val="num" w:pos="3600"/>
        </w:tabs>
        <w:ind w:left="3600" w:hanging="360"/>
      </w:pPr>
      <w:rPr>
        <w:rFonts w:ascii="Symbol" w:hAnsi="Symbol" w:hint="default"/>
        <w:sz w:val="20"/>
      </w:rPr>
    </w:lvl>
    <w:lvl w:ilvl="5" w:tplc="FF20048E">
      <w:start w:val="1"/>
      <w:numFmt w:val="bullet"/>
      <w:lvlText w:val=""/>
      <w:lvlJc w:val="left"/>
      <w:pPr>
        <w:tabs>
          <w:tab w:val="num" w:pos="4320"/>
        </w:tabs>
        <w:ind w:left="4320" w:hanging="360"/>
      </w:pPr>
      <w:rPr>
        <w:rFonts w:ascii="Symbol" w:hAnsi="Symbol" w:hint="default"/>
        <w:sz w:val="20"/>
      </w:rPr>
    </w:lvl>
    <w:lvl w:ilvl="6" w:tplc="2A3A4878">
      <w:start w:val="1"/>
      <w:numFmt w:val="bullet"/>
      <w:lvlText w:val=""/>
      <w:lvlJc w:val="left"/>
      <w:pPr>
        <w:tabs>
          <w:tab w:val="num" w:pos="5040"/>
        </w:tabs>
        <w:ind w:left="5040" w:hanging="360"/>
      </w:pPr>
      <w:rPr>
        <w:rFonts w:ascii="Symbol" w:hAnsi="Symbol" w:hint="default"/>
        <w:sz w:val="20"/>
      </w:rPr>
    </w:lvl>
    <w:lvl w:ilvl="7" w:tplc="9D40472E">
      <w:start w:val="1"/>
      <w:numFmt w:val="bullet"/>
      <w:lvlText w:val=""/>
      <w:lvlJc w:val="left"/>
      <w:pPr>
        <w:tabs>
          <w:tab w:val="num" w:pos="5760"/>
        </w:tabs>
        <w:ind w:left="5760" w:hanging="360"/>
      </w:pPr>
      <w:rPr>
        <w:rFonts w:ascii="Symbol" w:hAnsi="Symbol" w:hint="default"/>
        <w:sz w:val="20"/>
      </w:rPr>
    </w:lvl>
    <w:lvl w:ilvl="8" w:tplc="20BE98FC">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98219F"/>
    <w:multiLevelType w:val="hybridMultilevel"/>
    <w:tmpl w:val="FFFFFFFF"/>
    <w:lvl w:ilvl="0" w:tplc="2468FA5C">
      <w:start w:val="1"/>
      <w:numFmt w:val="bullet"/>
      <w:lvlText w:val=""/>
      <w:lvlJc w:val="left"/>
      <w:pPr>
        <w:ind w:left="720" w:hanging="360"/>
      </w:pPr>
      <w:rPr>
        <w:rFonts w:ascii="Symbol" w:hAnsi="Symbol" w:hint="default"/>
      </w:rPr>
    </w:lvl>
    <w:lvl w:ilvl="1" w:tplc="360A7686">
      <w:start w:val="1"/>
      <w:numFmt w:val="bullet"/>
      <w:lvlText w:val="o"/>
      <w:lvlJc w:val="left"/>
      <w:pPr>
        <w:ind w:left="1440" w:hanging="360"/>
      </w:pPr>
      <w:rPr>
        <w:rFonts w:ascii="Courier New" w:hAnsi="Courier New" w:hint="default"/>
      </w:rPr>
    </w:lvl>
    <w:lvl w:ilvl="2" w:tplc="8C820158">
      <w:start w:val="1"/>
      <w:numFmt w:val="bullet"/>
      <w:lvlText w:val=""/>
      <w:lvlJc w:val="left"/>
      <w:pPr>
        <w:ind w:left="2160" w:hanging="360"/>
      </w:pPr>
      <w:rPr>
        <w:rFonts w:ascii="Wingdings" w:hAnsi="Wingdings" w:hint="default"/>
      </w:rPr>
    </w:lvl>
    <w:lvl w:ilvl="3" w:tplc="D9E85AE6">
      <w:start w:val="1"/>
      <w:numFmt w:val="bullet"/>
      <w:lvlText w:val=""/>
      <w:lvlJc w:val="left"/>
      <w:pPr>
        <w:ind w:left="2880" w:hanging="360"/>
      </w:pPr>
      <w:rPr>
        <w:rFonts w:ascii="Symbol" w:hAnsi="Symbol" w:hint="default"/>
      </w:rPr>
    </w:lvl>
    <w:lvl w:ilvl="4" w:tplc="9A58A5D4">
      <w:start w:val="1"/>
      <w:numFmt w:val="bullet"/>
      <w:lvlText w:val="o"/>
      <w:lvlJc w:val="left"/>
      <w:pPr>
        <w:ind w:left="3600" w:hanging="360"/>
      </w:pPr>
      <w:rPr>
        <w:rFonts w:ascii="Courier New" w:hAnsi="Courier New" w:hint="default"/>
      </w:rPr>
    </w:lvl>
    <w:lvl w:ilvl="5" w:tplc="33FCAA0E">
      <w:start w:val="1"/>
      <w:numFmt w:val="bullet"/>
      <w:lvlText w:val=""/>
      <w:lvlJc w:val="left"/>
      <w:pPr>
        <w:ind w:left="4320" w:hanging="360"/>
      </w:pPr>
      <w:rPr>
        <w:rFonts w:ascii="Wingdings" w:hAnsi="Wingdings" w:hint="default"/>
      </w:rPr>
    </w:lvl>
    <w:lvl w:ilvl="6" w:tplc="4AC25DCA">
      <w:start w:val="1"/>
      <w:numFmt w:val="bullet"/>
      <w:lvlText w:val=""/>
      <w:lvlJc w:val="left"/>
      <w:pPr>
        <w:ind w:left="5040" w:hanging="360"/>
      </w:pPr>
      <w:rPr>
        <w:rFonts w:ascii="Symbol" w:hAnsi="Symbol" w:hint="default"/>
      </w:rPr>
    </w:lvl>
    <w:lvl w:ilvl="7" w:tplc="85CA225C">
      <w:start w:val="1"/>
      <w:numFmt w:val="bullet"/>
      <w:lvlText w:val="o"/>
      <w:lvlJc w:val="left"/>
      <w:pPr>
        <w:ind w:left="5760" w:hanging="360"/>
      </w:pPr>
      <w:rPr>
        <w:rFonts w:ascii="Courier New" w:hAnsi="Courier New" w:hint="default"/>
      </w:rPr>
    </w:lvl>
    <w:lvl w:ilvl="8" w:tplc="ACD86E64">
      <w:start w:val="1"/>
      <w:numFmt w:val="bullet"/>
      <w:lvlText w:val=""/>
      <w:lvlJc w:val="left"/>
      <w:pPr>
        <w:ind w:left="6480" w:hanging="360"/>
      </w:pPr>
      <w:rPr>
        <w:rFonts w:ascii="Wingdings" w:hAnsi="Wingdings" w:hint="default"/>
      </w:rPr>
    </w:lvl>
  </w:abstractNum>
  <w:abstractNum w:abstractNumId="13" w15:restartNumberingAfterBreak="0">
    <w:nsid w:val="374642FA"/>
    <w:multiLevelType w:val="hybridMultilevel"/>
    <w:tmpl w:val="69AEC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4E25F6"/>
    <w:multiLevelType w:val="hybridMultilevel"/>
    <w:tmpl w:val="4A784D5A"/>
    <w:lvl w:ilvl="0" w:tplc="D2C696B4">
      <w:start w:val="1"/>
      <w:numFmt w:val="upperRoman"/>
      <w:lvlText w:val="%1."/>
      <w:lvlJc w:val="left"/>
      <w:pPr>
        <w:ind w:left="1080" w:hanging="720"/>
      </w:pPr>
      <w:rPr>
        <w:rFonts w:hint="default"/>
        <w:b w:val="0"/>
        <w:bCs w:val="0"/>
        <w:color w:val="1F4E79" w:themeColor="accent1" w:themeShade="80"/>
        <w:sz w:val="26"/>
        <w:szCs w:val="26"/>
      </w:rPr>
    </w:lvl>
    <w:lvl w:ilvl="1" w:tplc="BBCCF1A0">
      <w:start w:val="1"/>
      <w:numFmt w:val="decimal"/>
      <w:lvlText w:val="%2."/>
      <w:lvlJc w:val="left"/>
      <w:pPr>
        <w:ind w:left="1440" w:hanging="360"/>
      </w:pPr>
      <w:rPr>
        <w:rFonts w:eastAsia="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CB20722"/>
    <w:multiLevelType w:val="hybridMultilevel"/>
    <w:tmpl w:val="FFFFFFFF"/>
    <w:lvl w:ilvl="0" w:tplc="CB5C015A">
      <w:start w:val="1"/>
      <w:numFmt w:val="bullet"/>
      <w:lvlText w:val="o"/>
      <w:lvlJc w:val="left"/>
      <w:pPr>
        <w:ind w:left="1440" w:hanging="360"/>
      </w:pPr>
      <w:rPr>
        <w:rFonts w:ascii="Courier New" w:hAnsi="Courier New" w:hint="default"/>
      </w:rPr>
    </w:lvl>
    <w:lvl w:ilvl="1" w:tplc="5AB68592">
      <w:start w:val="1"/>
      <w:numFmt w:val="bullet"/>
      <w:lvlText w:val="o"/>
      <w:lvlJc w:val="left"/>
      <w:pPr>
        <w:ind w:left="2160" w:hanging="360"/>
      </w:pPr>
      <w:rPr>
        <w:rFonts w:ascii="Courier New" w:hAnsi="Courier New" w:hint="default"/>
      </w:rPr>
    </w:lvl>
    <w:lvl w:ilvl="2" w:tplc="9488C93E">
      <w:start w:val="1"/>
      <w:numFmt w:val="bullet"/>
      <w:lvlText w:val=""/>
      <w:lvlJc w:val="left"/>
      <w:pPr>
        <w:ind w:left="2880" w:hanging="360"/>
      </w:pPr>
      <w:rPr>
        <w:rFonts w:ascii="Wingdings" w:hAnsi="Wingdings" w:hint="default"/>
      </w:rPr>
    </w:lvl>
    <w:lvl w:ilvl="3" w:tplc="007C0FB8">
      <w:start w:val="1"/>
      <w:numFmt w:val="bullet"/>
      <w:lvlText w:val=""/>
      <w:lvlJc w:val="left"/>
      <w:pPr>
        <w:ind w:left="3600" w:hanging="360"/>
      </w:pPr>
      <w:rPr>
        <w:rFonts w:ascii="Symbol" w:hAnsi="Symbol" w:hint="default"/>
      </w:rPr>
    </w:lvl>
    <w:lvl w:ilvl="4" w:tplc="67849E82">
      <w:start w:val="1"/>
      <w:numFmt w:val="bullet"/>
      <w:lvlText w:val="o"/>
      <w:lvlJc w:val="left"/>
      <w:pPr>
        <w:ind w:left="4320" w:hanging="360"/>
      </w:pPr>
      <w:rPr>
        <w:rFonts w:ascii="Courier New" w:hAnsi="Courier New" w:hint="default"/>
      </w:rPr>
    </w:lvl>
    <w:lvl w:ilvl="5" w:tplc="57D26970">
      <w:start w:val="1"/>
      <w:numFmt w:val="bullet"/>
      <w:lvlText w:val=""/>
      <w:lvlJc w:val="left"/>
      <w:pPr>
        <w:ind w:left="5040" w:hanging="360"/>
      </w:pPr>
      <w:rPr>
        <w:rFonts w:ascii="Wingdings" w:hAnsi="Wingdings" w:hint="default"/>
      </w:rPr>
    </w:lvl>
    <w:lvl w:ilvl="6" w:tplc="5C661F72">
      <w:start w:val="1"/>
      <w:numFmt w:val="bullet"/>
      <w:lvlText w:val=""/>
      <w:lvlJc w:val="left"/>
      <w:pPr>
        <w:ind w:left="5760" w:hanging="360"/>
      </w:pPr>
      <w:rPr>
        <w:rFonts w:ascii="Symbol" w:hAnsi="Symbol" w:hint="default"/>
      </w:rPr>
    </w:lvl>
    <w:lvl w:ilvl="7" w:tplc="AB3EECB6">
      <w:start w:val="1"/>
      <w:numFmt w:val="bullet"/>
      <w:lvlText w:val="o"/>
      <w:lvlJc w:val="left"/>
      <w:pPr>
        <w:ind w:left="6480" w:hanging="360"/>
      </w:pPr>
      <w:rPr>
        <w:rFonts w:ascii="Courier New" w:hAnsi="Courier New" w:hint="default"/>
      </w:rPr>
    </w:lvl>
    <w:lvl w:ilvl="8" w:tplc="B6544AE8">
      <w:start w:val="1"/>
      <w:numFmt w:val="bullet"/>
      <w:lvlText w:val=""/>
      <w:lvlJc w:val="left"/>
      <w:pPr>
        <w:ind w:left="7200" w:hanging="360"/>
      </w:pPr>
      <w:rPr>
        <w:rFonts w:ascii="Wingdings" w:hAnsi="Wingdings" w:hint="default"/>
      </w:rPr>
    </w:lvl>
  </w:abstractNum>
  <w:abstractNum w:abstractNumId="16" w15:restartNumberingAfterBreak="0">
    <w:nsid w:val="4D9355B1"/>
    <w:multiLevelType w:val="hybridMultilevel"/>
    <w:tmpl w:val="FFFFFFFF"/>
    <w:lvl w:ilvl="0" w:tplc="4AC4AAE6">
      <w:start w:val="1"/>
      <w:numFmt w:val="bullet"/>
      <w:lvlText w:val="o"/>
      <w:lvlJc w:val="left"/>
      <w:pPr>
        <w:ind w:left="1440" w:hanging="360"/>
      </w:pPr>
      <w:rPr>
        <w:rFonts w:ascii="Courier New" w:hAnsi="Courier New" w:hint="default"/>
      </w:rPr>
    </w:lvl>
    <w:lvl w:ilvl="1" w:tplc="B0F4FD62">
      <w:start w:val="1"/>
      <w:numFmt w:val="bullet"/>
      <w:lvlText w:val="o"/>
      <w:lvlJc w:val="left"/>
      <w:pPr>
        <w:ind w:left="2160" w:hanging="360"/>
      </w:pPr>
      <w:rPr>
        <w:rFonts w:ascii="Courier New" w:hAnsi="Courier New" w:hint="default"/>
      </w:rPr>
    </w:lvl>
    <w:lvl w:ilvl="2" w:tplc="1DB622D2">
      <w:start w:val="1"/>
      <w:numFmt w:val="bullet"/>
      <w:lvlText w:val=""/>
      <w:lvlJc w:val="left"/>
      <w:pPr>
        <w:ind w:left="2880" w:hanging="360"/>
      </w:pPr>
      <w:rPr>
        <w:rFonts w:ascii="Wingdings" w:hAnsi="Wingdings" w:hint="default"/>
      </w:rPr>
    </w:lvl>
    <w:lvl w:ilvl="3" w:tplc="3508C1F8">
      <w:start w:val="1"/>
      <w:numFmt w:val="bullet"/>
      <w:lvlText w:val=""/>
      <w:lvlJc w:val="left"/>
      <w:pPr>
        <w:ind w:left="3600" w:hanging="360"/>
      </w:pPr>
      <w:rPr>
        <w:rFonts w:ascii="Symbol" w:hAnsi="Symbol" w:hint="default"/>
      </w:rPr>
    </w:lvl>
    <w:lvl w:ilvl="4" w:tplc="BF4AE964">
      <w:start w:val="1"/>
      <w:numFmt w:val="bullet"/>
      <w:lvlText w:val="o"/>
      <w:lvlJc w:val="left"/>
      <w:pPr>
        <w:ind w:left="4320" w:hanging="360"/>
      </w:pPr>
      <w:rPr>
        <w:rFonts w:ascii="Courier New" w:hAnsi="Courier New" w:hint="default"/>
      </w:rPr>
    </w:lvl>
    <w:lvl w:ilvl="5" w:tplc="3952720A">
      <w:start w:val="1"/>
      <w:numFmt w:val="bullet"/>
      <w:lvlText w:val=""/>
      <w:lvlJc w:val="left"/>
      <w:pPr>
        <w:ind w:left="5040" w:hanging="360"/>
      </w:pPr>
      <w:rPr>
        <w:rFonts w:ascii="Wingdings" w:hAnsi="Wingdings" w:hint="default"/>
      </w:rPr>
    </w:lvl>
    <w:lvl w:ilvl="6" w:tplc="774E5D16">
      <w:start w:val="1"/>
      <w:numFmt w:val="bullet"/>
      <w:lvlText w:val=""/>
      <w:lvlJc w:val="left"/>
      <w:pPr>
        <w:ind w:left="5760" w:hanging="360"/>
      </w:pPr>
      <w:rPr>
        <w:rFonts w:ascii="Symbol" w:hAnsi="Symbol" w:hint="default"/>
      </w:rPr>
    </w:lvl>
    <w:lvl w:ilvl="7" w:tplc="81E809AC">
      <w:start w:val="1"/>
      <w:numFmt w:val="bullet"/>
      <w:lvlText w:val="o"/>
      <w:lvlJc w:val="left"/>
      <w:pPr>
        <w:ind w:left="6480" w:hanging="360"/>
      </w:pPr>
      <w:rPr>
        <w:rFonts w:ascii="Courier New" w:hAnsi="Courier New" w:hint="default"/>
      </w:rPr>
    </w:lvl>
    <w:lvl w:ilvl="8" w:tplc="7CEAA360">
      <w:start w:val="1"/>
      <w:numFmt w:val="bullet"/>
      <w:lvlText w:val=""/>
      <w:lvlJc w:val="left"/>
      <w:pPr>
        <w:ind w:left="7200" w:hanging="360"/>
      </w:pPr>
      <w:rPr>
        <w:rFonts w:ascii="Wingdings" w:hAnsi="Wingdings" w:hint="default"/>
      </w:rPr>
    </w:lvl>
  </w:abstractNum>
  <w:abstractNum w:abstractNumId="17" w15:restartNumberingAfterBreak="0">
    <w:nsid w:val="4DB67DA8"/>
    <w:multiLevelType w:val="hybridMultilevel"/>
    <w:tmpl w:val="522E325C"/>
    <w:lvl w:ilvl="0" w:tplc="4158300E">
      <w:start w:val="1"/>
      <w:numFmt w:val="bullet"/>
      <w:lvlText w:val=""/>
      <w:lvlJc w:val="left"/>
      <w:pPr>
        <w:tabs>
          <w:tab w:val="num" w:pos="720"/>
        </w:tabs>
        <w:ind w:left="284" w:firstLine="76"/>
      </w:pPr>
      <w:rPr>
        <w:rFonts w:ascii="Symbol" w:hAnsi="Symbol" w:hint="default"/>
        <w:sz w:val="20"/>
      </w:rPr>
    </w:lvl>
    <w:lvl w:ilvl="1" w:tplc="CF2A1222">
      <w:start w:val="1"/>
      <w:numFmt w:val="bullet"/>
      <w:lvlText w:val=""/>
      <w:lvlJc w:val="left"/>
      <w:pPr>
        <w:tabs>
          <w:tab w:val="num" w:pos="1440"/>
        </w:tabs>
        <w:ind w:left="284" w:firstLine="796"/>
      </w:pPr>
      <w:rPr>
        <w:rFonts w:ascii="Symbol" w:hAnsi="Symbol" w:hint="default"/>
        <w:sz w:val="20"/>
      </w:rPr>
    </w:lvl>
    <w:lvl w:ilvl="2" w:tplc="0F881DD8">
      <w:start w:val="1"/>
      <w:numFmt w:val="bullet"/>
      <w:lvlText w:val=""/>
      <w:lvlJc w:val="left"/>
      <w:pPr>
        <w:tabs>
          <w:tab w:val="num" w:pos="2160"/>
        </w:tabs>
        <w:ind w:left="2160" w:hanging="360"/>
      </w:pPr>
      <w:rPr>
        <w:rFonts w:ascii="Symbol" w:hAnsi="Symbol" w:hint="default"/>
        <w:sz w:val="20"/>
      </w:rPr>
    </w:lvl>
    <w:lvl w:ilvl="3" w:tplc="46AEE54E">
      <w:start w:val="1"/>
      <w:numFmt w:val="bullet"/>
      <w:lvlText w:val=""/>
      <w:lvlJc w:val="left"/>
      <w:pPr>
        <w:tabs>
          <w:tab w:val="num" w:pos="2880"/>
        </w:tabs>
        <w:ind w:left="2880" w:hanging="360"/>
      </w:pPr>
      <w:rPr>
        <w:rFonts w:ascii="Symbol" w:hAnsi="Symbol" w:hint="default"/>
        <w:sz w:val="20"/>
      </w:rPr>
    </w:lvl>
    <w:lvl w:ilvl="4" w:tplc="9EE66A6E">
      <w:start w:val="1"/>
      <w:numFmt w:val="bullet"/>
      <w:lvlText w:val=""/>
      <w:lvlJc w:val="left"/>
      <w:pPr>
        <w:tabs>
          <w:tab w:val="num" w:pos="3600"/>
        </w:tabs>
        <w:ind w:left="3600" w:hanging="360"/>
      </w:pPr>
      <w:rPr>
        <w:rFonts w:ascii="Symbol" w:hAnsi="Symbol" w:hint="default"/>
        <w:sz w:val="20"/>
      </w:rPr>
    </w:lvl>
    <w:lvl w:ilvl="5" w:tplc="6DE094D2">
      <w:start w:val="1"/>
      <w:numFmt w:val="bullet"/>
      <w:lvlText w:val=""/>
      <w:lvlJc w:val="left"/>
      <w:pPr>
        <w:tabs>
          <w:tab w:val="num" w:pos="4320"/>
        </w:tabs>
        <w:ind w:left="4320" w:hanging="360"/>
      </w:pPr>
      <w:rPr>
        <w:rFonts w:ascii="Symbol" w:hAnsi="Symbol" w:hint="default"/>
        <w:sz w:val="20"/>
      </w:rPr>
    </w:lvl>
    <w:lvl w:ilvl="6" w:tplc="A7B426D0">
      <w:start w:val="1"/>
      <w:numFmt w:val="bullet"/>
      <w:lvlText w:val=""/>
      <w:lvlJc w:val="left"/>
      <w:pPr>
        <w:tabs>
          <w:tab w:val="num" w:pos="5040"/>
        </w:tabs>
        <w:ind w:left="5040" w:hanging="360"/>
      </w:pPr>
      <w:rPr>
        <w:rFonts w:ascii="Symbol" w:hAnsi="Symbol" w:hint="default"/>
        <w:sz w:val="20"/>
      </w:rPr>
    </w:lvl>
    <w:lvl w:ilvl="7" w:tplc="826E38FC">
      <w:start w:val="1"/>
      <w:numFmt w:val="bullet"/>
      <w:lvlText w:val=""/>
      <w:lvlJc w:val="left"/>
      <w:pPr>
        <w:tabs>
          <w:tab w:val="num" w:pos="5760"/>
        </w:tabs>
        <w:ind w:left="5760" w:hanging="360"/>
      </w:pPr>
      <w:rPr>
        <w:rFonts w:ascii="Symbol" w:hAnsi="Symbol" w:hint="default"/>
        <w:sz w:val="20"/>
      </w:rPr>
    </w:lvl>
    <w:lvl w:ilvl="8" w:tplc="9004840C">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E07C50"/>
    <w:multiLevelType w:val="hybridMultilevel"/>
    <w:tmpl w:val="9F8683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6429FE"/>
    <w:multiLevelType w:val="hybridMultilevel"/>
    <w:tmpl w:val="20CEC924"/>
    <w:lvl w:ilvl="0" w:tplc="B83EBB8A">
      <w:start w:val="1"/>
      <w:numFmt w:val="upperLetter"/>
      <w:lvlText w:val="%1."/>
      <w:lvlJc w:val="left"/>
      <w:pPr>
        <w:ind w:left="1920" w:hanging="360"/>
      </w:pPr>
      <w:rPr>
        <w:rFonts w:hint="default"/>
      </w:rPr>
    </w:lvl>
    <w:lvl w:ilvl="1" w:tplc="1C0A0019">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0" w15:restartNumberingAfterBreak="0">
    <w:nsid w:val="5785528E"/>
    <w:multiLevelType w:val="hybridMultilevel"/>
    <w:tmpl w:val="FFFFFFFF"/>
    <w:lvl w:ilvl="0" w:tplc="9774B9DA">
      <w:start w:val="1"/>
      <w:numFmt w:val="bullet"/>
      <w:lvlText w:val="o"/>
      <w:lvlJc w:val="left"/>
      <w:pPr>
        <w:ind w:left="1440" w:hanging="360"/>
      </w:pPr>
      <w:rPr>
        <w:rFonts w:ascii="Courier New" w:hAnsi="Courier New" w:hint="default"/>
      </w:rPr>
    </w:lvl>
    <w:lvl w:ilvl="1" w:tplc="55CABD70">
      <w:start w:val="1"/>
      <w:numFmt w:val="bullet"/>
      <w:lvlText w:val="o"/>
      <w:lvlJc w:val="left"/>
      <w:pPr>
        <w:ind w:left="2160" w:hanging="360"/>
      </w:pPr>
      <w:rPr>
        <w:rFonts w:ascii="Courier New" w:hAnsi="Courier New" w:hint="default"/>
      </w:rPr>
    </w:lvl>
    <w:lvl w:ilvl="2" w:tplc="F5DEF8C0">
      <w:start w:val="1"/>
      <w:numFmt w:val="bullet"/>
      <w:lvlText w:val=""/>
      <w:lvlJc w:val="left"/>
      <w:pPr>
        <w:ind w:left="2880" w:hanging="360"/>
      </w:pPr>
      <w:rPr>
        <w:rFonts w:ascii="Wingdings" w:hAnsi="Wingdings" w:hint="default"/>
      </w:rPr>
    </w:lvl>
    <w:lvl w:ilvl="3" w:tplc="968CF1F2">
      <w:start w:val="1"/>
      <w:numFmt w:val="bullet"/>
      <w:lvlText w:val=""/>
      <w:lvlJc w:val="left"/>
      <w:pPr>
        <w:ind w:left="3600" w:hanging="360"/>
      </w:pPr>
      <w:rPr>
        <w:rFonts w:ascii="Symbol" w:hAnsi="Symbol" w:hint="default"/>
      </w:rPr>
    </w:lvl>
    <w:lvl w:ilvl="4" w:tplc="9B1E582E">
      <w:start w:val="1"/>
      <w:numFmt w:val="bullet"/>
      <w:lvlText w:val="o"/>
      <w:lvlJc w:val="left"/>
      <w:pPr>
        <w:ind w:left="4320" w:hanging="360"/>
      </w:pPr>
      <w:rPr>
        <w:rFonts w:ascii="Courier New" w:hAnsi="Courier New" w:hint="default"/>
      </w:rPr>
    </w:lvl>
    <w:lvl w:ilvl="5" w:tplc="6B2615A0">
      <w:start w:val="1"/>
      <w:numFmt w:val="bullet"/>
      <w:lvlText w:val=""/>
      <w:lvlJc w:val="left"/>
      <w:pPr>
        <w:ind w:left="5040" w:hanging="360"/>
      </w:pPr>
      <w:rPr>
        <w:rFonts w:ascii="Wingdings" w:hAnsi="Wingdings" w:hint="default"/>
      </w:rPr>
    </w:lvl>
    <w:lvl w:ilvl="6" w:tplc="022C9248">
      <w:start w:val="1"/>
      <w:numFmt w:val="bullet"/>
      <w:lvlText w:val=""/>
      <w:lvlJc w:val="left"/>
      <w:pPr>
        <w:ind w:left="5760" w:hanging="360"/>
      </w:pPr>
      <w:rPr>
        <w:rFonts w:ascii="Symbol" w:hAnsi="Symbol" w:hint="default"/>
      </w:rPr>
    </w:lvl>
    <w:lvl w:ilvl="7" w:tplc="757CAE18">
      <w:start w:val="1"/>
      <w:numFmt w:val="bullet"/>
      <w:lvlText w:val="o"/>
      <w:lvlJc w:val="left"/>
      <w:pPr>
        <w:ind w:left="6480" w:hanging="360"/>
      </w:pPr>
      <w:rPr>
        <w:rFonts w:ascii="Courier New" w:hAnsi="Courier New" w:hint="default"/>
      </w:rPr>
    </w:lvl>
    <w:lvl w:ilvl="8" w:tplc="680E4D0E">
      <w:start w:val="1"/>
      <w:numFmt w:val="bullet"/>
      <w:lvlText w:val=""/>
      <w:lvlJc w:val="left"/>
      <w:pPr>
        <w:ind w:left="7200" w:hanging="360"/>
      </w:pPr>
      <w:rPr>
        <w:rFonts w:ascii="Wingdings" w:hAnsi="Wingdings" w:hint="default"/>
      </w:rPr>
    </w:lvl>
  </w:abstractNum>
  <w:abstractNum w:abstractNumId="21" w15:restartNumberingAfterBreak="0">
    <w:nsid w:val="5B5523FC"/>
    <w:multiLevelType w:val="hybridMultilevel"/>
    <w:tmpl w:val="FFFFFFFF"/>
    <w:lvl w:ilvl="0" w:tplc="86A88418">
      <w:start w:val="1"/>
      <w:numFmt w:val="bullet"/>
      <w:lvlText w:val=""/>
      <w:lvlJc w:val="left"/>
      <w:pPr>
        <w:ind w:left="644" w:hanging="360"/>
      </w:pPr>
      <w:rPr>
        <w:rFonts w:ascii="Symbol" w:hAnsi="Symbol" w:hint="default"/>
      </w:rPr>
    </w:lvl>
    <w:lvl w:ilvl="1" w:tplc="F69095F0">
      <w:start w:val="1"/>
      <w:numFmt w:val="bullet"/>
      <w:lvlText w:val="o"/>
      <w:lvlJc w:val="left"/>
      <w:pPr>
        <w:ind w:left="1364" w:hanging="360"/>
      </w:pPr>
      <w:rPr>
        <w:rFonts w:ascii="Courier New" w:hAnsi="Courier New" w:hint="default"/>
      </w:rPr>
    </w:lvl>
    <w:lvl w:ilvl="2" w:tplc="C1E619FC">
      <w:start w:val="1"/>
      <w:numFmt w:val="bullet"/>
      <w:lvlText w:val=""/>
      <w:lvlJc w:val="left"/>
      <w:pPr>
        <w:ind w:left="2084" w:hanging="360"/>
      </w:pPr>
      <w:rPr>
        <w:rFonts w:ascii="Wingdings" w:hAnsi="Wingdings" w:hint="default"/>
      </w:rPr>
    </w:lvl>
    <w:lvl w:ilvl="3" w:tplc="4BFEA054">
      <w:start w:val="1"/>
      <w:numFmt w:val="bullet"/>
      <w:lvlText w:val=""/>
      <w:lvlJc w:val="left"/>
      <w:pPr>
        <w:ind w:left="2804" w:hanging="360"/>
      </w:pPr>
      <w:rPr>
        <w:rFonts w:ascii="Symbol" w:hAnsi="Symbol" w:hint="default"/>
      </w:rPr>
    </w:lvl>
    <w:lvl w:ilvl="4" w:tplc="5F049DC6">
      <w:start w:val="1"/>
      <w:numFmt w:val="bullet"/>
      <w:lvlText w:val="o"/>
      <w:lvlJc w:val="left"/>
      <w:pPr>
        <w:ind w:left="3524" w:hanging="360"/>
      </w:pPr>
      <w:rPr>
        <w:rFonts w:ascii="Courier New" w:hAnsi="Courier New" w:hint="default"/>
      </w:rPr>
    </w:lvl>
    <w:lvl w:ilvl="5" w:tplc="31B670B8">
      <w:start w:val="1"/>
      <w:numFmt w:val="bullet"/>
      <w:lvlText w:val=""/>
      <w:lvlJc w:val="left"/>
      <w:pPr>
        <w:ind w:left="4244" w:hanging="360"/>
      </w:pPr>
      <w:rPr>
        <w:rFonts w:ascii="Wingdings" w:hAnsi="Wingdings" w:hint="default"/>
      </w:rPr>
    </w:lvl>
    <w:lvl w:ilvl="6" w:tplc="D0C0E28E">
      <w:start w:val="1"/>
      <w:numFmt w:val="bullet"/>
      <w:lvlText w:val=""/>
      <w:lvlJc w:val="left"/>
      <w:pPr>
        <w:ind w:left="4964" w:hanging="360"/>
      </w:pPr>
      <w:rPr>
        <w:rFonts w:ascii="Symbol" w:hAnsi="Symbol" w:hint="default"/>
      </w:rPr>
    </w:lvl>
    <w:lvl w:ilvl="7" w:tplc="07000536">
      <w:start w:val="1"/>
      <w:numFmt w:val="bullet"/>
      <w:lvlText w:val="o"/>
      <w:lvlJc w:val="left"/>
      <w:pPr>
        <w:ind w:left="5684" w:hanging="360"/>
      </w:pPr>
      <w:rPr>
        <w:rFonts w:ascii="Courier New" w:hAnsi="Courier New" w:hint="default"/>
      </w:rPr>
    </w:lvl>
    <w:lvl w:ilvl="8" w:tplc="265E50FE">
      <w:start w:val="1"/>
      <w:numFmt w:val="bullet"/>
      <w:lvlText w:val=""/>
      <w:lvlJc w:val="left"/>
      <w:pPr>
        <w:ind w:left="6404" w:hanging="360"/>
      </w:pPr>
      <w:rPr>
        <w:rFonts w:ascii="Wingdings" w:hAnsi="Wingdings" w:hint="default"/>
      </w:rPr>
    </w:lvl>
  </w:abstractNum>
  <w:abstractNum w:abstractNumId="22" w15:restartNumberingAfterBreak="0">
    <w:nsid w:val="5E855B45"/>
    <w:multiLevelType w:val="hybridMultilevel"/>
    <w:tmpl w:val="764CA7EE"/>
    <w:lvl w:ilvl="0" w:tplc="861A2B6C">
      <w:start w:val="1"/>
      <w:numFmt w:val="decimal"/>
      <w:lvlText w:val="%1."/>
      <w:lvlJc w:val="left"/>
      <w:pPr>
        <w:ind w:left="720" w:hanging="360"/>
      </w:pPr>
    </w:lvl>
    <w:lvl w:ilvl="1" w:tplc="499411FA">
      <w:start w:val="1"/>
      <w:numFmt w:val="decimal"/>
      <w:lvlText w:val="%2."/>
      <w:lvlJc w:val="left"/>
      <w:pPr>
        <w:ind w:left="1440" w:hanging="360"/>
      </w:pPr>
    </w:lvl>
    <w:lvl w:ilvl="2" w:tplc="F6189FC0">
      <w:start w:val="1"/>
      <w:numFmt w:val="lowerRoman"/>
      <w:lvlText w:val="%3."/>
      <w:lvlJc w:val="right"/>
      <w:pPr>
        <w:ind w:left="2160" w:hanging="180"/>
      </w:pPr>
      <w:rPr>
        <w:b/>
        <w:bCs/>
        <w:sz w:val="18"/>
        <w:szCs w:val="18"/>
      </w:rPr>
    </w:lvl>
    <w:lvl w:ilvl="3" w:tplc="D98A20E2">
      <w:start w:val="1"/>
      <w:numFmt w:val="decimal"/>
      <w:lvlText w:val="%4."/>
      <w:lvlJc w:val="left"/>
      <w:pPr>
        <w:ind w:left="2880" w:hanging="360"/>
      </w:pPr>
    </w:lvl>
    <w:lvl w:ilvl="4" w:tplc="FDB6E610">
      <w:start w:val="1"/>
      <w:numFmt w:val="lowerLetter"/>
      <w:lvlText w:val="%5."/>
      <w:lvlJc w:val="left"/>
      <w:pPr>
        <w:ind w:left="3600" w:hanging="360"/>
      </w:pPr>
    </w:lvl>
    <w:lvl w:ilvl="5" w:tplc="B5E0D348">
      <w:start w:val="1"/>
      <w:numFmt w:val="lowerRoman"/>
      <w:lvlText w:val="%6."/>
      <w:lvlJc w:val="right"/>
      <w:pPr>
        <w:ind w:left="4320" w:hanging="180"/>
      </w:pPr>
    </w:lvl>
    <w:lvl w:ilvl="6" w:tplc="052EF316">
      <w:start w:val="1"/>
      <w:numFmt w:val="decimal"/>
      <w:lvlText w:val="%7."/>
      <w:lvlJc w:val="left"/>
      <w:pPr>
        <w:ind w:left="5040" w:hanging="360"/>
      </w:pPr>
    </w:lvl>
    <w:lvl w:ilvl="7" w:tplc="21F880A0">
      <w:start w:val="1"/>
      <w:numFmt w:val="lowerLetter"/>
      <w:lvlText w:val="%8."/>
      <w:lvlJc w:val="left"/>
      <w:pPr>
        <w:ind w:left="5760" w:hanging="360"/>
      </w:pPr>
    </w:lvl>
    <w:lvl w:ilvl="8" w:tplc="186C60DA">
      <w:start w:val="1"/>
      <w:numFmt w:val="lowerRoman"/>
      <w:lvlText w:val="%9."/>
      <w:lvlJc w:val="right"/>
      <w:pPr>
        <w:ind w:left="6480" w:hanging="180"/>
      </w:pPr>
    </w:lvl>
  </w:abstractNum>
  <w:abstractNum w:abstractNumId="23" w15:restartNumberingAfterBreak="0">
    <w:nsid w:val="605C71B0"/>
    <w:multiLevelType w:val="hybridMultilevel"/>
    <w:tmpl w:val="FFFFFFFF"/>
    <w:lvl w:ilvl="0" w:tplc="7CCAC27E">
      <w:start w:val="1"/>
      <w:numFmt w:val="bullet"/>
      <w:lvlText w:val=""/>
      <w:lvlJc w:val="left"/>
      <w:pPr>
        <w:ind w:left="720" w:hanging="360"/>
      </w:pPr>
      <w:rPr>
        <w:rFonts w:ascii="Symbol" w:hAnsi="Symbol" w:hint="default"/>
      </w:rPr>
    </w:lvl>
    <w:lvl w:ilvl="1" w:tplc="F1A0318C">
      <w:start w:val="1"/>
      <w:numFmt w:val="lowerLetter"/>
      <w:lvlText w:val="%2."/>
      <w:lvlJc w:val="left"/>
      <w:pPr>
        <w:ind w:left="1440" w:hanging="360"/>
      </w:pPr>
    </w:lvl>
    <w:lvl w:ilvl="2" w:tplc="16B47750">
      <w:start w:val="1"/>
      <w:numFmt w:val="lowerRoman"/>
      <w:lvlText w:val="%3."/>
      <w:lvlJc w:val="right"/>
      <w:pPr>
        <w:ind w:left="2160" w:hanging="180"/>
      </w:pPr>
    </w:lvl>
    <w:lvl w:ilvl="3" w:tplc="929AB30C">
      <w:start w:val="1"/>
      <w:numFmt w:val="decimal"/>
      <w:lvlText w:val="%4."/>
      <w:lvlJc w:val="left"/>
      <w:pPr>
        <w:ind w:left="2880" w:hanging="360"/>
      </w:pPr>
    </w:lvl>
    <w:lvl w:ilvl="4" w:tplc="5114F0E4">
      <w:start w:val="1"/>
      <w:numFmt w:val="lowerLetter"/>
      <w:lvlText w:val="%5."/>
      <w:lvlJc w:val="left"/>
      <w:pPr>
        <w:ind w:left="3600" w:hanging="360"/>
      </w:pPr>
    </w:lvl>
    <w:lvl w:ilvl="5" w:tplc="227C3724">
      <w:start w:val="1"/>
      <w:numFmt w:val="lowerRoman"/>
      <w:lvlText w:val="%6."/>
      <w:lvlJc w:val="right"/>
      <w:pPr>
        <w:ind w:left="4320" w:hanging="180"/>
      </w:pPr>
    </w:lvl>
    <w:lvl w:ilvl="6" w:tplc="F170DF9C">
      <w:start w:val="1"/>
      <w:numFmt w:val="decimal"/>
      <w:lvlText w:val="%7."/>
      <w:lvlJc w:val="left"/>
      <w:pPr>
        <w:ind w:left="5040" w:hanging="360"/>
      </w:pPr>
    </w:lvl>
    <w:lvl w:ilvl="7" w:tplc="0CECF520">
      <w:start w:val="1"/>
      <w:numFmt w:val="lowerLetter"/>
      <w:lvlText w:val="%8."/>
      <w:lvlJc w:val="left"/>
      <w:pPr>
        <w:ind w:left="5760" w:hanging="360"/>
      </w:pPr>
    </w:lvl>
    <w:lvl w:ilvl="8" w:tplc="8CBEEBB8">
      <w:start w:val="1"/>
      <w:numFmt w:val="lowerRoman"/>
      <w:lvlText w:val="%9."/>
      <w:lvlJc w:val="right"/>
      <w:pPr>
        <w:ind w:left="6480" w:hanging="180"/>
      </w:pPr>
    </w:lvl>
  </w:abstractNum>
  <w:abstractNum w:abstractNumId="24" w15:restartNumberingAfterBreak="0">
    <w:nsid w:val="64EE5985"/>
    <w:multiLevelType w:val="hybridMultilevel"/>
    <w:tmpl w:val="053C1000"/>
    <w:lvl w:ilvl="0" w:tplc="2C1C76F4">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73823BF"/>
    <w:multiLevelType w:val="hybridMultilevel"/>
    <w:tmpl w:val="D0E44BC0"/>
    <w:lvl w:ilvl="0" w:tplc="565EDAAA">
      <w:start w:val="1"/>
      <w:numFmt w:val="bullet"/>
      <w:lvlText w:val="●"/>
      <w:lvlJc w:val="left"/>
      <w:pPr>
        <w:ind w:left="720" w:hanging="360"/>
      </w:pPr>
      <w:rPr>
        <w:rFonts w:ascii="Tahoma" w:eastAsia="Tahoma" w:hAnsi="Tahoma" w:cs="Tahoma" w:hint="default"/>
        <w:color w:val="1F4E79" w:themeColor="accent1" w:themeShade="80"/>
        <w:sz w:val="18"/>
        <w:szCs w:val="18"/>
        <w:u w:val="none"/>
      </w:rPr>
    </w:lvl>
    <w:lvl w:ilvl="1" w:tplc="B3BE29E8">
      <w:start w:val="1"/>
      <w:numFmt w:val="bullet"/>
      <w:lvlText w:val=""/>
      <w:lvlJc w:val="left"/>
      <w:pPr>
        <w:ind w:left="1440" w:hanging="360"/>
      </w:pPr>
      <w:rPr>
        <w:rFonts w:ascii="Symbol" w:hAnsi="Symbol" w:hint="default"/>
        <w:u w:val="none"/>
      </w:rPr>
    </w:lvl>
    <w:lvl w:ilvl="2" w:tplc="2102BA34">
      <w:start w:val="1"/>
      <w:numFmt w:val="bullet"/>
      <w:lvlText w:val="o"/>
      <w:lvlJc w:val="left"/>
      <w:pPr>
        <w:ind w:left="2160" w:hanging="360"/>
      </w:pPr>
      <w:rPr>
        <w:rFonts w:ascii="Courier New" w:hAnsi="Courier New" w:cs="Courier New" w:hint="default"/>
        <w:u w:val="none"/>
      </w:rPr>
    </w:lvl>
    <w:lvl w:ilvl="3" w:tplc="DB06F67E">
      <w:start w:val="1"/>
      <w:numFmt w:val="bullet"/>
      <w:lvlText w:val="●"/>
      <w:lvlJc w:val="left"/>
      <w:pPr>
        <w:ind w:left="2880" w:hanging="360"/>
      </w:pPr>
      <w:rPr>
        <w:u w:val="none"/>
      </w:rPr>
    </w:lvl>
    <w:lvl w:ilvl="4" w:tplc="C2221E06">
      <w:start w:val="1"/>
      <w:numFmt w:val="bullet"/>
      <w:lvlText w:val="○"/>
      <w:lvlJc w:val="left"/>
      <w:pPr>
        <w:ind w:left="3600" w:hanging="360"/>
      </w:pPr>
      <w:rPr>
        <w:u w:val="none"/>
      </w:rPr>
    </w:lvl>
    <w:lvl w:ilvl="5" w:tplc="3BA8F822">
      <w:start w:val="1"/>
      <w:numFmt w:val="bullet"/>
      <w:lvlText w:val="■"/>
      <w:lvlJc w:val="left"/>
      <w:pPr>
        <w:ind w:left="4320" w:hanging="360"/>
      </w:pPr>
      <w:rPr>
        <w:u w:val="none"/>
      </w:rPr>
    </w:lvl>
    <w:lvl w:ilvl="6" w:tplc="E6D29B0C">
      <w:start w:val="1"/>
      <w:numFmt w:val="bullet"/>
      <w:lvlText w:val="●"/>
      <w:lvlJc w:val="left"/>
      <w:pPr>
        <w:ind w:left="5040" w:hanging="360"/>
      </w:pPr>
      <w:rPr>
        <w:u w:val="none"/>
      </w:rPr>
    </w:lvl>
    <w:lvl w:ilvl="7" w:tplc="A06E2C64">
      <w:start w:val="1"/>
      <w:numFmt w:val="bullet"/>
      <w:lvlText w:val="○"/>
      <w:lvlJc w:val="left"/>
      <w:pPr>
        <w:ind w:left="5760" w:hanging="360"/>
      </w:pPr>
      <w:rPr>
        <w:u w:val="none"/>
      </w:rPr>
    </w:lvl>
    <w:lvl w:ilvl="8" w:tplc="3F52A7EE">
      <w:start w:val="1"/>
      <w:numFmt w:val="bullet"/>
      <w:lvlText w:val="■"/>
      <w:lvlJc w:val="left"/>
      <w:pPr>
        <w:ind w:left="6480" w:hanging="360"/>
      </w:pPr>
      <w:rPr>
        <w:u w:val="none"/>
      </w:rPr>
    </w:lvl>
  </w:abstractNum>
  <w:abstractNum w:abstractNumId="26" w15:restartNumberingAfterBreak="0">
    <w:nsid w:val="6A5D3B16"/>
    <w:multiLevelType w:val="hybridMultilevel"/>
    <w:tmpl w:val="FFFFFFFF"/>
    <w:lvl w:ilvl="0" w:tplc="D186A032">
      <w:start w:val="1"/>
      <w:numFmt w:val="bullet"/>
      <w:lvlText w:val=""/>
      <w:lvlJc w:val="left"/>
      <w:pPr>
        <w:ind w:left="720" w:hanging="360"/>
      </w:pPr>
      <w:rPr>
        <w:rFonts w:ascii="Symbol" w:hAnsi="Symbol" w:hint="default"/>
      </w:rPr>
    </w:lvl>
    <w:lvl w:ilvl="1" w:tplc="11369C6E">
      <w:start w:val="1"/>
      <w:numFmt w:val="bullet"/>
      <w:lvlText w:val="o"/>
      <w:lvlJc w:val="left"/>
      <w:pPr>
        <w:ind w:left="1440" w:hanging="360"/>
      </w:pPr>
      <w:rPr>
        <w:rFonts w:ascii="Courier New" w:hAnsi="Courier New" w:hint="default"/>
      </w:rPr>
    </w:lvl>
    <w:lvl w:ilvl="2" w:tplc="8D3EF3AC">
      <w:start w:val="1"/>
      <w:numFmt w:val="bullet"/>
      <w:lvlText w:val=""/>
      <w:lvlJc w:val="left"/>
      <w:pPr>
        <w:ind w:left="2160" w:hanging="360"/>
      </w:pPr>
      <w:rPr>
        <w:rFonts w:ascii="Wingdings" w:hAnsi="Wingdings" w:hint="default"/>
      </w:rPr>
    </w:lvl>
    <w:lvl w:ilvl="3" w:tplc="91EEF39A">
      <w:start w:val="1"/>
      <w:numFmt w:val="bullet"/>
      <w:lvlText w:val=""/>
      <w:lvlJc w:val="left"/>
      <w:pPr>
        <w:ind w:left="2880" w:hanging="360"/>
      </w:pPr>
      <w:rPr>
        <w:rFonts w:ascii="Symbol" w:hAnsi="Symbol" w:hint="default"/>
      </w:rPr>
    </w:lvl>
    <w:lvl w:ilvl="4" w:tplc="1A1C04D4">
      <w:start w:val="1"/>
      <w:numFmt w:val="bullet"/>
      <w:lvlText w:val="o"/>
      <w:lvlJc w:val="left"/>
      <w:pPr>
        <w:ind w:left="3600" w:hanging="360"/>
      </w:pPr>
      <w:rPr>
        <w:rFonts w:ascii="Courier New" w:hAnsi="Courier New" w:hint="default"/>
      </w:rPr>
    </w:lvl>
    <w:lvl w:ilvl="5" w:tplc="A26A3C70">
      <w:start w:val="1"/>
      <w:numFmt w:val="bullet"/>
      <w:lvlText w:val=""/>
      <w:lvlJc w:val="left"/>
      <w:pPr>
        <w:ind w:left="4320" w:hanging="360"/>
      </w:pPr>
      <w:rPr>
        <w:rFonts w:ascii="Wingdings" w:hAnsi="Wingdings" w:hint="default"/>
      </w:rPr>
    </w:lvl>
    <w:lvl w:ilvl="6" w:tplc="FFDAFF48">
      <w:start w:val="1"/>
      <w:numFmt w:val="bullet"/>
      <w:lvlText w:val=""/>
      <w:lvlJc w:val="left"/>
      <w:pPr>
        <w:ind w:left="5040" w:hanging="360"/>
      </w:pPr>
      <w:rPr>
        <w:rFonts w:ascii="Symbol" w:hAnsi="Symbol" w:hint="default"/>
      </w:rPr>
    </w:lvl>
    <w:lvl w:ilvl="7" w:tplc="33F21D0A">
      <w:start w:val="1"/>
      <w:numFmt w:val="bullet"/>
      <w:lvlText w:val="o"/>
      <w:lvlJc w:val="left"/>
      <w:pPr>
        <w:ind w:left="5760" w:hanging="360"/>
      </w:pPr>
      <w:rPr>
        <w:rFonts w:ascii="Courier New" w:hAnsi="Courier New" w:hint="default"/>
      </w:rPr>
    </w:lvl>
    <w:lvl w:ilvl="8" w:tplc="8F3EA5FE">
      <w:start w:val="1"/>
      <w:numFmt w:val="bullet"/>
      <w:lvlText w:val=""/>
      <w:lvlJc w:val="left"/>
      <w:pPr>
        <w:ind w:left="6480" w:hanging="360"/>
      </w:pPr>
      <w:rPr>
        <w:rFonts w:ascii="Wingdings" w:hAnsi="Wingdings" w:hint="default"/>
      </w:rPr>
    </w:lvl>
  </w:abstractNum>
  <w:abstractNum w:abstractNumId="27" w15:restartNumberingAfterBreak="0">
    <w:nsid w:val="6D313447"/>
    <w:multiLevelType w:val="hybridMultilevel"/>
    <w:tmpl w:val="8EFE0898"/>
    <w:lvl w:ilvl="0" w:tplc="0B704A42">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E77BDB"/>
    <w:multiLevelType w:val="hybridMultilevel"/>
    <w:tmpl w:val="A7060040"/>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9" w15:restartNumberingAfterBreak="0">
    <w:nsid w:val="75DA6DEE"/>
    <w:multiLevelType w:val="hybridMultilevel"/>
    <w:tmpl w:val="E326B7AE"/>
    <w:lvl w:ilvl="0" w:tplc="3EE2B152">
      <w:start w:val="1"/>
      <w:numFmt w:val="bullet"/>
      <w:lvlText w:val=""/>
      <w:lvlJc w:val="left"/>
      <w:pPr>
        <w:ind w:left="1800" w:hanging="360"/>
      </w:pPr>
      <w:rPr>
        <w:rFonts w:ascii="Symbol" w:hAnsi="Symbol" w:hint="default"/>
        <w:u w:val="none"/>
      </w:rPr>
    </w:lvl>
    <w:lvl w:ilvl="1" w:tplc="3C46D6C2">
      <w:start w:val="1"/>
      <w:numFmt w:val="bullet"/>
      <w:lvlText w:val="○"/>
      <w:lvlJc w:val="left"/>
      <w:pPr>
        <w:ind w:left="2520" w:hanging="360"/>
      </w:pPr>
      <w:rPr>
        <w:u w:val="none"/>
      </w:rPr>
    </w:lvl>
    <w:lvl w:ilvl="2" w:tplc="54165CE6">
      <w:start w:val="1"/>
      <w:numFmt w:val="bullet"/>
      <w:lvlText w:val="■"/>
      <w:lvlJc w:val="left"/>
      <w:pPr>
        <w:ind w:left="3240" w:hanging="360"/>
      </w:pPr>
      <w:rPr>
        <w:u w:val="none"/>
      </w:rPr>
    </w:lvl>
    <w:lvl w:ilvl="3" w:tplc="4E4C0DFE">
      <w:start w:val="1"/>
      <w:numFmt w:val="bullet"/>
      <w:lvlText w:val="●"/>
      <w:lvlJc w:val="left"/>
      <w:pPr>
        <w:ind w:left="3960" w:hanging="360"/>
      </w:pPr>
      <w:rPr>
        <w:u w:val="none"/>
      </w:rPr>
    </w:lvl>
    <w:lvl w:ilvl="4" w:tplc="1668E78E">
      <w:start w:val="1"/>
      <w:numFmt w:val="bullet"/>
      <w:lvlText w:val="○"/>
      <w:lvlJc w:val="left"/>
      <w:pPr>
        <w:ind w:left="4680" w:hanging="360"/>
      </w:pPr>
      <w:rPr>
        <w:u w:val="none"/>
      </w:rPr>
    </w:lvl>
    <w:lvl w:ilvl="5" w:tplc="E25C9016">
      <w:start w:val="1"/>
      <w:numFmt w:val="bullet"/>
      <w:lvlText w:val="■"/>
      <w:lvlJc w:val="left"/>
      <w:pPr>
        <w:ind w:left="5400" w:hanging="360"/>
      </w:pPr>
      <w:rPr>
        <w:u w:val="none"/>
      </w:rPr>
    </w:lvl>
    <w:lvl w:ilvl="6" w:tplc="18B08CF4">
      <w:start w:val="1"/>
      <w:numFmt w:val="bullet"/>
      <w:lvlText w:val="●"/>
      <w:lvlJc w:val="left"/>
      <w:pPr>
        <w:ind w:left="6120" w:hanging="360"/>
      </w:pPr>
      <w:rPr>
        <w:u w:val="none"/>
      </w:rPr>
    </w:lvl>
    <w:lvl w:ilvl="7" w:tplc="F76A64D0">
      <w:start w:val="1"/>
      <w:numFmt w:val="bullet"/>
      <w:lvlText w:val="○"/>
      <w:lvlJc w:val="left"/>
      <w:pPr>
        <w:ind w:left="6840" w:hanging="360"/>
      </w:pPr>
      <w:rPr>
        <w:u w:val="none"/>
      </w:rPr>
    </w:lvl>
    <w:lvl w:ilvl="8" w:tplc="EFE6E698">
      <w:start w:val="1"/>
      <w:numFmt w:val="bullet"/>
      <w:lvlText w:val="■"/>
      <w:lvlJc w:val="left"/>
      <w:pPr>
        <w:ind w:left="7560" w:hanging="360"/>
      </w:pPr>
      <w:rPr>
        <w:u w:val="none"/>
      </w:rPr>
    </w:lvl>
  </w:abstractNum>
  <w:abstractNum w:abstractNumId="30" w15:restartNumberingAfterBreak="0">
    <w:nsid w:val="781A540F"/>
    <w:multiLevelType w:val="hybridMultilevel"/>
    <w:tmpl w:val="FFFFFFFF"/>
    <w:lvl w:ilvl="0" w:tplc="13B2D80E">
      <w:start w:val="1"/>
      <w:numFmt w:val="bullet"/>
      <w:lvlText w:val=""/>
      <w:lvlJc w:val="left"/>
      <w:pPr>
        <w:ind w:left="720" w:hanging="360"/>
      </w:pPr>
      <w:rPr>
        <w:rFonts w:ascii="Symbol" w:hAnsi="Symbol" w:hint="default"/>
      </w:rPr>
    </w:lvl>
    <w:lvl w:ilvl="1" w:tplc="0DDE714E">
      <w:start w:val="1"/>
      <w:numFmt w:val="bullet"/>
      <w:lvlText w:val="o"/>
      <w:lvlJc w:val="left"/>
      <w:pPr>
        <w:ind w:left="1440" w:hanging="360"/>
      </w:pPr>
      <w:rPr>
        <w:rFonts w:ascii="Courier New" w:hAnsi="Courier New" w:hint="default"/>
      </w:rPr>
    </w:lvl>
    <w:lvl w:ilvl="2" w:tplc="3862995A">
      <w:start w:val="1"/>
      <w:numFmt w:val="bullet"/>
      <w:lvlText w:val=""/>
      <w:lvlJc w:val="left"/>
      <w:pPr>
        <w:ind w:left="2160" w:hanging="360"/>
      </w:pPr>
      <w:rPr>
        <w:rFonts w:ascii="Wingdings" w:hAnsi="Wingdings" w:hint="default"/>
      </w:rPr>
    </w:lvl>
    <w:lvl w:ilvl="3" w:tplc="BC34B406">
      <w:start w:val="1"/>
      <w:numFmt w:val="bullet"/>
      <w:lvlText w:val=""/>
      <w:lvlJc w:val="left"/>
      <w:pPr>
        <w:ind w:left="2880" w:hanging="360"/>
      </w:pPr>
      <w:rPr>
        <w:rFonts w:ascii="Symbol" w:hAnsi="Symbol" w:hint="default"/>
      </w:rPr>
    </w:lvl>
    <w:lvl w:ilvl="4" w:tplc="FA3EAE24">
      <w:start w:val="1"/>
      <w:numFmt w:val="bullet"/>
      <w:lvlText w:val="o"/>
      <w:lvlJc w:val="left"/>
      <w:pPr>
        <w:ind w:left="3600" w:hanging="360"/>
      </w:pPr>
      <w:rPr>
        <w:rFonts w:ascii="Courier New" w:hAnsi="Courier New" w:hint="default"/>
      </w:rPr>
    </w:lvl>
    <w:lvl w:ilvl="5" w:tplc="3DD43FBA">
      <w:start w:val="1"/>
      <w:numFmt w:val="bullet"/>
      <w:lvlText w:val=""/>
      <w:lvlJc w:val="left"/>
      <w:pPr>
        <w:ind w:left="4320" w:hanging="360"/>
      </w:pPr>
      <w:rPr>
        <w:rFonts w:ascii="Wingdings" w:hAnsi="Wingdings" w:hint="default"/>
      </w:rPr>
    </w:lvl>
    <w:lvl w:ilvl="6" w:tplc="24C62264">
      <w:start w:val="1"/>
      <w:numFmt w:val="bullet"/>
      <w:lvlText w:val=""/>
      <w:lvlJc w:val="left"/>
      <w:pPr>
        <w:ind w:left="5040" w:hanging="360"/>
      </w:pPr>
      <w:rPr>
        <w:rFonts w:ascii="Symbol" w:hAnsi="Symbol" w:hint="default"/>
      </w:rPr>
    </w:lvl>
    <w:lvl w:ilvl="7" w:tplc="E272F38A">
      <w:start w:val="1"/>
      <w:numFmt w:val="bullet"/>
      <w:lvlText w:val="o"/>
      <w:lvlJc w:val="left"/>
      <w:pPr>
        <w:ind w:left="5760" w:hanging="360"/>
      </w:pPr>
      <w:rPr>
        <w:rFonts w:ascii="Courier New" w:hAnsi="Courier New" w:hint="default"/>
      </w:rPr>
    </w:lvl>
    <w:lvl w:ilvl="8" w:tplc="AE601584">
      <w:start w:val="1"/>
      <w:numFmt w:val="bullet"/>
      <w:lvlText w:val=""/>
      <w:lvlJc w:val="left"/>
      <w:pPr>
        <w:ind w:left="6480" w:hanging="360"/>
      </w:pPr>
      <w:rPr>
        <w:rFonts w:ascii="Wingdings" w:hAnsi="Wingdings" w:hint="default"/>
      </w:rPr>
    </w:lvl>
  </w:abstractNum>
  <w:abstractNum w:abstractNumId="31" w15:restartNumberingAfterBreak="0">
    <w:nsid w:val="7AF14157"/>
    <w:multiLevelType w:val="hybridMultilevel"/>
    <w:tmpl w:val="5CD4CB0A"/>
    <w:lvl w:ilvl="0" w:tplc="771E32DA">
      <w:start w:val="1"/>
      <w:numFmt w:val="bullet"/>
      <w:lvlText w:val=""/>
      <w:lvlJc w:val="left"/>
      <w:pPr>
        <w:tabs>
          <w:tab w:val="num" w:pos="720"/>
        </w:tabs>
        <w:ind w:left="284" w:firstLine="76"/>
      </w:pPr>
      <w:rPr>
        <w:rFonts w:ascii="Symbol" w:hAnsi="Symbol" w:hint="default"/>
        <w:sz w:val="18"/>
        <w:szCs w:val="18"/>
      </w:rPr>
    </w:lvl>
    <w:lvl w:ilvl="1" w:tplc="0C0A0003">
      <w:start w:val="1"/>
      <w:numFmt w:val="bullet"/>
      <w:lvlText w:val="o"/>
      <w:lvlJc w:val="left"/>
      <w:pPr>
        <w:tabs>
          <w:tab w:val="num" w:pos="1440"/>
        </w:tabs>
        <w:ind w:left="284" w:firstLine="796"/>
      </w:pPr>
      <w:rPr>
        <w:rFonts w:ascii="Courier New" w:hAnsi="Courier New" w:cs="Courier New" w:hint="default"/>
        <w:sz w:val="20"/>
      </w:rPr>
    </w:lvl>
    <w:lvl w:ilvl="2" w:tplc="F40E586A">
      <w:start w:val="1"/>
      <w:numFmt w:val="bullet"/>
      <w:lvlText w:val=""/>
      <w:lvlJc w:val="left"/>
      <w:pPr>
        <w:tabs>
          <w:tab w:val="num" w:pos="2160"/>
        </w:tabs>
        <w:ind w:left="2160" w:hanging="360"/>
      </w:pPr>
      <w:rPr>
        <w:rFonts w:ascii="Symbol" w:hAnsi="Symbol" w:hint="default"/>
        <w:sz w:val="20"/>
      </w:rPr>
    </w:lvl>
    <w:lvl w:ilvl="3" w:tplc="3CC01FFC">
      <w:start w:val="1"/>
      <w:numFmt w:val="bullet"/>
      <w:lvlText w:val=""/>
      <w:lvlJc w:val="left"/>
      <w:pPr>
        <w:tabs>
          <w:tab w:val="num" w:pos="2880"/>
        </w:tabs>
        <w:ind w:left="2880" w:hanging="360"/>
      </w:pPr>
      <w:rPr>
        <w:rFonts w:ascii="Symbol" w:hAnsi="Symbol" w:hint="default"/>
        <w:sz w:val="20"/>
      </w:rPr>
    </w:lvl>
    <w:lvl w:ilvl="4" w:tplc="63844E10">
      <w:start w:val="1"/>
      <w:numFmt w:val="bullet"/>
      <w:lvlText w:val=""/>
      <w:lvlJc w:val="left"/>
      <w:pPr>
        <w:tabs>
          <w:tab w:val="num" w:pos="3600"/>
        </w:tabs>
        <w:ind w:left="3600" w:hanging="360"/>
      </w:pPr>
      <w:rPr>
        <w:rFonts w:ascii="Symbol" w:hAnsi="Symbol" w:hint="default"/>
        <w:sz w:val="20"/>
      </w:rPr>
    </w:lvl>
    <w:lvl w:ilvl="5" w:tplc="546663A4">
      <w:start w:val="1"/>
      <w:numFmt w:val="bullet"/>
      <w:lvlText w:val=""/>
      <w:lvlJc w:val="left"/>
      <w:pPr>
        <w:tabs>
          <w:tab w:val="num" w:pos="4320"/>
        </w:tabs>
        <w:ind w:left="4320" w:hanging="360"/>
      </w:pPr>
      <w:rPr>
        <w:rFonts w:ascii="Symbol" w:hAnsi="Symbol" w:hint="default"/>
        <w:sz w:val="20"/>
      </w:rPr>
    </w:lvl>
    <w:lvl w:ilvl="6" w:tplc="FDB21E16">
      <w:start w:val="1"/>
      <w:numFmt w:val="bullet"/>
      <w:lvlText w:val=""/>
      <w:lvlJc w:val="left"/>
      <w:pPr>
        <w:tabs>
          <w:tab w:val="num" w:pos="5040"/>
        </w:tabs>
        <w:ind w:left="5040" w:hanging="360"/>
      </w:pPr>
      <w:rPr>
        <w:rFonts w:ascii="Symbol" w:hAnsi="Symbol" w:hint="default"/>
        <w:sz w:val="20"/>
      </w:rPr>
    </w:lvl>
    <w:lvl w:ilvl="7" w:tplc="A0AC750A">
      <w:start w:val="1"/>
      <w:numFmt w:val="bullet"/>
      <w:lvlText w:val=""/>
      <w:lvlJc w:val="left"/>
      <w:pPr>
        <w:tabs>
          <w:tab w:val="num" w:pos="5760"/>
        </w:tabs>
        <w:ind w:left="5760" w:hanging="360"/>
      </w:pPr>
      <w:rPr>
        <w:rFonts w:ascii="Symbol" w:hAnsi="Symbol" w:hint="default"/>
        <w:sz w:val="20"/>
      </w:rPr>
    </w:lvl>
    <w:lvl w:ilvl="8" w:tplc="5A668E7C">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8B35B3"/>
    <w:multiLevelType w:val="hybridMultilevel"/>
    <w:tmpl w:val="736C7F8E"/>
    <w:lvl w:ilvl="0" w:tplc="EB40B5F0">
      <w:start w:val="1"/>
      <w:numFmt w:val="decimal"/>
      <w:lvlText w:val="%1."/>
      <w:lvlJc w:val="left"/>
      <w:pPr>
        <w:ind w:left="360" w:hanging="360"/>
      </w:pPr>
      <w:rPr>
        <w:b/>
        <w:bCs/>
      </w:rPr>
    </w:lvl>
    <w:lvl w:ilvl="1" w:tplc="509AA6CA">
      <w:start w:val="1"/>
      <w:numFmt w:val="decimal"/>
      <w:lvlText w:val="%1.%2."/>
      <w:lvlJc w:val="left"/>
      <w:pPr>
        <w:ind w:left="792" w:hanging="432"/>
      </w:pPr>
      <w:rPr>
        <w:b/>
        <w:bCs/>
      </w:rPr>
    </w:lvl>
    <w:lvl w:ilvl="2" w:tplc="673AA7E6">
      <w:start w:val="1"/>
      <w:numFmt w:val="decimal"/>
      <w:lvlText w:val="%1.%2.%3."/>
      <w:lvlJc w:val="left"/>
      <w:pPr>
        <w:ind w:left="3198" w:hanging="504"/>
      </w:pPr>
      <w:rPr>
        <w:b/>
        <w:bCs/>
      </w:rPr>
    </w:lvl>
    <w:lvl w:ilvl="3" w:tplc="A0C89CE8">
      <w:start w:val="1"/>
      <w:numFmt w:val="decimal"/>
      <w:lvlText w:val="%1.%2.%3.%4."/>
      <w:lvlJc w:val="left"/>
      <w:pPr>
        <w:ind w:left="1728" w:hanging="648"/>
      </w:pPr>
      <w:rPr>
        <w:b/>
        <w:bCs/>
      </w:rPr>
    </w:lvl>
    <w:lvl w:ilvl="4" w:tplc="FF1A365C">
      <w:start w:val="1"/>
      <w:numFmt w:val="decimal"/>
      <w:lvlText w:val="%1.%2.%3.%4.%5."/>
      <w:lvlJc w:val="left"/>
      <w:pPr>
        <w:ind w:left="2232" w:hanging="792"/>
      </w:pPr>
      <w:rPr>
        <w:rFonts w:ascii="Artifex CF Extra Light" w:hAnsi="Artifex CF Extra Light" w:hint="default"/>
        <w:b/>
        <w:bCs/>
        <w:color w:val="1F4E79" w:themeColor="accent1" w:themeShade="80"/>
        <w:spacing w:val="10"/>
        <w:sz w:val="18"/>
        <w:szCs w:val="18"/>
      </w:rPr>
    </w:lvl>
    <w:lvl w:ilvl="5" w:tplc="DC3EED6A">
      <w:start w:val="1"/>
      <w:numFmt w:val="decimal"/>
      <w:lvlText w:val="%1.%2.%3.%4.%5.%6."/>
      <w:lvlJc w:val="left"/>
      <w:pPr>
        <w:ind w:left="2736" w:hanging="936"/>
      </w:pPr>
    </w:lvl>
    <w:lvl w:ilvl="6" w:tplc="B59483C0">
      <w:start w:val="1"/>
      <w:numFmt w:val="decimal"/>
      <w:lvlText w:val="%1.%2.%3.%4.%5.%6.%7."/>
      <w:lvlJc w:val="left"/>
      <w:pPr>
        <w:ind w:left="3240" w:hanging="1080"/>
      </w:pPr>
    </w:lvl>
    <w:lvl w:ilvl="7" w:tplc="034CF376">
      <w:start w:val="1"/>
      <w:numFmt w:val="decimal"/>
      <w:lvlText w:val="%1.%2.%3.%4.%5.%6.%7.%8."/>
      <w:lvlJc w:val="left"/>
      <w:pPr>
        <w:ind w:left="3744" w:hanging="1224"/>
      </w:pPr>
    </w:lvl>
    <w:lvl w:ilvl="8" w:tplc="9DF07AF4">
      <w:start w:val="1"/>
      <w:numFmt w:val="decimal"/>
      <w:lvlText w:val="%1.%2.%3.%4.%5.%6.%7.%8.%9."/>
      <w:lvlJc w:val="left"/>
      <w:pPr>
        <w:ind w:left="4320" w:hanging="1440"/>
      </w:pPr>
    </w:lvl>
  </w:abstractNum>
  <w:abstractNum w:abstractNumId="33" w15:restartNumberingAfterBreak="0">
    <w:nsid w:val="7EE445EF"/>
    <w:multiLevelType w:val="hybridMultilevel"/>
    <w:tmpl w:val="20CEC924"/>
    <w:lvl w:ilvl="0" w:tplc="B83EBB8A">
      <w:start w:val="1"/>
      <w:numFmt w:val="upperLetter"/>
      <w:lvlText w:val="%1."/>
      <w:lvlJc w:val="left"/>
      <w:pPr>
        <w:ind w:left="1800" w:hanging="360"/>
      </w:pPr>
      <w:rPr>
        <w:rFonts w:hint="default"/>
      </w:rPr>
    </w:lvl>
    <w:lvl w:ilvl="1" w:tplc="1C0A0019">
      <w:start w:val="1"/>
      <w:numFmt w:val="lowerLetter"/>
      <w:lvlText w:val="%2."/>
      <w:lvlJc w:val="left"/>
      <w:pPr>
        <w:ind w:left="2520" w:hanging="360"/>
      </w:pPr>
    </w:lvl>
    <w:lvl w:ilvl="2" w:tplc="1C0A001B">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34" w15:restartNumberingAfterBreak="0">
    <w:nsid w:val="7FD90D30"/>
    <w:multiLevelType w:val="hybridMultilevel"/>
    <w:tmpl w:val="FFFFFFFF"/>
    <w:lvl w:ilvl="0" w:tplc="43D4917C">
      <w:start w:val="1"/>
      <w:numFmt w:val="bullet"/>
      <w:lvlText w:val=""/>
      <w:lvlJc w:val="left"/>
      <w:pPr>
        <w:ind w:left="720" w:hanging="360"/>
      </w:pPr>
      <w:rPr>
        <w:rFonts w:ascii="Symbol" w:hAnsi="Symbol" w:hint="default"/>
      </w:rPr>
    </w:lvl>
    <w:lvl w:ilvl="1" w:tplc="A7AAB0D8">
      <w:start w:val="1"/>
      <w:numFmt w:val="bullet"/>
      <w:lvlText w:val="o"/>
      <w:lvlJc w:val="left"/>
      <w:pPr>
        <w:ind w:left="1440" w:hanging="360"/>
      </w:pPr>
      <w:rPr>
        <w:rFonts w:ascii="Courier New" w:hAnsi="Courier New" w:hint="default"/>
      </w:rPr>
    </w:lvl>
    <w:lvl w:ilvl="2" w:tplc="F1E2257C">
      <w:start w:val="1"/>
      <w:numFmt w:val="bullet"/>
      <w:lvlText w:val=""/>
      <w:lvlJc w:val="left"/>
      <w:pPr>
        <w:ind w:left="2160" w:hanging="360"/>
      </w:pPr>
      <w:rPr>
        <w:rFonts w:ascii="Wingdings" w:hAnsi="Wingdings" w:hint="default"/>
      </w:rPr>
    </w:lvl>
    <w:lvl w:ilvl="3" w:tplc="6352B49A">
      <w:start w:val="1"/>
      <w:numFmt w:val="bullet"/>
      <w:lvlText w:val=""/>
      <w:lvlJc w:val="left"/>
      <w:pPr>
        <w:ind w:left="2880" w:hanging="360"/>
      </w:pPr>
      <w:rPr>
        <w:rFonts w:ascii="Symbol" w:hAnsi="Symbol" w:hint="default"/>
      </w:rPr>
    </w:lvl>
    <w:lvl w:ilvl="4" w:tplc="27925E4E">
      <w:start w:val="1"/>
      <w:numFmt w:val="bullet"/>
      <w:lvlText w:val="o"/>
      <w:lvlJc w:val="left"/>
      <w:pPr>
        <w:ind w:left="3600" w:hanging="360"/>
      </w:pPr>
      <w:rPr>
        <w:rFonts w:ascii="Courier New" w:hAnsi="Courier New" w:hint="default"/>
      </w:rPr>
    </w:lvl>
    <w:lvl w:ilvl="5" w:tplc="28FCB22C">
      <w:start w:val="1"/>
      <w:numFmt w:val="bullet"/>
      <w:lvlText w:val=""/>
      <w:lvlJc w:val="left"/>
      <w:pPr>
        <w:ind w:left="4320" w:hanging="360"/>
      </w:pPr>
      <w:rPr>
        <w:rFonts w:ascii="Wingdings" w:hAnsi="Wingdings" w:hint="default"/>
      </w:rPr>
    </w:lvl>
    <w:lvl w:ilvl="6" w:tplc="B06C93C0">
      <w:start w:val="1"/>
      <w:numFmt w:val="bullet"/>
      <w:lvlText w:val=""/>
      <w:lvlJc w:val="left"/>
      <w:pPr>
        <w:ind w:left="5040" w:hanging="360"/>
      </w:pPr>
      <w:rPr>
        <w:rFonts w:ascii="Symbol" w:hAnsi="Symbol" w:hint="default"/>
      </w:rPr>
    </w:lvl>
    <w:lvl w:ilvl="7" w:tplc="A0B8652E">
      <w:start w:val="1"/>
      <w:numFmt w:val="bullet"/>
      <w:lvlText w:val="o"/>
      <w:lvlJc w:val="left"/>
      <w:pPr>
        <w:ind w:left="5760" w:hanging="360"/>
      </w:pPr>
      <w:rPr>
        <w:rFonts w:ascii="Courier New" w:hAnsi="Courier New" w:hint="default"/>
      </w:rPr>
    </w:lvl>
    <w:lvl w:ilvl="8" w:tplc="24E4BE4C">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0"/>
  </w:num>
  <w:num w:numId="4">
    <w:abstractNumId w:val="33"/>
  </w:num>
  <w:num w:numId="5">
    <w:abstractNumId w:val="14"/>
  </w:num>
  <w:num w:numId="6">
    <w:abstractNumId w:val="32"/>
  </w:num>
  <w:num w:numId="7">
    <w:abstractNumId w:val="27"/>
  </w:num>
  <w:num w:numId="8">
    <w:abstractNumId w:val="25"/>
  </w:num>
  <w:num w:numId="9">
    <w:abstractNumId w:val="24"/>
  </w:num>
  <w:num w:numId="10">
    <w:abstractNumId w:val="2"/>
  </w:num>
  <w:num w:numId="11">
    <w:abstractNumId w:val="29"/>
  </w:num>
  <w:num w:numId="12">
    <w:abstractNumId w:val="10"/>
  </w:num>
  <w:num w:numId="13">
    <w:abstractNumId w:val="31"/>
  </w:num>
  <w:num w:numId="14">
    <w:abstractNumId w:val="11"/>
  </w:num>
  <w:num w:numId="15">
    <w:abstractNumId w:val="17"/>
  </w:num>
  <w:num w:numId="16">
    <w:abstractNumId w:val="5"/>
  </w:num>
  <w:num w:numId="17">
    <w:abstractNumId w:val="28"/>
  </w:num>
  <w:num w:numId="18">
    <w:abstractNumId w:val="23"/>
  </w:num>
  <w:num w:numId="19">
    <w:abstractNumId w:val="18"/>
  </w:num>
  <w:num w:numId="20">
    <w:abstractNumId w:val="3"/>
  </w:num>
  <w:num w:numId="21">
    <w:abstractNumId w:val="13"/>
  </w:num>
  <w:num w:numId="22">
    <w:abstractNumId w:val="4"/>
  </w:num>
  <w:num w:numId="23">
    <w:abstractNumId w:val="21"/>
  </w:num>
  <w:num w:numId="24">
    <w:abstractNumId w:val="12"/>
  </w:num>
  <w:num w:numId="25">
    <w:abstractNumId w:val="20"/>
  </w:num>
  <w:num w:numId="26">
    <w:abstractNumId w:val="15"/>
  </w:num>
  <w:num w:numId="27">
    <w:abstractNumId w:val="16"/>
  </w:num>
  <w:num w:numId="28">
    <w:abstractNumId w:val="6"/>
  </w:num>
  <w:num w:numId="29">
    <w:abstractNumId w:val="34"/>
  </w:num>
  <w:num w:numId="30">
    <w:abstractNumId w:val="30"/>
  </w:num>
  <w:num w:numId="31">
    <w:abstractNumId w:val="26"/>
  </w:num>
  <w:num w:numId="32">
    <w:abstractNumId w:val="9"/>
  </w:num>
  <w:num w:numId="33">
    <w:abstractNumId w:val="8"/>
  </w:num>
  <w:num w:numId="34">
    <w:abstractNumId w:val="19"/>
  </w:num>
  <w:num w:numId="3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0FC"/>
    <w:rsid w:val="00000A3C"/>
    <w:rsid w:val="0000194B"/>
    <w:rsid w:val="00005157"/>
    <w:rsid w:val="000056C1"/>
    <w:rsid w:val="000057F0"/>
    <w:rsid w:val="00005B1E"/>
    <w:rsid w:val="00005FB5"/>
    <w:rsid w:val="000063DF"/>
    <w:rsid w:val="00006A03"/>
    <w:rsid w:val="00006A93"/>
    <w:rsid w:val="0000738C"/>
    <w:rsid w:val="00007429"/>
    <w:rsid w:val="00007E73"/>
    <w:rsid w:val="000100DC"/>
    <w:rsid w:val="000102FD"/>
    <w:rsid w:val="00010F07"/>
    <w:rsid w:val="000119AC"/>
    <w:rsid w:val="00011A79"/>
    <w:rsid w:val="00011E24"/>
    <w:rsid w:val="00013112"/>
    <w:rsid w:val="000133AF"/>
    <w:rsid w:val="00013450"/>
    <w:rsid w:val="000138AC"/>
    <w:rsid w:val="00013C31"/>
    <w:rsid w:val="00013D87"/>
    <w:rsid w:val="00013F9E"/>
    <w:rsid w:val="0001503F"/>
    <w:rsid w:val="000161C2"/>
    <w:rsid w:val="00016633"/>
    <w:rsid w:val="00021B83"/>
    <w:rsid w:val="00021DC6"/>
    <w:rsid w:val="0002210A"/>
    <w:rsid w:val="000232F6"/>
    <w:rsid w:val="000234DD"/>
    <w:rsid w:val="000236B3"/>
    <w:rsid w:val="00023F4D"/>
    <w:rsid w:val="000253B1"/>
    <w:rsid w:val="0002594A"/>
    <w:rsid w:val="00026CF1"/>
    <w:rsid w:val="00026D3A"/>
    <w:rsid w:val="00027163"/>
    <w:rsid w:val="00027B72"/>
    <w:rsid w:val="000305C1"/>
    <w:rsid w:val="00030AA4"/>
    <w:rsid w:val="00031186"/>
    <w:rsid w:val="00031307"/>
    <w:rsid w:val="000318C3"/>
    <w:rsid w:val="000322C5"/>
    <w:rsid w:val="00033223"/>
    <w:rsid w:val="0003376D"/>
    <w:rsid w:val="00034D1E"/>
    <w:rsid w:val="00035801"/>
    <w:rsid w:val="00035FC4"/>
    <w:rsid w:val="00036174"/>
    <w:rsid w:val="000362DC"/>
    <w:rsid w:val="00036D05"/>
    <w:rsid w:val="00036DD2"/>
    <w:rsid w:val="00036FE6"/>
    <w:rsid w:val="00037FE8"/>
    <w:rsid w:val="00040336"/>
    <w:rsid w:val="00040803"/>
    <w:rsid w:val="000410C7"/>
    <w:rsid w:val="00041773"/>
    <w:rsid w:val="00041796"/>
    <w:rsid w:val="00041900"/>
    <w:rsid w:val="00041E9C"/>
    <w:rsid w:val="00043CAA"/>
    <w:rsid w:val="00043EF6"/>
    <w:rsid w:val="000451A0"/>
    <w:rsid w:val="00045259"/>
    <w:rsid w:val="00045AB4"/>
    <w:rsid w:val="0004772D"/>
    <w:rsid w:val="00047CE7"/>
    <w:rsid w:val="0005050F"/>
    <w:rsid w:val="000511BB"/>
    <w:rsid w:val="00051AE1"/>
    <w:rsid w:val="00052B5E"/>
    <w:rsid w:val="00052FF8"/>
    <w:rsid w:val="00054740"/>
    <w:rsid w:val="00054A6E"/>
    <w:rsid w:val="00055BB7"/>
    <w:rsid w:val="000564BC"/>
    <w:rsid w:val="0005721B"/>
    <w:rsid w:val="000576DD"/>
    <w:rsid w:val="0005799B"/>
    <w:rsid w:val="000604D7"/>
    <w:rsid w:val="00060589"/>
    <w:rsid w:val="00060784"/>
    <w:rsid w:val="000608BE"/>
    <w:rsid w:val="00061E36"/>
    <w:rsid w:val="000621B0"/>
    <w:rsid w:val="00062A56"/>
    <w:rsid w:val="00063092"/>
    <w:rsid w:val="000640B7"/>
    <w:rsid w:val="0006492D"/>
    <w:rsid w:val="000654C4"/>
    <w:rsid w:val="00066447"/>
    <w:rsid w:val="000666E5"/>
    <w:rsid w:val="000669CD"/>
    <w:rsid w:val="000674D6"/>
    <w:rsid w:val="000700C4"/>
    <w:rsid w:val="00070F28"/>
    <w:rsid w:val="00071505"/>
    <w:rsid w:val="000717BF"/>
    <w:rsid w:val="00071B6F"/>
    <w:rsid w:val="000724E6"/>
    <w:rsid w:val="000729E1"/>
    <w:rsid w:val="000735BF"/>
    <w:rsid w:val="0007522A"/>
    <w:rsid w:val="00075D41"/>
    <w:rsid w:val="00076330"/>
    <w:rsid w:val="0007648B"/>
    <w:rsid w:val="000772CB"/>
    <w:rsid w:val="00077838"/>
    <w:rsid w:val="000811BA"/>
    <w:rsid w:val="00082B47"/>
    <w:rsid w:val="00082CEA"/>
    <w:rsid w:val="00083F8B"/>
    <w:rsid w:val="00087C95"/>
    <w:rsid w:val="0008A7A8"/>
    <w:rsid w:val="000902D0"/>
    <w:rsid w:val="00090642"/>
    <w:rsid w:val="000916B9"/>
    <w:rsid w:val="00091BF5"/>
    <w:rsid w:val="000923D2"/>
    <w:rsid w:val="000926C4"/>
    <w:rsid w:val="0009339C"/>
    <w:rsid w:val="000946EF"/>
    <w:rsid w:val="00095143"/>
    <w:rsid w:val="000966E3"/>
    <w:rsid w:val="00096C2B"/>
    <w:rsid w:val="000A1355"/>
    <w:rsid w:val="000A163D"/>
    <w:rsid w:val="000A2B3E"/>
    <w:rsid w:val="000A3567"/>
    <w:rsid w:val="000A4950"/>
    <w:rsid w:val="000A4D70"/>
    <w:rsid w:val="000A53F4"/>
    <w:rsid w:val="000A767D"/>
    <w:rsid w:val="000B06BF"/>
    <w:rsid w:val="000B21A0"/>
    <w:rsid w:val="000B22B7"/>
    <w:rsid w:val="000B3134"/>
    <w:rsid w:val="000B3F48"/>
    <w:rsid w:val="000B457D"/>
    <w:rsid w:val="000B5C6D"/>
    <w:rsid w:val="000B60D4"/>
    <w:rsid w:val="000B69A8"/>
    <w:rsid w:val="000B6DA2"/>
    <w:rsid w:val="000B6FE0"/>
    <w:rsid w:val="000B79A4"/>
    <w:rsid w:val="000B7B22"/>
    <w:rsid w:val="000C147F"/>
    <w:rsid w:val="000C28CC"/>
    <w:rsid w:val="000C3292"/>
    <w:rsid w:val="000C387C"/>
    <w:rsid w:val="000C3C16"/>
    <w:rsid w:val="000C4BC9"/>
    <w:rsid w:val="000C4DF8"/>
    <w:rsid w:val="000C65D2"/>
    <w:rsid w:val="000C6B8A"/>
    <w:rsid w:val="000D015A"/>
    <w:rsid w:val="000D0989"/>
    <w:rsid w:val="000D0B17"/>
    <w:rsid w:val="000D0D29"/>
    <w:rsid w:val="000D0D72"/>
    <w:rsid w:val="000D0DD9"/>
    <w:rsid w:val="000D1E95"/>
    <w:rsid w:val="000D1EA1"/>
    <w:rsid w:val="000D2384"/>
    <w:rsid w:val="000D321A"/>
    <w:rsid w:val="000D4687"/>
    <w:rsid w:val="000D46C2"/>
    <w:rsid w:val="000D5505"/>
    <w:rsid w:val="000D59D3"/>
    <w:rsid w:val="000D5E65"/>
    <w:rsid w:val="000D6FE6"/>
    <w:rsid w:val="000D72C7"/>
    <w:rsid w:val="000D7561"/>
    <w:rsid w:val="000E02E2"/>
    <w:rsid w:val="000E060A"/>
    <w:rsid w:val="000E154D"/>
    <w:rsid w:val="000E2293"/>
    <w:rsid w:val="000E24C3"/>
    <w:rsid w:val="000E3077"/>
    <w:rsid w:val="000E3527"/>
    <w:rsid w:val="000E3841"/>
    <w:rsid w:val="000E3999"/>
    <w:rsid w:val="000E3A21"/>
    <w:rsid w:val="000E3AA5"/>
    <w:rsid w:val="000E4DD5"/>
    <w:rsid w:val="000E50C4"/>
    <w:rsid w:val="000E548C"/>
    <w:rsid w:val="000E6A0D"/>
    <w:rsid w:val="000E6A72"/>
    <w:rsid w:val="000E6E41"/>
    <w:rsid w:val="000E7CBE"/>
    <w:rsid w:val="000E7FD2"/>
    <w:rsid w:val="000F008A"/>
    <w:rsid w:val="000F1CA9"/>
    <w:rsid w:val="000F2053"/>
    <w:rsid w:val="000F34BB"/>
    <w:rsid w:val="000F4A9D"/>
    <w:rsid w:val="000F4E73"/>
    <w:rsid w:val="000F65E4"/>
    <w:rsid w:val="000F6A61"/>
    <w:rsid w:val="000F6B1B"/>
    <w:rsid w:val="000F706E"/>
    <w:rsid w:val="001000A3"/>
    <w:rsid w:val="00100CD4"/>
    <w:rsid w:val="00100DDC"/>
    <w:rsid w:val="00101210"/>
    <w:rsid w:val="00101B77"/>
    <w:rsid w:val="00101D46"/>
    <w:rsid w:val="001024F6"/>
    <w:rsid w:val="00106F15"/>
    <w:rsid w:val="00111451"/>
    <w:rsid w:val="00111E4F"/>
    <w:rsid w:val="00112E72"/>
    <w:rsid w:val="00113405"/>
    <w:rsid w:val="001136E0"/>
    <w:rsid w:val="00113E93"/>
    <w:rsid w:val="00114F80"/>
    <w:rsid w:val="0011557E"/>
    <w:rsid w:val="00115F7F"/>
    <w:rsid w:val="00116B83"/>
    <w:rsid w:val="0011763E"/>
    <w:rsid w:val="00117BA5"/>
    <w:rsid w:val="00117F3F"/>
    <w:rsid w:val="00122241"/>
    <w:rsid w:val="001225E4"/>
    <w:rsid w:val="00124066"/>
    <w:rsid w:val="00124437"/>
    <w:rsid w:val="00125522"/>
    <w:rsid w:val="00125CA9"/>
    <w:rsid w:val="001267EC"/>
    <w:rsid w:val="00126EEB"/>
    <w:rsid w:val="001271A0"/>
    <w:rsid w:val="00127DC6"/>
    <w:rsid w:val="00130A2F"/>
    <w:rsid w:val="001312F8"/>
    <w:rsid w:val="00131C59"/>
    <w:rsid w:val="00131F5C"/>
    <w:rsid w:val="00131F8F"/>
    <w:rsid w:val="00132073"/>
    <w:rsid w:val="001327C3"/>
    <w:rsid w:val="001333E5"/>
    <w:rsid w:val="0013348F"/>
    <w:rsid w:val="00134629"/>
    <w:rsid w:val="00134BA1"/>
    <w:rsid w:val="00134D34"/>
    <w:rsid w:val="00135383"/>
    <w:rsid w:val="00135622"/>
    <w:rsid w:val="001360EB"/>
    <w:rsid w:val="00136424"/>
    <w:rsid w:val="00136446"/>
    <w:rsid w:val="001369A4"/>
    <w:rsid w:val="001373B1"/>
    <w:rsid w:val="0013740E"/>
    <w:rsid w:val="0013B0C9"/>
    <w:rsid w:val="001408E8"/>
    <w:rsid w:val="00140E48"/>
    <w:rsid w:val="00144000"/>
    <w:rsid w:val="00144AA2"/>
    <w:rsid w:val="00144AE4"/>
    <w:rsid w:val="0014599A"/>
    <w:rsid w:val="00145BCD"/>
    <w:rsid w:val="00146181"/>
    <w:rsid w:val="001464E3"/>
    <w:rsid w:val="001476E8"/>
    <w:rsid w:val="001479B3"/>
    <w:rsid w:val="0015015D"/>
    <w:rsid w:val="00151567"/>
    <w:rsid w:val="00153210"/>
    <w:rsid w:val="0015367F"/>
    <w:rsid w:val="00153BD8"/>
    <w:rsid w:val="00154091"/>
    <w:rsid w:val="001552B0"/>
    <w:rsid w:val="001554AD"/>
    <w:rsid w:val="00155E6A"/>
    <w:rsid w:val="00156E81"/>
    <w:rsid w:val="00156F38"/>
    <w:rsid w:val="0015742A"/>
    <w:rsid w:val="001601D5"/>
    <w:rsid w:val="0016032A"/>
    <w:rsid w:val="00160679"/>
    <w:rsid w:val="00161E84"/>
    <w:rsid w:val="00162AF1"/>
    <w:rsid w:val="00163593"/>
    <w:rsid w:val="00163AC7"/>
    <w:rsid w:val="00164A9B"/>
    <w:rsid w:val="00164B9A"/>
    <w:rsid w:val="00164DD0"/>
    <w:rsid w:val="00165171"/>
    <w:rsid w:val="001658A6"/>
    <w:rsid w:val="00167FAB"/>
    <w:rsid w:val="0017049C"/>
    <w:rsid w:val="00171CDD"/>
    <w:rsid w:val="001734BD"/>
    <w:rsid w:val="001743E3"/>
    <w:rsid w:val="00174A88"/>
    <w:rsid w:val="00174D5C"/>
    <w:rsid w:val="00174FCE"/>
    <w:rsid w:val="001768AD"/>
    <w:rsid w:val="00177552"/>
    <w:rsid w:val="00177B38"/>
    <w:rsid w:val="001800CB"/>
    <w:rsid w:val="0018118E"/>
    <w:rsid w:val="00181A56"/>
    <w:rsid w:val="001841AE"/>
    <w:rsid w:val="0018420E"/>
    <w:rsid w:val="001847B1"/>
    <w:rsid w:val="00184ACD"/>
    <w:rsid w:val="00184BA4"/>
    <w:rsid w:val="001857DF"/>
    <w:rsid w:val="00185909"/>
    <w:rsid w:val="001859D0"/>
    <w:rsid w:val="001867A9"/>
    <w:rsid w:val="0018754C"/>
    <w:rsid w:val="00187862"/>
    <w:rsid w:val="00190BD6"/>
    <w:rsid w:val="00190E89"/>
    <w:rsid w:val="00192B46"/>
    <w:rsid w:val="00192C18"/>
    <w:rsid w:val="001930CE"/>
    <w:rsid w:val="001936E4"/>
    <w:rsid w:val="00193D78"/>
    <w:rsid w:val="00193FF7"/>
    <w:rsid w:val="00194587"/>
    <w:rsid w:val="001947C6"/>
    <w:rsid w:val="00195F1D"/>
    <w:rsid w:val="00196787"/>
    <w:rsid w:val="00196E2D"/>
    <w:rsid w:val="001A003A"/>
    <w:rsid w:val="001A08C7"/>
    <w:rsid w:val="001A0D33"/>
    <w:rsid w:val="001A1D06"/>
    <w:rsid w:val="001A1E41"/>
    <w:rsid w:val="001A232B"/>
    <w:rsid w:val="001A2EC4"/>
    <w:rsid w:val="001A2EF7"/>
    <w:rsid w:val="001A38D9"/>
    <w:rsid w:val="001A45A1"/>
    <w:rsid w:val="001A47B5"/>
    <w:rsid w:val="001A49F6"/>
    <w:rsid w:val="001A4E04"/>
    <w:rsid w:val="001A5339"/>
    <w:rsid w:val="001A5E45"/>
    <w:rsid w:val="001A6BE6"/>
    <w:rsid w:val="001A702D"/>
    <w:rsid w:val="001A7903"/>
    <w:rsid w:val="001A7D51"/>
    <w:rsid w:val="001B03B5"/>
    <w:rsid w:val="001B0E88"/>
    <w:rsid w:val="001B1398"/>
    <w:rsid w:val="001B1952"/>
    <w:rsid w:val="001B36B6"/>
    <w:rsid w:val="001B42AB"/>
    <w:rsid w:val="001B4AAD"/>
    <w:rsid w:val="001B592E"/>
    <w:rsid w:val="001B69C0"/>
    <w:rsid w:val="001B6B0D"/>
    <w:rsid w:val="001B70DC"/>
    <w:rsid w:val="001B7C31"/>
    <w:rsid w:val="001B7EDE"/>
    <w:rsid w:val="001B7F81"/>
    <w:rsid w:val="001C0558"/>
    <w:rsid w:val="001C0658"/>
    <w:rsid w:val="001C0C81"/>
    <w:rsid w:val="001C113F"/>
    <w:rsid w:val="001C292F"/>
    <w:rsid w:val="001C2BE7"/>
    <w:rsid w:val="001C3CA0"/>
    <w:rsid w:val="001C40C0"/>
    <w:rsid w:val="001C4CF1"/>
    <w:rsid w:val="001C5428"/>
    <w:rsid w:val="001C5AE6"/>
    <w:rsid w:val="001C694A"/>
    <w:rsid w:val="001C709F"/>
    <w:rsid w:val="001D0888"/>
    <w:rsid w:val="001D1033"/>
    <w:rsid w:val="001D175A"/>
    <w:rsid w:val="001D34CA"/>
    <w:rsid w:val="001D3DFA"/>
    <w:rsid w:val="001D4263"/>
    <w:rsid w:val="001D4574"/>
    <w:rsid w:val="001D487B"/>
    <w:rsid w:val="001D6661"/>
    <w:rsid w:val="001D6663"/>
    <w:rsid w:val="001D7746"/>
    <w:rsid w:val="001D7C51"/>
    <w:rsid w:val="001E1457"/>
    <w:rsid w:val="001E15A0"/>
    <w:rsid w:val="001E185F"/>
    <w:rsid w:val="001E1F29"/>
    <w:rsid w:val="001E301F"/>
    <w:rsid w:val="001E3C6B"/>
    <w:rsid w:val="001E426C"/>
    <w:rsid w:val="001E45AC"/>
    <w:rsid w:val="001E4975"/>
    <w:rsid w:val="001E4F96"/>
    <w:rsid w:val="001E588A"/>
    <w:rsid w:val="001E5A18"/>
    <w:rsid w:val="001E5DAB"/>
    <w:rsid w:val="001E6626"/>
    <w:rsid w:val="001E66FD"/>
    <w:rsid w:val="001F0773"/>
    <w:rsid w:val="001F08AE"/>
    <w:rsid w:val="001F123E"/>
    <w:rsid w:val="001F13D2"/>
    <w:rsid w:val="001F177E"/>
    <w:rsid w:val="001F21FE"/>
    <w:rsid w:val="001F22DA"/>
    <w:rsid w:val="001F288F"/>
    <w:rsid w:val="001F28B3"/>
    <w:rsid w:val="001F2ACE"/>
    <w:rsid w:val="001F2D45"/>
    <w:rsid w:val="001F3B1D"/>
    <w:rsid w:val="001F40E4"/>
    <w:rsid w:val="001F5196"/>
    <w:rsid w:val="001F5E9B"/>
    <w:rsid w:val="001F73C2"/>
    <w:rsid w:val="001F7C98"/>
    <w:rsid w:val="00200846"/>
    <w:rsid w:val="00200BCD"/>
    <w:rsid w:val="00200E79"/>
    <w:rsid w:val="002022E5"/>
    <w:rsid w:val="002029AA"/>
    <w:rsid w:val="00204526"/>
    <w:rsid w:val="002047BD"/>
    <w:rsid w:val="002061DA"/>
    <w:rsid w:val="00207085"/>
    <w:rsid w:val="00207340"/>
    <w:rsid w:val="00212C99"/>
    <w:rsid w:val="00212FDD"/>
    <w:rsid w:val="00213834"/>
    <w:rsid w:val="00214171"/>
    <w:rsid w:val="00214750"/>
    <w:rsid w:val="002149CD"/>
    <w:rsid w:val="0021544A"/>
    <w:rsid w:val="00215E83"/>
    <w:rsid w:val="002175AD"/>
    <w:rsid w:val="00217E72"/>
    <w:rsid w:val="00220C90"/>
    <w:rsid w:val="00220D93"/>
    <w:rsid w:val="00220DB5"/>
    <w:rsid w:val="00221E69"/>
    <w:rsid w:val="00222008"/>
    <w:rsid w:val="00222239"/>
    <w:rsid w:val="002222E1"/>
    <w:rsid w:val="00223AAA"/>
    <w:rsid w:val="00224480"/>
    <w:rsid w:val="00224B33"/>
    <w:rsid w:val="0022645F"/>
    <w:rsid w:val="00226525"/>
    <w:rsid w:val="00226921"/>
    <w:rsid w:val="00227164"/>
    <w:rsid w:val="002272B6"/>
    <w:rsid w:val="00227992"/>
    <w:rsid w:val="00230360"/>
    <w:rsid w:val="00231401"/>
    <w:rsid w:val="00231FF1"/>
    <w:rsid w:val="0023297E"/>
    <w:rsid w:val="002329C0"/>
    <w:rsid w:val="00232A4B"/>
    <w:rsid w:val="00233627"/>
    <w:rsid w:val="00235913"/>
    <w:rsid w:val="00235F00"/>
    <w:rsid w:val="00236217"/>
    <w:rsid w:val="00236F26"/>
    <w:rsid w:val="002375CB"/>
    <w:rsid w:val="002375D4"/>
    <w:rsid w:val="00237A3F"/>
    <w:rsid w:val="00237FAE"/>
    <w:rsid w:val="0024145C"/>
    <w:rsid w:val="002424C7"/>
    <w:rsid w:val="0024290D"/>
    <w:rsid w:val="002438E3"/>
    <w:rsid w:val="00243DD6"/>
    <w:rsid w:val="00244EBE"/>
    <w:rsid w:val="0024567C"/>
    <w:rsid w:val="00245FD0"/>
    <w:rsid w:val="00246B8C"/>
    <w:rsid w:val="00247FDB"/>
    <w:rsid w:val="00250C6E"/>
    <w:rsid w:val="00250C76"/>
    <w:rsid w:val="0025199E"/>
    <w:rsid w:val="0025201E"/>
    <w:rsid w:val="00253168"/>
    <w:rsid w:val="002539D5"/>
    <w:rsid w:val="00253F4B"/>
    <w:rsid w:val="00253F98"/>
    <w:rsid w:val="00254E25"/>
    <w:rsid w:val="00256155"/>
    <w:rsid w:val="00257A29"/>
    <w:rsid w:val="002600AA"/>
    <w:rsid w:val="00260166"/>
    <w:rsid w:val="0026069E"/>
    <w:rsid w:val="00261992"/>
    <w:rsid w:val="00261A53"/>
    <w:rsid w:val="0026206D"/>
    <w:rsid w:val="0026262E"/>
    <w:rsid w:val="00262D07"/>
    <w:rsid w:val="0026311D"/>
    <w:rsid w:val="00263277"/>
    <w:rsid w:val="0026360E"/>
    <w:rsid w:val="0026398F"/>
    <w:rsid w:val="00263AA6"/>
    <w:rsid w:val="0026572A"/>
    <w:rsid w:val="00265BEC"/>
    <w:rsid w:val="00265CEC"/>
    <w:rsid w:val="00266A1D"/>
    <w:rsid w:val="00267214"/>
    <w:rsid w:val="0027030D"/>
    <w:rsid w:val="00270753"/>
    <w:rsid w:val="00270FEC"/>
    <w:rsid w:val="0027133B"/>
    <w:rsid w:val="00271E08"/>
    <w:rsid w:val="00272823"/>
    <w:rsid w:val="00273ABE"/>
    <w:rsid w:val="002745B3"/>
    <w:rsid w:val="00274916"/>
    <w:rsid w:val="00275104"/>
    <w:rsid w:val="00275D66"/>
    <w:rsid w:val="00276572"/>
    <w:rsid w:val="002765B4"/>
    <w:rsid w:val="002776D3"/>
    <w:rsid w:val="00277E38"/>
    <w:rsid w:val="002807E4"/>
    <w:rsid w:val="0028120F"/>
    <w:rsid w:val="00281694"/>
    <w:rsid w:val="00282B5F"/>
    <w:rsid w:val="0028303B"/>
    <w:rsid w:val="002833A9"/>
    <w:rsid w:val="0028475F"/>
    <w:rsid w:val="002875CA"/>
    <w:rsid w:val="00290272"/>
    <w:rsid w:val="00290F6B"/>
    <w:rsid w:val="0029132C"/>
    <w:rsid w:val="002914F8"/>
    <w:rsid w:val="002924D5"/>
    <w:rsid w:val="002926B3"/>
    <w:rsid w:val="002929EA"/>
    <w:rsid w:val="00292BF6"/>
    <w:rsid w:val="00292C14"/>
    <w:rsid w:val="002931E5"/>
    <w:rsid w:val="002937DD"/>
    <w:rsid w:val="00294510"/>
    <w:rsid w:val="00294822"/>
    <w:rsid w:val="00294B20"/>
    <w:rsid w:val="00294E43"/>
    <w:rsid w:val="002950CB"/>
    <w:rsid w:val="002954EB"/>
    <w:rsid w:val="00295812"/>
    <w:rsid w:val="00297415"/>
    <w:rsid w:val="00297D1F"/>
    <w:rsid w:val="002A0454"/>
    <w:rsid w:val="002A3171"/>
    <w:rsid w:val="002A44A0"/>
    <w:rsid w:val="002A65B7"/>
    <w:rsid w:val="002A6725"/>
    <w:rsid w:val="002A6C43"/>
    <w:rsid w:val="002A7A3D"/>
    <w:rsid w:val="002A7CDB"/>
    <w:rsid w:val="002B03FC"/>
    <w:rsid w:val="002B040F"/>
    <w:rsid w:val="002B0735"/>
    <w:rsid w:val="002B0CE6"/>
    <w:rsid w:val="002B1F9A"/>
    <w:rsid w:val="002B2480"/>
    <w:rsid w:val="002B33AB"/>
    <w:rsid w:val="002B3C83"/>
    <w:rsid w:val="002B554C"/>
    <w:rsid w:val="002B71F6"/>
    <w:rsid w:val="002C06F8"/>
    <w:rsid w:val="002C13AB"/>
    <w:rsid w:val="002C24DE"/>
    <w:rsid w:val="002C274B"/>
    <w:rsid w:val="002C2DE9"/>
    <w:rsid w:val="002C2F01"/>
    <w:rsid w:val="002C3C6A"/>
    <w:rsid w:val="002C3E7A"/>
    <w:rsid w:val="002C462B"/>
    <w:rsid w:val="002C547D"/>
    <w:rsid w:val="002C60A8"/>
    <w:rsid w:val="002C6492"/>
    <w:rsid w:val="002C6685"/>
    <w:rsid w:val="002C7077"/>
    <w:rsid w:val="002D0A77"/>
    <w:rsid w:val="002D1136"/>
    <w:rsid w:val="002D16B1"/>
    <w:rsid w:val="002D2E3D"/>
    <w:rsid w:val="002D402A"/>
    <w:rsid w:val="002D43E9"/>
    <w:rsid w:val="002D4665"/>
    <w:rsid w:val="002D5B9F"/>
    <w:rsid w:val="002D65EE"/>
    <w:rsid w:val="002D6D5B"/>
    <w:rsid w:val="002D711B"/>
    <w:rsid w:val="002D74CB"/>
    <w:rsid w:val="002D7E42"/>
    <w:rsid w:val="002E028F"/>
    <w:rsid w:val="002E036A"/>
    <w:rsid w:val="002E1D21"/>
    <w:rsid w:val="002E1FE9"/>
    <w:rsid w:val="002E2276"/>
    <w:rsid w:val="002E24C2"/>
    <w:rsid w:val="002E285D"/>
    <w:rsid w:val="002E3D3D"/>
    <w:rsid w:val="002E4915"/>
    <w:rsid w:val="002E7910"/>
    <w:rsid w:val="002F0CDD"/>
    <w:rsid w:val="002F1E43"/>
    <w:rsid w:val="002F1EF2"/>
    <w:rsid w:val="002F2B35"/>
    <w:rsid w:val="002F3B04"/>
    <w:rsid w:val="002F4552"/>
    <w:rsid w:val="002F4701"/>
    <w:rsid w:val="002F515E"/>
    <w:rsid w:val="002F6E17"/>
    <w:rsid w:val="002F714F"/>
    <w:rsid w:val="002F787A"/>
    <w:rsid w:val="002F7DAE"/>
    <w:rsid w:val="00300B4B"/>
    <w:rsid w:val="0030223F"/>
    <w:rsid w:val="003022EF"/>
    <w:rsid w:val="00302D69"/>
    <w:rsid w:val="0030374B"/>
    <w:rsid w:val="003048D9"/>
    <w:rsid w:val="00304AB6"/>
    <w:rsid w:val="00304B22"/>
    <w:rsid w:val="0030619B"/>
    <w:rsid w:val="0030635A"/>
    <w:rsid w:val="00307A39"/>
    <w:rsid w:val="0031170F"/>
    <w:rsid w:val="00312366"/>
    <w:rsid w:val="003131BC"/>
    <w:rsid w:val="00314922"/>
    <w:rsid w:val="00314C99"/>
    <w:rsid w:val="003158C5"/>
    <w:rsid w:val="0031696D"/>
    <w:rsid w:val="00317291"/>
    <w:rsid w:val="003176D3"/>
    <w:rsid w:val="00317879"/>
    <w:rsid w:val="003201E5"/>
    <w:rsid w:val="00320604"/>
    <w:rsid w:val="00320987"/>
    <w:rsid w:val="00320A22"/>
    <w:rsid w:val="00320C37"/>
    <w:rsid w:val="00321008"/>
    <w:rsid w:val="00321100"/>
    <w:rsid w:val="003212BD"/>
    <w:rsid w:val="003216E7"/>
    <w:rsid w:val="00321883"/>
    <w:rsid w:val="00322BDB"/>
    <w:rsid w:val="00323007"/>
    <w:rsid w:val="003246AA"/>
    <w:rsid w:val="00324A19"/>
    <w:rsid w:val="00325E04"/>
    <w:rsid w:val="00325FEB"/>
    <w:rsid w:val="003268BD"/>
    <w:rsid w:val="00326D6E"/>
    <w:rsid w:val="00327050"/>
    <w:rsid w:val="00327461"/>
    <w:rsid w:val="0033049C"/>
    <w:rsid w:val="003304E7"/>
    <w:rsid w:val="003309F9"/>
    <w:rsid w:val="00330CAC"/>
    <w:rsid w:val="003314D5"/>
    <w:rsid w:val="003316BB"/>
    <w:rsid w:val="003316C1"/>
    <w:rsid w:val="00331B9C"/>
    <w:rsid w:val="00331F82"/>
    <w:rsid w:val="003339A1"/>
    <w:rsid w:val="00333FDA"/>
    <w:rsid w:val="00333FEC"/>
    <w:rsid w:val="003345BA"/>
    <w:rsid w:val="00334F6F"/>
    <w:rsid w:val="00335280"/>
    <w:rsid w:val="00335EDE"/>
    <w:rsid w:val="003378A5"/>
    <w:rsid w:val="00340381"/>
    <w:rsid w:val="0034194D"/>
    <w:rsid w:val="003425D0"/>
    <w:rsid w:val="00342699"/>
    <w:rsid w:val="00342A29"/>
    <w:rsid w:val="003433DF"/>
    <w:rsid w:val="00343406"/>
    <w:rsid w:val="003434D8"/>
    <w:rsid w:val="00343870"/>
    <w:rsid w:val="00344799"/>
    <w:rsid w:val="00344A41"/>
    <w:rsid w:val="00344D27"/>
    <w:rsid w:val="00346434"/>
    <w:rsid w:val="00346809"/>
    <w:rsid w:val="003475C6"/>
    <w:rsid w:val="00347657"/>
    <w:rsid w:val="00347B34"/>
    <w:rsid w:val="0034FB7A"/>
    <w:rsid w:val="0035022D"/>
    <w:rsid w:val="003503F6"/>
    <w:rsid w:val="00350B6C"/>
    <w:rsid w:val="00351281"/>
    <w:rsid w:val="00351DA3"/>
    <w:rsid w:val="00351EB9"/>
    <w:rsid w:val="00352321"/>
    <w:rsid w:val="0035356B"/>
    <w:rsid w:val="00353F0F"/>
    <w:rsid w:val="003545BE"/>
    <w:rsid w:val="0035469C"/>
    <w:rsid w:val="003548CC"/>
    <w:rsid w:val="00356EED"/>
    <w:rsid w:val="003571A2"/>
    <w:rsid w:val="003577C1"/>
    <w:rsid w:val="003603A2"/>
    <w:rsid w:val="00360FAE"/>
    <w:rsid w:val="00361238"/>
    <w:rsid w:val="0036177F"/>
    <w:rsid w:val="00361AE7"/>
    <w:rsid w:val="00361FA3"/>
    <w:rsid w:val="003627B9"/>
    <w:rsid w:val="00364825"/>
    <w:rsid w:val="00364EC1"/>
    <w:rsid w:val="003653EA"/>
    <w:rsid w:val="00365626"/>
    <w:rsid w:val="00365E07"/>
    <w:rsid w:val="0036606C"/>
    <w:rsid w:val="0036794B"/>
    <w:rsid w:val="003679D8"/>
    <w:rsid w:val="00370EA2"/>
    <w:rsid w:val="00370F77"/>
    <w:rsid w:val="00372103"/>
    <w:rsid w:val="003737BC"/>
    <w:rsid w:val="00374301"/>
    <w:rsid w:val="00374AC0"/>
    <w:rsid w:val="00374B79"/>
    <w:rsid w:val="00374E5C"/>
    <w:rsid w:val="00374EA0"/>
    <w:rsid w:val="00376468"/>
    <w:rsid w:val="0037679B"/>
    <w:rsid w:val="00380086"/>
    <w:rsid w:val="003806DE"/>
    <w:rsid w:val="0038152A"/>
    <w:rsid w:val="00381D27"/>
    <w:rsid w:val="00381EED"/>
    <w:rsid w:val="00382139"/>
    <w:rsid w:val="003826C6"/>
    <w:rsid w:val="00382B96"/>
    <w:rsid w:val="00383726"/>
    <w:rsid w:val="00383828"/>
    <w:rsid w:val="00383FCB"/>
    <w:rsid w:val="00385397"/>
    <w:rsid w:val="003861AB"/>
    <w:rsid w:val="00387BEF"/>
    <w:rsid w:val="00387DB4"/>
    <w:rsid w:val="00390605"/>
    <w:rsid w:val="003908E8"/>
    <w:rsid w:val="00390B89"/>
    <w:rsid w:val="00391986"/>
    <w:rsid w:val="00392593"/>
    <w:rsid w:val="00392D6B"/>
    <w:rsid w:val="00392FFD"/>
    <w:rsid w:val="00393AF3"/>
    <w:rsid w:val="00394249"/>
    <w:rsid w:val="003965B0"/>
    <w:rsid w:val="0039742D"/>
    <w:rsid w:val="00397DA4"/>
    <w:rsid w:val="00397EDA"/>
    <w:rsid w:val="003A0A7D"/>
    <w:rsid w:val="003A12D8"/>
    <w:rsid w:val="003A24F0"/>
    <w:rsid w:val="003A3AFE"/>
    <w:rsid w:val="003A4853"/>
    <w:rsid w:val="003A7B28"/>
    <w:rsid w:val="003A7F2A"/>
    <w:rsid w:val="003B1004"/>
    <w:rsid w:val="003B11CE"/>
    <w:rsid w:val="003B1792"/>
    <w:rsid w:val="003B1B00"/>
    <w:rsid w:val="003B2250"/>
    <w:rsid w:val="003B4AE5"/>
    <w:rsid w:val="003B53BC"/>
    <w:rsid w:val="003B616E"/>
    <w:rsid w:val="003C0331"/>
    <w:rsid w:val="003C0478"/>
    <w:rsid w:val="003C1352"/>
    <w:rsid w:val="003C1ABE"/>
    <w:rsid w:val="003C23BB"/>
    <w:rsid w:val="003C2CA2"/>
    <w:rsid w:val="003C47E0"/>
    <w:rsid w:val="003C4D8B"/>
    <w:rsid w:val="003C524B"/>
    <w:rsid w:val="003C6115"/>
    <w:rsid w:val="003C729C"/>
    <w:rsid w:val="003C7A12"/>
    <w:rsid w:val="003C7A37"/>
    <w:rsid w:val="003D06E3"/>
    <w:rsid w:val="003D076C"/>
    <w:rsid w:val="003D0A2C"/>
    <w:rsid w:val="003D0D59"/>
    <w:rsid w:val="003D0E1A"/>
    <w:rsid w:val="003D14AD"/>
    <w:rsid w:val="003D1D06"/>
    <w:rsid w:val="003D2E7E"/>
    <w:rsid w:val="003D3681"/>
    <w:rsid w:val="003D3E2E"/>
    <w:rsid w:val="003D47FD"/>
    <w:rsid w:val="003D5C40"/>
    <w:rsid w:val="003D5E60"/>
    <w:rsid w:val="003D6C93"/>
    <w:rsid w:val="003D7F25"/>
    <w:rsid w:val="003E0330"/>
    <w:rsid w:val="003E041B"/>
    <w:rsid w:val="003E0BFD"/>
    <w:rsid w:val="003E2A68"/>
    <w:rsid w:val="003E317B"/>
    <w:rsid w:val="003E367A"/>
    <w:rsid w:val="003E3FD1"/>
    <w:rsid w:val="003E40A8"/>
    <w:rsid w:val="003E5546"/>
    <w:rsid w:val="003E6099"/>
    <w:rsid w:val="003F0AE3"/>
    <w:rsid w:val="003F0E4B"/>
    <w:rsid w:val="003F1BF5"/>
    <w:rsid w:val="003F3249"/>
    <w:rsid w:val="003F373E"/>
    <w:rsid w:val="003F3CD9"/>
    <w:rsid w:val="003F3D70"/>
    <w:rsid w:val="003F46A1"/>
    <w:rsid w:val="003F489B"/>
    <w:rsid w:val="003F5755"/>
    <w:rsid w:val="004007E3"/>
    <w:rsid w:val="004015E8"/>
    <w:rsid w:val="00402DE9"/>
    <w:rsid w:val="00403735"/>
    <w:rsid w:val="00403856"/>
    <w:rsid w:val="004040A5"/>
    <w:rsid w:val="00404347"/>
    <w:rsid w:val="00404F7F"/>
    <w:rsid w:val="0040541E"/>
    <w:rsid w:val="00406493"/>
    <w:rsid w:val="00406564"/>
    <w:rsid w:val="00407A51"/>
    <w:rsid w:val="00407DFD"/>
    <w:rsid w:val="00410DE2"/>
    <w:rsid w:val="00412554"/>
    <w:rsid w:val="004129EC"/>
    <w:rsid w:val="004135DD"/>
    <w:rsid w:val="004157AF"/>
    <w:rsid w:val="004166D7"/>
    <w:rsid w:val="00417B23"/>
    <w:rsid w:val="00420298"/>
    <w:rsid w:val="004208DE"/>
    <w:rsid w:val="00421684"/>
    <w:rsid w:val="0042192B"/>
    <w:rsid w:val="00421A52"/>
    <w:rsid w:val="00421D35"/>
    <w:rsid w:val="004228EC"/>
    <w:rsid w:val="00423228"/>
    <w:rsid w:val="00423E23"/>
    <w:rsid w:val="00423E92"/>
    <w:rsid w:val="0042474E"/>
    <w:rsid w:val="0042589D"/>
    <w:rsid w:val="00425A8C"/>
    <w:rsid w:val="00425A9A"/>
    <w:rsid w:val="0042626C"/>
    <w:rsid w:val="00426EAA"/>
    <w:rsid w:val="004303E6"/>
    <w:rsid w:val="00430550"/>
    <w:rsid w:val="0043100C"/>
    <w:rsid w:val="00431096"/>
    <w:rsid w:val="00431C4E"/>
    <w:rsid w:val="00431CF6"/>
    <w:rsid w:val="00432312"/>
    <w:rsid w:val="00432705"/>
    <w:rsid w:val="004329AA"/>
    <w:rsid w:val="00432F15"/>
    <w:rsid w:val="004334F5"/>
    <w:rsid w:val="00433E24"/>
    <w:rsid w:val="00433E84"/>
    <w:rsid w:val="00433EFE"/>
    <w:rsid w:val="00434B68"/>
    <w:rsid w:val="00435295"/>
    <w:rsid w:val="0043637B"/>
    <w:rsid w:val="00436836"/>
    <w:rsid w:val="0044039F"/>
    <w:rsid w:val="00440C05"/>
    <w:rsid w:val="00443202"/>
    <w:rsid w:val="00443AC3"/>
    <w:rsid w:val="00443EA4"/>
    <w:rsid w:val="00444C2F"/>
    <w:rsid w:val="00445330"/>
    <w:rsid w:val="0044576A"/>
    <w:rsid w:val="00445790"/>
    <w:rsid w:val="00445C56"/>
    <w:rsid w:val="00446348"/>
    <w:rsid w:val="004463F4"/>
    <w:rsid w:val="00446B9A"/>
    <w:rsid w:val="00446EE2"/>
    <w:rsid w:val="00447BC3"/>
    <w:rsid w:val="004507FB"/>
    <w:rsid w:val="00451876"/>
    <w:rsid w:val="00452E7B"/>
    <w:rsid w:val="00454898"/>
    <w:rsid w:val="00454B20"/>
    <w:rsid w:val="00454CFA"/>
    <w:rsid w:val="0045524D"/>
    <w:rsid w:val="004554C6"/>
    <w:rsid w:val="004568ED"/>
    <w:rsid w:val="00460F1F"/>
    <w:rsid w:val="00461CA0"/>
    <w:rsid w:val="004623F6"/>
    <w:rsid w:val="00462A2B"/>
    <w:rsid w:val="00462A94"/>
    <w:rsid w:val="00462C9F"/>
    <w:rsid w:val="00462D3D"/>
    <w:rsid w:val="00464984"/>
    <w:rsid w:val="00465B15"/>
    <w:rsid w:val="0046602E"/>
    <w:rsid w:val="00466A8D"/>
    <w:rsid w:val="0046793A"/>
    <w:rsid w:val="0047080C"/>
    <w:rsid w:val="00470A9A"/>
    <w:rsid w:val="0047180F"/>
    <w:rsid w:val="00471BEC"/>
    <w:rsid w:val="0047234F"/>
    <w:rsid w:val="00472461"/>
    <w:rsid w:val="004725CA"/>
    <w:rsid w:val="00472C38"/>
    <w:rsid w:val="004732EA"/>
    <w:rsid w:val="0047459E"/>
    <w:rsid w:val="004756F7"/>
    <w:rsid w:val="00475763"/>
    <w:rsid w:val="004760B3"/>
    <w:rsid w:val="004769AA"/>
    <w:rsid w:val="00476D79"/>
    <w:rsid w:val="00480B1C"/>
    <w:rsid w:val="00480C04"/>
    <w:rsid w:val="00480C65"/>
    <w:rsid w:val="00481B14"/>
    <w:rsid w:val="00482656"/>
    <w:rsid w:val="00482753"/>
    <w:rsid w:val="00482E50"/>
    <w:rsid w:val="0048306C"/>
    <w:rsid w:val="00483552"/>
    <w:rsid w:val="00484676"/>
    <w:rsid w:val="00485906"/>
    <w:rsid w:val="00486993"/>
    <w:rsid w:val="00490100"/>
    <w:rsid w:val="00490599"/>
    <w:rsid w:val="00491274"/>
    <w:rsid w:val="00491A1F"/>
    <w:rsid w:val="00491AB9"/>
    <w:rsid w:val="0049230E"/>
    <w:rsid w:val="00492A80"/>
    <w:rsid w:val="00493118"/>
    <w:rsid w:val="00494B66"/>
    <w:rsid w:val="00495017"/>
    <w:rsid w:val="0049616B"/>
    <w:rsid w:val="004A0870"/>
    <w:rsid w:val="004A1871"/>
    <w:rsid w:val="004A1B89"/>
    <w:rsid w:val="004A21BC"/>
    <w:rsid w:val="004A2893"/>
    <w:rsid w:val="004A34D3"/>
    <w:rsid w:val="004A38BA"/>
    <w:rsid w:val="004A3EF1"/>
    <w:rsid w:val="004A57E7"/>
    <w:rsid w:val="004A5ADF"/>
    <w:rsid w:val="004A5B1C"/>
    <w:rsid w:val="004A6436"/>
    <w:rsid w:val="004A687B"/>
    <w:rsid w:val="004A761C"/>
    <w:rsid w:val="004A7C13"/>
    <w:rsid w:val="004A7D75"/>
    <w:rsid w:val="004B00D4"/>
    <w:rsid w:val="004B00F3"/>
    <w:rsid w:val="004B090F"/>
    <w:rsid w:val="004B1217"/>
    <w:rsid w:val="004B1752"/>
    <w:rsid w:val="004B28D0"/>
    <w:rsid w:val="004B326B"/>
    <w:rsid w:val="004B3CF6"/>
    <w:rsid w:val="004B5811"/>
    <w:rsid w:val="004B7018"/>
    <w:rsid w:val="004B764F"/>
    <w:rsid w:val="004C0436"/>
    <w:rsid w:val="004C07A8"/>
    <w:rsid w:val="004C1775"/>
    <w:rsid w:val="004C21A0"/>
    <w:rsid w:val="004C21AD"/>
    <w:rsid w:val="004C274A"/>
    <w:rsid w:val="004C3A2F"/>
    <w:rsid w:val="004C4789"/>
    <w:rsid w:val="004C4E26"/>
    <w:rsid w:val="004C590A"/>
    <w:rsid w:val="004C5E5B"/>
    <w:rsid w:val="004C60A1"/>
    <w:rsid w:val="004C6481"/>
    <w:rsid w:val="004C6640"/>
    <w:rsid w:val="004C7041"/>
    <w:rsid w:val="004D0964"/>
    <w:rsid w:val="004D0D95"/>
    <w:rsid w:val="004D10CC"/>
    <w:rsid w:val="004D1989"/>
    <w:rsid w:val="004D263C"/>
    <w:rsid w:val="004D2DA3"/>
    <w:rsid w:val="004D3633"/>
    <w:rsid w:val="004D3C80"/>
    <w:rsid w:val="004D4D9D"/>
    <w:rsid w:val="004D4F56"/>
    <w:rsid w:val="004D6F9F"/>
    <w:rsid w:val="004D70B5"/>
    <w:rsid w:val="004D7FF6"/>
    <w:rsid w:val="004E0892"/>
    <w:rsid w:val="004E1720"/>
    <w:rsid w:val="004E20FC"/>
    <w:rsid w:val="004E3161"/>
    <w:rsid w:val="004E358D"/>
    <w:rsid w:val="004E37A6"/>
    <w:rsid w:val="004E3D0F"/>
    <w:rsid w:val="004E3FED"/>
    <w:rsid w:val="004E417C"/>
    <w:rsid w:val="004E5374"/>
    <w:rsid w:val="004E53F0"/>
    <w:rsid w:val="004E5647"/>
    <w:rsid w:val="004E6033"/>
    <w:rsid w:val="004E6754"/>
    <w:rsid w:val="004E6888"/>
    <w:rsid w:val="004E6E2F"/>
    <w:rsid w:val="004E7870"/>
    <w:rsid w:val="004E7B30"/>
    <w:rsid w:val="004F00FE"/>
    <w:rsid w:val="004F0308"/>
    <w:rsid w:val="004F034F"/>
    <w:rsid w:val="004F0777"/>
    <w:rsid w:val="004F0EDA"/>
    <w:rsid w:val="004F296D"/>
    <w:rsid w:val="004F2B00"/>
    <w:rsid w:val="004F2B4A"/>
    <w:rsid w:val="004F3035"/>
    <w:rsid w:val="004F34E0"/>
    <w:rsid w:val="004F3644"/>
    <w:rsid w:val="004F378A"/>
    <w:rsid w:val="0050030F"/>
    <w:rsid w:val="005007F6"/>
    <w:rsid w:val="005010E5"/>
    <w:rsid w:val="0050204D"/>
    <w:rsid w:val="00502524"/>
    <w:rsid w:val="005037EB"/>
    <w:rsid w:val="00503B7B"/>
    <w:rsid w:val="005057BE"/>
    <w:rsid w:val="00505816"/>
    <w:rsid w:val="00505EDB"/>
    <w:rsid w:val="00506253"/>
    <w:rsid w:val="005066B3"/>
    <w:rsid w:val="00507580"/>
    <w:rsid w:val="005108E2"/>
    <w:rsid w:val="00510C38"/>
    <w:rsid w:val="005110FA"/>
    <w:rsid w:val="00511690"/>
    <w:rsid w:val="00511728"/>
    <w:rsid w:val="00511C55"/>
    <w:rsid w:val="005135EB"/>
    <w:rsid w:val="005141DC"/>
    <w:rsid w:val="00515252"/>
    <w:rsid w:val="0051537C"/>
    <w:rsid w:val="0051564B"/>
    <w:rsid w:val="0051652F"/>
    <w:rsid w:val="00517CE6"/>
    <w:rsid w:val="005201A3"/>
    <w:rsid w:val="00520EC7"/>
    <w:rsid w:val="0052178B"/>
    <w:rsid w:val="00521949"/>
    <w:rsid w:val="00522490"/>
    <w:rsid w:val="0052304E"/>
    <w:rsid w:val="00523648"/>
    <w:rsid w:val="00523966"/>
    <w:rsid w:val="0052459D"/>
    <w:rsid w:val="00524A8B"/>
    <w:rsid w:val="00524E29"/>
    <w:rsid w:val="00525416"/>
    <w:rsid w:val="00525709"/>
    <w:rsid w:val="00525949"/>
    <w:rsid w:val="00525ECE"/>
    <w:rsid w:val="00525ED4"/>
    <w:rsid w:val="00526E01"/>
    <w:rsid w:val="00526ECF"/>
    <w:rsid w:val="00530B25"/>
    <w:rsid w:val="00530F0B"/>
    <w:rsid w:val="0053158C"/>
    <w:rsid w:val="00531C7C"/>
    <w:rsid w:val="00531DC4"/>
    <w:rsid w:val="0053268B"/>
    <w:rsid w:val="00532E04"/>
    <w:rsid w:val="00534330"/>
    <w:rsid w:val="00534875"/>
    <w:rsid w:val="005364F0"/>
    <w:rsid w:val="00536BB0"/>
    <w:rsid w:val="005372C5"/>
    <w:rsid w:val="005404EE"/>
    <w:rsid w:val="0054098C"/>
    <w:rsid w:val="00541568"/>
    <w:rsid w:val="00541733"/>
    <w:rsid w:val="00541E5D"/>
    <w:rsid w:val="005428F0"/>
    <w:rsid w:val="00542AE9"/>
    <w:rsid w:val="00542CF5"/>
    <w:rsid w:val="00543363"/>
    <w:rsid w:val="0054342C"/>
    <w:rsid w:val="00543679"/>
    <w:rsid w:val="00544AC0"/>
    <w:rsid w:val="00544DAD"/>
    <w:rsid w:val="00545328"/>
    <w:rsid w:val="0054576C"/>
    <w:rsid w:val="005458C1"/>
    <w:rsid w:val="00546852"/>
    <w:rsid w:val="005472DD"/>
    <w:rsid w:val="00547C65"/>
    <w:rsid w:val="005521CF"/>
    <w:rsid w:val="0055315C"/>
    <w:rsid w:val="00553262"/>
    <w:rsid w:val="00553986"/>
    <w:rsid w:val="00553E11"/>
    <w:rsid w:val="00554570"/>
    <w:rsid w:val="00555A98"/>
    <w:rsid w:val="00555DF3"/>
    <w:rsid w:val="00555E97"/>
    <w:rsid w:val="00556458"/>
    <w:rsid w:val="005575F5"/>
    <w:rsid w:val="005605C6"/>
    <w:rsid w:val="00560C24"/>
    <w:rsid w:val="005611DD"/>
    <w:rsid w:val="005613B0"/>
    <w:rsid w:val="00561911"/>
    <w:rsid w:val="00561B05"/>
    <w:rsid w:val="00561CE4"/>
    <w:rsid w:val="00561DBD"/>
    <w:rsid w:val="005632D1"/>
    <w:rsid w:val="00563450"/>
    <w:rsid w:val="00564A04"/>
    <w:rsid w:val="00564C7E"/>
    <w:rsid w:val="00567D42"/>
    <w:rsid w:val="00570C6F"/>
    <w:rsid w:val="00570DF7"/>
    <w:rsid w:val="00570F7C"/>
    <w:rsid w:val="005713A8"/>
    <w:rsid w:val="00571725"/>
    <w:rsid w:val="005725A3"/>
    <w:rsid w:val="005734E0"/>
    <w:rsid w:val="00574A16"/>
    <w:rsid w:val="005762E7"/>
    <w:rsid w:val="00576CC5"/>
    <w:rsid w:val="005772BB"/>
    <w:rsid w:val="00577498"/>
    <w:rsid w:val="00577EEB"/>
    <w:rsid w:val="00580BCF"/>
    <w:rsid w:val="005816AB"/>
    <w:rsid w:val="00581A79"/>
    <w:rsid w:val="00581E6C"/>
    <w:rsid w:val="0058453D"/>
    <w:rsid w:val="00584877"/>
    <w:rsid w:val="00584F13"/>
    <w:rsid w:val="00585185"/>
    <w:rsid w:val="0058560C"/>
    <w:rsid w:val="00585CB2"/>
    <w:rsid w:val="0058615A"/>
    <w:rsid w:val="00586590"/>
    <w:rsid w:val="005910E0"/>
    <w:rsid w:val="005918FB"/>
    <w:rsid w:val="005920AC"/>
    <w:rsid w:val="00593739"/>
    <w:rsid w:val="00594833"/>
    <w:rsid w:val="00595F1A"/>
    <w:rsid w:val="005968A7"/>
    <w:rsid w:val="00596FBA"/>
    <w:rsid w:val="00597355"/>
    <w:rsid w:val="005974AE"/>
    <w:rsid w:val="005974F5"/>
    <w:rsid w:val="005977CF"/>
    <w:rsid w:val="005A077F"/>
    <w:rsid w:val="005A10A8"/>
    <w:rsid w:val="005A28F2"/>
    <w:rsid w:val="005A360B"/>
    <w:rsid w:val="005A3684"/>
    <w:rsid w:val="005A38EA"/>
    <w:rsid w:val="005A62A1"/>
    <w:rsid w:val="005A70E9"/>
    <w:rsid w:val="005A771C"/>
    <w:rsid w:val="005A7847"/>
    <w:rsid w:val="005B0395"/>
    <w:rsid w:val="005B114F"/>
    <w:rsid w:val="005B16B0"/>
    <w:rsid w:val="005B1BA4"/>
    <w:rsid w:val="005B2176"/>
    <w:rsid w:val="005B2E74"/>
    <w:rsid w:val="005B3950"/>
    <w:rsid w:val="005B3BDA"/>
    <w:rsid w:val="005B4AC4"/>
    <w:rsid w:val="005B5A06"/>
    <w:rsid w:val="005B5EFA"/>
    <w:rsid w:val="005B67E6"/>
    <w:rsid w:val="005B75CE"/>
    <w:rsid w:val="005B7764"/>
    <w:rsid w:val="005B7ABA"/>
    <w:rsid w:val="005C00A2"/>
    <w:rsid w:val="005C07D3"/>
    <w:rsid w:val="005C0C78"/>
    <w:rsid w:val="005C19DF"/>
    <w:rsid w:val="005C2BE3"/>
    <w:rsid w:val="005C2C21"/>
    <w:rsid w:val="005C2C6F"/>
    <w:rsid w:val="005C3113"/>
    <w:rsid w:val="005C4490"/>
    <w:rsid w:val="005C51E3"/>
    <w:rsid w:val="005C5B21"/>
    <w:rsid w:val="005C5DA9"/>
    <w:rsid w:val="005C6134"/>
    <w:rsid w:val="005C6156"/>
    <w:rsid w:val="005C63E4"/>
    <w:rsid w:val="005C71B5"/>
    <w:rsid w:val="005C729D"/>
    <w:rsid w:val="005C79A5"/>
    <w:rsid w:val="005C7B5F"/>
    <w:rsid w:val="005D07DF"/>
    <w:rsid w:val="005D086C"/>
    <w:rsid w:val="005D1565"/>
    <w:rsid w:val="005D1909"/>
    <w:rsid w:val="005D1BB2"/>
    <w:rsid w:val="005D26C6"/>
    <w:rsid w:val="005D3042"/>
    <w:rsid w:val="005D4BBB"/>
    <w:rsid w:val="005D675D"/>
    <w:rsid w:val="005D69D0"/>
    <w:rsid w:val="005D784B"/>
    <w:rsid w:val="005D7E1A"/>
    <w:rsid w:val="005E00AB"/>
    <w:rsid w:val="005E019F"/>
    <w:rsid w:val="005E075B"/>
    <w:rsid w:val="005E0E95"/>
    <w:rsid w:val="005E1344"/>
    <w:rsid w:val="005E26CA"/>
    <w:rsid w:val="005E2E85"/>
    <w:rsid w:val="005E443F"/>
    <w:rsid w:val="005E4487"/>
    <w:rsid w:val="005E4614"/>
    <w:rsid w:val="005E47BA"/>
    <w:rsid w:val="005E4BB7"/>
    <w:rsid w:val="005E5B7D"/>
    <w:rsid w:val="005E6B62"/>
    <w:rsid w:val="005E7786"/>
    <w:rsid w:val="005E7CF7"/>
    <w:rsid w:val="005F0222"/>
    <w:rsid w:val="005F0AC5"/>
    <w:rsid w:val="005F0BC0"/>
    <w:rsid w:val="005F0C01"/>
    <w:rsid w:val="005F0FBB"/>
    <w:rsid w:val="005F18F6"/>
    <w:rsid w:val="005F1C09"/>
    <w:rsid w:val="005F2295"/>
    <w:rsid w:val="005F27C3"/>
    <w:rsid w:val="005F33BA"/>
    <w:rsid w:val="005F54D7"/>
    <w:rsid w:val="005F6CA0"/>
    <w:rsid w:val="005F7BD9"/>
    <w:rsid w:val="006005F4"/>
    <w:rsid w:val="00600985"/>
    <w:rsid w:val="00601A75"/>
    <w:rsid w:val="00602140"/>
    <w:rsid w:val="006027A7"/>
    <w:rsid w:val="00602A86"/>
    <w:rsid w:val="0060304C"/>
    <w:rsid w:val="0060384C"/>
    <w:rsid w:val="0060424B"/>
    <w:rsid w:val="00605316"/>
    <w:rsid w:val="006057F3"/>
    <w:rsid w:val="006058D1"/>
    <w:rsid w:val="00605966"/>
    <w:rsid w:val="00606208"/>
    <w:rsid w:val="00606D6A"/>
    <w:rsid w:val="00610526"/>
    <w:rsid w:val="00610BF6"/>
    <w:rsid w:val="00613C57"/>
    <w:rsid w:val="00613F42"/>
    <w:rsid w:val="00614702"/>
    <w:rsid w:val="00617E11"/>
    <w:rsid w:val="00620100"/>
    <w:rsid w:val="00620D2C"/>
    <w:rsid w:val="00621998"/>
    <w:rsid w:val="00621DBD"/>
    <w:rsid w:val="0062258D"/>
    <w:rsid w:val="00622734"/>
    <w:rsid w:val="00622A4D"/>
    <w:rsid w:val="00623A08"/>
    <w:rsid w:val="00623DCC"/>
    <w:rsid w:val="00623F1E"/>
    <w:rsid w:val="00623F87"/>
    <w:rsid w:val="0062401C"/>
    <w:rsid w:val="00624772"/>
    <w:rsid w:val="00624F69"/>
    <w:rsid w:val="0062564C"/>
    <w:rsid w:val="00625A96"/>
    <w:rsid w:val="00627AC0"/>
    <w:rsid w:val="006301A5"/>
    <w:rsid w:val="0063035C"/>
    <w:rsid w:val="006316F6"/>
    <w:rsid w:val="00633550"/>
    <w:rsid w:val="006337F7"/>
    <w:rsid w:val="0063470E"/>
    <w:rsid w:val="0063711B"/>
    <w:rsid w:val="00637543"/>
    <w:rsid w:val="0063775E"/>
    <w:rsid w:val="006377BB"/>
    <w:rsid w:val="006412D8"/>
    <w:rsid w:val="00642281"/>
    <w:rsid w:val="00644040"/>
    <w:rsid w:val="006446AD"/>
    <w:rsid w:val="00645344"/>
    <w:rsid w:val="006455F8"/>
    <w:rsid w:val="0064700A"/>
    <w:rsid w:val="0064766F"/>
    <w:rsid w:val="00647A3A"/>
    <w:rsid w:val="0065081D"/>
    <w:rsid w:val="00650C42"/>
    <w:rsid w:val="006511B8"/>
    <w:rsid w:val="00652303"/>
    <w:rsid w:val="00652999"/>
    <w:rsid w:val="006548AC"/>
    <w:rsid w:val="0065553B"/>
    <w:rsid w:val="006560AC"/>
    <w:rsid w:val="00660EC0"/>
    <w:rsid w:val="006610B1"/>
    <w:rsid w:val="00662075"/>
    <w:rsid w:val="0066272B"/>
    <w:rsid w:val="006649DE"/>
    <w:rsid w:val="00664D68"/>
    <w:rsid w:val="0066518C"/>
    <w:rsid w:val="006654C7"/>
    <w:rsid w:val="00666777"/>
    <w:rsid w:val="0067166E"/>
    <w:rsid w:val="00672C94"/>
    <w:rsid w:val="00672E4C"/>
    <w:rsid w:val="006730AB"/>
    <w:rsid w:val="00673272"/>
    <w:rsid w:val="0067333E"/>
    <w:rsid w:val="00673771"/>
    <w:rsid w:val="006744E4"/>
    <w:rsid w:val="00674761"/>
    <w:rsid w:val="00674FA2"/>
    <w:rsid w:val="0067517C"/>
    <w:rsid w:val="00676198"/>
    <w:rsid w:val="00676B1E"/>
    <w:rsid w:val="0067717D"/>
    <w:rsid w:val="006778CB"/>
    <w:rsid w:val="00680000"/>
    <w:rsid w:val="0068044A"/>
    <w:rsid w:val="00681A16"/>
    <w:rsid w:val="00681DFD"/>
    <w:rsid w:val="0068224F"/>
    <w:rsid w:val="00682760"/>
    <w:rsid w:val="006827CC"/>
    <w:rsid w:val="00682E0E"/>
    <w:rsid w:val="006850F0"/>
    <w:rsid w:val="006860C3"/>
    <w:rsid w:val="006861F8"/>
    <w:rsid w:val="00687514"/>
    <w:rsid w:val="006879B1"/>
    <w:rsid w:val="00691C8B"/>
    <w:rsid w:val="006925DB"/>
    <w:rsid w:val="00692EF7"/>
    <w:rsid w:val="00692F5A"/>
    <w:rsid w:val="006933A2"/>
    <w:rsid w:val="0069344D"/>
    <w:rsid w:val="006937AC"/>
    <w:rsid w:val="006954E6"/>
    <w:rsid w:val="00695AD2"/>
    <w:rsid w:val="00695CA1"/>
    <w:rsid w:val="00695D9B"/>
    <w:rsid w:val="0069669F"/>
    <w:rsid w:val="006968C9"/>
    <w:rsid w:val="006976CE"/>
    <w:rsid w:val="00697B15"/>
    <w:rsid w:val="006A0388"/>
    <w:rsid w:val="006A03A4"/>
    <w:rsid w:val="006A07FC"/>
    <w:rsid w:val="006A13B7"/>
    <w:rsid w:val="006A2997"/>
    <w:rsid w:val="006A4A6B"/>
    <w:rsid w:val="006A4DD1"/>
    <w:rsid w:val="006A575F"/>
    <w:rsid w:val="006A624F"/>
    <w:rsid w:val="006A63CE"/>
    <w:rsid w:val="006A7347"/>
    <w:rsid w:val="006A7B2D"/>
    <w:rsid w:val="006B07D3"/>
    <w:rsid w:val="006B0AA2"/>
    <w:rsid w:val="006B0E3A"/>
    <w:rsid w:val="006B23A5"/>
    <w:rsid w:val="006B2608"/>
    <w:rsid w:val="006B2CFA"/>
    <w:rsid w:val="006B3A8E"/>
    <w:rsid w:val="006B407D"/>
    <w:rsid w:val="006B4496"/>
    <w:rsid w:val="006B4C90"/>
    <w:rsid w:val="006B5706"/>
    <w:rsid w:val="006B583E"/>
    <w:rsid w:val="006B5E36"/>
    <w:rsid w:val="006B6321"/>
    <w:rsid w:val="006B75BD"/>
    <w:rsid w:val="006B7762"/>
    <w:rsid w:val="006B7EAA"/>
    <w:rsid w:val="006C0889"/>
    <w:rsid w:val="006C1F49"/>
    <w:rsid w:val="006C213B"/>
    <w:rsid w:val="006C2777"/>
    <w:rsid w:val="006C2938"/>
    <w:rsid w:val="006C2EC7"/>
    <w:rsid w:val="006C2ED4"/>
    <w:rsid w:val="006C4871"/>
    <w:rsid w:val="006C4B88"/>
    <w:rsid w:val="006C5634"/>
    <w:rsid w:val="006C620A"/>
    <w:rsid w:val="006C6BC5"/>
    <w:rsid w:val="006C7B7D"/>
    <w:rsid w:val="006D12B0"/>
    <w:rsid w:val="006D18BE"/>
    <w:rsid w:val="006D2EAC"/>
    <w:rsid w:val="006D3C4B"/>
    <w:rsid w:val="006D44CC"/>
    <w:rsid w:val="006D465A"/>
    <w:rsid w:val="006D5416"/>
    <w:rsid w:val="006D5B7E"/>
    <w:rsid w:val="006D6503"/>
    <w:rsid w:val="006D6FD4"/>
    <w:rsid w:val="006D7304"/>
    <w:rsid w:val="006D7583"/>
    <w:rsid w:val="006E17C9"/>
    <w:rsid w:val="006E1D2B"/>
    <w:rsid w:val="006E2B8C"/>
    <w:rsid w:val="006E3AB0"/>
    <w:rsid w:val="006E3E03"/>
    <w:rsid w:val="006E3EB1"/>
    <w:rsid w:val="006E4425"/>
    <w:rsid w:val="006E48FC"/>
    <w:rsid w:val="006E4F67"/>
    <w:rsid w:val="006E578C"/>
    <w:rsid w:val="006E5A25"/>
    <w:rsid w:val="006E62E8"/>
    <w:rsid w:val="006E6C11"/>
    <w:rsid w:val="006F0B6A"/>
    <w:rsid w:val="006F177E"/>
    <w:rsid w:val="006F2655"/>
    <w:rsid w:val="006F2A37"/>
    <w:rsid w:val="006F2F51"/>
    <w:rsid w:val="006F4E3E"/>
    <w:rsid w:val="006F57A6"/>
    <w:rsid w:val="006F6094"/>
    <w:rsid w:val="006F788D"/>
    <w:rsid w:val="0070018B"/>
    <w:rsid w:val="007009B5"/>
    <w:rsid w:val="0070199C"/>
    <w:rsid w:val="00702674"/>
    <w:rsid w:val="00702929"/>
    <w:rsid w:val="00702E5C"/>
    <w:rsid w:val="007046A5"/>
    <w:rsid w:val="00704F1A"/>
    <w:rsid w:val="00705343"/>
    <w:rsid w:val="007057DF"/>
    <w:rsid w:val="00705CC7"/>
    <w:rsid w:val="007063C5"/>
    <w:rsid w:val="007066F7"/>
    <w:rsid w:val="00706765"/>
    <w:rsid w:val="007067C9"/>
    <w:rsid w:val="00707168"/>
    <w:rsid w:val="00707367"/>
    <w:rsid w:val="007103D3"/>
    <w:rsid w:val="007110BA"/>
    <w:rsid w:val="007114E5"/>
    <w:rsid w:val="0071161E"/>
    <w:rsid w:val="0071171F"/>
    <w:rsid w:val="00711FD0"/>
    <w:rsid w:val="007123BB"/>
    <w:rsid w:val="007124AF"/>
    <w:rsid w:val="0071273F"/>
    <w:rsid w:val="00712F62"/>
    <w:rsid w:val="0071307F"/>
    <w:rsid w:val="00713CC7"/>
    <w:rsid w:val="00714706"/>
    <w:rsid w:val="00714782"/>
    <w:rsid w:val="00715122"/>
    <w:rsid w:val="007163B5"/>
    <w:rsid w:val="007166FB"/>
    <w:rsid w:val="0071704F"/>
    <w:rsid w:val="00717E3D"/>
    <w:rsid w:val="00720476"/>
    <w:rsid w:val="00720FA6"/>
    <w:rsid w:val="007211B9"/>
    <w:rsid w:val="00721821"/>
    <w:rsid w:val="00721F81"/>
    <w:rsid w:val="007226E2"/>
    <w:rsid w:val="007229A7"/>
    <w:rsid w:val="00723105"/>
    <w:rsid w:val="00723343"/>
    <w:rsid w:val="00724FC8"/>
    <w:rsid w:val="00725227"/>
    <w:rsid w:val="007254A0"/>
    <w:rsid w:val="007301B5"/>
    <w:rsid w:val="007336FF"/>
    <w:rsid w:val="007342D5"/>
    <w:rsid w:val="007349FC"/>
    <w:rsid w:val="0073562C"/>
    <w:rsid w:val="00737D22"/>
    <w:rsid w:val="007403E7"/>
    <w:rsid w:val="00740684"/>
    <w:rsid w:val="00740A20"/>
    <w:rsid w:val="00740CEA"/>
    <w:rsid w:val="00742338"/>
    <w:rsid w:val="00742A0C"/>
    <w:rsid w:val="007437A8"/>
    <w:rsid w:val="00743821"/>
    <w:rsid w:val="00743A53"/>
    <w:rsid w:val="00744C9A"/>
    <w:rsid w:val="007451F5"/>
    <w:rsid w:val="0074561A"/>
    <w:rsid w:val="00745A5C"/>
    <w:rsid w:val="007462BE"/>
    <w:rsid w:val="007464B6"/>
    <w:rsid w:val="007478C4"/>
    <w:rsid w:val="007478F8"/>
    <w:rsid w:val="00747AE2"/>
    <w:rsid w:val="00747D7B"/>
    <w:rsid w:val="00750C30"/>
    <w:rsid w:val="007524DD"/>
    <w:rsid w:val="00752B7D"/>
    <w:rsid w:val="0075514C"/>
    <w:rsid w:val="007555E5"/>
    <w:rsid w:val="00756A06"/>
    <w:rsid w:val="00757730"/>
    <w:rsid w:val="00757812"/>
    <w:rsid w:val="00757B01"/>
    <w:rsid w:val="0075EC9D"/>
    <w:rsid w:val="00760688"/>
    <w:rsid w:val="0076083D"/>
    <w:rsid w:val="0076107D"/>
    <w:rsid w:val="00761523"/>
    <w:rsid w:val="007636F2"/>
    <w:rsid w:val="00763EA4"/>
    <w:rsid w:val="007652C6"/>
    <w:rsid w:val="0076644F"/>
    <w:rsid w:val="007666CF"/>
    <w:rsid w:val="00767361"/>
    <w:rsid w:val="007703B9"/>
    <w:rsid w:val="00770A74"/>
    <w:rsid w:val="00771914"/>
    <w:rsid w:val="00774AA9"/>
    <w:rsid w:val="00774C37"/>
    <w:rsid w:val="00775332"/>
    <w:rsid w:val="007753A7"/>
    <w:rsid w:val="00775983"/>
    <w:rsid w:val="00775E9B"/>
    <w:rsid w:val="00776A68"/>
    <w:rsid w:val="0077744C"/>
    <w:rsid w:val="00777B8E"/>
    <w:rsid w:val="007800E3"/>
    <w:rsid w:val="0078186E"/>
    <w:rsid w:val="0078220B"/>
    <w:rsid w:val="0078255B"/>
    <w:rsid w:val="00783042"/>
    <w:rsid w:val="00783D24"/>
    <w:rsid w:val="00783FDC"/>
    <w:rsid w:val="0078444E"/>
    <w:rsid w:val="00785FBF"/>
    <w:rsid w:val="007866F0"/>
    <w:rsid w:val="00790F4F"/>
    <w:rsid w:val="00792157"/>
    <w:rsid w:val="0079225F"/>
    <w:rsid w:val="00792793"/>
    <w:rsid w:val="00792A7A"/>
    <w:rsid w:val="007931BC"/>
    <w:rsid w:val="00793AC1"/>
    <w:rsid w:val="00794694"/>
    <w:rsid w:val="00794AF1"/>
    <w:rsid w:val="00795C6E"/>
    <w:rsid w:val="00795CDA"/>
    <w:rsid w:val="00795F2C"/>
    <w:rsid w:val="00796B0C"/>
    <w:rsid w:val="00796EEB"/>
    <w:rsid w:val="00797725"/>
    <w:rsid w:val="007A1515"/>
    <w:rsid w:val="007A1704"/>
    <w:rsid w:val="007A2162"/>
    <w:rsid w:val="007A33A0"/>
    <w:rsid w:val="007A4659"/>
    <w:rsid w:val="007A530F"/>
    <w:rsid w:val="007A6E8A"/>
    <w:rsid w:val="007A72B2"/>
    <w:rsid w:val="007A7367"/>
    <w:rsid w:val="007A7AD9"/>
    <w:rsid w:val="007B05F1"/>
    <w:rsid w:val="007B116C"/>
    <w:rsid w:val="007B1A63"/>
    <w:rsid w:val="007B32A8"/>
    <w:rsid w:val="007B3B38"/>
    <w:rsid w:val="007B5589"/>
    <w:rsid w:val="007B58D2"/>
    <w:rsid w:val="007B5D93"/>
    <w:rsid w:val="007B7675"/>
    <w:rsid w:val="007B7A39"/>
    <w:rsid w:val="007C027A"/>
    <w:rsid w:val="007C042E"/>
    <w:rsid w:val="007C0617"/>
    <w:rsid w:val="007C06AD"/>
    <w:rsid w:val="007C1F43"/>
    <w:rsid w:val="007C25F9"/>
    <w:rsid w:val="007C3731"/>
    <w:rsid w:val="007C3E1D"/>
    <w:rsid w:val="007C4AAB"/>
    <w:rsid w:val="007C4B1D"/>
    <w:rsid w:val="007C4CEC"/>
    <w:rsid w:val="007C4D74"/>
    <w:rsid w:val="007C4E8C"/>
    <w:rsid w:val="007C5C62"/>
    <w:rsid w:val="007C5F13"/>
    <w:rsid w:val="007C6490"/>
    <w:rsid w:val="007C679B"/>
    <w:rsid w:val="007D0284"/>
    <w:rsid w:val="007D04F8"/>
    <w:rsid w:val="007D0E37"/>
    <w:rsid w:val="007D1243"/>
    <w:rsid w:val="007D23EE"/>
    <w:rsid w:val="007D2B42"/>
    <w:rsid w:val="007D2D97"/>
    <w:rsid w:val="007D3627"/>
    <w:rsid w:val="007D3ABD"/>
    <w:rsid w:val="007D4DEE"/>
    <w:rsid w:val="007D596C"/>
    <w:rsid w:val="007D5A47"/>
    <w:rsid w:val="007E344E"/>
    <w:rsid w:val="007E3D9A"/>
    <w:rsid w:val="007E462B"/>
    <w:rsid w:val="007E480B"/>
    <w:rsid w:val="007E4CCE"/>
    <w:rsid w:val="007E605D"/>
    <w:rsid w:val="007E6677"/>
    <w:rsid w:val="007E7965"/>
    <w:rsid w:val="007F0EA9"/>
    <w:rsid w:val="007F31C8"/>
    <w:rsid w:val="007F324E"/>
    <w:rsid w:val="007F4044"/>
    <w:rsid w:val="007F4714"/>
    <w:rsid w:val="007F47CA"/>
    <w:rsid w:val="007F505F"/>
    <w:rsid w:val="007F53BD"/>
    <w:rsid w:val="007F586B"/>
    <w:rsid w:val="007F58E9"/>
    <w:rsid w:val="007F5E65"/>
    <w:rsid w:val="007F6018"/>
    <w:rsid w:val="007F625B"/>
    <w:rsid w:val="007F6B7A"/>
    <w:rsid w:val="007F6E62"/>
    <w:rsid w:val="007F7161"/>
    <w:rsid w:val="007F71EC"/>
    <w:rsid w:val="00800E09"/>
    <w:rsid w:val="00801AA1"/>
    <w:rsid w:val="00801C51"/>
    <w:rsid w:val="00801EA5"/>
    <w:rsid w:val="008031B5"/>
    <w:rsid w:val="008031CE"/>
    <w:rsid w:val="00804392"/>
    <w:rsid w:val="0080484A"/>
    <w:rsid w:val="0080494C"/>
    <w:rsid w:val="00804C53"/>
    <w:rsid w:val="0080594C"/>
    <w:rsid w:val="00805EA9"/>
    <w:rsid w:val="0080742B"/>
    <w:rsid w:val="00807A9C"/>
    <w:rsid w:val="008103D2"/>
    <w:rsid w:val="00811002"/>
    <w:rsid w:val="008111C6"/>
    <w:rsid w:val="00811FF5"/>
    <w:rsid w:val="00812633"/>
    <w:rsid w:val="00812AD0"/>
    <w:rsid w:val="0081331C"/>
    <w:rsid w:val="00813A85"/>
    <w:rsid w:val="00813E62"/>
    <w:rsid w:val="008146AA"/>
    <w:rsid w:val="00814B0D"/>
    <w:rsid w:val="00815B48"/>
    <w:rsid w:val="008163B8"/>
    <w:rsid w:val="008165BD"/>
    <w:rsid w:val="00816F77"/>
    <w:rsid w:val="00817804"/>
    <w:rsid w:val="00820764"/>
    <w:rsid w:val="0082112D"/>
    <w:rsid w:val="0082192E"/>
    <w:rsid w:val="0082204A"/>
    <w:rsid w:val="0082227B"/>
    <w:rsid w:val="008230E0"/>
    <w:rsid w:val="00823E8E"/>
    <w:rsid w:val="00824C8B"/>
    <w:rsid w:val="00824DF2"/>
    <w:rsid w:val="008250C5"/>
    <w:rsid w:val="00825E83"/>
    <w:rsid w:val="00826030"/>
    <w:rsid w:val="0082667D"/>
    <w:rsid w:val="0082725C"/>
    <w:rsid w:val="00827280"/>
    <w:rsid w:val="00827916"/>
    <w:rsid w:val="00827DFB"/>
    <w:rsid w:val="008317CF"/>
    <w:rsid w:val="008324B8"/>
    <w:rsid w:val="00833DFB"/>
    <w:rsid w:val="00833EFC"/>
    <w:rsid w:val="00834CBA"/>
    <w:rsid w:val="00836127"/>
    <w:rsid w:val="00837F07"/>
    <w:rsid w:val="0083BB87"/>
    <w:rsid w:val="00842E4B"/>
    <w:rsid w:val="008435BE"/>
    <w:rsid w:val="008449EF"/>
    <w:rsid w:val="00844BE2"/>
    <w:rsid w:val="00844C1B"/>
    <w:rsid w:val="00845CD4"/>
    <w:rsid w:val="0084620A"/>
    <w:rsid w:val="00846D29"/>
    <w:rsid w:val="00847099"/>
    <w:rsid w:val="008477CC"/>
    <w:rsid w:val="00847D25"/>
    <w:rsid w:val="00847E8B"/>
    <w:rsid w:val="00847F60"/>
    <w:rsid w:val="00847FDE"/>
    <w:rsid w:val="00850161"/>
    <w:rsid w:val="008511E9"/>
    <w:rsid w:val="008524D2"/>
    <w:rsid w:val="00852753"/>
    <w:rsid w:val="0085290E"/>
    <w:rsid w:val="0085375B"/>
    <w:rsid w:val="008545A8"/>
    <w:rsid w:val="008554CD"/>
    <w:rsid w:val="008603A5"/>
    <w:rsid w:val="0086050E"/>
    <w:rsid w:val="0086108C"/>
    <w:rsid w:val="00861A5E"/>
    <w:rsid w:val="00861C0C"/>
    <w:rsid w:val="00861CB2"/>
    <w:rsid w:val="00861E8D"/>
    <w:rsid w:val="0086269F"/>
    <w:rsid w:val="00863289"/>
    <w:rsid w:val="00863808"/>
    <w:rsid w:val="008638A8"/>
    <w:rsid w:val="00863B6A"/>
    <w:rsid w:val="00863E7E"/>
    <w:rsid w:val="00863FD7"/>
    <w:rsid w:val="008640F2"/>
    <w:rsid w:val="00864289"/>
    <w:rsid w:val="00864535"/>
    <w:rsid w:val="00864966"/>
    <w:rsid w:val="00865CBE"/>
    <w:rsid w:val="00866822"/>
    <w:rsid w:val="00867DB6"/>
    <w:rsid w:val="00871097"/>
    <w:rsid w:val="0087154F"/>
    <w:rsid w:val="008717D7"/>
    <w:rsid w:val="00872C62"/>
    <w:rsid w:val="00873181"/>
    <w:rsid w:val="0087567C"/>
    <w:rsid w:val="008759DB"/>
    <w:rsid w:val="00876456"/>
    <w:rsid w:val="00876768"/>
    <w:rsid w:val="008768FE"/>
    <w:rsid w:val="00880870"/>
    <w:rsid w:val="008813A7"/>
    <w:rsid w:val="008831CF"/>
    <w:rsid w:val="0088357F"/>
    <w:rsid w:val="00883A6F"/>
    <w:rsid w:val="00883C06"/>
    <w:rsid w:val="0088598D"/>
    <w:rsid w:val="008869C1"/>
    <w:rsid w:val="00887134"/>
    <w:rsid w:val="00887170"/>
    <w:rsid w:val="00887388"/>
    <w:rsid w:val="00887F26"/>
    <w:rsid w:val="00890207"/>
    <w:rsid w:val="00890E91"/>
    <w:rsid w:val="0089113E"/>
    <w:rsid w:val="00891543"/>
    <w:rsid w:val="00891AC0"/>
    <w:rsid w:val="008937D8"/>
    <w:rsid w:val="00893BB0"/>
    <w:rsid w:val="0089419F"/>
    <w:rsid w:val="008948E7"/>
    <w:rsid w:val="00894B69"/>
    <w:rsid w:val="00895F68"/>
    <w:rsid w:val="0089672A"/>
    <w:rsid w:val="008970E8"/>
    <w:rsid w:val="00897D19"/>
    <w:rsid w:val="008A23B2"/>
    <w:rsid w:val="008A2765"/>
    <w:rsid w:val="008A2DD5"/>
    <w:rsid w:val="008A38A1"/>
    <w:rsid w:val="008A395B"/>
    <w:rsid w:val="008A4084"/>
    <w:rsid w:val="008A545B"/>
    <w:rsid w:val="008A65D5"/>
    <w:rsid w:val="008A6901"/>
    <w:rsid w:val="008A6992"/>
    <w:rsid w:val="008B15F8"/>
    <w:rsid w:val="008B2253"/>
    <w:rsid w:val="008B24B7"/>
    <w:rsid w:val="008B251F"/>
    <w:rsid w:val="008B49F3"/>
    <w:rsid w:val="008B51DF"/>
    <w:rsid w:val="008B57C0"/>
    <w:rsid w:val="008B6093"/>
    <w:rsid w:val="008B61CE"/>
    <w:rsid w:val="008B6F28"/>
    <w:rsid w:val="008B7DAB"/>
    <w:rsid w:val="008C0380"/>
    <w:rsid w:val="008C05E2"/>
    <w:rsid w:val="008C0C60"/>
    <w:rsid w:val="008C109A"/>
    <w:rsid w:val="008C1162"/>
    <w:rsid w:val="008C186D"/>
    <w:rsid w:val="008C20AE"/>
    <w:rsid w:val="008C22D7"/>
    <w:rsid w:val="008C26A3"/>
    <w:rsid w:val="008C2D36"/>
    <w:rsid w:val="008C337E"/>
    <w:rsid w:val="008C34C1"/>
    <w:rsid w:val="008C4DA2"/>
    <w:rsid w:val="008C4FA1"/>
    <w:rsid w:val="008C5544"/>
    <w:rsid w:val="008C5911"/>
    <w:rsid w:val="008C5D0C"/>
    <w:rsid w:val="008C66EA"/>
    <w:rsid w:val="008C77C2"/>
    <w:rsid w:val="008C77FD"/>
    <w:rsid w:val="008D0203"/>
    <w:rsid w:val="008D0A14"/>
    <w:rsid w:val="008D0A86"/>
    <w:rsid w:val="008D1776"/>
    <w:rsid w:val="008D1FA4"/>
    <w:rsid w:val="008D264A"/>
    <w:rsid w:val="008D27AC"/>
    <w:rsid w:val="008D2E75"/>
    <w:rsid w:val="008D2E89"/>
    <w:rsid w:val="008D309B"/>
    <w:rsid w:val="008D3134"/>
    <w:rsid w:val="008D50D1"/>
    <w:rsid w:val="008D532B"/>
    <w:rsid w:val="008D5343"/>
    <w:rsid w:val="008D5E1A"/>
    <w:rsid w:val="008D722C"/>
    <w:rsid w:val="008E05B1"/>
    <w:rsid w:val="008E079D"/>
    <w:rsid w:val="008E0DAF"/>
    <w:rsid w:val="008E14AA"/>
    <w:rsid w:val="008E22D4"/>
    <w:rsid w:val="008E2362"/>
    <w:rsid w:val="008E5F2C"/>
    <w:rsid w:val="008E65CD"/>
    <w:rsid w:val="008E6EE4"/>
    <w:rsid w:val="008F01E9"/>
    <w:rsid w:val="008F0492"/>
    <w:rsid w:val="008F0659"/>
    <w:rsid w:val="008F0B28"/>
    <w:rsid w:val="008F0EA0"/>
    <w:rsid w:val="008F14C2"/>
    <w:rsid w:val="008F1BEC"/>
    <w:rsid w:val="008F2658"/>
    <w:rsid w:val="008F26AF"/>
    <w:rsid w:val="008F3565"/>
    <w:rsid w:val="008F38F2"/>
    <w:rsid w:val="008F39A9"/>
    <w:rsid w:val="008F3A58"/>
    <w:rsid w:val="008F3B8F"/>
    <w:rsid w:val="008F41C3"/>
    <w:rsid w:val="008F51FD"/>
    <w:rsid w:val="008F549A"/>
    <w:rsid w:val="008F662B"/>
    <w:rsid w:val="008F6FCA"/>
    <w:rsid w:val="009004A2"/>
    <w:rsid w:val="00900AE2"/>
    <w:rsid w:val="009015B7"/>
    <w:rsid w:val="00901C51"/>
    <w:rsid w:val="0090285D"/>
    <w:rsid w:val="0090337E"/>
    <w:rsid w:val="00903BFF"/>
    <w:rsid w:val="009041A8"/>
    <w:rsid w:val="00905D58"/>
    <w:rsid w:val="00906254"/>
    <w:rsid w:val="009067CD"/>
    <w:rsid w:val="009069C8"/>
    <w:rsid w:val="00907709"/>
    <w:rsid w:val="00907754"/>
    <w:rsid w:val="00910E45"/>
    <w:rsid w:val="00911EDA"/>
    <w:rsid w:val="00912CD3"/>
    <w:rsid w:val="00913DBE"/>
    <w:rsid w:val="00914887"/>
    <w:rsid w:val="00914ACE"/>
    <w:rsid w:val="00915782"/>
    <w:rsid w:val="009168DC"/>
    <w:rsid w:val="00920870"/>
    <w:rsid w:val="00920F37"/>
    <w:rsid w:val="009211C2"/>
    <w:rsid w:val="00922784"/>
    <w:rsid w:val="00923CEA"/>
    <w:rsid w:val="009249FA"/>
    <w:rsid w:val="00925246"/>
    <w:rsid w:val="00925E54"/>
    <w:rsid w:val="009265D6"/>
    <w:rsid w:val="009267B7"/>
    <w:rsid w:val="009271A5"/>
    <w:rsid w:val="00927ADB"/>
    <w:rsid w:val="00927FA0"/>
    <w:rsid w:val="00930CFF"/>
    <w:rsid w:val="00931263"/>
    <w:rsid w:val="0093130C"/>
    <w:rsid w:val="009325EA"/>
    <w:rsid w:val="00932DC9"/>
    <w:rsid w:val="0093410B"/>
    <w:rsid w:val="0093418B"/>
    <w:rsid w:val="009344A5"/>
    <w:rsid w:val="00934DCC"/>
    <w:rsid w:val="00935783"/>
    <w:rsid w:val="0093650B"/>
    <w:rsid w:val="00940A46"/>
    <w:rsid w:val="00940B53"/>
    <w:rsid w:val="0094132A"/>
    <w:rsid w:val="00943295"/>
    <w:rsid w:val="0094477B"/>
    <w:rsid w:val="009457D0"/>
    <w:rsid w:val="009467FC"/>
    <w:rsid w:val="0094719B"/>
    <w:rsid w:val="00950BB9"/>
    <w:rsid w:val="00950F5D"/>
    <w:rsid w:val="009513CE"/>
    <w:rsid w:val="009517F6"/>
    <w:rsid w:val="00951A35"/>
    <w:rsid w:val="00952426"/>
    <w:rsid w:val="00953625"/>
    <w:rsid w:val="00954A6D"/>
    <w:rsid w:val="00955E9F"/>
    <w:rsid w:val="00955EB2"/>
    <w:rsid w:val="009560AA"/>
    <w:rsid w:val="00956EB8"/>
    <w:rsid w:val="00957A5E"/>
    <w:rsid w:val="00957C6F"/>
    <w:rsid w:val="0096088D"/>
    <w:rsid w:val="00960E9D"/>
    <w:rsid w:val="00961309"/>
    <w:rsid w:val="00961645"/>
    <w:rsid w:val="00961F1B"/>
    <w:rsid w:val="009620E7"/>
    <w:rsid w:val="00962212"/>
    <w:rsid w:val="009622A9"/>
    <w:rsid w:val="0096273C"/>
    <w:rsid w:val="00962973"/>
    <w:rsid w:val="0096535B"/>
    <w:rsid w:val="0096591E"/>
    <w:rsid w:val="00965A2E"/>
    <w:rsid w:val="00967600"/>
    <w:rsid w:val="009713A3"/>
    <w:rsid w:val="009737B4"/>
    <w:rsid w:val="009755AB"/>
    <w:rsid w:val="0097585A"/>
    <w:rsid w:val="00975B67"/>
    <w:rsid w:val="0097620B"/>
    <w:rsid w:val="00976FD3"/>
    <w:rsid w:val="00977771"/>
    <w:rsid w:val="009810D7"/>
    <w:rsid w:val="00981202"/>
    <w:rsid w:val="00981DE3"/>
    <w:rsid w:val="00982926"/>
    <w:rsid w:val="00982E24"/>
    <w:rsid w:val="00983A1E"/>
    <w:rsid w:val="00983B37"/>
    <w:rsid w:val="00983F04"/>
    <w:rsid w:val="00985E6C"/>
    <w:rsid w:val="00986237"/>
    <w:rsid w:val="009912B2"/>
    <w:rsid w:val="0099238E"/>
    <w:rsid w:val="00992452"/>
    <w:rsid w:val="009927B6"/>
    <w:rsid w:val="00992B40"/>
    <w:rsid w:val="00993626"/>
    <w:rsid w:val="00994545"/>
    <w:rsid w:val="009959AC"/>
    <w:rsid w:val="00995AF3"/>
    <w:rsid w:val="00995FA4"/>
    <w:rsid w:val="00996011"/>
    <w:rsid w:val="00996273"/>
    <w:rsid w:val="00996773"/>
    <w:rsid w:val="00996F5D"/>
    <w:rsid w:val="0099750D"/>
    <w:rsid w:val="00997A2C"/>
    <w:rsid w:val="00997F4B"/>
    <w:rsid w:val="009A0797"/>
    <w:rsid w:val="009A1188"/>
    <w:rsid w:val="009A1D27"/>
    <w:rsid w:val="009A2324"/>
    <w:rsid w:val="009A2759"/>
    <w:rsid w:val="009A27A4"/>
    <w:rsid w:val="009A2A55"/>
    <w:rsid w:val="009A2CB0"/>
    <w:rsid w:val="009A34A0"/>
    <w:rsid w:val="009A40CD"/>
    <w:rsid w:val="009A4308"/>
    <w:rsid w:val="009A59DD"/>
    <w:rsid w:val="009A7E65"/>
    <w:rsid w:val="009B08B3"/>
    <w:rsid w:val="009B1299"/>
    <w:rsid w:val="009B1381"/>
    <w:rsid w:val="009B166B"/>
    <w:rsid w:val="009B21F5"/>
    <w:rsid w:val="009B29D3"/>
    <w:rsid w:val="009B4287"/>
    <w:rsid w:val="009B4BF9"/>
    <w:rsid w:val="009B4D78"/>
    <w:rsid w:val="009B5435"/>
    <w:rsid w:val="009B558B"/>
    <w:rsid w:val="009B5D09"/>
    <w:rsid w:val="009B6542"/>
    <w:rsid w:val="009B68C0"/>
    <w:rsid w:val="009B7701"/>
    <w:rsid w:val="009C1CA9"/>
    <w:rsid w:val="009C1D4D"/>
    <w:rsid w:val="009C2D50"/>
    <w:rsid w:val="009C47E1"/>
    <w:rsid w:val="009C5AE6"/>
    <w:rsid w:val="009C5B83"/>
    <w:rsid w:val="009C5F78"/>
    <w:rsid w:val="009C620D"/>
    <w:rsid w:val="009C7188"/>
    <w:rsid w:val="009C754E"/>
    <w:rsid w:val="009D037A"/>
    <w:rsid w:val="009D0426"/>
    <w:rsid w:val="009D0814"/>
    <w:rsid w:val="009D0EF1"/>
    <w:rsid w:val="009D19B1"/>
    <w:rsid w:val="009D1ACB"/>
    <w:rsid w:val="009D3BEA"/>
    <w:rsid w:val="009D3D02"/>
    <w:rsid w:val="009D4317"/>
    <w:rsid w:val="009D47C1"/>
    <w:rsid w:val="009D5223"/>
    <w:rsid w:val="009D5F89"/>
    <w:rsid w:val="009D6015"/>
    <w:rsid w:val="009D6C35"/>
    <w:rsid w:val="009D744F"/>
    <w:rsid w:val="009D7888"/>
    <w:rsid w:val="009D790F"/>
    <w:rsid w:val="009D7BD6"/>
    <w:rsid w:val="009D7FFE"/>
    <w:rsid w:val="009E064A"/>
    <w:rsid w:val="009E0AA0"/>
    <w:rsid w:val="009E1F64"/>
    <w:rsid w:val="009E2A24"/>
    <w:rsid w:val="009E3932"/>
    <w:rsid w:val="009E3B0B"/>
    <w:rsid w:val="009E4EDF"/>
    <w:rsid w:val="009E59C7"/>
    <w:rsid w:val="009E640E"/>
    <w:rsid w:val="009E67C3"/>
    <w:rsid w:val="009E6AFE"/>
    <w:rsid w:val="009E75CB"/>
    <w:rsid w:val="009E7771"/>
    <w:rsid w:val="009E78A2"/>
    <w:rsid w:val="009F05CB"/>
    <w:rsid w:val="009F085A"/>
    <w:rsid w:val="009F23D9"/>
    <w:rsid w:val="009F34A2"/>
    <w:rsid w:val="009F3A56"/>
    <w:rsid w:val="009F42E2"/>
    <w:rsid w:val="009F5929"/>
    <w:rsid w:val="00A00CD5"/>
    <w:rsid w:val="00A01A89"/>
    <w:rsid w:val="00A01D6A"/>
    <w:rsid w:val="00A02259"/>
    <w:rsid w:val="00A03D12"/>
    <w:rsid w:val="00A04D49"/>
    <w:rsid w:val="00A0587F"/>
    <w:rsid w:val="00A05C3E"/>
    <w:rsid w:val="00A05C42"/>
    <w:rsid w:val="00A061FD"/>
    <w:rsid w:val="00A07886"/>
    <w:rsid w:val="00A07FD4"/>
    <w:rsid w:val="00A10516"/>
    <w:rsid w:val="00A105BF"/>
    <w:rsid w:val="00A10741"/>
    <w:rsid w:val="00A10829"/>
    <w:rsid w:val="00A10A10"/>
    <w:rsid w:val="00A12503"/>
    <w:rsid w:val="00A12518"/>
    <w:rsid w:val="00A12D85"/>
    <w:rsid w:val="00A13327"/>
    <w:rsid w:val="00A140E6"/>
    <w:rsid w:val="00A14AED"/>
    <w:rsid w:val="00A152CB"/>
    <w:rsid w:val="00A15AFE"/>
    <w:rsid w:val="00A16317"/>
    <w:rsid w:val="00A17052"/>
    <w:rsid w:val="00A17767"/>
    <w:rsid w:val="00A17BE1"/>
    <w:rsid w:val="00A1C5E8"/>
    <w:rsid w:val="00A20B93"/>
    <w:rsid w:val="00A231D3"/>
    <w:rsid w:val="00A2376E"/>
    <w:rsid w:val="00A238C5"/>
    <w:rsid w:val="00A23B70"/>
    <w:rsid w:val="00A23EB3"/>
    <w:rsid w:val="00A25C77"/>
    <w:rsid w:val="00A26785"/>
    <w:rsid w:val="00A26F3F"/>
    <w:rsid w:val="00A277BD"/>
    <w:rsid w:val="00A27BE2"/>
    <w:rsid w:val="00A30265"/>
    <w:rsid w:val="00A3069D"/>
    <w:rsid w:val="00A31D97"/>
    <w:rsid w:val="00A3312C"/>
    <w:rsid w:val="00A341BE"/>
    <w:rsid w:val="00A34AB5"/>
    <w:rsid w:val="00A34C26"/>
    <w:rsid w:val="00A34E1B"/>
    <w:rsid w:val="00A34E6B"/>
    <w:rsid w:val="00A36096"/>
    <w:rsid w:val="00A36378"/>
    <w:rsid w:val="00A36625"/>
    <w:rsid w:val="00A3673F"/>
    <w:rsid w:val="00A36A12"/>
    <w:rsid w:val="00A36A2E"/>
    <w:rsid w:val="00A36C6D"/>
    <w:rsid w:val="00A37135"/>
    <w:rsid w:val="00A40B45"/>
    <w:rsid w:val="00A40C2F"/>
    <w:rsid w:val="00A40C82"/>
    <w:rsid w:val="00A40D98"/>
    <w:rsid w:val="00A416E1"/>
    <w:rsid w:val="00A421A7"/>
    <w:rsid w:val="00A421CC"/>
    <w:rsid w:val="00A424BB"/>
    <w:rsid w:val="00A453EA"/>
    <w:rsid w:val="00A475F8"/>
    <w:rsid w:val="00A47E6C"/>
    <w:rsid w:val="00A506CB"/>
    <w:rsid w:val="00A50C14"/>
    <w:rsid w:val="00A52000"/>
    <w:rsid w:val="00A52597"/>
    <w:rsid w:val="00A52E14"/>
    <w:rsid w:val="00A5352C"/>
    <w:rsid w:val="00A53B2A"/>
    <w:rsid w:val="00A53EC2"/>
    <w:rsid w:val="00A55340"/>
    <w:rsid w:val="00A55C8A"/>
    <w:rsid w:val="00A55CF4"/>
    <w:rsid w:val="00A56204"/>
    <w:rsid w:val="00A56790"/>
    <w:rsid w:val="00A5730C"/>
    <w:rsid w:val="00A578DF"/>
    <w:rsid w:val="00A57A3F"/>
    <w:rsid w:val="00A57F95"/>
    <w:rsid w:val="00A61079"/>
    <w:rsid w:val="00A62852"/>
    <w:rsid w:val="00A6352F"/>
    <w:rsid w:val="00A63FEC"/>
    <w:rsid w:val="00A64A86"/>
    <w:rsid w:val="00A6666F"/>
    <w:rsid w:val="00A66DB3"/>
    <w:rsid w:val="00A67734"/>
    <w:rsid w:val="00A70839"/>
    <w:rsid w:val="00A72A86"/>
    <w:rsid w:val="00A72CF2"/>
    <w:rsid w:val="00A72DCA"/>
    <w:rsid w:val="00A72F18"/>
    <w:rsid w:val="00A730FA"/>
    <w:rsid w:val="00A73ED0"/>
    <w:rsid w:val="00A74713"/>
    <w:rsid w:val="00A757A4"/>
    <w:rsid w:val="00A75C44"/>
    <w:rsid w:val="00A76124"/>
    <w:rsid w:val="00A7670C"/>
    <w:rsid w:val="00A770D4"/>
    <w:rsid w:val="00A7792D"/>
    <w:rsid w:val="00A80C40"/>
    <w:rsid w:val="00A811CA"/>
    <w:rsid w:val="00A811FB"/>
    <w:rsid w:val="00A81FF5"/>
    <w:rsid w:val="00A8208B"/>
    <w:rsid w:val="00A8224C"/>
    <w:rsid w:val="00A8310D"/>
    <w:rsid w:val="00A8332E"/>
    <w:rsid w:val="00A84C67"/>
    <w:rsid w:val="00A84CD5"/>
    <w:rsid w:val="00A84FB1"/>
    <w:rsid w:val="00A8531A"/>
    <w:rsid w:val="00A85F71"/>
    <w:rsid w:val="00A8667F"/>
    <w:rsid w:val="00A869F4"/>
    <w:rsid w:val="00A90405"/>
    <w:rsid w:val="00A90527"/>
    <w:rsid w:val="00A9118C"/>
    <w:rsid w:val="00A91724"/>
    <w:rsid w:val="00A91EBC"/>
    <w:rsid w:val="00A92E14"/>
    <w:rsid w:val="00A93056"/>
    <w:rsid w:val="00A94886"/>
    <w:rsid w:val="00A94914"/>
    <w:rsid w:val="00A9544E"/>
    <w:rsid w:val="00A969DB"/>
    <w:rsid w:val="00AA0306"/>
    <w:rsid w:val="00AA0495"/>
    <w:rsid w:val="00AA0948"/>
    <w:rsid w:val="00AA0A57"/>
    <w:rsid w:val="00AA0DE5"/>
    <w:rsid w:val="00AA113F"/>
    <w:rsid w:val="00AA20CA"/>
    <w:rsid w:val="00AA229C"/>
    <w:rsid w:val="00AA2952"/>
    <w:rsid w:val="00AA2ED7"/>
    <w:rsid w:val="00AA4215"/>
    <w:rsid w:val="00AA4C54"/>
    <w:rsid w:val="00AA6AC4"/>
    <w:rsid w:val="00AA7A9B"/>
    <w:rsid w:val="00AB0DB3"/>
    <w:rsid w:val="00AB103E"/>
    <w:rsid w:val="00AB10F6"/>
    <w:rsid w:val="00AB12C2"/>
    <w:rsid w:val="00AB1E24"/>
    <w:rsid w:val="00AB282C"/>
    <w:rsid w:val="00AB2DD9"/>
    <w:rsid w:val="00AB2DFD"/>
    <w:rsid w:val="00AB3548"/>
    <w:rsid w:val="00AB4A30"/>
    <w:rsid w:val="00AB4E96"/>
    <w:rsid w:val="00AB4F9F"/>
    <w:rsid w:val="00AB5123"/>
    <w:rsid w:val="00AB614F"/>
    <w:rsid w:val="00AB660A"/>
    <w:rsid w:val="00AB7351"/>
    <w:rsid w:val="00AB7370"/>
    <w:rsid w:val="00AC139D"/>
    <w:rsid w:val="00AC1D56"/>
    <w:rsid w:val="00AC1FEB"/>
    <w:rsid w:val="00AC20B4"/>
    <w:rsid w:val="00AC45D4"/>
    <w:rsid w:val="00AC5990"/>
    <w:rsid w:val="00AC5B8E"/>
    <w:rsid w:val="00AC5E64"/>
    <w:rsid w:val="00AC6D27"/>
    <w:rsid w:val="00AC6FE2"/>
    <w:rsid w:val="00AC704C"/>
    <w:rsid w:val="00AC761C"/>
    <w:rsid w:val="00AC7BC8"/>
    <w:rsid w:val="00AC7E5E"/>
    <w:rsid w:val="00AD0469"/>
    <w:rsid w:val="00AD0D0B"/>
    <w:rsid w:val="00AD1383"/>
    <w:rsid w:val="00AD1FF8"/>
    <w:rsid w:val="00AD20C2"/>
    <w:rsid w:val="00AD282E"/>
    <w:rsid w:val="00AD34D6"/>
    <w:rsid w:val="00AD3B4C"/>
    <w:rsid w:val="00AD3E48"/>
    <w:rsid w:val="00AD585C"/>
    <w:rsid w:val="00AD5D95"/>
    <w:rsid w:val="00AD5E3D"/>
    <w:rsid w:val="00AD68D1"/>
    <w:rsid w:val="00AD6BF9"/>
    <w:rsid w:val="00AD71C8"/>
    <w:rsid w:val="00AD732C"/>
    <w:rsid w:val="00AD7C73"/>
    <w:rsid w:val="00AD7DD6"/>
    <w:rsid w:val="00AE06DF"/>
    <w:rsid w:val="00AE145F"/>
    <w:rsid w:val="00AE28D5"/>
    <w:rsid w:val="00AE2E1F"/>
    <w:rsid w:val="00AE30C3"/>
    <w:rsid w:val="00AE32CD"/>
    <w:rsid w:val="00AE37F4"/>
    <w:rsid w:val="00AE4541"/>
    <w:rsid w:val="00AE49A0"/>
    <w:rsid w:val="00AE4AB6"/>
    <w:rsid w:val="00AE4ED0"/>
    <w:rsid w:val="00AF02F9"/>
    <w:rsid w:val="00AF09E0"/>
    <w:rsid w:val="00AF1EAB"/>
    <w:rsid w:val="00AF2C77"/>
    <w:rsid w:val="00AF325E"/>
    <w:rsid w:val="00AF3841"/>
    <w:rsid w:val="00AF395A"/>
    <w:rsid w:val="00AF43E2"/>
    <w:rsid w:val="00AF4D18"/>
    <w:rsid w:val="00AF4DA7"/>
    <w:rsid w:val="00AF5A11"/>
    <w:rsid w:val="00AF5BD1"/>
    <w:rsid w:val="00AF5C36"/>
    <w:rsid w:val="00AF6073"/>
    <w:rsid w:val="00AF6274"/>
    <w:rsid w:val="00AF7238"/>
    <w:rsid w:val="00AF7AA6"/>
    <w:rsid w:val="00AF7CA4"/>
    <w:rsid w:val="00B00302"/>
    <w:rsid w:val="00B00367"/>
    <w:rsid w:val="00B00430"/>
    <w:rsid w:val="00B00CA4"/>
    <w:rsid w:val="00B00EA8"/>
    <w:rsid w:val="00B00FC9"/>
    <w:rsid w:val="00B020EB"/>
    <w:rsid w:val="00B02CA3"/>
    <w:rsid w:val="00B03567"/>
    <w:rsid w:val="00B03C7C"/>
    <w:rsid w:val="00B05405"/>
    <w:rsid w:val="00B055FD"/>
    <w:rsid w:val="00B057C3"/>
    <w:rsid w:val="00B06FC9"/>
    <w:rsid w:val="00B072C4"/>
    <w:rsid w:val="00B07DD5"/>
    <w:rsid w:val="00B104BE"/>
    <w:rsid w:val="00B116E8"/>
    <w:rsid w:val="00B11B8D"/>
    <w:rsid w:val="00B12E62"/>
    <w:rsid w:val="00B1623B"/>
    <w:rsid w:val="00B16663"/>
    <w:rsid w:val="00B169B6"/>
    <w:rsid w:val="00B16D15"/>
    <w:rsid w:val="00B17042"/>
    <w:rsid w:val="00B17A25"/>
    <w:rsid w:val="00B20324"/>
    <w:rsid w:val="00B212D9"/>
    <w:rsid w:val="00B22918"/>
    <w:rsid w:val="00B23FFC"/>
    <w:rsid w:val="00B243D6"/>
    <w:rsid w:val="00B25688"/>
    <w:rsid w:val="00B26C28"/>
    <w:rsid w:val="00B27448"/>
    <w:rsid w:val="00B305F0"/>
    <w:rsid w:val="00B30772"/>
    <w:rsid w:val="00B307E6"/>
    <w:rsid w:val="00B3097C"/>
    <w:rsid w:val="00B319D4"/>
    <w:rsid w:val="00B3262D"/>
    <w:rsid w:val="00B32CDE"/>
    <w:rsid w:val="00B32D2F"/>
    <w:rsid w:val="00B32FAE"/>
    <w:rsid w:val="00B33055"/>
    <w:rsid w:val="00B333F8"/>
    <w:rsid w:val="00B33B61"/>
    <w:rsid w:val="00B340DD"/>
    <w:rsid w:val="00B34323"/>
    <w:rsid w:val="00B34B2B"/>
    <w:rsid w:val="00B34EAD"/>
    <w:rsid w:val="00B353ED"/>
    <w:rsid w:val="00B36AAD"/>
    <w:rsid w:val="00B36F97"/>
    <w:rsid w:val="00B40012"/>
    <w:rsid w:val="00B4051F"/>
    <w:rsid w:val="00B410C7"/>
    <w:rsid w:val="00B423FF"/>
    <w:rsid w:val="00B42D9A"/>
    <w:rsid w:val="00B452DC"/>
    <w:rsid w:val="00B45B0A"/>
    <w:rsid w:val="00B45D57"/>
    <w:rsid w:val="00B45FA3"/>
    <w:rsid w:val="00B46A56"/>
    <w:rsid w:val="00B50B88"/>
    <w:rsid w:val="00B50C46"/>
    <w:rsid w:val="00B512B1"/>
    <w:rsid w:val="00B5179D"/>
    <w:rsid w:val="00B51950"/>
    <w:rsid w:val="00B5208E"/>
    <w:rsid w:val="00B5250C"/>
    <w:rsid w:val="00B52606"/>
    <w:rsid w:val="00B52F9B"/>
    <w:rsid w:val="00B53970"/>
    <w:rsid w:val="00B53A59"/>
    <w:rsid w:val="00B548AB"/>
    <w:rsid w:val="00B548E3"/>
    <w:rsid w:val="00B54A24"/>
    <w:rsid w:val="00B55753"/>
    <w:rsid w:val="00B55A44"/>
    <w:rsid w:val="00B57148"/>
    <w:rsid w:val="00B57174"/>
    <w:rsid w:val="00B57201"/>
    <w:rsid w:val="00B577F8"/>
    <w:rsid w:val="00B57BCF"/>
    <w:rsid w:val="00B57DB6"/>
    <w:rsid w:val="00B57F75"/>
    <w:rsid w:val="00B60077"/>
    <w:rsid w:val="00B601E4"/>
    <w:rsid w:val="00B6036B"/>
    <w:rsid w:val="00B608C8"/>
    <w:rsid w:val="00B61606"/>
    <w:rsid w:val="00B61977"/>
    <w:rsid w:val="00B6248F"/>
    <w:rsid w:val="00B62686"/>
    <w:rsid w:val="00B6283F"/>
    <w:rsid w:val="00B63A60"/>
    <w:rsid w:val="00B63A80"/>
    <w:rsid w:val="00B6485E"/>
    <w:rsid w:val="00B65255"/>
    <w:rsid w:val="00B654C2"/>
    <w:rsid w:val="00B6576F"/>
    <w:rsid w:val="00B65CB2"/>
    <w:rsid w:val="00B67636"/>
    <w:rsid w:val="00B70B8B"/>
    <w:rsid w:val="00B70CA1"/>
    <w:rsid w:val="00B71250"/>
    <w:rsid w:val="00B7181E"/>
    <w:rsid w:val="00B72048"/>
    <w:rsid w:val="00B7420B"/>
    <w:rsid w:val="00B7479C"/>
    <w:rsid w:val="00B7568E"/>
    <w:rsid w:val="00B76558"/>
    <w:rsid w:val="00B77465"/>
    <w:rsid w:val="00B800D4"/>
    <w:rsid w:val="00B823F9"/>
    <w:rsid w:val="00B8295F"/>
    <w:rsid w:val="00B82E88"/>
    <w:rsid w:val="00B82F4E"/>
    <w:rsid w:val="00B83117"/>
    <w:rsid w:val="00B83E1A"/>
    <w:rsid w:val="00B83E96"/>
    <w:rsid w:val="00B84167"/>
    <w:rsid w:val="00B84BE8"/>
    <w:rsid w:val="00B8560D"/>
    <w:rsid w:val="00B8638C"/>
    <w:rsid w:val="00B869C4"/>
    <w:rsid w:val="00B86DF9"/>
    <w:rsid w:val="00B9014C"/>
    <w:rsid w:val="00B90C1D"/>
    <w:rsid w:val="00B90D7D"/>
    <w:rsid w:val="00B90D9F"/>
    <w:rsid w:val="00B915C3"/>
    <w:rsid w:val="00B9178B"/>
    <w:rsid w:val="00B91F9F"/>
    <w:rsid w:val="00B92915"/>
    <w:rsid w:val="00B93143"/>
    <w:rsid w:val="00B94D4F"/>
    <w:rsid w:val="00B94F51"/>
    <w:rsid w:val="00B9545F"/>
    <w:rsid w:val="00B955E3"/>
    <w:rsid w:val="00B96388"/>
    <w:rsid w:val="00B968EB"/>
    <w:rsid w:val="00B96BB0"/>
    <w:rsid w:val="00B96DA6"/>
    <w:rsid w:val="00B97849"/>
    <w:rsid w:val="00B9787E"/>
    <w:rsid w:val="00B97E53"/>
    <w:rsid w:val="00BA0054"/>
    <w:rsid w:val="00BA01E3"/>
    <w:rsid w:val="00BA037C"/>
    <w:rsid w:val="00BA0FEC"/>
    <w:rsid w:val="00BA1E62"/>
    <w:rsid w:val="00BA20E2"/>
    <w:rsid w:val="00BA42C2"/>
    <w:rsid w:val="00BA42E9"/>
    <w:rsid w:val="00BA56BD"/>
    <w:rsid w:val="00BA56C3"/>
    <w:rsid w:val="00BA5A7C"/>
    <w:rsid w:val="00BA6107"/>
    <w:rsid w:val="00BA667B"/>
    <w:rsid w:val="00BA69A3"/>
    <w:rsid w:val="00BA69C1"/>
    <w:rsid w:val="00BB06E4"/>
    <w:rsid w:val="00BB13F4"/>
    <w:rsid w:val="00BB21DC"/>
    <w:rsid w:val="00BB268E"/>
    <w:rsid w:val="00BB3498"/>
    <w:rsid w:val="00BB4215"/>
    <w:rsid w:val="00BB49AB"/>
    <w:rsid w:val="00BB4DEF"/>
    <w:rsid w:val="00BB702B"/>
    <w:rsid w:val="00BB7CD1"/>
    <w:rsid w:val="00BC0608"/>
    <w:rsid w:val="00BC096A"/>
    <w:rsid w:val="00BC0A22"/>
    <w:rsid w:val="00BC108B"/>
    <w:rsid w:val="00BC1C02"/>
    <w:rsid w:val="00BC1CCC"/>
    <w:rsid w:val="00BC346D"/>
    <w:rsid w:val="00BC39F8"/>
    <w:rsid w:val="00BC4776"/>
    <w:rsid w:val="00BC4B25"/>
    <w:rsid w:val="00BC6416"/>
    <w:rsid w:val="00BC6C01"/>
    <w:rsid w:val="00BC7821"/>
    <w:rsid w:val="00BC7B4D"/>
    <w:rsid w:val="00BC7BC9"/>
    <w:rsid w:val="00BC7DE7"/>
    <w:rsid w:val="00BD0546"/>
    <w:rsid w:val="00BD0815"/>
    <w:rsid w:val="00BD2707"/>
    <w:rsid w:val="00BD2A56"/>
    <w:rsid w:val="00BD2D59"/>
    <w:rsid w:val="00BD3497"/>
    <w:rsid w:val="00BD494D"/>
    <w:rsid w:val="00BD4FEC"/>
    <w:rsid w:val="00BD5196"/>
    <w:rsid w:val="00BD6FEE"/>
    <w:rsid w:val="00BD741C"/>
    <w:rsid w:val="00BD74B5"/>
    <w:rsid w:val="00BD7B22"/>
    <w:rsid w:val="00BD7EE5"/>
    <w:rsid w:val="00BD9DC2"/>
    <w:rsid w:val="00BE0E63"/>
    <w:rsid w:val="00BE16C3"/>
    <w:rsid w:val="00BE18B5"/>
    <w:rsid w:val="00BE206A"/>
    <w:rsid w:val="00BE29DD"/>
    <w:rsid w:val="00BE386B"/>
    <w:rsid w:val="00BE3A93"/>
    <w:rsid w:val="00BE50A3"/>
    <w:rsid w:val="00BE52E7"/>
    <w:rsid w:val="00BE5D89"/>
    <w:rsid w:val="00BE62C5"/>
    <w:rsid w:val="00BE641B"/>
    <w:rsid w:val="00BE6482"/>
    <w:rsid w:val="00BE6499"/>
    <w:rsid w:val="00BF007D"/>
    <w:rsid w:val="00BF0596"/>
    <w:rsid w:val="00BF1AA4"/>
    <w:rsid w:val="00BF203E"/>
    <w:rsid w:val="00BF29AF"/>
    <w:rsid w:val="00BF2C37"/>
    <w:rsid w:val="00BF3681"/>
    <w:rsid w:val="00BF3E78"/>
    <w:rsid w:val="00BF3EDF"/>
    <w:rsid w:val="00BF4093"/>
    <w:rsid w:val="00BF59ED"/>
    <w:rsid w:val="00BF5A78"/>
    <w:rsid w:val="00BF5E9C"/>
    <w:rsid w:val="00BF70E9"/>
    <w:rsid w:val="00BF764E"/>
    <w:rsid w:val="00BF7C71"/>
    <w:rsid w:val="00C026E5"/>
    <w:rsid w:val="00C02CDF"/>
    <w:rsid w:val="00C02F7E"/>
    <w:rsid w:val="00C03218"/>
    <w:rsid w:val="00C03549"/>
    <w:rsid w:val="00C03CA8"/>
    <w:rsid w:val="00C06982"/>
    <w:rsid w:val="00C06B62"/>
    <w:rsid w:val="00C06BD3"/>
    <w:rsid w:val="00C06D39"/>
    <w:rsid w:val="00C07A9F"/>
    <w:rsid w:val="00C10E2D"/>
    <w:rsid w:val="00C11013"/>
    <w:rsid w:val="00C11103"/>
    <w:rsid w:val="00C116ED"/>
    <w:rsid w:val="00C12174"/>
    <w:rsid w:val="00C12FFD"/>
    <w:rsid w:val="00C13A13"/>
    <w:rsid w:val="00C14728"/>
    <w:rsid w:val="00C14F34"/>
    <w:rsid w:val="00C15231"/>
    <w:rsid w:val="00C16AB3"/>
    <w:rsid w:val="00C16E33"/>
    <w:rsid w:val="00C17C1B"/>
    <w:rsid w:val="00C17EEB"/>
    <w:rsid w:val="00C17F82"/>
    <w:rsid w:val="00C17FDA"/>
    <w:rsid w:val="00C20C91"/>
    <w:rsid w:val="00C2186C"/>
    <w:rsid w:val="00C220AF"/>
    <w:rsid w:val="00C2324B"/>
    <w:rsid w:val="00C232DC"/>
    <w:rsid w:val="00C23AD8"/>
    <w:rsid w:val="00C23BE1"/>
    <w:rsid w:val="00C24974"/>
    <w:rsid w:val="00C24A2E"/>
    <w:rsid w:val="00C24CBD"/>
    <w:rsid w:val="00C250D2"/>
    <w:rsid w:val="00C25572"/>
    <w:rsid w:val="00C263FD"/>
    <w:rsid w:val="00C2737D"/>
    <w:rsid w:val="00C27509"/>
    <w:rsid w:val="00C30040"/>
    <w:rsid w:val="00C304BD"/>
    <w:rsid w:val="00C30896"/>
    <w:rsid w:val="00C31557"/>
    <w:rsid w:val="00C318E4"/>
    <w:rsid w:val="00C32D53"/>
    <w:rsid w:val="00C345C2"/>
    <w:rsid w:val="00C3490E"/>
    <w:rsid w:val="00C36132"/>
    <w:rsid w:val="00C364A6"/>
    <w:rsid w:val="00C368AE"/>
    <w:rsid w:val="00C37131"/>
    <w:rsid w:val="00C374D9"/>
    <w:rsid w:val="00C40819"/>
    <w:rsid w:val="00C40822"/>
    <w:rsid w:val="00C410A6"/>
    <w:rsid w:val="00C41347"/>
    <w:rsid w:val="00C4156A"/>
    <w:rsid w:val="00C4233F"/>
    <w:rsid w:val="00C427D4"/>
    <w:rsid w:val="00C428F4"/>
    <w:rsid w:val="00C4422E"/>
    <w:rsid w:val="00C44DDC"/>
    <w:rsid w:val="00C44DE8"/>
    <w:rsid w:val="00C45A97"/>
    <w:rsid w:val="00C460EC"/>
    <w:rsid w:val="00C4763F"/>
    <w:rsid w:val="00C47843"/>
    <w:rsid w:val="00C5004E"/>
    <w:rsid w:val="00C50AF7"/>
    <w:rsid w:val="00C514D0"/>
    <w:rsid w:val="00C520D8"/>
    <w:rsid w:val="00C52873"/>
    <w:rsid w:val="00C53008"/>
    <w:rsid w:val="00C5328F"/>
    <w:rsid w:val="00C534DC"/>
    <w:rsid w:val="00C5489B"/>
    <w:rsid w:val="00C55361"/>
    <w:rsid w:val="00C55AD3"/>
    <w:rsid w:val="00C5602E"/>
    <w:rsid w:val="00C567AB"/>
    <w:rsid w:val="00C56FF2"/>
    <w:rsid w:val="00C572D2"/>
    <w:rsid w:val="00C57A44"/>
    <w:rsid w:val="00C60577"/>
    <w:rsid w:val="00C61899"/>
    <w:rsid w:val="00C624C1"/>
    <w:rsid w:val="00C62711"/>
    <w:rsid w:val="00C6348B"/>
    <w:rsid w:val="00C63E6B"/>
    <w:rsid w:val="00C63F64"/>
    <w:rsid w:val="00C640C3"/>
    <w:rsid w:val="00C64A3A"/>
    <w:rsid w:val="00C65053"/>
    <w:rsid w:val="00C663BD"/>
    <w:rsid w:val="00C66FE1"/>
    <w:rsid w:val="00C670F7"/>
    <w:rsid w:val="00C70466"/>
    <w:rsid w:val="00C709DF"/>
    <w:rsid w:val="00C731DE"/>
    <w:rsid w:val="00C73AC5"/>
    <w:rsid w:val="00C742B7"/>
    <w:rsid w:val="00C7442F"/>
    <w:rsid w:val="00C74938"/>
    <w:rsid w:val="00C75079"/>
    <w:rsid w:val="00C75266"/>
    <w:rsid w:val="00C767BD"/>
    <w:rsid w:val="00C767CE"/>
    <w:rsid w:val="00C76F8E"/>
    <w:rsid w:val="00C81502"/>
    <w:rsid w:val="00C83E91"/>
    <w:rsid w:val="00C83FDD"/>
    <w:rsid w:val="00C84598"/>
    <w:rsid w:val="00C84907"/>
    <w:rsid w:val="00C85CD4"/>
    <w:rsid w:val="00C8767B"/>
    <w:rsid w:val="00C87751"/>
    <w:rsid w:val="00C901D3"/>
    <w:rsid w:val="00C90222"/>
    <w:rsid w:val="00C90FF8"/>
    <w:rsid w:val="00C91840"/>
    <w:rsid w:val="00C919C3"/>
    <w:rsid w:val="00C91AC7"/>
    <w:rsid w:val="00C91F2B"/>
    <w:rsid w:val="00C9328D"/>
    <w:rsid w:val="00C93A8B"/>
    <w:rsid w:val="00C93E9C"/>
    <w:rsid w:val="00C946C9"/>
    <w:rsid w:val="00C94F18"/>
    <w:rsid w:val="00C95A18"/>
    <w:rsid w:val="00C95B7C"/>
    <w:rsid w:val="00C96289"/>
    <w:rsid w:val="00C96598"/>
    <w:rsid w:val="00C973E4"/>
    <w:rsid w:val="00C975BB"/>
    <w:rsid w:val="00C97B62"/>
    <w:rsid w:val="00CA083D"/>
    <w:rsid w:val="00CA1DA5"/>
    <w:rsid w:val="00CA2A6B"/>
    <w:rsid w:val="00CA2D07"/>
    <w:rsid w:val="00CA3ABD"/>
    <w:rsid w:val="00CA3EF1"/>
    <w:rsid w:val="00CA53C5"/>
    <w:rsid w:val="00CA5B43"/>
    <w:rsid w:val="00CA6077"/>
    <w:rsid w:val="00CA615D"/>
    <w:rsid w:val="00CA734B"/>
    <w:rsid w:val="00CA7A65"/>
    <w:rsid w:val="00CA7AC3"/>
    <w:rsid w:val="00CB20C2"/>
    <w:rsid w:val="00CB3063"/>
    <w:rsid w:val="00CB3237"/>
    <w:rsid w:val="00CB348E"/>
    <w:rsid w:val="00CB3C34"/>
    <w:rsid w:val="00CB3F97"/>
    <w:rsid w:val="00CB50F7"/>
    <w:rsid w:val="00CB5792"/>
    <w:rsid w:val="00CB5F5D"/>
    <w:rsid w:val="00CB6949"/>
    <w:rsid w:val="00CB6BCB"/>
    <w:rsid w:val="00CB70CE"/>
    <w:rsid w:val="00CC1596"/>
    <w:rsid w:val="00CC1DF8"/>
    <w:rsid w:val="00CC23C3"/>
    <w:rsid w:val="00CC284F"/>
    <w:rsid w:val="00CC2CAA"/>
    <w:rsid w:val="00CC4CCA"/>
    <w:rsid w:val="00CC5B11"/>
    <w:rsid w:val="00CC6CAC"/>
    <w:rsid w:val="00CC70D9"/>
    <w:rsid w:val="00CC77D0"/>
    <w:rsid w:val="00CC7930"/>
    <w:rsid w:val="00CC7A9C"/>
    <w:rsid w:val="00CD0878"/>
    <w:rsid w:val="00CD0A75"/>
    <w:rsid w:val="00CD1467"/>
    <w:rsid w:val="00CD17E4"/>
    <w:rsid w:val="00CD1BA8"/>
    <w:rsid w:val="00CD1F45"/>
    <w:rsid w:val="00CD2074"/>
    <w:rsid w:val="00CD24EA"/>
    <w:rsid w:val="00CD253E"/>
    <w:rsid w:val="00CD270E"/>
    <w:rsid w:val="00CD3175"/>
    <w:rsid w:val="00CD32C3"/>
    <w:rsid w:val="00CD414E"/>
    <w:rsid w:val="00CD47EA"/>
    <w:rsid w:val="00CD4930"/>
    <w:rsid w:val="00CD4DF8"/>
    <w:rsid w:val="00CD5268"/>
    <w:rsid w:val="00CD5676"/>
    <w:rsid w:val="00CD7056"/>
    <w:rsid w:val="00CD7466"/>
    <w:rsid w:val="00CD7FB8"/>
    <w:rsid w:val="00CE0279"/>
    <w:rsid w:val="00CE0636"/>
    <w:rsid w:val="00CE09A7"/>
    <w:rsid w:val="00CE0EAD"/>
    <w:rsid w:val="00CE1459"/>
    <w:rsid w:val="00CE1A17"/>
    <w:rsid w:val="00CE2AAF"/>
    <w:rsid w:val="00CE2BE9"/>
    <w:rsid w:val="00CE4C74"/>
    <w:rsid w:val="00CE5273"/>
    <w:rsid w:val="00CE5DD7"/>
    <w:rsid w:val="00CE6747"/>
    <w:rsid w:val="00CE6888"/>
    <w:rsid w:val="00CE6E17"/>
    <w:rsid w:val="00CE7DB4"/>
    <w:rsid w:val="00CF0BD8"/>
    <w:rsid w:val="00CF15E3"/>
    <w:rsid w:val="00CF246C"/>
    <w:rsid w:val="00CF2564"/>
    <w:rsid w:val="00CF2EC1"/>
    <w:rsid w:val="00CF34F0"/>
    <w:rsid w:val="00CF3D8A"/>
    <w:rsid w:val="00CF4F2E"/>
    <w:rsid w:val="00CF588B"/>
    <w:rsid w:val="00CF5B29"/>
    <w:rsid w:val="00CF6F74"/>
    <w:rsid w:val="00CF72F9"/>
    <w:rsid w:val="00CF77BE"/>
    <w:rsid w:val="00CF77D2"/>
    <w:rsid w:val="00CF9488"/>
    <w:rsid w:val="00D02016"/>
    <w:rsid w:val="00D02887"/>
    <w:rsid w:val="00D045FD"/>
    <w:rsid w:val="00D04884"/>
    <w:rsid w:val="00D04E7D"/>
    <w:rsid w:val="00D050CE"/>
    <w:rsid w:val="00D05452"/>
    <w:rsid w:val="00D0571A"/>
    <w:rsid w:val="00D05B49"/>
    <w:rsid w:val="00D0618A"/>
    <w:rsid w:val="00D06344"/>
    <w:rsid w:val="00D0694F"/>
    <w:rsid w:val="00D110F9"/>
    <w:rsid w:val="00D11991"/>
    <w:rsid w:val="00D11C50"/>
    <w:rsid w:val="00D13134"/>
    <w:rsid w:val="00D13358"/>
    <w:rsid w:val="00D13ED5"/>
    <w:rsid w:val="00D13F40"/>
    <w:rsid w:val="00D15497"/>
    <w:rsid w:val="00D16E7B"/>
    <w:rsid w:val="00D17A3D"/>
    <w:rsid w:val="00D17EDB"/>
    <w:rsid w:val="00D17FBD"/>
    <w:rsid w:val="00D2202B"/>
    <w:rsid w:val="00D22A18"/>
    <w:rsid w:val="00D22A2E"/>
    <w:rsid w:val="00D24361"/>
    <w:rsid w:val="00D24D25"/>
    <w:rsid w:val="00D2585F"/>
    <w:rsid w:val="00D26186"/>
    <w:rsid w:val="00D2634F"/>
    <w:rsid w:val="00D30B84"/>
    <w:rsid w:val="00D3167B"/>
    <w:rsid w:val="00D33DB1"/>
    <w:rsid w:val="00D3642F"/>
    <w:rsid w:val="00D36D45"/>
    <w:rsid w:val="00D36E8C"/>
    <w:rsid w:val="00D37654"/>
    <w:rsid w:val="00D37FE7"/>
    <w:rsid w:val="00D404D1"/>
    <w:rsid w:val="00D40E3F"/>
    <w:rsid w:val="00D4174E"/>
    <w:rsid w:val="00D424C9"/>
    <w:rsid w:val="00D42539"/>
    <w:rsid w:val="00D42BF6"/>
    <w:rsid w:val="00D43BE5"/>
    <w:rsid w:val="00D44619"/>
    <w:rsid w:val="00D44A9D"/>
    <w:rsid w:val="00D44E3F"/>
    <w:rsid w:val="00D44E7D"/>
    <w:rsid w:val="00D455D2"/>
    <w:rsid w:val="00D45D29"/>
    <w:rsid w:val="00D46608"/>
    <w:rsid w:val="00D46C30"/>
    <w:rsid w:val="00D47003"/>
    <w:rsid w:val="00D472C6"/>
    <w:rsid w:val="00D47991"/>
    <w:rsid w:val="00D502AF"/>
    <w:rsid w:val="00D5173F"/>
    <w:rsid w:val="00D5316E"/>
    <w:rsid w:val="00D53370"/>
    <w:rsid w:val="00D54341"/>
    <w:rsid w:val="00D553D8"/>
    <w:rsid w:val="00D55A11"/>
    <w:rsid w:val="00D55D74"/>
    <w:rsid w:val="00D56CB2"/>
    <w:rsid w:val="00D5705A"/>
    <w:rsid w:val="00D601EA"/>
    <w:rsid w:val="00D61457"/>
    <w:rsid w:val="00D61880"/>
    <w:rsid w:val="00D61E21"/>
    <w:rsid w:val="00D62209"/>
    <w:rsid w:val="00D626CC"/>
    <w:rsid w:val="00D62C24"/>
    <w:rsid w:val="00D63116"/>
    <w:rsid w:val="00D63481"/>
    <w:rsid w:val="00D6490B"/>
    <w:rsid w:val="00D662E7"/>
    <w:rsid w:val="00D667DB"/>
    <w:rsid w:val="00D677EB"/>
    <w:rsid w:val="00D67EBC"/>
    <w:rsid w:val="00D67FB6"/>
    <w:rsid w:val="00D70B94"/>
    <w:rsid w:val="00D712C9"/>
    <w:rsid w:val="00D71E11"/>
    <w:rsid w:val="00D72835"/>
    <w:rsid w:val="00D72CDD"/>
    <w:rsid w:val="00D72D16"/>
    <w:rsid w:val="00D7476C"/>
    <w:rsid w:val="00D75310"/>
    <w:rsid w:val="00D753F6"/>
    <w:rsid w:val="00D760CB"/>
    <w:rsid w:val="00D77388"/>
    <w:rsid w:val="00D778BA"/>
    <w:rsid w:val="00D77BE8"/>
    <w:rsid w:val="00D77D48"/>
    <w:rsid w:val="00D80EB3"/>
    <w:rsid w:val="00D812DA"/>
    <w:rsid w:val="00D828F3"/>
    <w:rsid w:val="00D83D8E"/>
    <w:rsid w:val="00D8576A"/>
    <w:rsid w:val="00D8580D"/>
    <w:rsid w:val="00D85A20"/>
    <w:rsid w:val="00D861E5"/>
    <w:rsid w:val="00D86E34"/>
    <w:rsid w:val="00D87868"/>
    <w:rsid w:val="00D87F24"/>
    <w:rsid w:val="00D900DE"/>
    <w:rsid w:val="00D909DC"/>
    <w:rsid w:val="00D910D2"/>
    <w:rsid w:val="00D9132A"/>
    <w:rsid w:val="00D91547"/>
    <w:rsid w:val="00D91AAA"/>
    <w:rsid w:val="00D9309C"/>
    <w:rsid w:val="00D93907"/>
    <w:rsid w:val="00D939BA"/>
    <w:rsid w:val="00D93CB1"/>
    <w:rsid w:val="00D93D0E"/>
    <w:rsid w:val="00D9428D"/>
    <w:rsid w:val="00D9476B"/>
    <w:rsid w:val="00D94FEE"/>
    <w:rsid w:val="00D9589B"/>
    <w:rsid w:val="00D962BC"/>
    <w:rsid w:val="00D9686C"/>
    <w:rsid w:val="00D96DAD"/>
    <w:rsid w:val="00D975C6"/>
    <w:rsid w:val="00DA20BD"/>
    <w:rsid w:val="00DA2492"/>
    <w:rsid w:val="00DA2EAD"/>
    <w:rsid w:val="00DA332E"/>
    <w:rsid w:val="00DA3450"/>
    <w:rsid w:val="00DA3F24"/>
    <w:rsid w:val="00DA4224"/>
    <w:rsid w:val="00DA51AA"/>
    <w:rsid w:val="00DA61BC"/>
    <w:rsid w:val="00DA6CFF"/>
    <w:rsid w:val="00DA7FC2"/>
    <w:rsid w:val="00DB1635"/>
    <w:rsid w:val="00DB1953"/>
    <w:rsid w:val="00DB1E27"/>
    <w:rsid w:val="00DB23E1"/>
    <w:rsid w:val="00DB3626"/>
    <w:rsid w:val="00DB38BC"/>
    <w:rsid w:val="00DB3B26"/>
    <w:rsid w:val="00DB3B56"/>
    <w:rsid w:val="00DB3D0C"/>
    <w:rsid w:val="00DB4162"/>
    <w:rsid w:val="00DB54BE"/>
    <w:rsid w:val="00DB54F0"/>
    <w:rsid w:val="00DB56B2"/>
    <w:rsid w:val="00DB6A38"/>
    <w:rsid w:val="00DB7320"/>
    <w:rsid w:val="00DB74CB"/>
    <w:rsid w:val="00DB7B8A"/>
    <w:rsid w:val="00DB7C96"/>
    <w:rsid w:val="00DBA8BE"/>
    <w:rsid w:val="00DC08C7"/>
    <w:rsid w:val="00DC08CF"/>
    <w:rsid w:val="00DC11C6"/>
    <w:rsid w:val="00DC1454"/>
    <w:rsid w:val="00DC14B7"/>
    <w:rsid w:val="00DC1FED"/>
    <w:rsid w:val="00DC2031"/>
    <w:rsid w:val="00DC2D04"/>
    <w:rsid w:val="00DC2DC3"/>
    <w:rsid w:val="00DC3082"/>
    <w:rsid w:val="00DC30CB"/>
    <w:rsid w:val="00DC48AE"/>
    <w:rsid w:val="00DC5C7B"/>
    <w:rsid w:val="00DC5E9D"/>
    <w:rsid w:val="00DC6D2C"/>
    <w:rsid w:val="00DD1308"/>
    <w:rsid w:val="00DD17FA"/>
    <w:rsid w:val="00DD1F34"/>
    <w:rsid w:val="00DD279F"/>
    <w:rsid w:val="00DD3426"/>
    <w:rsid w:val="00DD401D"/>
    <w:rsid w:val="00DD5CD6"/>
    <w:rsid w:val="00DD604C"/>
    <w:rsid w:val="00DD6146"/>
    <w:rsid w:val="00DD67EA"/>
    <w:rsid w:val="00DD6F1E"/>
    <w:rsid w:val="00DD7699"/>
    <w:rsid w:val="00DD77C7"/>
    <w:rsid w:val="00DE0551"/>
    <w:rsid w:val="00DE1A94"/>
    <w:rsid w:val="00DE2414"/>
    <w:rsid w:val="00DE2498"/>
    <w:rsid w:val="00DE3332"/>
    <w:rsid w:val="00DE3ED1"/>
    <w:rsid w:val="00DE464B"/>
    <w:rsid w:val="00DE48CA"/>
    <w:rsid w:val="00DE56C7"/>
    <w:rsid w:val="00DE5B3B"/>
    <w:rsid w:val="00DE65C2"/>
    <w:rsid w:val="00DE6C61"/>
    <w:rsid w:val="00DE6EDC"/>
    <w:rsid w:val="00DE7806"/>
    <w:rsid w:val="00DE78EA"/>
    <w:rsid w:val="00DE7FEF"/>
    <w:rsid w:val="00DF1958"/>
    <w:rsid w:val="00DF2721"/>
    <w:rsid w:val="00DF2B21"/>
    <w:rsid w:val="00DF3E7C"/>
    <w:rsid w:val="00DF3F3F"/>
    <w:rsid w:val="00DF3F49"/>
    <w:rsid w:val="00DF41E1"/>
    <w:rsid w:val="00DF42EA"/>
    <w:rsid w:val="00DF54C7"/>
    <w:rsid w:val="00DF6413"/>
    <w:rsid w:val="00DF6759"/>
    <w:rsid w:val="00DF68EA"/>
    <w:rsid w:val="00DF6AD1"/>
    <w:rsid w:val="00DF6B23"/>
    <w:rsid w:val="00DF6E4D"/>
    <w:rsid w:val="00DF70A8"/>
    <w:rsid w:val="00DF7F57"/>
    <w:rsid w:val="00E00227"/>
    <w:rsid w:val="00E003A1"/>
    <w:rsid w:val="00E0066C"/>
    <w:rsid w:val="00E011CD"/>
    <w:rsid w:val="00E017FC"/>
    <w:rsid w:val="00E01804"/>
    <w:rsid w:val="00E01B1B"/>
    <w:rsid w:val="00E02061"/>
    <w:rsid w:val="00E025E4"/>
    <w:rsid w:val="00E03851"/>
    <w:rsid w:val="00E03AAA"/>
    <w:rsid w:val="00E04F69"/>
    <w:rsid w:val="00E062BD"/>
    <w:rsid w:val="00E064DB"/>
    <w:rsid w:val="00E06D6C"/>
    <w:rsid w:val="00E0728B"/>
    <w:rsid w:val="00E07E31"/>
    <w:rsid w:val="00E07E4E"/>
    <w:rsid w:val="00E07EC2"/>
    <w:rsid w:val="00E1161F"/>
    <w:rsid w:val="00E11AF9"/>
    <w:rsid w:val="00E11F42"/>
    <w:rsid w:val="00E13A62"/>
    <w:rsid w:val="00E152CC"/>
    <w:rsid w:val="00E1607C"/>
    <w:rsid w:val="00E165FF"/>
    <w:rsid w:val="00E20AEC"/>
    <w:rsid w:val="00E217C9"/>
    <w:rsid w:val="00E21B56"/>
    <w:rsid w:val="00E21F3A"/>
    <w:rsid w:val="00E22D72"/>
    <w:rsid w:val="00E23528"/>
    <w:rsid w:val="00E235A5"/>
    <w:rsid w:val="00E23D89"/>
    <w:rsid w:val="00E24810"/>
    <w:rsid w:val="00E26265"/>
    <w:rsid w:val="00E26324"/>
    <w:rsid w:val="00E266C6"/>
    <w:rsid w:val="00E26717"/>
    <w:rsid w:val="00E26F8A"/>
    <w:rsid w:val="00E302F9"/>
    <w:rsid w:val="00E31600"/>
    <w:rsid w:val="00E31B57"/>
    <w:rsid w:val="00E31E7E"/>
    <w:rsid w:val="00E3228E"/>
    <w:rsid w:val="00E32C36"/>
    <w:rsid w:val="00E33101"/>
    <w:rsid w:val="00E354B8"/>
    <w:rsid w:val="00E369DB"/>
    <w:rsid w:val="00E36D2E"/>
    <w:rsid w:val="00E3779D"/>
    <w:rsid w:val="00E37F92"/>
    <w:rsid w:val="00E41298"/>
    <w:rsid w:val="00E43879"/>
    <w:rsid w:val="00E455A5"/>
    <w:rsid w:val="00E45698"/>
    <w:rsid w:val="00E45BEB"/>
    <w:rsid w:val="00E45D84"/>
    <w:rsid w:val="00E45FE6"/>
    <w:rsid w:val="00E47F83"/>
    <w:rsid w:val="00E50022"/>
    <w:rsid w:val="00E5003F"/>
    <w:rsid w:val="00E501D0"/>
    <w:rsid w:val="00E5048F"/>
    <w:rsid w:val="00E50BCC"/>
    <w:rsid w:val="00E50DFF"/>
    <w:rsid w:val="00E510F3"/>
    <w:rsid w:val="00E51868"/>
    <w:rsid w:val="00E518F0"/>
    <w:rsid w:val="00E51CE0"/>
    <w:rsid w:val="00E5216B"/>
    <w:rsid w:val="00E52813"/>
    <w:rsid w:val="00E52ADE"/>
    <w:rsid w:val="00E54247"/>
    <w:rsid w:val="00E54260"/>
    <w:rsid w:val="00E55242"/>
    <w:rsid w:val="00E56F29"/>
    <w:rsid w:val="00E571EB"/>
    <w:rsid w:val="00E57B07"/>
    <w:rsid w:val="00E61102"/>
    <w:rsid w:val="00E61710"/>
    <w:rsid w:val="00E61C61"/>
    <w:rsid w:val="00E63854"/>
    <w:rsid w:val="00E64597"/>
    <w:rsid w:val="00E65190"/>
    <w:rsid w:val="00E65A91"/>
    <w:rsid w:val="00E65E3F"/>
    <w:rsid w:val="00E6680A"/>
    <w:rsid w:val="00E66927"/>
    <w:rsid w:val="00E66A16"/>
    <w:rsid w:val="00E66FE0"/>
    <w:rsid w:val="00E7090A"/>
    <w:rsid w:val="00E71E5F"/>
    <w:rsid w:val="00E73593"/>
    <w:rsid w:val="00E7377D"/>
    <w:rsid w:val="00E73A38"/>
    <w:rsid w:val="00E73B92"/>
    <w:rsid w:val="00E7424C"/>
    <w:rsid w:val="00E749C5"/>
    <w:rsid w:val="00E75762"/>
    <w:rsid w:val="00E76CA6"/>
    <w:rsid w:val="00E76E7A"/>
    <w:rsid w:val="00E77150"/>
    <w:rsid w:val="00E776F1"/>
    <w:rsid w:val="00E802AE"/>
    <w:rsid w:val="00E80F85"/>
    <w:rsid w:val="00E836FA"/>
    <w:rsid w:val="00E83DA1"/>
    <w:rsid w:val="00E850D7"/>
    <w:rsid w:val="00E852A0"/>
    <w:rsid w:val="00E85C3B"/>
    <w:rsid w:val="00E86B49"/>
    <w:rsid w:val="00E87581"/>
    <w:rsid w:val="00E876B0"/>
    <w:rsid w:val="00E87CF7"/>
    <w:rsid w:val="00E90C90"/>
    <w:rsid w:val="00E90F62"/>
    <w:rsid w:val="00E91008"/>
    <w:rsid w:val="00E92BD2"/>
    <w:rsid w:val="00E92E4E"/>
    <w:rsid w:val="00E93404"/>
    <w:rsid w:val="00E936FF"/>
    <w:rsid w:val="00E937F3"/>
    <w:rsid w:val="00E9384C"/>
    <w:rsid w:val="00E93C44"/>
    <w:rsid w:val="00E93E4F"/>
    <w:rsid w:val="00E94EE3"/>
    <w:rsid w:val="00E9510D"/>
    <w:rsid w:val="00E95FF5"/>
    <w:rsid w:val="00E9644D"/>
    <w:rsid w:val="00E96875"/>
    <w:rsid w:val="00E97A9E"/>
    <w:rsid w:val="00E97BDB"/>
    <w:rsid w:val="00EA048C"/>
    <w:rsid w:val="00EA08D3"/>
    <w:rsid w:val="00EA0A0E"/>
    <w:rsid w:val="00EA0BA3"/>
    <w:rsid w:val="00EA120C"/>
    <w:rsid w:val="00EA1C16"/>
    <w:rsid w:val="00EA1F42"/>
    <w:rsid w:val="00EA28F0"/>
    <w:rsid w:val="00EA29ED"/>
    <w:rsid w:val="00EA2B1F"/>
    <w:rsid w:val="00EA385C"/>
    <w:rsid w:val="00EA5BC8"/>
    <w:rsid w:val="00EA639A"/>
    <w:rsid w:val="00EA645E"/>
    <w:rsid w:val="00EA73F8"/>
    <w:rsid w:val="00EB03CB"/>
    <w:rsid w:val="00EB0B79"/>
    <w:rsid w:val="00EB1582"/>
    <w:rsid w:val="00EB169E"/>
    <w:rsid w:val="00EB262E"/>
    <w:rsid w:val="00EB46C4"/>
    <w:rsid w:val="00EB4B4E"/>
    <w:rsid w:val="00EB6637"/>
    <w:rsid w:val="00EB7EEE"/>
    <w:rsid w:val="00EC00CD"/>
    <w:rsid w:val="00EC1A6E"/>
    <w:rsid w:val="00EC2159"/>
    <w:rsid w:val="00EC27FE"/>
    <w:rsid w:val="00EC2DE6"/>
    <w:rsid w:val="00EC374F"/>
    <w:rsid w:val="00EC4BCB"/>
    <w:rsid w:val="00EC4D2D"/>
    <w:rsid w:val="00EC73F2"/>
    <w:rsid w:val="00EC775C"/>
    <w:rsid w:val="00EC77C6"/>
    <w:rsid w:val="00ED0572"/>
    <w:rsid w:val="00ED0D11"/>
    <w:rsid w:val="00ED2798"/>
    <w:rsid w:val="00ED5BF6"/>
    <w:rsid w:val="00ED5EA3"/>
    <w:rsid w:val="00ED612F"/>
    <w:rsid w:val="00ED652A"/>
    <w:rsid w:val="00ED6EB2"/>
    <w:rsid w:val="00ED79F9"/>
    <w:rsid w:val="00EE0FE8"/>
    <w:rsid w:val="00EE11AA"/>
    <w:rsid w:val="00EE1832"/>
    <w:rsid w:val="00EE1860"/>
    <w:rsid w:val="00EE1B17"/>
    <w:rsid w:val="00EE3925"/>
    <w:rsid w:val="00EE40FE"/>
    <w:rsid w:val="00EE4FB1"/>
    <w:rsid w:val="00EE545D"/>
    <w:rsid w:val="00EE7337"/>
    <w:rsid w:val="00EE7743"/>
    <w:rsid w:val="00EF0059"/>
    <w:rsid w:val="00EF0208"/>
    <w:rsid w:val="00EF0311"/>
    <w:rsid w:val="00EF097E"/>
    <w:rsid w:val="00EF119E"/>
    <w:rsid w:val="00EF11F1"/>
    <w:rsid w:val="00EF12B5"/>
    <w:rsid w:val="00EF14BB"/>
    <w:rsid w:val="00EF1DE2"/>
    <w:rsid w:val="00EF20EF"/>
    <w:rsid w:val="00EF368A"/>
    <w:rsid w:val="00EF3E7A"/>
    <w:rsid w:val="00EF487C"/>
    <w:rsid w:val="00EF5241"/>
    <w:rsid w:val="00EF5EB6"/>
    <w:rsid w:val="00EF6819"/>
    <w:rsid w:val="00EF73D2"/>
    <w:rsid w:val="00EF779C"/>
    <w:rsid w:val="00F00B8D"/>
    <w:rsid w:val="00F016DF"/>
    <w:rsid w:val="00F016FF"/>
    <w:rsid w:val="00F033E7"/>
    <w:rsid w:val="00F04683"/>
    <w:rsid w:val="00F0474E"/>
    <w:rsid w:val="00F04EE6"/>
    <w:rsid w:val="00F05189"/>
    <w:rsid w:val="00F05F76"/>
    <w:rsid w:val="00F06242"/>
    <w:rsid w:val="00F06C97"/>
    <w:rsid w:val="00F07C2E"/>
    <w:rsid w:val="00F07D5A"/>
    <w:rsid w:val="00F1084E"/>
    <w:rsid w:val="00F10E43"/>
    <w:rsid w:val="00F11AA2"/>
    <w:rsid w:val="00F1248A"/>
    <w:rsid w:val="00F126A1"/>
    <w:rsid w:val="00F12766"/>
    <w:rsid w:val="00F1392D"/>
    <w:rsid w:val="00F13C3E"/>
    <w:rsid w:val="00F149CB"/>
    <w:rsid w:val="00F15024"/>
    <w:rsid w:val="00F15674"/>
    <w:rsid w:val="00F16710"/>
    <w:rsid w:val="00F16E5A"/>
    <w:rsid w:val="00F17095"/>
    <w:rsid w:val="00F175B7"/>
    <w:rsid w:val="00F17DB4"/>
    <w:rsid w:val="00F236BC"/>
    <w:rsid w:val="00F24225"/>
    <w:rsid w:val="00F24E1E"/>
    <w:rsid w:val="00F25066"/>
    <w:rsid w:val="00F2694F"/>
    <w:rsid w:val="00F26FBA"/>
    <w:rsid w:val="00F27432"/>
    <w:rsid w:val="00F27725"/>
    <w:rsid w:val="00F27A2F"/>
    <w:rsid w:val="00F310A5"/>
    <w:rsid w:val="00F3205C"/>
    <w:rsid w:val="00F32409"/>
    <w:rsid w:val="00F34026"/>
    <w:rsid w:val="00F342CC"/>
    <w:rsid w:val="00F34704"/>
    <w:rsid w:val="00F355F9"/>
    <w:rsid w:val="00F35B08"/>
    <w:rsid w:val="00F3605D"/>
    <w:rsid w:val="00F36089"/>
    <w:rsid w:val="00F37E34"/>
    <w:rsid w:val="00F4026C"/>
    <w:rsid w:val="00F405A5"/>
    <w:rsid w:val="00F407A2"/>
    <w:rsid w:val="00F4173D"/>
    <w:rsid w:val="00F417D7"/>
    <w:rsid w:val="00F42991"/>
    <w:rsid w:val="00F43532"/>
    <w:rsid w:val="00F438C4"/>
    <w:rsid w:val="00F44077"/>
    <w:rsid w:val="00F442C2"/>
    <w:rsid w:val="00F4463B"/>
    <w:rsid w:val="00F44D1C"/>
    <w:rsid w:val="00F44DD2"/>
    <w:rsid w:val="00F45B16"/>
    <w:rsid w:val="00F473CF"/>
    <w:rsid w:val="00F475D6"/>
    <w:rsid w:val="00F47738"/>
    <w:rsid w:val="00F47D53"/>
    <w:rsid w:val="00F509B9"/>
    <w:rsid w:val="00F50C1E"/>
    <w:rsid w:val="00F51F40"/>
    <w:rsid w:val="00F5250F"/>
    <w:rsid w:val="00F5311F"/>
    <w:rsid w:val="00F53A68"/>
    <w:rsid w:val="00F540DD"/>
    <w:rsid w:val="00F552C0"/>
    <w:rsid w:val="00F55556"/>
    <w:rsid w:val="00F57648"/>
    <w:rsid w:val="00F579BB"/>
    <w:rsid w:val="00F57F19"/>
    <w:rsid w:val="00F600B8"/>
    <w:rsid w:val="00F60923"/>
    <w:rsid w:val="00F6247C"/>
    <w:rsid w:val="00F63277"/>
    <w:rsid w:val="00F63735"/>
    <w:rsid w:val="00F63811"/>
    <w:rsid w:val="00F63EB6"/>
    <w:rsid w:val="00F6477E"/>
    <w:rsid w:val="00F649AD"/>
    <w:rsid w:val="00F65331"/>
    <w:rsid w:val="00F65B07"/>
    <w:rsid w:val="00F65EF6"/>
    <w:rsid w:val="00F667C8"/>
    <w:rsid w:val="00F66CCF"/>
    <w:rsid w:val="00F67714"/>
    <w:rsid w:val="00F67877"/>
    <w:rsid w:val="00F70097"/>
    <w:rsid w:val="00F700CE"/>
    <w:rsid w:val="00F700D2"/>
    <w:rsid w:val="00F70AF7"/>
    <w:rsid w:val="00F71D2A"/>
    <w:rsid w:val="00F71EE3"/>
    <w:rsid w:val="00F7253F"/>
    <w:rsid w:val="00F72911"/>
    <w:rsid w:val="00F72A02"/>
    <w:rsid w:val="00F730E0"/>
    <w:rsid w:val="00F73270"/>
    <w:rsid w:val="00F73FBA"/>
    <w:rsid w:val="00F74C5F"/>
    <w:rsid w:val="00F74E27"/>
    <w:rsid w:val="00F74FE4"/>
    <w:rsid w:val="00F75082"/>
    <w:rsid w:val="00F75658"/>
    <w:rsid w:val="00F75AEE"/>
    <w:rsid w:val="00F761F7"/>
    <w:rsid w:val="00F7626D"/>
    <w:rsid w:val="00F765CF"/>
    <w:rsid w:val="00F76C7E"/>
    <w:rsid w:val="00F779C8"/>
    <w:rsid w:val="00F8009A"/>
    <w:rsid w:val="00F807EB"/>
    <w:rsid w:val="00F814CA"/>
    <w:rsid w:val="00F81598"/>
    <w:rsid w:val="00F81A93"/>
    <w:rsid w:val="00F81FE4"/>
    <w:rsid w:val="00F83A39"/>
    <w:rsid w:val="00F83CF4"/>
    <w:rsid w:val="00F8483E"/>
    <w:rsid w:val="00F848CE"/>
    <w:rsid w:val="00F85601"/>
    <w:rsid w:val="00F8690A"/>
    <w:rsid w:val="00F86986"/>
    <w:rsid w:val="00F86F0E"/>
    <w:rsid w:val="00F87537"/>
    <w:rsid w:val="00F9019C"/>
    <w:rsid w:val="00F91200"/>
    <w:rsid w:val="00F91256"/>
    <w:rsid w:val="00F91270"/>
    <w:rsid w:val="00F91DFB"/>
    <w:rsid w:val="00F93112"/>
    <w:rsid w:val="00F93424"/>
    <w:rsid w:val="00F93EF6"/>
    <w:rsid w:val="00F942D3"/>
    <w:rsid w:val="00F94A48"/>
    <w:rsid w:val="00F95111"/>
    <w:rsid w:val="00F957CA"/>
    <w:rsid w:val="00F969BD"/>
    <w:rsid w:val="00F96D03"/>
    <w:rsid w:val="00FA0305"/>
    <w:rsid w:val="00FA0E13"/>
    <w:rsid w:val="00FA1A95"/>
    <w:rsid w:val="00FA21CE"/>
    <w:rsid w:val="00FA22DE"/>
    <w:rsid w:val="00FA3ED6"/>
    <w:rsid w:val="00FA49D5"/>
    <w:rsid w:val="00FA4FF3"/>
    <w:rsid w:val="00FA570B"/>
    <w:rsid w:val="00FA5A1F"/>
    <w:rsid w:val="00FA5ED0"/>
    <w:rsid w:val="00FA6400"/>
    <w:rsid w:val="00FA64FD"/>
    <w:rsid w:val="00FA6831"/>
    <w:rsid w:val="00FA750A"/>
    <w:rsid w:val="00FA7E14"/>
    <w:rsid w:val="00FB16B2"/>
    <w:rsid w:val="00FB237A"/>
    <w:rsid w:val="00FB24F8"/>
    <w:rsid w:val="00FB3869"/>
    <w:rsid w:val="00FB415D"/>
    <w:rsid w:val="00FB470D"/>
    <w:rsid w:val="00FB5836"/>
    <w:rsid w:val="00FB641E"/>
    <w:rsid w:val="00FB6F6A"/>
    <w:rsid w:val="00FB7694"/>
    <w:rsid w:val="00FC0F78"/>
    <w:rsid w:val="00FC288D"/>
    <w:rsid w:val="00FC2F03"/>
    <w:rsid w:val="00FC2F8D"/>
    <w:rsid w:val="00FC3093"/>
    <w:rsid w:val="00FC33BF"/>
    <w:rsid w:val="00FC3AB3"/>
    <w:rsid w:val="00FC480F"/>
    <w:rsid w:val="00FC5166"/>
    <w:rsid w:val="00FC5C89"/>
    <w:rsid w:val="00FC613D"/>
    <w:rsid w:val="00FC6199"/>
    <w:rsid w:val="00FC6358"/>
    <w:rsid w:val="00FC6D76"/>
    <w:rsid w:val="00FC6FC8"/>
    <w:rsid w:val="00FC7033"/>
    <w:rsid w:val="00FC70D7"/>
    <w:rsid w:val="00FD11F2"/>
    <w:rsid w:val="00FD3D6A"/>
    <w:rsid w:val="00FD3DEF"/>
    <w:rsid w:val="00FD576E"/>
    <w:rsid w:val="00FD664E"/>
    <w:rsid w:val="00FD6D7C"/>
    <w:rsid w:val="00FD77D7"/>
    <w:rsid w:val="00FE0669"/>
    <w:rsid w:val="00FE09B5"/>
    <w:rsid w:val="00FE0C22"/>
    <w:rsid w:val="00FE0C9D"/>
    <w:rsid w:val="00FE1545"/>
    <w:rsid w:val="00FE34E5"/>
    <w:rsid w:val="00FE35F0"/>
    <w:rsid w:val="00FE3A26"/>
    <w:rsid w:val="00FE3A65"/>
    <w:rsid w:val="00FE3D03"/>
    <w:rsid w:val="00FE43BC"/>
    <w:rsid w:val="00FE76F8"/>
    <w:rsid w:val="00FE799B"/>
    <w:rsid w:val="00FF0080"/>
    <w:rsid w:val="00FF01BF"/>
    <w:rsid w:val="00FF04CB"/>
    <w:rsid w:val="00FF08E8"/>
    <w:rsid w:val="00FF13F0"/>
    <w:rsid w:val="00FF1641"/>
    <w:rsid w:val="00FF2BE7"/>
    <w:rsid w:val="00FF33F9"/>
    <w:rsid w:val="00FF3C9B"/>
    <w:rsid w:val="00FF4459"/>
    <w:rsid w:val="00FF464E"/>
    <w:rsid w:val="00FF498B"/>
    <w:rsid w:val="00FF4AD9"/>
    <w:rsid w:val="00FF53B5"/>
    <w:rsid w:val="00FF5559"/>
    <w:rsid w:val="00FF674F"/>
    <w:rsid w:val="00FF67CA"/>
    <w:rsid w:val="00FF7423"/>
    <w:rsid w:val="00FF7450"/>
    <w:rsid w:val="010453DE"/>
    <w:rsid w:val="0120705D"/>
    <w:rsid w:val="0128B9F7"/>
    <w:rsid w:val="01307D3F"/>
    <w:rsid w:val="013EF172"/>
    <w:rsid w:val="0140A5CC"/>
    <w:rsid w:val="0148B022"/>
    <w:rsid w:val="014AE087"/>
    <w:rsid w:val="01518277"/>
    <w:rsid w:val="0151E71E"/>
    <w:rsid w:val="01677198"/>
    <w:rsid w:val="016F0F99"/>
    <w:rsid w:val="0179EE1B"/>
    <w:rsid w:val="017B645E"/>
    <w:rsid w:val="01A5BBBB"/>
    <w:rsid w:val="01AA9587"/>
    <w:rsid w:val="01CE73D7"/>
    <w:rsid w:val="01D0EC9E"/>
    <w:rsid w:val="01F97ADF"/>
    <w:rsid w:val="0225DC52"/>
    <w:rsid w:val="02408ACF"/>
    <w:rsid w:val="02488BBF"/>
    <w:rsid w:val="024FFF6D"/>
    <w:rsid w:val="02620ECC"/>
    <w:rsid w:val="02625438"/>
    <w:rsid w:val="026257C8"/>
    <w:rsid w:val="0279C455"/>
    <w:rsid w:val="028C815A"/>
    <w:rsid w:val="028E3C18"/>
    <w:rsid w:val="02902E03"/>
    <w:rsid w:val="02D4EE49"/>
    <w:rsid w:val="02E53B19"/>
    <w:rsid w:val="02F1F388"/>
    <w:rsid w:val="02F9ABAC"/>
    <w:rsid w:val="02FEE7BE"/>
    <w:rsid w:val="030A04FE"/>
    <w:rsid w:val="03454FB9"/>
    <w:rsid w:val="0367D6DF"/>
    <w:rsid w:val="0375DEF5"/>
    <w:rsid w:val="038F7BA9"/>
    <w:rsid w:val="03930246"/>
    <w:rsid w:val="03A5242C"/>
    <w:rsid w:val="03AA9851"/>
    <w:rsid w:val="03D908A7"/>
    <w:rsid w:val="03DDE598"/>
    <w:rsid w:val="03E0367C"/>
    <w:rsid w:val="03E98F36"/>
    <w:rsid w:val="03F5CC56"/>
    <w:rsid w:val="04027A54"/>
    <w:rsid w:val="041C3D21"/>
    <w:rsid w:val="042B324E"/>
    <w:rsid w:val="043C5C7D"/>
    <w:rsid w:val="04454634"/>
    <w:rsid w:val="044661F1"/>
    <w:rsid w:val="044733DA"/>
    <w:rsid w:val="044FB507"/>
    <w:rsid w:val="0459521D"/>
    <w:rsid w:val="045F8A4E"/>
    <w:rsid w:val="047FCF43"/>
    <w:rsid w:val="0480C15E"/>
    <w:rsid w:val="048F4F4A"/>
    <w:rsid w:val="04947FEE"/>
    <w:rsid w:val="04A54B0C"/>
    <w:rsid w:val="04A818B9"/>
    <w:rsid w:val="04ABE600"/>
    <w:rsid w:val="04B8B2B7"/>
    <w:rsid w:val="04DA99C0"/>
    <w:rsid w:val="04ED0474"/>
    <w:rsid w:val="04EE4FC1"/>
    <w:rsid w:val="04F29E3F"/>
    <w:rsid w:val="05218A47"/>
    <w:rsid w:val="05280026"/>
    <w:rsid w:val="053EB286"/>
    <w:rsid w:val="054D4C57"/>
    <w:rsid w:val="055920CB"/>
    <w:rsid w:val="057015CA"/>
    <w:rsid w:val="057F2DE1"/>
    <w:rsid w:val="059A443C"/>
    <w:rsid w:val="05CA191D"/>
    <w:rsid w:val="05D8E751"/>
    <w:rsid w:val="05DA2409"/>
    <w:rsid w:val="05EA3210"/>
    <w:rsid w:val="062AC07B"/>
    <w:rsid w:val="062B8D46"/>
    <w:rsid w:val="06397FA4"/>
    <w:rsid w:val="06416AEA"/>
    <w:rsid w:val="0649564B"/>
    <w:rsid w:val="064D1594"/>
    <w:rsid w:val="06616ACF"/>
    <w:rsid w:val="0677E92C"/>
    <w:rsid w:val="06939DBC"/>
    <w:rsid w:val="0695B56E"/>
    <w:rsid w:val="06981DEF"/>
    <w:rsid w:val="06AC4464"/>
    <w:rsid w:val="06B4E575"/>
    <w:rsid w:val="06C5DAE1"/>
    <w:rsid w:val="06C6A199"/>
    <w:rsid w:val="06C77115"/>
    <w:rsid w:val="06EE3D6D"/>
    <w:rsid w:val="06F9A3EF"/>
    <w:rsid w:val="06FEF5D5"/>
    <w:rsid w:val="0710EF61"/>
    <w:rsid w:val="073E0802"/>
    <w:rsid w:val="074B80F3"/>
    <w:rsid w:val="076B63F6"/>
    <w:rsid w:val="076EA590"/>
    <w:rsid w:val="07784BCF"/>
    <w:rsid w:val="07790BAA"/>
    <w:rsid w:val="07793E49"/>
    <w:rsid w:val="07834056"/>
    <w:rsid w:val="07869666"/>
    <w:rsid w:val="078FFABE"/>
    <w:rsid w:val="07950A99"/>
    <w:rsid w:val="07954F1B"/>
    <w:rsid w:val="07962EF1"/>
    <w:rsid w:val="07AAAD9C"/>
    <w:rsid w:val="07B52A0E"/>
    <w:rsid w:val="07C42CAF"/>
    <w:rsid w:val="07E2164C"/>
    <w:rsid w:val="0801D0DD"/>
    <w:rsid w:val="081E5F59"/>
    <w:rsid w:val="083102CE"/>
    <w:rsid w:val="08322219"/>
    <w:rsid w:val="0856560F"/>
    <w:rsid w:val="086271FA"/>
    <w:rsid w:val="087F462D"/>
    <w:rsid w:val="088C2096"/>
    <w:rsid w:val="08953C0B"/>
    <w:rsid w:val="08981D41"/>
    <w:rsid w:val="089BA7B7"/>
    <w:rsid w:val="08B2BF92"/>
    <w:rsid w:val="08B9EE5B"/>
    <w:rsid w:val="08BAB182"/>
    <w:rsid w:val="08CA603D"/>
    <w:rsid w:val="08D83462"/>
    <w:rsid w:val="08FBB3AE"/>
    <w:rsid w:val="08FC7680"/>
    <w:rsid w:val="0914DC0B"/>
    <w:rsid w:val="0918330A"/>
    <w:rsid w:val="091A520E"/>
    <w:rsid w:val="091B22C7"/>
    <w:rsid w:val="094C55A4"/>
    <w:rsid w:val="094EC239"/>
    <w:rsid w:val="095889EC"/>
    <w:rsid w:val="09A761ED"/>
    <w:rsid w:val="09A85C19"/>
    <w:rsid w:val="09AC8256"/>
    <w:rsid w:val="09BA3951"/>
    <w:rsid w:val="09E248EC"/>
    <w:rsid w:val="09ED520D"/>
    <w:rsid w:val="09FBE05E"/>
    <w:rsid w:val="0A094042"/>
    <w:rsid w:val="0A0A4C3F"/>
    <w:rsid w:val="0A179C8E"/>
    <w:rsid w:val="0A18DE96"/>
    <w:rsid w:val="0A23203E"/>
    <w:rsid w:val="0A291698"/>
    <w:rsid w:val="0A2F21CE"/>
    <w:rsid w:val="0A2F69A5"/>
    <w:rsid w:val="0A59FEAF"/>
    <w:rsid w:val="0A75E152"/>
    <w:rsid w:val="0A770B23"/>
    <w:rsid w:val="0A9A7C99"/>
    <w:rsid w:val="0AB487B8"/>
    <w:rsid w:val="0AC397A7"/>
    <w:rsid w:val="0ACA110D"/>
    <w:rsid w:val="0ADBC554"/>
    <w:rsid w:val="0ADF558A"/>
    <w:rsid w:val="0AE1BEA3"/>
    <w:rsid w:val="0AE7730C"/>
    <w:rsid w:val="0AE7CC8F"/>
    <w:rsid w:val="0AE92224"/>
    <w:rsid w:val="0B10824B"/>
    <w:rsid w:val="0B11A149"/>
    <w:rsid w:val="0B14FC49"/>
    <w:rsid w:val="0B1B2DFF"/>
    <w:rsid w:val="0B2953B6"/>
    <w:rsid w:val="0B3F9570"/>
    <w:rsid w:val="0B50EA1A"/>
    <w:rsid w:val="0B5FE785"/>
    <w:rsid w:val="0B69886A"/>
    <w:rsid w:val="0B7856AC"/>
    <w:rsid w:val="0B8474AB"/>
    <w:rsid w:val="0B89226E"/>
    <w:rsid w:val="0B895FAD"/>
    <w:rsid w:val="0B8BD3F4"/>
    <w:rsid w:val="0B977588"/>
    <w:rsid w:val="0B9B0EDB"/>
    <w:rsid w:val="0BA2E9B7"/>
    <w:rsid w:val="0BB5652D"/>
    <w:rsid w:val="0BC930DF"/>
    <w:rsid w:val="0BD35962"/>
    <w:rsid w:val="0BE6BB9F"/>
    <w:rsid w:val="0BEC78A4"/>
    <w:rsid w:val="0BF4F3B4"/>
    <w:rsid w:val="0C037D17"/>
    <w:rsid w:val="0C140CBC"/>
    <w:rsid w:val="0C390B2A"/>
    <w:rsid w:val="0C70AC98"/>
    <w:rsid w:val="0C986428"/>
    <w:rsid w:val="0C9C3F74"/>
    <w:rsid w:val="0CB9ABE1"/>
    <w:rsid w:val="0CDB65D1"/>
    <w:rsid w:val="0D06D416"/>
    <w:rsid w:val="0D22E394"/>
    <w:rsid w:val="0D289291"/>
    <w:rsid w:val="0D5555E3"/>
    <w:rsid w:val="0D6E06CF"/>
    <w:rsid w:val="0D843995"/>
    <w:rsid w:val="0D9186DD"/>
    <w:rsid w:val="0DA1AC53"/>
    <w:rsid w:val="0DB2EE30"/>
    <w:rsid w:val="0DCBEF10"/>
    <w:rsid w:val="0DCEFB9E"/>
    <w:rsid w:val="0DD4C478"/>
    <w:rsid w:val="0DF206E4"/>
    <w:rsid w:val="0DF4D7AE"/>
    <w:rsid w:val="0DFD5119"/>
    <w:rsid w:val="0E052DF6"/>
    <w:rsid w:val="0E09110C"/>
    <w:rsid w:val="0E11D5EB"/>
    <w:rsid w:val="0E1E8BA9"/>
    <w:rsid w:val="0E32DBD0"/>
    <w:rsid w:val="0E3F3E8F"/>
    <w:rsid w:val="0E72EE2F"/>
    <w:rsid w:val="0E73EAC8"/>
    <w:rsid w:val="0E753DF4"/>
    <w:rsid w:val="0E7DFBC5"/>
    <w:rsid w:val="0E89EB77"/>
    <w:rsid w:val="0E9C3953"/>
    <w:rsid w:val="0EB66788"/>
    <w:rsid w:val="0EB7B7CF"/>
    <w:rsid w:val="0EC4B21F"/>
    <w:rsid w:val="0ECA9041"/>
    <w:rsid w:val="0ED0D012"/>
    <w:rsid w:val="0ED52928"/>
    <w:rsid w:val="0EE36FA2"/>
    <w:rsid w:val="0EED326D"/>
    <w:rsid w:val="0F155A18"/>
    <w:rsid w:val="0F2009F6"/>
    <w:rsid w:val="0F262443"/>
    <w:rsid w:val="0F2BF266"/>
    <w:rsid w:val="0F328ECC"/>
    <w:rsid w:val="0F37F12B"/>
    <w:rsid w:val="0F3F7512"/>
    <w:rsid w:val="0F53B474"/>
    <w:rsid w:val="0F84546A"/>
    <w:rsid w:val="0F89B7A3"/>
    <w:rsid w:val="0F927F8A"/>
    <w:rsid w:val="0FAA3A8B"/>
    <w:rsid w:val="0FC57671"/>
    <w:rsid w:val="0FCBB7DD"/>
    <w:rsid w:val="0FD54B6A"/>
    <w:rsid w:val="0FD66C99"/>
    <w:rsid w:val="0FF4A57D"/>
    <w:rsid w:val="0FF6B803"/>
    <w:rsid w:val="100E05D7"/>
    <w:rsid w:val="100EECE1"/>
    <w:rsid w:val="1016AC16"/>
    <w:rsid w:val="102CB03D"/>
    <w:rsid w:val="103B1C2C"/>
    <w:rsid w:val="103D33FE"/>
    <w:rsid w:val="1042851A"/>
    <w:rsid w:val="1046A819"/>
    <w:rsid w:val="105525CB"/>
    <w:rsid w:val="1068E31C"/>
    <w:rsid w:val="106AF72D"/>
    <w:rsid w:val="107FFFDE"/>
    <w:rsid w:val="108B658F"/>
    <w:rsid w:val="10A8DD0B"/>
    <w:rsid w:val="10A97715"/>
    <w:rsid w:val="10ACA5ED"/>
    <w:rsid w:val="10AD07CE"/>
    <w:rsid w:val="10B3037E"/>
    <w:rsid w:val="10E72AA4"/>
    <w:rsid w:val="10EEE315"/>
    <w:rsid w:val="10FDAA18"/>
    <w:rsid w:val="11073BB0"/>
    <w:rsid w:val="111FDC12"/>
    <w:rsid w:val="112FBF18"/>
    <w:rsid w:val="114680DB"/>
    <w:rsid w:val="1147BA34"/>
    <w:rsid w:val="114BF9C1"/>
    <w:rsid w:val="114F482D"/>
    <w:rsid w:val="116A8ED3"/>
    <w:rsid w:val="116F19F3"/>
    <w:rsid w:val="11920D92"/>
    <w:rsid w:val="11A2F35B"/>
    <w:rsid w:val="11A6774E"/>
    <w:rsid w:val="11A84DA3"/>
    <w:rsid w:val="11ADA8FF"/>
    <w:rsid w:val="11B67B7E"/>
    <w:rsid w:val="11BE81DF"/>
    <w:rsid w:val="11C8A9E1"/>
    <w:rsid w:val="11D52F64"/>
    <w:rsid w:val="11E62CFC"/>
    <w:rsid w:val="11E674D3"/>
    <w:rsid w:val="11E7FE92"/>
    <w:rsid w:val="11ED5AD1"/>
    <w:rsid w:val="11F8A131"/>
    <w:rsid w:val="11FDE466"/>
    <w:rsid w:val="120BECCF"/>
    <w:rsid w:val="12126FBB"/>
    <w:rsid w:val="12145227"/>
    <w:rsid w:val="121B8065"/>
    <w:rsid w:val="1235CB1E"/>
    <w:rsid w:val="12571F74"/>
    <w:rsid w:val="125BF519"/>
    <w:rsid w:val="125FEC75"/>
    <w:rsid w:val="128D7539"/>
    <w:rsid w:val="12B565CA"/>
    <w:rsid w:val="12C36D1A"/>
    <w:rsid w:val="12D38A6C"/>
    <w:rsid w:val="12E93D20"/>
    <w:rsid w:val="12EC0EE2"/>
    <w:rsid w:val="12F572A9"/>
    <w:rsid w:val="1302657D"/>
    <w:rsid w:val="1327AB66"/>
    <w:rsid w:val="137B1B7C"/>
    <w:rsid w:val="13860F71"/>
    <w:rsid w:val="139AEB33"/>
    <w:rsid w:val="13B30BF4"/>
    <w:rsid w:val="13B79434"/>
    <w:rsid w:val="13BAC234"/>
    <w:rsid w:val="13C27D4C"/>
    <w:rsid w:val="13D6B5AA"/>
    <w:rsid w:val="13DB0F36"/>
    <w:rsid w:val="13E9F30E"/>
    <w:rsid w:val="13F02890"/>
    <w:rsid w:val="13F5CB52"/>
    <w:rsid w:val="13F73F71"/>
    <w:rsid w:val="13FA6C80"/>
    <w:rsid w:val="13FC0ED3"/>
    <w:rsid w:val="144653DB"/>
    <w:rsid w:val="1459E10E"/>
    <w:rsid w:val="1468697A"/>
    <w:rsid w:val="147827A3"/>
    <w:rsid w:val="148635F6"/>
    <w:rsid w:val="149A96D6"/>
    <w:rsid w:val="14A10037"/>
    <w:rsid w:val="14A34754"/>
    <w:rsid w:val="14A8BC8D"/>
    <w:rsid w:val="14B2D3C3"/>
    <w:rsid w:val="14C3D085"/>
    <w:rsid w:val="14E5FCE4"/>
    <w:rsid w:val="152BD55D"/>
    <w:rsid w:val="1534B135"/>
    <w:rsid w:val="153673A9"/>
    <w:rsid w:val="1538D5A6"/>
    <w:rsid w:val="15411565"/>
    <w:rsid w:val="15473F6B"/>
    <w:rsid w:val="155B763C"/>
    <w:rsid w:val="1562CF1B"/>
    <w:rsid w:val="1572D094"/>
    <w:rsid w:val="157F9239"/>
    <w:rsid w:val="1584BD01"/>
    <w:rsid w:val="159267E6"/>
    <w:rsid w:val="15963CE1"/>
    <w:rsid w:val="15A333A8"/>
    <w:rsid w:val="15A3A2BD"/>
    <w:rsid w:val="15A525D0"/>
    <w:rsid w:val="15A700D9"/>
    <w:rsid w:val="15B7538F"/>
    <w:rsid w:val="15C09539"/>
    <w:rsid w:val="15D8AC27"/>
    <w:rsid w:val="15E061C7"/>
    <w:rsid w:val="15F266E7"/>
    <w:rsid w:val="15F9A1B2"/>
    <w:rsid w:val="16117EDA"/>
    <w:rsid w:val="1616EAFC"/>
    <w:rsid w:val="1621E390"/>
    <w:rsid w:val="1629F95D"/>
    <w:rsid w:val="162D94B8"/>
    <w:rsid w:val="162F5598"/>
    <w:rsid w:val="1632E302"/>
    <w:rsid w:val="1638543B"/>
    <w:rsid w:val="166928C0"/>
    <w:rsid w:val="16884A55"/>
    <w:rsid w:val="169C927D"/>
    <w:rsid w:val="16CD5A70"/>
    <w:rsid w:val="16CD716F"/>
    <w:rsid w:val="16D71524"/>
    <w:rsid w:val="16DAD3A0"/>
    <w:rsid w:val="16E625E7"/>
    <w:rsid w:val="17259A1F"/>
    <w:rsid w:val="173B28BD"/>
    <w:rsid w:val="173F5755"/>
    <w:rsid w:val="1749775D"/>
    <w:rsid w:val="17546180"/>
    <w:rsid w:val="1768A78C"/>
    <w:rsid w:val="17871018"/>
    <w:rsid w:val="178C9899"/>
    <w:rsid w:val="178F39E2"/>
    <w:rsid w:val="17B61561"/>
    <w:rsid w:val="17C996EF"/>
    <w:rsid w:val="17CCE0FC"/>
    <w:rsid w:val="17D1B64B"/>
    <w:rsid w:val="17D9BE16"/>
    <w:rsid w:val="17E5D078"/>
    <w:rsid w:val="17F3EE46"/>
    <w:rsid w:val="17FDE4A7"/>
    <w:rsid w:val="1801D6DE"/>
    <w:rsid w:val="18254230"/>
    <w:rsid w:val="18386978"/>
    <w:rsid w:val="184E508F"/>
    <w:rsid w:val="18792824"/>
    <w:rsid w:val="187CA2CC"/>
    <w:rsid w:val="18953D64"/>
    <w:rsid w:val="18A678B2"/>
    <w:rsid w:val="18AB62DD"/>
    <w:rsid w:val="18B53A86"/>
    <w:rsid w:val="18C85057"/>
    <w:rsid w:val="19102621"/>
    <w:rsid w:val="19171DF8"/>
    <w:rsid w:val="191DA04A"/>
    <w:rsid w:val="193EE722"/>
    <w:rsid w:val="1951B0BA"/>
    <w:rsid w:val="198F7988"/>
    <w:rsid w:val="19A309BA"/>
    <w:rsid w:val="19A4C8FB"/>
    <w:rsid w:val="19BFF60F"/>
    <w:rsid w:val="19C0DA40"/>
    <w:rsid w:val="19EFA2F5"/>
    <w:rsid w:val="19F05169"/>
    <w:rsid w:val="19F1F077"/>
    <w:rsid w:val="1A0F422A"/>
    <w:rsid w:val="1A1F404A"/>
    <w:rsid w:val="1A354EB7"/>
    <w:rsid w:val="1A37A61C"/>
    <w:rsid w:val="1A47333E"/>
    <w:rsid w:val="1A4F625C"/>
    <w:rsid w:val="1A6E7754"/>
    <w:rsid w:val="1A74F352"/>
    <w:rsid w:val="1A7CCFAC"/>
    <w:rsid w:val="1A7EBC87"/>
    <w:rsid w:val="1A81FC7C"/>
    <w:rsid w:val="1A984E3D"/>
    <w:rsid w:val="1A9F0FD4"/>
    <w:rsid w:val="1AA43F5A"/>
    <w:rsid w:val="1AA5887D"/>
    <w:rsid w:val="1ABD6FB2"/>
    <w:rsid w:val="1ABDAE94"/>
    <w:rsid w:val="1AC2ABC4"/>
    <w:rsid w:val="1AC3F75A"/>
    <w:rsid w:val="1AE6088B"/>
    <w:rsid w:val="1AFD6A80"/>
    <w:rsid w:val="1B005C55"/>
    <w:rsid w:val="1B10C9C1"/>
    <w:rsid w:val="1B13828A"/>
    <w:rsid w:val="1B315844"/>
    <w:rsid w:val="1B325168"/>
    <w:rsid w:val="1B3F73F0"/>
    <w:rsid w:val="1B6D6AA6"/>
    <w:rsid w:val="1B6E66C5"/>
    <w:rsid w:val="1B6EABCE"/>
    <w:rsid w:val="1B7BC233"/>
    <w:rsid w:val="1B7D02B5"/>
    <w:rsid w:val="1BA36910"/>
    <w:rsid w:val="1BAD7FF6"/>
    <w:rsid w:val="1BB200C2"/>
    <w:rsid w:val="1BBD3E60"/>
    <w:rsid w:val="1BE050C8"/>
    <w:rsid w:val="1BEB1797"/>
    <w:rsid w:val="1BEB5DDC"/>
    <w:rsid w:val="1C06B6C8"/>
    <w:rsid w:val="1C1DE6E7"/>
    <w:rsid w:val="1C2CB946"/>
    <w:rsid w:val="1C420D18"/>
    <w:rsid w:val="1C45307A"/>
    <w:rsid w:val="1C6756C9"/>
    <w:rsid w:val="1C687199"/>
    <w:rsid w:val="1C713848"/>
    <w:rsid w:val="1C90B45B"/>
    <w:rsid w:val="1C912B34"/>
    <w:rsid w:val="1C93E145"/>
    <w:rsid w:val="1C96DB79"/>
    <w:rsid w:val="1CAEF760"/>
    <w:rsid w:val="1CB28B31"/>
    <w:rsid w:val="1CD84183"/>
    <w:rsid w:val="1CDD401F"/>
    <w:rsid w:val="1CF35DBF"/>
    <w:rsid w:val="1CFFB5CD"/>
    <w:rsid w:val="1D169675"/>
    <w:rsid w:val="1D18AA9E"/>
    <w:rsid w:val="1D21081E"/>
    <w:rsid w:val="1D212F5C"/>
    <w:rsid w:val="1D31EC43"/>
    <w:rsid w:val="1D33347C"/>
    <w:rsid w:val="1D433E05"/>
    <w:rsid w:val="1D4BDB04"/>
    <w:rsid w:val="1D4C81B9"/>
    <w:rsid w:val="1D4F6355"/>
    <w:rsid w:val="1D5139EB"/>
    <w:rsid w:val="1D62CD47"/>
    <w:rsid w:val="1D63225D"/>
    <w:rsid w:val="1D854D8D"/>
    <w:rsid w:val="1D9AC596"/>
    <w:rsid w:val="1D9C986F"/>
    <w:rsid w:val="1DAA6A41"/>
    <w:rsid w:val="1DB2687E"/>
    <w:rsid w:val="1DDA45CB"/>
    <w:rsid w:val="1E002010"/>
    <w:rsid w:val="1E0909B5"/>
    <w:rsid w:val="1E26B970"/>
    <w:rsid w:val="1E3E14B7"/>
    <w:rsid w:val="1E4E339F"/>
    <w:rsid w:val="1E518659"/>
    <w:rsid w:val="1E588878"/>
    <w:rsid w:val="1E77D722"/>
    <w:rsid w:val="1EA7DF02"/>
    <w:rsid w:val="1EAF99E1"/>
    <w:rsid w:val="1EB11723"/>
    <w:rsid w:val="1EE96E4F"/>
    <w:rsid w:val="1EEA50D3"/>
    <w:rsid w:val="1F0095E6"/>
    <w:rsid w:val="1F08B95F"/>
    <w:rsid w:val="1F08C423"/>
    <w:rsid w:val="1F14537F"/>
    <w:rsid w:val="1F1CE497"/>
    <w:rsid w:val="1F2BB98C"/>
    <w:rsid w:val="1F30ED91"/>
    <w:rsid w:val="1F7EB13B"/>
    <w:rsid w:val="1F8B486D"/>
    <w:rsid w:val="1F925E41"/>
    <w:rsid w:val="1FA4E2D4"/>
    <w:rsid w:val="1FB31BC8"/>
    <w:rsid w:val="1FCD6FC5"/>
    <w:rsid w:val="1FD523A6"/>
    <w:rsid w:val="1FE7358A"/>
    <w:rsid w:val="1FF671DA"/>
    <w:rsid w:val="1FF6D13A"/>
    <w:rsid w:val="1FF9AF5D"/>
    <w:rsid w:val="2004A229"/>
    <w:rsid w:val="2004AC3D"/>
    <w:rsid w:val="200A8C08"/>
    <w:rsid w:val="20141698"/>
    <w:rsid w:val="201BAE2C"/>
    <w:rsid w:val="201F86E2"/>
    <w:rsid w:val="2030CEE7"/>
    <w:rsid w:val="20365998"/>
    <w:rsid w:val="203BFE35"/>
    <w:rsid w:val="2059CC3D"/>
    <w:rsid w:val="206BF63D"/>
    <w:rsid w:val="207097DF"/>
    <w:rsid w:val="2076D6A8"/>
    <w:rsid w:val="2079F50C"/>
    <w:rsid w:val="207ADA98"/>
    <w:rsid w:val="208E044C"/>
    <w:rsid w:val="20917E13"/>
    <w:rsid w:val="20984E9A"/>
    <w:rsid w:val="20B90F39"/>
    <w:rsid w:val="20C9B75D"/>
    <w:rsid w:val="20CBFE7B"/>
    <w:rsid w:val="20D0DA9A"/>
    <w:rsid w:val="20DD72C5"/>
    <w:rsid w:val="20E4F81E"/>
    <w:rsid w:val="20E7B086"/>
    <w:rsid w:val="20EA7C2C"/>
    <w:rsid w:val="20F2CEFB"/>
    <w:rsid w:val="20F4EE77"/>
    <w:rsid w:val="20F7846C"/>
    <w:rsid w:val="21028ED3"/>
    <w:rsid w:val="2118A54D"/>
    <w:rsid w:val="2128B22F"/>
    <w:rsid w:val="213A8325"/>
    <w:rsid w:val="2150E92F"/>
    <w:rsid w:val="215795E1"/>
    <w:rsid w:val="217B8E05"/>
    <w:rsid w:val="2184F7E0"/>
    <w:rsid w:val="219600E1"/>
    <w:rsid w:val="219A3ACA"/>
    <w:rsid w:val="219DC62E"/>
    <w:rsid w:val="21A52C03"/>
    <w:rsid w:val="21AE1E29"/>
    <w:rsid w:val="21B47EB2"/>
    <w:rsid w:val="21C7A2FD"/>
    <w:rsid w:val="21D60A3A"/>
    <w:rsid w:val="21D8C1C0"/>
    <w:rsid w:val="21E5D23D"/>
    <w:rsid w:val="21E744AD"/>
    <w:rsid w:val="220A9AB7"/>
    <w:rsid w:val="2218CF9F"/>
    <w:rsid w:val="222A10F1"/>
    <w:rsid w:val="223A1179"/>
    <w:rsid w:val="22490C52"/>
    <w:rsid w:val="22688E53"/>
    <w:rsid w:val="2281FC0A"/>
    <w:rsid w:val="2288C4B6"/>
    <w:rsid w:val="229278DF"/>
    <w:rsid w:val="22972550"/>
    <w:rsid w:val="22B554FD"/>
    <w:rsid w:val="22BD24E2"/>
    <w:rsid w:val="22CD9E0B"/>
    <w:rsid w:val="22E33245"/>
    <w:rsid w:val="230115BE"/>
    <w:rsid w:val="231DC976"/>
    <w:rsid w:val="23286233"/>
    <w:rsid w:val="234E6F49"/>
    <w:rsid w:val="23654FF1"/>
    <w:rsid w:val="236AFD48"/>
    <w:rsid w:val="23A08AEB"/>
    <w:rsid w:val="23BF012B"/>
    <w:rsid w:val="23C633C7"/>
    <w:rsid w:val="23CB91BB"/>
    <w:rsid w:val="23D67A19"/>
    <w:rsid w:val="23DADAD8"/>
    <w:rsid w:val="23DBB64C"/>
    <w:rsid w:val="23ED613C"/>
    <w:rsid w:val="23F4FF4B"/>
    <w:rsid w:val="23F561AC"/>
    <w:rsid w:val="23F64204"/>
    <w:rsid w:val="24055AD3"/>
    <w:rsid w:val="24098CAB"/>
    <w:rsid w:val="2418FE55"/>
    <w:rsid w:val="2438F4F9"/>
    <w:rsid w:val="244A7678"/>
    <w:rsid w:val="2464D345"/>
    <w:rsid w:val="2475DC46"/>
    <w:rsid w:val="247A7C21"/>
    <w:rsid w:val="247D42B8"/>
    <w:rsid w:val="248B72FF"/>
    <w:rsid w:val="248CC4EE"/>
    <w:rsid w:val="24965DD3"/>
    <w:rsid w:val="249C6AA9"/>
    <w:rsid w:val="249D645C"/>
    <w:rsid w:val="24BD08DC"/>
    <w:rsid w:val="24BD10B7"/>
    <w:rsid w:val="24DF22F0"/>
    <w:rsid w:val="24ED8048"/>
    <w:rsid w:val="24FE7FE1"/>
    <w:rsid w:val="250D29AF"/>
    <w:rsid w:val="25123E80"/>
    <w:rsid w:val="2513297F"/>
    <w:rsid w:val="251C1464"/>
    <w:rsid w:val="251E280E"/>
    <w:rsid w:val="252A229D"/>
    <w:rsid w:val="252DB1B7"/>
    <w:rsid w:val="255341FC"/>
    <w:rsid w:val="255C1762"/>
    <w:rsid w:val="257E4D55"/>
    <w:rsid w:val="25815F8B"/>
    <w:rsid w:val="258F6353"/>
    <w:rsid w:val="25A88BB0"/>
    <w:rsid w:val="25B8CB60"/>
    <w:rsid w:val="25DF78C4"/>
    <w:rsid w:val="25F403F6"/>
    <w:rsid w:val="25F698FF"/>
    <w:rsid w:val="25FCB32A"/>
    <w:rsid w:val="25FDC981"/>
    <w:rsid w:val="26016DEF"/>
    <w:rsid w:val="2605ADE2"/>
    <w:rsid w:val="262AEBBF"/>
    <w:rsid w:val="2631F241"/>
    <w:rsid w:val="2641DA5A"/>
    <w:rsid w:val="26426431"/>
    <w:rsid w:val="26436F86"/>
    <w:rsid w:val="264D4DE8"/>
    <w:rsid w:val="265369D7"/>
    <w:rsid w:val="26571950"/>
    <w:rsid w:val="26734C35"/>
    <w:rsid w:val="2695B041"/>
    <w:rsid w:val="26B12CDB"/>
    <w:rsid w:val="26D0BE08"/>
    <w:rsid w:val="26D4EBB5"/>
    <w:rsid w:val="26E40544"/>
    <w:rsid w:val="26EF9A2B"/>
    <w:rsid w:val="26F2626E"/>
    <w:rsid w:val="26F99B2F"/>
    <w:rsid w:val="270B73D8"/>
    <w:rsid w:val="2716F6E1"/>
    <w:rsid w:val="27183675"/>
    <w:rsid w:val="27196D93"/>
    <w:rsid w:val="271CA563"/>
    <w:rsid w:val="272151DD"/>
    <w:rsid w:val="272622FD"/>
    <w:rsid w:val="2737E3E0"/>
    <w:rsid w:val="2740C8C6"/>
    <w:rsid w:val="2741F25D"/>
    <w:rsid w:val="274A28A5"/>
    <w:rsid w:val="2753E416"/>
    <w:rsid w:val="276FED3A"/>
    <w:rsid w:val="27807859"/>
    <w:rsid w:val="2780A6C4"/>
    <w:rsid w:val="278EBFFD"/>
    <w:rsid w:val="27B3BFD1"/>
    <w:rsid w:val="27BC051F"/>
    <w:rsid w:val="27C8CC7E"/>
    <w:rsid w:val="27CB21C6"/>
    <w:rsid w:val="27D43D41"/>
    <w:rsid w:val="27D5F911"/>
    <w:rsid w:val="27E224C1"/>
    <w:rsid w:val="27E6D395"/>
    <w:rsid w:val="27F0426D"/>
    <w:rsid w:val="280CCAB7"/>
    <w:rsid w:val="280D0A43"/>
    <w:rsid w:val="280D842F"/>
    <w:rsid w:val="28280B03"/>
    <w:rsid w:val="2829F2D2"/>
    <w:rsid w:val="2832C551"/>
    <w:rsid w:val="28435380"/>
    <w:rsid w:val="28655279"/>
    <w:rsid w:val="2869739E"/>
    <w:rsid w:val="288A890D"/>
    <w:rsid w:val="288E3025"/>
    <w:rsid w:val="288EBB6F"/>
    <w:rsid w:val="28933F54"/>
    <w:rsid w:val="2899C4EC"/>
    <w:rsid w:val="28B9419F"/>
    <w:rsid w:val="28C59A1B"/>
    <w:rsid w:val="28D6C06B"/>
    <w:rsid w:val="28E8926E"/>
    <w:rsid w:val="28ED0F94"/>
    <w:rsid w:val="28F59862"/>
    <w:rsid w:val="28F7B5A5"/>
    <w:rsid w:val="28FE7B7C"/>
    <w:rsid w:val="2908967B"/>
    <w:rsid w:val="290B31E9"/>
    <w:rsid w:val="29270B96"/>
    <w:rsid w:val="292DCC44"/>
    <w:rsid w:val="292EA7A0"/>
    <w:rsid w:val="292FA3BF"/>
    <w:rsid w:val="2935DBF0"/>
    <w:rsid w:val="293786FE"/>
    <w:rsid w:val="293D4FB1"/>
    <w:rsid w:val="2944F44B"/>
    <w:rsid w:val="2958A115"/>
    <w:rsid w:val="296230E7"/>
    <w:rsid w:val="2972F3A5"/>
    <w:rsid w:val="297B1048"/>
    <w:rsid w:val="298935FF"/>
    <w:rsid w:val="298D7A68"/>
    <w:rsid w:val="299A63E0"/>
    <w:rsid w:val="299B3658"/>
    <w:rsid w:val="29A38C51"/>
    <w:rsid w:val="29A97B48"/>
    <w:rsid w:val="29BE9C03"/>
    <w:rsid w:val="29CC02EA"/>
    <w:rsid w:val="29CF9F9B"/>
    <w:rsid w:val="29F5717D"/>
    <w:rsid w:val="29FA822B"/>
    <w:rsid w:val="2A0F5031"/>
    <w:rsid w:val="2A12A2BA"/>
    <w:rsid w:val="2A1AAE8F"/>
    <w:rsid w:val="2A1F258C"/>
    <w:rsid w:val="2A1FC243"/>
    <w:rsid w:val="2A2AACC3"/>
    <w:rsid w:val="2A2CCA45"/>
    <w:rsid w:val="2A544625"/>
    <w:rsid w:val="2A76078B"/>
    <w:rsid w:val="2A7E651E"/>
    <w:rsid w:val="2A853911"/>
    <w:rsid w:val="2A94D5B9"/>
    <w:rsid w:val="2A9A3867"/>
    <w:rsid w:val="2AA61090"/>
    <w:rsid w:val="2AAC0DF6"/>
    <w:rsid w:val="2AACD9BE"/>
    <w:rsid w:val="2AB9931C"/>
    <w:rsid w:val="2AC77519"/>
    <w:rsid w:val="2B0F7DDC"/>
    <w:rsid w:val="2B27E9AA"/>
    <w:rsid w:val="2B463781"/>
    <w:rsid w:val="2B477C0E"/>
    <w:rsid w:val="2B56DD7A"/>
    <w:rsid w:val="2B63C3CD"/>
    <w:rsid w:val="2B68FD1F"/>
    <w:rsid w:val="2B6A71E4"/>
    <w:rsid w:val="2B8A0F49"/>
    <w:rsid w:val="2B9967C1"/>
    <w:rsid w:val="2BA55B93"/>
    <w:rsid w:val="2BA79F0D"/>
    <w:rsid w:val="2BAEA8E4"/>
    <w:rsid w:val="2BCA72E8"/>
    <w:rsid w:val="2BCF09E7"/>
    <w:rsid w:val="2BD00C1A"/>
    <w:rsid w:val="2BD07C82"/>
    <w:rsid w:val="2BF131FB"/>
    <w:rsid w:val="2BF9624A"/>
    <w:rsid w:val="2BFC85C0"/>
    <w:rsid w:val="2BFE050F"/>
    <w:rsid w:val="2C00B744"/>
    <w:rsid w:val="2C1382D3"/>
    <w:rsid w:val="2C2AF956"/>
    <w:rsid w:val="2C4D6F7C"/>
    <w:rsid w:val="2C784D82"/>
    <w:rsid w:val="2C78D243"/>
    <w:rsid w:val="2C80B7E2"/>
    <w:rsid w:val="2C99D6E3"/>
    <w:rsid w:val="2C99F8B7"/>
    <w:rsid w:val="2CA6806F"/>
    <w:rsid w:val="2CA73F4F"/>
    <w:rsid w:val="2CB2B10A"/>
    <w:rsid w:val="2CBC4757"/>
    <w:rsid w:val="2CC29D29"/>
    <w:rsid w:val="2CC9FCD4"/>
    <w:rsid w:val="2CDF0C3B"/>
    <w:rsid w:val="2CDFDAE2"/>
    <w:rsid w:val="2CFB2B37"/>
    <w:rsid w:val="2D005132"/>
    <w:rsid w:val="2D11775D"/>
    <w:rsid w:val="2D1AFB5E"/>
    <w:rsid w:val="2D2247F4"/>
    <w:rsid w:val="2D27AB1C"/>
    <w:rsid w:val="2D2FC9C8"/>
    <w:rsid w:val="2D34B25D"/>
    <w:rsid w:val="2D4624C1"/>
    <w:rsid w:val="2D79973E"/>
    <w:rsid w:val="2D7C0A4E"/>
    <w:rsid w:val="2D82CB6C"/>
    <w:rsid w:val="2D82E4E4"/>
    <w:rsid w:val="2D90EAA8"/>
    <w:rsid w:val="2D92D84E"/>
    <w:rsid w:val="2D9339A3"/>
    <w:rsid w:val="2D9A0623"/>
    <w:rsid w:val="2DB00A4A"/>
    <w:rsid w:val="2DB08B97"/>
    <w:rsid w:val="2DD01105"/>
    <w:rsid w:val="2DD8050C"/>
    <w:rsid w:val="2DF61708"/>
    <w:rsid w:val="2DF6F67F"/>
    <w:rsid w:val="2E03962F"/>
    <w:rsid w:val="2E051A5B"/>
    <w:rsid w:val="2E07A44C"/>
    <w:rsid w:val="2E0B7D3A"/>
    <w:rsid w:val="2E236B14"/>
    <w:rsid w:val="2E28427F"/>
    <w:rsid w:val="2E45B11A"/>
    <w:rsid w:val="2E465B94"/>
    <w:rsid w:val="2E47B5FB"/>
    <w:rsid w:val="2E4F891D"/>
    <w:rsid w:val="2E6180AA"/>
    <w:rsid w:val="2E661631"/>
    <w:rsid w:val="2E74454F"/>
    <w:rsid w:val="2E7CC015"/>
    <w:rsid w:val="2E7D6E68"/>
    <w:rsid w:val="2E8B2C25"/>
    <w:rsid w:val="2E91C81D"/>
    <w:rsid w:val="2E9A68C6"/>
    <w:rsid w:val="2EAAEB20"/>
    <w:rsid w:val="2EABEC99"/>
    <w:rsid w:val="2EC70DD6"/>
    <w:rsid w:val="2EC90572"/>
    <w:rsid w:val="2F028176"/>
    <w:rsid w:val="2F0AE302"/>
    <w:rsid w:val="2F11C42C"/>
    <w:rsid w:val="2F2F17C4"/>
    <w:rsid w:val="2F30DAB2"/>
    <w:rsid w:val="2F5952AD"/>
    <w:rsid w:val="2F5A39BE"/>
    <w:rsid w:val="2F6DE232"/>
    <w:rsid w:val="2F7934F3"/>
    <w:rsid w:val="2F986511"/>
    <w:rsid w:val="2F9886F7"/>
    <w:rsid w:val="2F9CC5A9"/>
    <w:rsid w:val="2FA5F76D"/>
    <w:rsid w:val="2FCB361D"/>
    <w:rsid w:val="2FD6C406"/>
    <w:rsid w:val="2FDB5A1D"/>
    <w:rsid w:val="2FE22BF5"/>
    <w:rsid w:val="2FF973A2"/>
    <w:rsid w:val="30240D68"/>
    <w:rsid w:val="302A0FED"/>
    <w:rsid w:val="30412C00"/>
    <w:rsid w:val="3056EF0E"/>
    <w:rsid w:val="305FC4B5"/>
    <w:rsid w:val="30613EBB"/>
    <w:rsid w:val="306EA5BF"/>
    <w:rsid w:val="307AF020"/>
    <w:rsid w:val="30A0531B"/>
    <w:rsid w:val="30A42816"/>
    <w:rsid w:val="30B64D10"/>
    <w:rsid w:val="30B9A6FD"/>
    <w:rsid w:val="30D38951"/>
    <w:rsid w:val="30FDC4F5"/>
    <w:rsid w:val="3166B373"/>
    <w:rsid w:val="316E4F05"/>
    <w:rsid w:val="31727446"/>
    <w:rsid w:val="317F63F0"/>
    <w:rsid w:val="31934BC5"/>
    <w:rsid w:val="31C0BD26"/>
    <w:rsid w:val="31C1832F"/>
    <w:rsid w:val="31C9E3B1"/>
    <w:rsid w:val="31F171E7"/>
    <w:rsid w:val="31F1E6B0"/>
    <w:rsid w:val="31F6AF18"/>
    <w:rsid w:val="31FFFC57"/>
    <w:rsid w:val="320170A7"/>
    <w:rsid w:val="3210E84D"/>
    <w:rsid w:val="3211C048"/>
    <w:rsid w:val="3211E171"/>
    <w:rsid w:val="3236EBDB"/>
    <w:rsid w:val="323FF877"/>
    <w:rsid w:val="32539D3C"/>
    <w:rsid w:val="32542AF2"/>
    <w:rsid w:val="3256C0C4"/>
    <w:rsid w:val="325F89C5"/>
    <w:rsid w:val="3263E4EC"/>
    <w:rsid w:val="3296A3EA"/>
    <w:rsid w:val="329DB77D"/>
    <w:rsid w:val="32A644E1"/>
    <w:rsid w:val="32B4136B"/>
    <w:rsid w:val="32B462AF"/>
    <w:rsid w:val="32B98AF7"/>
    <w:rsid w:val="32BB4C47"/>
    <w:rsid w:val="32C0C33A"/>
    <w:rsid w:val="32D2411E"/>
    <w:rsid w:val="32D61175"/>
    <w:rsid w:val="32D6CF01"/>
    <w:rsid w:val="32E4ABBC"/>
    <w:rsid w:val="32ECB34B"/>
    <w:rsid w:val="32F46951"/>
    <w:rsid w:val="32F6545D"/>
    <w:rsid w:val="331AFAE7"/>
    <w:rsid w:val="3327A972"/>
    <w:rsid w:val="332F7660"/>
    <w:rsid w:val="3330C3BF"/>
    <w:rsid w:val="3331FF70"/>
    <w:rsid w:val="3334A488"/>
    <w:rsid w:val="333F6E68"/>
    <w:rsid w:val="3342EC25"/>
    <w:rsid w:val="334A6E97"/>
    <w:rsid w:val="3364861D"/>
    <w:rsid w:val="336B4C1A"/>
    <w:rsid w:val="336FE99C"/>
    <w:rsid w:val="3380CF12"/>
    <w:rsid w:val="33835EF9"/>
    <w:rsid w:val="33AD536A"/>
    <w:rsid w:val="33B540F0"/>
    <w:rsid w:val="33E8F175"/>
    <w:rsid w:val="33EBCD1F"/>
    <w:rsid w:val="33FBBEE2"/>
    <w:rsid w:val="33FD475F"/>
    <w:rsid w:val="340869B3"/>
    <w:rsid w:val="3413D299"/>
    <w:rsid w:val="3420FD0E"/>
    <w:rsid w:val="34260BF2"/>
    <w:rsid w:val="3430BF36"/>
    <w:rsid w:val="3447694A"/>
    <w:rsid w:val="346FD657"/>
    <w:rsid w:val="3478F9AD"/>
    <w:rsid w:val="347B400B"/>
    <w:rsid w:val="347E7E9A"/>
    <w:rsid w:val="349B62F6"/>
    <w:rsid w:val="34B9B1B0"/>
    <w:rsid w:val="34C27DB4"/>
    <w:rsid w:val="34DD9CCE"/>
    <w:rsid w:val="3508E805"/>
    <w:rsid w:val="351DB8E9"/>
    <w:rsid w:val="351EC631"/>
    <w:rsid w:val="351EECED"/>
    <w:rsid w:val="35319E68"/>
    <w:rsid w:val="35536E0C"/>
    <w:rsid w:val="3561CEF0"/>
    <w:rsid w:val="3569E912"/>
    <w:rsid w:val="356F79DD"/>
    <w:rsid w:val="3584C1D6"/>
    <w:rsid w:val="35851445"/>
    <w:rsid w:val="35881C39"/>
    <w:rsid w:val="358BEFAB"/>
    <w:rsid w:val="359291F5"/>
    <w:rsid w:val="35A5AF57"/>
    <w:rsid w:val="35A5FD03"/>
    <w:rsid w:val="35CD133C"/>
    <w:rsid w:val="35CEE7E1"/>
    <w:rsid w:val="35D9C4AC"/>
    <w:rsid w:val="36053831"/>
    <w:rsid w:val="362523B5"/>
    <w:rsid w:val="3632A5AE"/>
    <w:rsid w:val="3638FE33"/>
    <w:rsid w:val="365F13A2"/>
    <w:rsid w:val="36676990"/>
    <w:rsid w:val="367AA445"/>
    <w:rsid w:val="367E46C7"/>
    <w:rsid w:val="36AF0E75"/>
    <w:rsid w:val="36BB93BB"/>
    <w:rsid w:val="36C6881E"/>
    <w:rsid w:val="37025778"/>
    <w:rsid w:val="3714F2C6"/>
    <w:rsid w:val="3728F621"/>
    <w:rsid w:val="37369DD4"/>
    <w:rsid w:val="373DD852"/>
    <w:rsid w:val="3759AF41"/>
    <w:rsid w:val="3766E15D"/>
    <w:rsid w:val="3781484B"/>
    <w:rsid w:val="37870D23"/>
    <w:rsid w:val="37921A61"/>
    <w:rsid w:val="3795EB3F"/>
    <w:rsid w:val="37996432"/>
    <w:rsid w:val="37A85BC4"/>
    <w:rsid w:val="37B0E18A"/>
    <w:rsid w:val="37B124FD"/>
    <w:rsid w:val="37B2E0CD"/>
    <w:rsid w:val="37F7F542"/>
    <w:rsid w:val="38042F95"/>
    <w:rsid w:val="38101D7F"/>
    <w:rsid w:val="381663E9"/>
    <w:rsid w:val="382845DF"/>
    <w:rsid w:val="38351A71"/>
    <w:rsid w:val="383EA626"/>
    <w:rsid w:val="3840169C"/>
    <w:rsid w:val="3840B22E"/>
    <w:rsid w:val="3845CF3F"/>
    <w:rsid w:val="384F829F"/>
    <w:rsid w:val="384FFB45"/>
    <w:rsid w:val="3864FA9B"/>
    <w:rsid w:val="38685BE1"/>
    <w:rsid w:val="387CE1C1"/>
    <w:rsid w:val="3896119E"/>
    <w:rsid w:val="3899D497"/>
    <w:rsid w:val="38A71A9F"/>
    <w:rsid w:val="38D4996E"/>
    <w:rsid w:val="38ED712F"/>
    <w:rsid w:val="39216018"/>
    <w:rsid w:val="3921AFF5"/>
    <w:rsid w:val="3925ADCF"/>
    <w:rsid w:val="39262323"/>
    <w:rsid w:val="392AEFEA"/>
    <w:rsid w:val="394C59C9"/>
    <w:rsid w:val="3954A975"/>
    <w:rsid w:val="3954E2E4"/>
    <w:rsid w:val="398F3DD1"/>
    <w:rsid w:val="3992635B"/>
    <w:rsid w:val="39B01E87"/>
    <w:rsid w:val="39DD26A2"/>
    <w:rsid w:val="3A047419"/>
    <w:rsid w:val="3A34CAD4"/>
    <w:rsid w:val="3A39CF85"/>
    <w:rsid w:val="3A3F1605"/>
    <w:rsid w:val="3A4CE3E1"/>
    <w:rsid w:val="3A5875EC"/>
    <w:rsid w:val="3A5A3E8C"/>
    <w:rsid w:val="3A610A7E"/>
    <w:rsid w:val="3A66D775"/>
    <w:rsid w:val="3A68A41D"/>
    <w:rsid w:val="3A696B25"/>
    <w:rsid w:val="3A839A5C"/>
    <w:rsid w:val="3A860F87"/>
    <w:rsid w:val="3A9611BE"/>
    <w:rsid w:val="3AB68BA9"/>
    <w:rsid w:val="3ABA494D"/>
    <w:rsid w:val="3AD9788E"/>
    <w:rsid w:val="3AE2CA74"/>
    <w:rsid w:val="3AF36FD1"/>
    <w:rsid w:val="3B18B47C"/>
    <w:rsid w:val="3B1C8977"/>
    <w:rsid w:val="3B20D3D8"/>
    <w:rsid w:val="3B21FD90"/>
    <w:rsid w:val="3B25A779"/>
    <w:rsid w:val="3B299FDC"/>
    <w:rsid w:val="3B373B0E"/>
    <w:rsid w:val="3B433C90"/>
    <w:rsid w:val="3B5EDE78"/>
    <w:rsid w:val="3B60873F"/>
    <w:rsid w:val="3B6D9014"/>
    <w:rsid w:val="3B6EBA2F"/>
    <w:rsid w:val="3B736355"/>
    <w:rsid w:val="3B741D95"/>
    <w:rsid w:val="3B7DF60A"/>
    <w:rsid w:val="3B880CA4"/>
    <w:rsid w:val="3B94831E"/>
    <w:rsid w:val="3B956BD1"/>
    <w:rsid w:val="3B97DD47"/>
    <w:rsid w:val="3BACE9FA"/>
    <w:rsid w:val="3BC821A4"/>
    <w:rsid w:val="3BC89BF1"/>
    <w:rsid w:val="3BE5A42D"/>
    <w:rsid w:val="3BE6E52B"/>
    <w:rsid w:val="3BF7E5E7"/>
    <w:rsid w:val="3BFFA9BD"/>
    <w:rsid w:val="3C066141"/>
    <w:rsid w:val="3C0B8203"/>
    <w:rsid w:val="3C1F5079"/>
    <w:rsid w:val="3C292E1C"/>
    <w:rsid w:val="3C3BBC42"/>
    <w:rsid w:val="3C3FA6A7"/>
    <w:rsid w:val="3C4CB172"/>
    <w:rsid w:val="3C527261"/>
    <w:rsid w:val="3C5488F9"/>
    <w:rsid w:val="3C57EB74"/>
    <w:rsid w:val="3C58218B"/>
    <w:rsid w:val="3C695C62"/>
    <w:rsid w:val="3C806485"/>
    <w:rsid w:val="3C83AAF8"/>
    <w:rsid w:val="3C97436D"/>
    <w:rsid w:val="3CDACA81"/>
    <w:rsid w:val="3CDC6733"/>
    <w:rsid w:val="3CE22866"/>
    <w:rsid w:val="3CFAE0AF"/>
    <w:rsid w:val="3D153701"/>
    <w:rsid w:val="3D1898AC"/>
    <w:rsid w:val="3D375866"/>
    <w:rsid w:val="3D417A86"/>
    <w:rsid w:val="3D652C79"/>
    <w:rsid w:val="3D6C0EE8"/>
    <w:rsid w:val="3D910D19"/>
    <w:rsid w:val="3D921314"/>
    <w:rsid w:val="3D9A2894"/>
    <w:rsid w:val="3DB5C985"/>
    <w:rsid w:val="3DBD57A2"/>
    <w:rsid w:val="3DC24EAB"/>
    <w:rsid w:val="3DC5B342"/>
    <w:rsid w:val="3DCA3C5B"/>
    <w:rsid w:val="3DCFC6E8"/>
    <w:rsid w:val="3DE39664"/>
    <w:rsid w:val="3DE40B36"/>
    <w:rsid w:val="3DE958F1"/>
    <w:rsid w:val="3DFDD267"/>
    <w:rsid w:val="3E13E73B"/>
    <w:rsid w:val="3E1522B1"/>
    <w:rsid w:val="3E4A4868"/>
    <w:rsid w:val="3E4A6A27"/>
    <w:rsid w:val="3E656510"/>
    <w:rsid w:val="3E75455E"/>
    <w:rsid w:val="3E84105B"/>
    <w:rsid w:val="3E8AA513"/>
    <w:rsid w:val="3E9F9AB5"/>
    <w:rsid w:val="3EA71E6D"/>
    <w:rsid w:val="3EA8B6E2"/>
    <w:rsid w:val="3EAA927A"/>
    <w:rsid w:val="3EBB6836"/>
    <w:rsid w:val="3ED0E93D"/>
    <w:rsid w:val="3ED56BB1"/>
    <w:rsid w:val="3EDE28BA"/>
    <w:rsid w:val="3EE2171E"/>
    <w:rsid w:val="3F08B5B8"/>
    <w:rsid w:val="3F0CFB9F"/>
    <w:rsid w:val="3F0D40A8"/>
    <w:rsid w:val="3F13E45E"/>
    <w:rsid w:val="3F22022C"/>
    <w:rsid w:val="3F4850AB"/>
    <w:rsid w:val="3F504251"/>
    <w:rsid w:val="3F5048CC"/>
    <w:rsid w:val="3F576C09"/>
    <w:rsid w:val="3F65B283"/>
    <w:rsid w:val="3F67A84D"/>
    <w:rsid w:val="3F76042B"/>
    <w:rsid w:val="3FADF9B3"/>
    <w:rsid w:val="3FB18DD7"/>
    <w:rsid w:val="3FD565BA"/>
    <w:rsid w:val="40042105"/>
    <w:rsid w:val="4007EDAF"/>
    <w:rsid w:val="40161C28"/>
    <w:rsid w:val="40383ED0"/>
    <w:rsid w:val="403CFE8B"/>
    <w:rsid w:val="4059B1E4"/>
    <w:rsid w:val="40718020"/>
    <w:rsid w:val="40764970"/>
    <w:rsid w:val="407C977E"/>
    <w:rsid w:val="407DE77F"/>
    <w:rsid w:val="409613BD"/>
    <w:rsid w:val="409F082B"/>
    <w:rsid w:val="40A98922"/>
    <w:rsid w:val="40EBDCE9"/>
    <w:rsid w:val="40FA6C9A"/>
    <w:rsid w:val="411317CA"/>
    <w:rsid w:val="411BC087"/>
    <w:rsid w:val="41272771"/>
    <w:rsid w:val="413F9E97"/>
    <w:rsid w:val="41844CE3"/>
    <w:rsid w:val="4188F21F"/>
    <w:rsid w:val="419D0C5A"/>
    <w:rsid w:val="41BBA685"/>
    <w:rsid w:val="41BBC3EF"/>
    <w:rsid w:val="41C0E60F"/>
    <w:rsid w:val="41CF37D9"/>
    <w:rsid w:val="41DF5B70"/>
    <w:rsid w:val="4206B905"/>
    <w:rsid w:val="4223143D"/>
    <w:rsid w:val="423C0233"/>
    <w:rsid w:val="42433683"/>
    <w:rsid w:val="426E0E0E"/>
    <w:rsid w:val="428F0CCB"/>
    <w:rsid w:val="42A6D0E8"/>
    <w:rsid w:val="42C7B005"/>
    <w:rsid w:val="43124E4B"/>
    <w:rsid w:val="431CD4FA"/>
    <w:rsid w:val="43213F81"/>
    <w:rsid w:val="4326DB81"/>
    <w:rsid w:val="43811178"/>
    <w:rsid w:val="4384BD8E"/>
    <w:rsid w:val="4390CD52"/>
    <w:rsid w:val="439506B4"/>
    <w:rsid w:val="43B82167"/>
    <w:rsid w:val="43B9A6A3"/>
    <w:rsid w:val="43DEA8FD"/>
    <w:rsid w:val="43F746CA"/>
    <w:rsid w:val="442CD56A"/>
    <w:rsid w:val="443923C9"/>
    <w:rsid w:val="445DE526"/>
    <w:rsid w:val="446F2C78"/>
    <w:rsid w:val="44764D5F"/>
    <w:rsid w:val="4494A7A9"/>
    <w:rsid w:val="44B96A6A"/>
    <w:rsid w:val="44D0533C"/>
    <w:rsid w:val="44D34A6D"/>
    <w:rsid w:val="44E184A8"/>
    <w:rsid w:val="44F32D20"/>
    <w:rsid w:val="450547D2"/>
    <w:rsid w:val="450A12E9"/>
    <w:rsid w:val="450BAFF3"/>
    <w:rsid w:val="451595B7"/>
    <w:rsid w:val="4536DD70"/>
    <w:rsid w:val="45447A64"/>
    <w:rsid w:val="45570C1A"/>
    <w:rsid w:val="456D5978"/>
    <w:rsid w:val="4570FC4B"/>
    <w:rsid w:val="4579A950"/>
    <w:rsid w:val="4594A5CF"/>
    <w:rsid w:val="459BE1BF"/>
    <w:rsid w:val="45C49E95"/>
    <w:rsid w:val="45C53AB9"/>
    <w:rsid w:val="45D1E915"/>
    <w:rsid w:val="45D92D7F"/>
    <w:rsid w:val="45E6234B"/>
    <w:rsid w:val="45E8A257"/>
    <w:rsid w:val="45F2AA14"/>
    <w:rsid w:val="45F5E856"/>
    <w:rsid w:val="45F8B968"/>
    <w:rsid w:val="4607B305"/>
    <w:rsid w:val="460B3567"/>
    <w:rsid w:val="46203437"/>
    <w:rsid w:val="46216747"/>
    <w:rsid w:val="462BF338"/>
    <w:rsid w:val="46323671"/>
    <w:rsid w:val="4636CFBC"/>
    <w:rsid w:val="463B1B89"/>
    <w:rsid w:val="464F8BC4"/>
    <w:rsid w:val="4653799D"/>
    <w:rsid w:val="465620A3"/>
    <w:rsid w:val="46915267"/>
    <w:rsid w:val="469CA504"/>
    <w:rsid w:val="46B81A40"/>
    <w:rsid w:val="46B8AE35"/>
    <w:rsid w:val="46BA75C9"/>
    <w:rsid w:val="46F9DA53"/>
    <w:rsid w:val="46FF2A30"/>
    <w:rsid w:val="4714F3A8"/>
    <w:rsid w:val="47183703"/>
    <w:rsid w:val="471E1ED4"/>
    <w:rsid w:val="47312A80"/>
    <w:rsid w:val="47439AD5"/>
    <w:rsid w:val="47513C9C"/>
    <w:rsid w:val="4768483E"/>
    <w:rsid w:val="4782CDA5"/>
    <w:rsid w:val="47837532"/>
    <w:rsid w:val="4783FB9A"/>
    <w:rsid w:val="47A0B527"/>
    <w:rsid w:val="47AF2F92"/>
    <w:rsid w:val="47B3FC8F"/>
    <w:rsid w:val="47BE52BD"/>
    <w:rsid w:val="47C8E93D"/>
    <w:rsid w:val="47CA1B66"/>
    <w:rsid w:val="47E01D65"/>
    <w:rsid w:val="47E54170"/>
    <w:rsid w:val="47E5BF6E"/>
    <w:rsid w:val="47E854E7"/>
    <w:rsid w:val="47F1E26A"/>
    <w:rsid w:val="47F3A439"/>
    <w:rsid w:val="47FB16ED"/>
    <w:rsid w:val="480156CC"/>
    <w:rsid w:val="4805D712"/>
    <w:rsid w:val="482D22C8"/>
    <w:rsid w:val="4830ED9D"/>
    <w:rsid w:val="4845B2B2"/>
    <w:rsid w:val="484BCA5C"/>
    <w:rsid w:val="48573685"/>
    <w:rsid w:val="4872227B"/>
    <w:rsid w:val="48758CF9"/>
    <w:rsid w:val="488EC8FB"/>
    <w:rsid w:val="489BF4AB"/>
    <w:rsid w:val="48B319DB"/>
    <w:rsid w:val="48C2F940"/>
    <w:rsid w:val="48C87960"/>
    <w:rsid w:val="48ECAA4D"/>
    <w:rsid w:val="49052182"/>
    <w:rsid w:val="49157211"/>
    <w:rsid w:val="491F69DC"/>
    <w:rsid w:val="49236323"/>
    <w:rsid w:val="49283ACE"/>
    <w:rsid w:val="49382CE4"/>
    <w:rsid w:val="49595780"/>
    <w:rsid w:val="495C8EC1"/>
    <w:rsid w:val="49783927"/>
    <w:rsid w:val="498B1A5F"/>
    <w:rsid w:val="49A6A4B9"/>
    <w:rsid w:val="49AD5141"/>
    <w:rsid w:val="49BBC574"/>
    <w:rsid w:val="49C105A3"/>
    <w:rsid w:val="49C28A83"/>
    <w:rsid w:val="49CF64D0"/>
    <w:rsid w:val="49E3007F"/>
    <w:rsid w:val="49F306E6"/>
    <w:rsid w:val="4A0902FD"/>
    <w:rsid w:val="4A15AD65"/>
    <w:rsid w:val="4A1A97F6"/>
    <w:rsid w:val="4A354F2C"/>
    <w:rsid w:val="4A4A7F2A"/>
    <w:rsid w:val="4A58A481"/>
    <w:rsid w:val="4A7996D2"/>
    <w:rsid w:val="4A7C0FD4"/>
    <w:rsid w:val="4A817125"/>
    <w:rsid w:val="4A993DBB"/>
    <w:rsid w:val="4AB78091"/>
    <w:rsid w:val="4ABB3A3D"/>
    <w:rsid w:val="4AC63579"/>
    <w:rsid w:val="4ACADDBD"/>
    <w:rsid w:val="4ACE9D9B"/>
    <w:rsid w:val="4AE2EF69"/>
    <w:rsid w:val="4AE516DF"/>
    <w:rsid w:val="4B26B8EA"/>
    <w:rsid w:val="4B3A7D8D"/>
    <w:rsid w:val="4B427A8C"/>
    <w:rsid w:val="4B43157E"/>
    <w:rsid w:val="4B51C24B"/>
    <w:rsid w:val="4B741195"/>
    <w:rsid w:val="4B781A1F"/>
    <w:rsid w:val="4B7C3A51"/>
    <w:rsid w:val="4B8AED7B"/>
    <w:rsid w:val="4BB71B79"/>
    <w:rsid w:val="4BBE87A0"/>
    <w:rsid w:val="4BD806B3"/>
    <w:rsid w:val="4C3688A9"/>
    <w:rsid w:val="4C404FA7"/>
    <w:rsid w:val="4C4C017D"/>
    <w:rsid w:val="4C5DFE62"/>
    <w:rsid w:val="4C6DE39A"/>
    <w:rsid w:val="4C738FF2"/>
    <w:rsid w:val="4C786F8B"/>
    <w:rsid w:val="4C93CF0C"/>
    <w:rsid w:val="4C9B34BC"/>
    <w:rsid w:val="4CBCDAE1"/>
    <w:rsid w:val="4CC2BB21"/>
    <w:rsid w:val="4CC2FFF1"/>
    <w:rsid w:val="4CC32BA4"/>
    <w:rsid w:val="4CCEB7FE"/>
    <w:rsid w:val="4CD0F01F"/>
    <w:rsid w:val="4CD25F99"/>
    <w:rsid w:val="4CDBAE98"/>
    <w:rsid w:val="4CDC3E95"/>
    <w:rsid w:val="4CDE6EBC"/>
    <w:rsid w:val="4CE16B65"/>
    <w:rsid w:val="4CE7E243"/>
    <w:rsid w:val="4CF5CABB"/>
    <w:rsid w:val="4D05E6CC"/>
    <w:rsid w:val="4D09830E"/>
    <w:rsid w:val="4D1A64FD"/>
    <w:rsid w:val="4D337810"/>
    <w:rsid w:val="4D4724EC"/>
    <w:rsid w:val="4D516E5C"/>
    <w:rsid w:val="4D588040"/>
    <w:rsid w:val="4D63943F"/>
    <w:rsid w:val="4D6A27A4"/>
    <w:rsid w:val="4D82EE7C"/>
    <w:rsid w:val="4DA34AAE"/>
    <w:rsid w:val="4DB9DC30"/>
    <w:rsid w:val="4DC2452C"/>
    <w:rsid w:val="4DDF0BD4"/>
    <w:rsid w:val="4DEE7E3C"/>
    <w:rsid w:val="4DF19457"/>
    <w:rsid w:val="4DF343D0"/>
    <w:rsid w:val="4E1615E6"/>
    <w:rsid w:val="4E16474C"/>
    <w:rsid w:val="4E1F6565"/>
    <w:rsid w:val="4E312DF7"/>
    <w:rsid w:val="4E3F9025"/>
    <w:rsid w:val="4E3FEEC2"/>
    <w:rsid w:val="4E56D495"/>
    <w:rsid w:val="4E5A8E3B"/>
    <w:rsid w:val="4E612594"/>
    <w:rsid w:val="4E752A72"/>
    <w:rsid w:val="4EAA03C8"/>
    <w:rsid w:val="4EBF996E"/>
    <w:rsid w:val="4EC3DAD1"/>
    <w:rsid w:val="4ECC0FA2"/>
    <w:rsid w:val="4EDB4110"/>
    <w:rsid w:val="4EE42342"/>
    <w:rsid w:val="4EE939E8"/>
    <w:rsid w:val="4EF465D7"/>
    <w:rsid w:val="4F020D73"/>
    <w:rsid w:val="4F32E76C"/>
    <w:rsid w:val="4F38E359"/>
    <w:rsid w:val="4F3B7084"/>
    <w:rsid w:val="4F57B818"/>
    <w:rsid w:val="4F6413CE"/>
    <w:rsid w:val="4F742600"/>
    <w:rsid w:val="4F7442D6"/>
    <w:rsid w:val="4F77D958"/>
    <w:rsid w:val="4F7F32D0"/>
    <w:rsid w:val="4F98EF50"/>
    <w:rsid w:val="4FA3ECB4"/>
    <w:rsid w:val="4FDD7A79"/>
    <w:rsid w:val="4FE9B23D"/>
    <w:rsid w:val="4FEB0EB2"/>
    <w:rsid w:val="502CF647"/>
    <w:rsid w:val="50349952"/>
    <w:rsid w:val="50400698"/>
    <w:rsid w:val="5042976A"/>
    <w:rsid w:val="5049A15A"/>
    <w:rsid w:val="504D0E92"/>
    <w:rsid w:val="505FBF2F"/>
    <w:rsid w:val="50634B04"/>
    <w:rsid w:val="5065504C"/>
    <w:rsid w:val="5086B8B1"/>
    <w:rsid w:val="50950DE3"/>
    <w:rsid w:val="5099A0D1"/>
    <w:rsid w:val="50AB3137"/>
    <w:rsid w:val="50B6559C"/>
    <w:rsid w:val="50BA4A98"/>
    <w:rsid w:val="50C54692"/>
    <w:rsid w:val="50EB9416"/>
    <w:rsid w:val="51013ACE"/>
    <w:rsid w:val="5104ABEA"/>
    <w:rsid w:val="5113FC26"/>
    <w:rsid w:val="51296D6A"/>
    <w:rsid w:val="5129CDF6"/>
    <w:rsid w:val="514AFAC3"/>
    <w:rsid w:val="51575775"/>
    <w:rsid w:val="51668683"/>
    <w:rsid w:val="51784E75"/>
    <w:rsid w:val="517DC398"/>
    <w:rsid w:val="51848258"/>
    <w:rsid w:val="51988E41"/>
    <w:rsid w:val="519A9A1C"/>
    <w:rsid w:val="51A75A25"/>
    <w:rsid w:val="51C17FFE"/>
    <w:rsid w:val="51C2C514"/>
    <w:rsid w:val="51C4926E"/>
    <w:rsid w:val="51C5D7C3"/>
    <w:rsid w:val="51F1D10A"/>
    <w:rsid w:val="51F9178E"/>
    <w:rsid w:val="5201B5B3"/>
    <w:rsid w:val="5216E0ED"/>
    <w:rsid w:val="522D4ABC"/>
    <w:rsid w:val="5230A200"/>
    <w:rsid w:val="5233EF24"/>
    <w:rsid w:val="523CAFE0"/>
    <w:rsid w:val="52673C4A"/>
    <w:rsid w:val="526B91D8"/>
    <w:rsid w:val="528064A7"/>
    <w:rsid w:val="5286641E"/>
    <w:rsid w:val="528BCFE7"/>
    <w:rsid w:val="52A31794"/>
    <w:rsid w:val="52A6EC8F"/>
    <w:rsid w:val="52A7D5E8"/>
    <w:rsid w:val="52ABDD1D"/>
    <w:rsid w:val="52B68D01"/>
    <w:rsid w:val="52C023A7"/>
    <w:rsid w:val="52E9B86F"/>
    <w:rsid w:val="52EBE7FF"/>
    <w:rsid w:val="52F7C478"/>
    <w:rsid w:val="52FFB1FE"/>
    <w:rsid w:val="53002CD0"/>
    <w:rsid w:val="53256558"/>
    <w:rsid w:val="532CC463"/>
    <w:rsid w:val="532DB244"/>
    <w:rsid w:val="533B1636"/>
    <w:rsid w:val="5347FFFB"/>
    <w:rsid w:val="5348BA3B"/>
    <w:rsid w:val="5355FD8F"/>
    <w:rsid w:val="535AE168"/>
    <w:rsid w:val="538F11E1"/>
    <w:rsid w:val="53BED8E1"/>
    <w:rsid w:val="53C07E0A"/>
    <w:rsid w:val="53E4EBF6"/>
    <w:rsid w:val="53EEB639"/>
    <w:rsid w:val="53F0B580"/>
    <w:rsid w:val="53F48223"/>
    <w:rsid w:val="5406588F"/>
    <w:rsid w:val="541D5F2A"/>
    <w:rsid w:val="543C1858"/>
    <w:rsid w:val="5442E565"/>
    <w:rsid w:val="5448FF8F"/>
    <w:rsid w:val="5460D5DB"/>
    <w:rsid w:val="5463F487"/>
    <w:rsid w:val="547483C2"/>
    <w:rsid w:val="5479573A"/>
    <w:rsid w:val="547C3CBF"/>
    <w:rsid w:val="547DA5B8"/>
    <w:rsid w:val="547F4115"/>
    <w:rsid w:val="548FB4F6"/>
    <w:rsid w:val="549FF680"/>
    <w:rsid w:val="54A15C64"/>
    <w:rsid w:val="54A1B99D"/>
    <w:rsid w:val="54A4603B"/>
    <w:rsid w:val="54A525A2"/>
    <w:rsid w:val="54A5BFAC"/>
    <w:rsid w:val="54A8715A"/>
    <w:rsid w:val="54B63A9B"/>
    <w:rsid w:val="54BE72DF"/>
    <w:rsid w:val="54DD0CDC"/>
    <w:rsid w:val="54E32DCD"/>
    <w:rsid w:val="54EDCD46"/>
    <w:rsid w:val="54EFBBA7"/>
    <w:rsid w:val="54F14AB1"/>
    <w:rsid w:val="55107A7E"/>
    <w:rsid w:val="5529E206"/>
    <w:rsid w:val="5536BC27"/>
    <w:rsid w:val="55496357"/>
    <w:rsid w:val="554FC3A4"/>
    <w:rsid w:val="556C1E0E"/>
    <w:rsid w:val="557CCD4C"/>
    <w:rsid w:val="5598E380"/>
    <w:rsid w:val="55AC408A"/>
    <w:rsid w:val="55B146A9"/>
    <w:rsid w:val="55B329FA"/>
    <w:rsid w:val="55C1ABF6"/>
    <w:rsid w:val="560611AF"/>
    <w:rsid w:val="560ABA68"/>
    <w:rsid w:val="561D93A3"/>
    <w:rsid w:val="561EE67C"/>
    <w:rsid w:val="5628266B"/>
    <w:rsid w:val="562F7810"/>
    <w:rsid w:val="56350D69"/>
    <w:rsid w:val="56368877"/>
    <w:rsid w:val="56394CDA"/>
    <w:rsid w:val="564ED800"/>
    <w:rsid w:val="5654182F"/>
    <w:rsid w:val="565830BA"/>
    <w:rsid w:val="56617E0B"/>
    <w:rsid w:val="56702E1A"/>
    <w:rsid w:val="5672311A"/>
    <w:rsid w:val="5678B274"/>
    <w:rsid w:val="5685A962"/>
    <w:rsid w:val="56A06D12"/>
    <w:rsid w:val="56ABFA32"/>
    <w:rsid w:val="56B1A9CF"/>
    <w:rsid w:val="56B96891"/>
    <w:rsid w:val="56C3DC2D"/>
    <w:rsid w:val="56C56C2F"/>
    <w:rsid w:val="56C69B31"/>
    <w:rsid w:val="56C874EE"/>
    <w:rsid w:val="56CB88E9"/>
    <w:rsid w:val="56F0A180"/>
    <w:rsid w:val="56F7E18D"/>
    <w:rsid w:val="56F93A41"/>
    <w:rsid w:val="56FC15A6"/>
    <w:rsid w:val="571C7BA5"/>
    <w:rsid w:val="5733B670"/>
    <w:rsid w:val="57436EAF"/>
    <w:rsid w:val="57451A1E"/>
    <w:rsid w:val="574810EB"/>
    <w:rsid w:val="575FC257"/>
    <w:rsid w:val="5764E934"/>
    <w:rsid w:val="5781C150"/>
    <w:rsid w:val="578F7798"/>
    <w:rsid w:val="57934279"/>
    <w:rsid w:val="57A19893"/>
    <w:rsid w:val="57AC3150"/>
    <w:rsid w:val="57ACA179"/>
    <w:rsid w:val="57C0A359"/>
    <w:rsid w:val="57C194B6"/>
    <w:rsid w:val="57C57C95"/>
    <w:rsid w:val="57C938B1"/>
    <w:rsid w:val="57CDA8AB"/>
    <w:rsid w:val="57F4A32B"/>
    <w:rsid w:val="58212556"/>
    <w:rsid w:val="58258625"/>
    <w:rsid w:val="5831E914"/>
    <w:rsid w:val="58376B3F"/>
    <w:rsid w:val="5837FAF0"/>
    <w:rsid w:val="5841D61C"/>
    <w:rsid w:val="584264B8"/>
    <w:rsid w:val="58513424"/>
    <w:rsid w:val="5853BD98"/>
    <w:rsid w:val="585D1B97"/>
    <w:rsid w:val="585F9474"/>
    <w:rsid w:val="586DC5F9"/>
    <w:rsid w:val="587998DB"/>
    <w:rsid w:val="587B2D09"/>
    <w:rsid w:val="587CB476"/>
    <w:rsid w:val="587E9BCB"/>
    <w:rsid w:val="58854829"/>
    <w:rsid w:val="58B47085"/>
    <w:rsid w:val="58E51103"/>
    <w:rsid w:val="58E71B11"/>
    <w:rsid w:val="5903B214"/>
    <w:rsid w:val="590E93F7"/>
    <w:rsid w:val="59109BC4"/>
    <w:rsid w:val="59147E0A"/>
    <w:rsid w:val="59199D18"/>
    <w:rsid w:val="591D91B1"/>
    <w:rsid w:val="59324EDB"/>
    <w:rsid w:val="59505270"/>
    <w:rsid w:val="595E4FA9"/>
    <w:rsid w:val="597F92C4"/>
    <w:rsid w:val="5997F0D8"/>
    <w:rsid w:val="59A01034"/>
    <w:rsid w:val="59AEBE01"/>
    <w:rsid w:val="59B9E539"/>
    <w:rsid w:val="59E7364F"/>
    <w:rsid w:val="59F3C3FA"/>
    <w:rsid w:val="59FDDF0E"/>
    <w:rsid w:val="5A20AD40"/>
    <w:rsid w:val="5A20F359"/>
    <w:rsid w:val="5A24B709"/>
    <w:rsid w:val="5A2BD09D"/>
    <w:rsid w:val="5A376842"/>
    <w:rsid w:val="5A3D29F0"/>
    <w:rsid w:val="5A53D354"/>
    <w:rsid w:val="5A7D948F"/>
    <w:rsid w:val="5A7F0505"/>
    <w:rsid w:val="5AB36151"/>
    <w:rsid w:val="5ADF599E"/>
    <w:rsid w:val="5AF1283B"/>
    <w:rsid w:val="5B02AB02"/>
    <w:rsid w:val="5B21D1EE"/>
    <w:rsid w:val="5B237198"/>
    <w:rsid w:val="5B2E1826"/>
    <w:rsid w:val="5B3136CF"/>
    <w:rsid w:val="5B317C08"/>
    <w:rsid w:val="5B31BFB2"/>
    <w:rsid w:val="5B42A10D"/>
    <w:rsid w:val="5B50D105"/>
    <w:rsid w:val="5B5C9A04"/>
    <w:rsid w:val="5B784333"/>
    <w:rsid w:val="5B919013"/>
    <w:rsid w:val="5B923A8A"/>
    <w:rsid w:val="5BA79BDA"/>
    <w:rsid w:val="5BACEA24"/>
    <w:rsid w:val="5BBF1B9A"/>
    <w:rsid w:val="5BD65D54"/>
    <w:rsid w:val="5BE09FC1"/>
    <w:rsid w:val="5BE1A64E"/>
    <w:rsid w:val="5BF6472A"/>
    <w:rsid w:val="5BFE4EED"/>
    <w:rsid w:val="5C003C93"/>
    <w:rsid w:val="5C1E2B72"/>
    <w:rsid w:val="5C286AFE"/>
    <w:rsid w:val="5C2C5FB8"/>
    <w:rsid w:val="5C33337A"/>
    <w:rsid w:val="5C3C4EF5"/>
    <w:rsid w:val="5C4DC974"/>
    <w:rsid w:val="5C531052"/>
    <w:rsid w:val="5C54CBDF"/>
    <w:rsid w:val="5C74CC0D"/>
    <w:rsid w:val="5C98CCC6"/>
    <w:rsid w:val="5CA47A95"/>
    <w:rsid w:val="5CA5648F"/>
    <w:rsid w:val="5CACEAF4"/>
    <w:rsid w:val="5CAFFA48"/>
    <w:rsid w:val="5CB09A1C"/>
    <w:rsid w:val="5CB15886"/>
    <w:rsid w:val="5CB8CCB2"/>
    <w:rsid w:val="5CC096C0"/>
    <w:rsid w:val="5CC7723E"/>
    <w:rsid w:val="5CC9DB6D"/>
    <w:rsid w:val="5CCE2A1E"/>
    <w:rsid w:val="5CE64A97"/>
    <w:rsid w:val="5CF04609"/>
    <w:rsid w:val="5CF0F29E"/>
    <w:rsid w:val="5D076762"/>
    <w:rsid w:val="5D1ED711"/>
    <w:rsid w:val="5D23293C"/>
    <w:rsid w:val="5D239851"/>
    <w:rsid w:val="5D282462"/>
    <w:rsid w:val="5D49344E"/>
    <w:rsid w:val="5D521CBD"/>
    <w:rsid w:val="5D54753C"/>
    <w:rsid w:val="5D747CE6"/>
    <w:rsid w:val="5D7C2B19"/>
    <w:rsid w:val="5D8708DF"/>
    <w:rsid w:val="5D930CA4"/>
    <w:rsid w:val="5DCCF86F"/>
    <w:rsid w:val="5DD8DF9A"/>
    <w:rsid w:val="5DE24290"/>
    <w:rsid w:val="5DF013AB"/>
    <w:rsid w:val="5E0EBDDB"/>
    <w:rsid w:val="5E0FE3A4"/>
    <w:rsid w:val="5E2CDD34"/>
    <w:rsid w:val="5E45F413"/>
    <w:rsid w:val="5E560EC7"/>
    <w:rsid w:val="5E5EB335"/>
    <w:rsid w:val="5E716188"/>
    <w:rsid w:val="5E95F0B4"/>
    <w:rsid w:val="5ED74223"/>
    <w:rsid w:val="5EDCA24E"/>
    <w:rsid w:val="5EE67C3C"/>
    <w:rsid w:val="5EEBC424"/>
    <w:rsid w:val="5EED5E12"/>
    <w:rsid w:val="5F0BF017"/>
    <w:rsid w:val="5F3159E3"/>
    <w:rsid w:val="5F45FEF5"/>
    <w:rsid w:val="5F55A3D4"/>
    <w:rsid w:val="5F59A499"/>
    <w:rsid w:val="5F73EFB7"/>
    <w:rsid w:val="5F87CC52"/>
    <w:rsid w:val="5F8CB7E8"/>
    <w:rsid w:val="5F991516"/>
    <w:rsid w:val="5F9CCCEE"/>
    <w:rsid w:val="5FA1B38F"/>
    <w:rsid w:val="5FA6F6C9"/>
    <w:rsid w:val="5FCA086D"/>
    <w:rsid w:val="5FD26F14"/>
    <w:rsid w:val="5FD7C386"/>
    <w:rsid w:val="5FE06D35"/>
    <w:rsid w:val="5FE65462"/>
    <w:rsid w:val="5FEC27EC"/>
    <w:rsid w:val="5FFFD1E0"/>
    <w:rsid w:val="6000E0DC"/>
    <w:rsid w:val="602DF3F3"/>
    <w:rsid w:val="602F1CDE"/>
    <w:rsid w:val="60380F47"/>
    <w:rsid w:val="603A73CC"/>
    <w:rsid w:val="603D4F76"/>
    <w:rsid w:val="603DC655"/>
    <w:rsid w:val="6041FB5C"/>
    <w:rsid w:val="604C2850"/>
    <w:rsid w:val="604C9157"/>
    <w:rsid w:val="604ECF56"/>
    <w:rsid w:val="605447AC"/>
    <w:rsid w:val="60655E15"/>
    <w:rsid w:val="6074FDF8"/>
    <w:rsid w:val="607D128A"/>
    <w:rsid w:val="608F1537"/>
    <w:rsid w:val="609EC3D3"/>
    <w:rsid w:val="60A22250"/>
    <w:rsid w:val="60A28E53"/>
    <w:rsid w:val="60B8D617"/>
    <w:rsid w:val="60CF13B4"/>
    <w:rsid w:val="60D2B197"/>
    <w:rsid w:val="60D4E8B6"/>
    <w:rsid w:val="60D616C6"/>
    <w:rsid w:val="60DC0F93"/>
    <w:rsid w:val="60E84994"/>
    <w:rsid w:val="60F6DCC4"/>
    <w:rsid w:val="61046780"/>
    <w:rsid w:val="6105C941"/>
    <w:rsid w:val="6142C41F"/>
    <w:rsid w:val="61469F6B"/>
    <w:rsid w:val="614D9C35"/>
    <w:rsid w:val="614F2DDC"/>
    <w:rsid w:val="615D107A"/>
    <w:rsid w:val="615D35E4"/>
    <w:rsid w:val="616260F1"/>
    <w:rsid w:val="616945F0"/>
    <w:rsid w:val="616A8720"/>
    <w:rsid w:val="6175612E"/>
    <w:rsid w:val="6180DE9E"/>
    <w:rsid w:val="61823D76"/>
    <w:rsid w:val="61B21D58"/>
    <w:rsid w:val="61B9191C"/>
    <w:rsid w:val="61DBFF04"/>
    <w:rsid w:val="62349FBD"/>
    <w:rsid w:val="623E3185"/>
    <w:rsid w:val="623EA66E"/>
    <w:rsid w:val="623FFBF0"/>
    <w:rsid w:val="62446F60"/>
    <w:rsid w:val="624D0869"/>
    <w:rsid w:val="6261C7CF"/>
    <w:rsid w:val="6265D781"/>
    <w:rsid w:val="627917DF"/>
    <w:rsid w:val="6282761A"/>
    <w:rsid w:val="628B2F0D"/>
    <w:rsid w:val="628C290F"/>
    <w:rsid w:val="62916BFD"/>
    <w:rsid w:val="62A46C00"/>
    <w:rsid w:val="62AC2BF7"/>
    <w:rsid w:val="62B63150"/>
    <w:rsid w:val="62B8E68D"/>
    <w:rsid w:val="62E26FCC"/>
    <w:rsid w:val="62EB8B47"/>
    <w:rsid w:val="62F3B1C3"/>
    <w:rsid w:val="631531BA"/>
    <w:rsid w:val="63155B20"/>
    <w:rsid w:val="63206834"/>
    <w:rsid w:val="6326750A"/>
    <w:rsid w:val="633A43B4"/>
    <w:rsid w:val="633B3FD3"/>
    <w:rsid w:val="633F25B7"/>
    <w:rsid w:val="63435F2F"/>
    <w:rsid w:val="6343A438"/>
    <w:rsid w:val="634BC394"/>
    <w:rsid w:val="63577D3F"/>
    <w:rsid w:val="635D08D9"/>
    <w:rsid w:val="63614850"/>
    <w:rsid w:val="6386AC5C"/>
    <w:rsid w:val="638DCF99"/>
    <w:rsid w:val="6397AAEF"/>
    <w:rsid w:val="639BF550"/>
    <w:rsid w:val="639CA1F8"/>
    <w:rsid w:val="63B52435"/>
    <w:rsid w:val="63D536A0"/>
    <w:rsid w:val="63EB11F2"/>
    <w:rsid w:val="63F676D9"/>
    <w:rsid w:val="63F82E97"/>
    <w:rsid w:val="640A5A81"/>
    <w:rsid w:val="640E2D93"/>
    <w:rsid w:val="64314A57"/>
    <w:rsid w:val="64539190"/>
    <w:rsid w:val="6466EF7A"/>
    <w:rsid w:val="6468A324"/>
    <w:rsid w:val="646BE26A"/>
    <w:rsid w:val="6478485D"/>
    <w:rsid w:val="64787096"/>
    <w:rsid w:val="6487D84D"/>
    <w:rsid w:val="648AAE07"/>
    <w:rsid w:val="64B23889"/>
    <w:rsid w:val="64B95BC6"/>
    <w:rsid w:val="64E5382E"/>
    <w:rsid w:val="64EDD694"/>
    <w:rsid w:val="64F0D15F"/>
    <w:rsid w:val="64FB9BC1"/>
    <w:rsid w:val="6505B2B7"/>
    <w:rsid w:val="65139FC6"/>
    <w:rsid w:val="65252958"/>
    <w:rsid w:val="652F83A3"/>
    <w:rsid w:val="653D1E8E"/>
    <w:rsid w:val="655B377E"/>
    <w:rsid w:val="65626194"/>
    <w:rsid w:val="6572A40B"/>
    <w:rsid w:val="657ECDDF"/>
    <w:rsid w:val="65959310"/>
    <w:rsid w:val="65A2B876"/>
    <w:rsid w:val="65C4DC84"/>
    <w:rsid w:val="65D0D668"/>
    <w:rsid w:val="65D5E2C3"/>
    <w:rsid w:val="65DEA4FD"/>
    <w:rsid w:val="65E1CB5D"/>
    <w:rsid w:val="6608AB93"/>
    <w:rsid w:val="661FE4A0"/>
    <w:rsid w:val="662A99B0"/>
    <w:rsid w:val="66331080"/>
    <w:rsid w:val="6635C23A"/>
    <w:rsid w:val="664167E2"/>
    <w:rsid w:val="664AAAEA"/>
    <w:rsid w:val="665054BC"/>
    <w:rsid w:val="66545382"/>
    <w:rsid w:val="66569880"/>
    <w:rsid w:val="665B6970"/>
    <w:rsid w:val="66854152"/>
    <w:rsid w:val="6689283F"/>
    <w:rsid w:val="668EDC8C"/>
    <w:rsid w:val="669647CA"/>
    <w:rsid w:val="669F9025"/>
    <w:rsid w:val="66BDD68E"/>
    <w:rsid w:val="66C8ADE7"/>
    <w:rsid w:val="66CABC10"/>
    <w:rsid w:val="66EAF6DF"/>
    <w:rsid w:val="66F305AE"/>
    <w:rsid w:val="66FD57F8"/>
    <w:rsid w:val="67047BEC"/>
    <w:rsid w:val="6716426F"/>
    <w:rsid w:val="67250180"/>
    <w:rsid w:val="672E54EE"/>
    <w:rsid w:val="67348D3F"/>
    <w:rsid w:val="673DC48D"/>
    <w:rsid w:val="6741F31B"/>
    <w:rsid w:val="67677869"/>
    <w:rsid w:val="67B205A3"/>
    <w:rsid w:val="67D0C2D1"/>
    <w:rsid w:val="67D6EBED"/>
    <w:rsid w:val="67D93A09"/>
    <w:rsid w:val="67F1283C"/>
    <w:rsid w:val="67F4D183"/>
    <w:rsid w:val="6809A801"/>
    <w:rsid w:val="68131571"/>
    <w:rsid w:val="6829F8CF"/>
    <w:rsid w:val="6830AAA9"/>
    <w:rsid w:val="6859D82A"/>
    <w:rsid w:val="6861BB8E"/>
    <w:rsid w:val="686B56A0"/>
    <w:rsid w:val="687D10C3"/>
    <w:rsid w:val="68A8B59C"/>
    <w:rsid w:val="68B8B285"/>
    <w:rsid w:val="68BB72AE"/>
    <w:rsid w:val="68C48E29"/>
    <w:rsid w:val="68C7C765"/>
    <w:rsid w:val="68F46FA0"/>
    <w:rsid w:val="68F5BD13"/>
    <w:rsid w:val="68F80CD8"/>
    <w:rsid w:val="69232BA9"/>
    <w:rsid w:val="693AB3D8"/>
    <w:rsid w:val="69495BDD"/>
    <w:rsid w:val="695436CE"/>
    <w:rsid w:val="695C2A79"/>
    <w:rsid w:val="6990A1E4"/>
    <w:rsid w:val="69947D30"/>
    <w:rsid w:val="69972A43"/>
    <w:rsid w:val="69D19CA0"/>
    <w:rsid w:val="69F5C267"/>
    <w:rsid w:val="6A1F6C93"/>
    <w:rsid w:val="6A31FB83"/>
    <w:rsid w:val="6A36BCB9"/>
    <w:rsid w:val="6A608EBB"/>
    <w:rsid w:val="6A7E1FC6"/>
    <w:rsid w:val="6A807EF3"/>
    <w:rsid w:val="6AB606C9"/>
    <w:rsid w:val="6AB75FC8"/>
    <w:rsid w:val="6AC3D01F"/>
    <w:rsid w:val="6ACBD068"/>
    <w:rsid w:val="6ACF1925"/>
    <w:rsid w:val="6AD8C649"/>
    <w:rsid w:val="6AE0FAC5"/>
    <w:rsid w:val="6AE7B4BB"/>
    <w:rsid w:val="6AF6DA6B"/>
    <w:rsid w:val="6B1B05AD"/>
    <w:rsid w:val="6B3E51AB"/>
    <w:rsid w:val="6B414178"/>
    <w:rsid w:val="6B74FF77"/>
    <w:rsid w:val="6B8069C6"/>
    <w:rsid w:val="6B8D6FC3"/>
    <w:rsid w:val="6B95D4CA"/>
    <w:rsid w:val="6BA615AE"/>
    <w:rsid w:val="6BB7DC67"/>
    <w:rsid w:val="6BBD823B"/>
    <w:rsid w:val="6BC2C267"/>
    <w:rsid w:val="6BD3A6CB"/>
    <w:rsid w:val="6BDDE4B3"/>
    <w:rsid w:val="6BE4C8D9"/>
    <w:rsid w:val="6C022AD8"/>
    <w:rsid w:val="6C1259D7"/>
    <w:rsid w:val="6C1C4F54"/>
    <w:rsid w:val="6C1E10A4"/>
    <w:rsid w:val="6C2126BA"/>
    <w:rsid w:val="6C253E79"/>
    <w:rsid w:val="6C27DDB5"/>
    <w:rsid w:val="6C354B5B"/>
    <w:rsid w:val="6C3C1A50"/>
    <w:rsid w:val="6C3DFA8F"/>
    <w:rsid w:val="6C50DB0B"/>
    <w:rsid w:val="6C53BE55"/>
    <w:rsid w:val="6C5B1785"/>
    <w:rsid w:val="6C7471B8"/>
    <w:rsid w:val="6C81FF94"/>
    <w:rsid w:val="6C84F25F"/>
    <w:rsid w:val="6CAFE838"/>
    <w:rsid w:val="6CB3A30E"/>
    <w:rsid w:val="6CB41E0A"/>
    <w:rsid w:val="6CC77C50"/>
    <w:rsid w:val="6CEC93C2"/>
    <w:rsid w:val="6D243844"/>
    <w:rsid w:val="6D27A28A"/>
    <w:rsid w:val="6D294024"/>
    <w:rsid w:val="6D4ACECE"/>
    <w:rsid w:val="6D705A82"/>
    <w:rsid w:val="6D8C3CDD"/>
    <w:rsid w:val="6D8DE395"/>
    <w:rsid w:val="6D90A61C"/>
    <w:rsid w:val="6DA57E07"/>
    <w:rsid w:val="6DA99FE3"/>
    <w:rsid w:val="6DAE5509"/>
    <w:rsid w:val="6DAF46F9"/>
    <w:rsid w:val="6DC42252"/>
    <w:rsid w:val="6DCB23EC"/>
    <w:rsid w:val="6DCBC317"/>
    <w:rsid w:val="6DD36B81"/>
    <w:rsid w:val="6DD93B18"/>
    <w:rsid w:val="6DECF394"/>
    <w:rsid w:val="6DFB29E8"/>
    <w:rsid w:val="6E040710"/>
    <w:rsid w:val="6E06ABCC"/>
    <w:rsid w:val="6E09C779"/>
    <w:rsid w:val="6E1927CB"/>
    <w:rsid w:val="6E1D0317"/>
    <w:rsid w:val="6E283769"/>
    <w:rsid w:val="6E296A76"/>
    <w:rsid w:val="6E464AE9"/>
    <w:rsid w:val="6E4AA1DD"/>
    <w:rsid w:val="6E670B57"/>
    <w:rsid w:val="6E69DBF9"/>
    <w:rsid w:val="6E74C632"/>
    <w:rsid w:val="6E8A51C9"/>
    <w:rsid w:val="6EA515F3"/>
    <w:rsid w:val="6EA5463B"/>
    <w:rsid w:val="6EB72192"/>
    <w:rsid w:val="6EC40B1A"/>
    <w:rsid w:val="6EDF4E24"/>
    <w:rsid w:val="6EE274FB"/>
    <w:rsid w:val="6EE6ED83"/>
    <w:rsid w:val="6EFD319E"/>
    <w:rsid w:val="6F00111F"/>
    <w:rsid w:val="6F0461FC"/>
    <w:rsid w:val="6F0C2AE3"/>
    <w:rsid w:val="6F226FF6"/>
    <w:rsid w:val="6F360CCA"/>
    <w:rsid w:val="6F37CB7D"/>
    <w:rsid w:val="6F39EA26"/>
    <w:rsid w:val="6F41CA09"/>
    <w:rsid w:val="6F5273B3"/>
    <w:rsid w:val="6F594C4A"/>
    <w:rsid w:val="6F6F7EA6"/>
    <w:rsid w:val="6F752B17"/>
    <w:rsid w:val="6F857FB6"/>
    <w:rsid w:val="6F878BF0"/>
    <w:rsid w:val="6F936987"/>
    <w:rsid w:val="6FA198C1"/>
    <w:rsid w:val="6FA82807"/>
    <w:rsid w:val="6FB9EC6F"/>
    <w:rsid w:val="6FC182AC"/>
    <w:rsid w:val="6FCE2089"/>
    <w:rsid w:val="6FD0AF1A"/>
    <w:rsid w:val="6FD63FE5"/>
    <w:rsid w:val="6FDB8665"/>
    <w:rsid w:val="6FE80988"/>
    <w:rsid w:val="6FF5DCB7"/>
    <w:rsid w:val="6FF77D21"/>
    <w:rsid w:val="6FFF9EDF"/>
    <w:rsid w:val="7003BEB4"/>
    <w:rsid w:val="7013A730"/>
    <w:rsid w:val="7019C2DB"/>
    <w:rsid w:val="701DCC3C"/>
    <w:rsid w:val="701EC85B"/>
    <w:rsid w:val="7026028C"/>
    <w:rsid w:val="7048E74F"/>
    <w:rsid w:val="704BCAC3"/>
    <w:rsid w:val="705D3FD6"/>
    <w:rsid w:val="70614FFB"/>
    <w:rsid w:val="7085837D"/>
    <w:rsid w:val="70864371"/>
    <w:rsid w:val="7099542C"/>
    <w:rsid w:val="709FD17A"/>
    <w:rsid w:val="70A3EA05"/>
    <w:rsid w:val="70A74C41"/>
    <w:rsid w:val="70B835FD"/>
    <w:rsid w:val="70C342BC"/>
    <w:rsid w:val="70C705E0"/>
    <w:rsid w:val="70CCF93C"/>
    <w:rsid w:val="70DF7B36"/>
    <w:rsid w:val="70E2267B"/>
    <w:rsid w:val="711DC844"/>
    <w:rsid w:val="7127E458"/>
    <w:rsid w:val="712E31D5"/>
    <w:rsid w:val="7145C5BD"/>
    <w:rsid w:val="71505D5C"/>
    <w:rsid w:val="71777BA6"/>
    <w:rsid w:val="717EF4D5"/>
    <w:rsid w:val="7191D1F8"/>
    <w:rsid w:val="719FA9F3"/>
    <w:rsid w:val="71A658A8"/>
    <w:rsid w:val="71B3673B"/>
    <w:rsid w:val="71C1D2ED"/>
    <w:rsid w:val="71C24202"/>
    <w:rsid w:val="71C5D489"/>
    <w:rsid w:val="71D66440"/>
    <w:rsid w:val="71E5B3CF"/>
    <w:rsid w:val="71E8E3E6"/>
    <w:rsid w:val="71EEC254"/>
    <w:rsid w:val="71F7DDCF"/>
    <w:rsid w:val="71FA499E"/>
    <w:rsid w:val="720003A6"/>
    <w:rsid w:val="7215DEE3"/>
    <w:rsid w:val="7218FBF9"/>
    <w:rsid w:val="722AEC44"/>
    <w:rsid w:val="7235D188"/>
    <w:rsid w:val="7237995D"/>
    <w:rsid w:val="723AA869"/>
    <w:rsid w:val="725CED87"/>
    <w:rsid w:val="726CD49D"/>
    <w:rsid w:val="727DF6DC"/>
    <w:rsid w:val="7287CCF2"/>
    <w:rsid w:val="728A2819"/>
    <w:rsid w:val="7297F986"/>
    <w:rsid w:val="72A8E718"/>
    <w:rsid w:val="72BCDBAF"/>
    <w:rsid w:val="72C1011C"/>
    <w:rsid w:val="72E5FDA8"/>
    <w:rsid w:val="73016647"/>
    <w:rsid w:val="731432F6"/>
    <w:rsid w:val="733F53EE"/>
    <w:rsid w:val="7346FD9F"/>
    <w:rsid w:val="735F0E82"/>
    <w:rsid w:val="7366A616"/>
    <w:rsid w:val="736A576C"/>
    <w:rsid w:val="736B5685"/>
    <w:rsid w:val="7371FA9F"/>
    <w:rsid w:val="73804E9A"/>
    <w:rsid w:val="738BDE79"/>
    <w:rsid w:val="739B2866"/>
    <w:rsid w:val="739E2569"/>
    <w:rsid w:val="739EF265"/>
    <w:rsid w:val="73A19EF4"/>
    <w:rsid w:val="73B13DBE"/>
    <w:rsid w:val="73B38404"/>
    <w:rsid w:val="73BB3075"/>
    <w:rsid w:val="73C2D2A4"/>
    <w:rsid w:val="73CAEB85"/>
    <w:rsid w:val="73D2142E"/>
    <w:rsid w:val="73FD2519"/>
    <w:rsid w:val="74047A2C"/>
    <w:rsid w:val="74051D61"/>
    <w:rsid w:val="74284EF7"/>
    <w:rsid w:val="742B58F8"/>
    <w:rsid w:val="74339C42"/>
    <w:rsid w:val="7443C0B2"/>
    <w:rsid w:val="7481062E"/>
    <w:rsid w:val="749088AB"/>
    <w:rsid w:val="74C1A2D5"/>
    <w:rsid w:val="74C57322"/>
    <w:rsid w:val="74D1695E"/>
    <w:rsid w:val="74D3548B"/>
    <w:rsid w:val="74F072CC"/>
    <w:rsid w:val="752E25DC"/>
    <w:rsid w:val="75400CC0"/>
    <w:rsid w:val="7546704C"/>
    <w:rsid w:val="756B2341"/>
    <w:rsid w:val="7571B80E"/>
    <w:rsid w:val="757C7CEA"/>
    <w:rsid w:val="757F2C62"/>
    <w:rsid w:val="759B2C18"/>
    <w:rsid w:val="75BD06D1"/>
    <w:rsid w:val="75D56EE1"/>
    <w:rsid w:val="75D80D4C"/>
    <w:rsid w:val="75E090BF"/>
    <w:rsid w:val="75FB6C22"/>
    <w:rsid w:val="7603459C"/>
    <w:rsid w:val="76240E4D"/>
    <w:rsid w:val="762DDE58"/>
    <w:rsid w:val="763386B7"/>
    <w:rsid w:val="763A5268"/>
    <w:rsid w:val="765A8554"/>
    <w:rsid w:val="76633095"/>
    <w:rsid w:val="766A774C"/>
    <w:rsid w:val="7676DB19"/>
    <w:rsid w:val="767E11AE"/>
    <w:rsid w:val="767EECC5"/>
    <w:rsid w:val="768D93C9"/>
    <w:rsid w:val="7693CA9A"/>
    <w:rsid w:val="76940811"/>
    <w:rsid w:val="769C571D"/>
    <w:rsid w:val="769E78AE"/>
    <w:rsid w:val="769F4E21"/>
    <w:rsid w:val="76A0EBBE"/>
    <w:rsid w:val="76A8656A"/>
    <w:rsid w:val="76D8B5C5"/>
    <w:rsid w:val="77066945"/>
    <w:rsid w:val="7708264C"/>
    <w:rsid w:val="770F1D6C"/>
    <w:rsid w:val="77111EDA"/>
    <w:rsid w:val="77353F2B"/>
    <w:rsid w:val="774BFBA0"/>
    <w:rsid w:val="77545802"/>
    <w:rsid w:val="7769E33C"/>
    <w:rsid w:val="77A1A185"/>
    <w:rsid w:val="77A52FCE"/>
    <w:rsid w:val="77AA5442"/>
    <w:rsid w:val="77AC9773"/>
    <w:rsid w:val="77BAC9E2"/>
    <w:rsid w:val="77BD6ED4"/>
    <w:rsid w:val="77C44A0C"/>
    <w:rsid w:val="77CBAB8E"/>
    <w:rsid w:val="77D79E59"/>
    <w:rsid w:val="77D9D02D"/>
    <w:rsid w:val="77DFC331"/>
    <w:rsid w:val="77E751A8"/>
    <w:rsid w:val="77F804F7"/>
    <w:rsid w:val="77FD0133"/>
    <w:rsid w:val="7800EE9C"/>
    <w:rsid w:val="78025F12"/>
    <w:rsid w:val="7802D8F8"/>
    <w:rsid w:val="782888CE"/>
    <w:rsid w:val="78392195"/>
    <w:rsid w:val="7845AB32"/>
    <w:rsid w:val="78519C79"/>
    <w:rsid w:val="7858B9B5"/>
    <w:rsid w:val="78B2D0E5"/>
    <w:rsid w:val="78B71B46"/>
    <w:rsid w:val="78CAB81A"/>
    <w:rsid w:val="78D00596"/>
    <w:rsid w:val="78D1CA82"/>
    <w:rsid w:val="78D217C5"/>
    <w:rsid w:val="78E607FE"/>
    <w:rsid w:val="78F57201"/>
    <w:rsid w:val="78FB5B46"/>
    <w:rsid w:val="7900E509"/>
    <w:rsid w:val="7902869D"/>
    <w:rsid w:val="791E233C"/>
    <w:rsid w:val="792EFFB5"/>
    <w:rsid w:val="794EACBD"/>
    <w:rsid w:val="7950AF6D"/>
    <w:rsid w:val="79604596"/>
    <w:rsid w:val="796752A8"/>
    <w:rsid w:val="796C2398"/>
    <w:rsid w:val="797CBC18"/>
    <w:rsid w:val="7982A980"/>
    <w:rsid w:val="798B4386"/>
    <w:rsid w:val="7992B1FB"/>
    <w:rsid w:val="79B5B22B"/>
    <w:rsid w:val="79BAB0DE"/>
    <w:rsid w:val="79CDFA14"/>
    <w:rsid w:val="79DC3042"/>
    <w:rsid w:val="79F68855"/>
    <w:rsid w:val="7A03CC28"/>
    <w:rsid w:val="7A1E864D"/>
    <w:rsid w:val="7A1F6CF8"/>
    <w:rsid w:val="7A270A57"/>
    <w:rsid w:val="7A2A80B1"/>
    <w:rsid w:val="7A3578E9"/>
    <w:rsid w:val="7A3B03CB"/>
    <w:rsid w:val="7A48BFAA"/>
    <w:rsid w:val="7A52EBA7"/>
    <w:rsid w:val="7A5DFF60"/>
    <w:rsid w:val="7A661EBC"/>
    <w:rsid w:val="7A75545F"/>
    <w:rsid w:val="7A7C5D54"/>
    <w:rsid w:val="7A80F4DC"/>
    <w:rsid w:val="7AABC378"/>
    <w:rsid w:val="7AB3CC9F"/>
    <w:rsid w:val="7AD626AC"/>
    <w:rsid w:val="7AD85C48"/>
    <w:rsid w:val="7AE2636B"/>
    <w:rsid w:val="7B06768D"/>
    <w:rsid w:val="7B109E15"/>
    <w:rsid w:val="7B193D53"/>
    <w:rsid w:val="7B1DB55E"/>
    <w:rsid w:val="7B1E43A4"/>
    <w:rsid w:val="7B3903B5"/>
    <w:rsid w:val="7B3F32FC"/>
    <w:rsid w:val="7B495380"/>
    <w:rsid w:val="7B57E971"/>
    <w:rsid w:val="7B6DB09C"/>
    <w:rsid w:val="7B786558"/>
    <w:rsid w:val="7B795CAF"/>
    <w:rsid w:val="7B84798B"/>
    <w:rsid w:val="7B9EBD36"/>
    <w:rsid w:val="7BA0AEF1"/>
    <w:rsid w:val="7BB172CA"/>
    <w:rsid w:val="7BEE4CF3"/>
    <w:rsid w:val="7BF8842B"/>
    <w:rsid w:val="7BFE9CD4"/>
    <w:rsid w:val="7C10957F"/>
    <w:rsid w:val="7C1220DF"/>
    <w:rsid w:val="7C185AC3"/>
    <w:rsid w:val="7C19DE1C"/>
    <w:rsid w:val="7C203B74"/>
    <w:rsid w:val="7C203C28"/>
    <w:rsid w:val="7C22B4B4"/>
    <w:rsid w:val="7C334112"/>
    <w:rsid w:val="7C34968D"/>
    <w:rsid w:val="7C34A475"/>
    <w:rsid w:val="7C3E082A"/>
    <w:rsid w:val="7C470704"/>
    <w:rsid w:val="7C5DB7E5"/>
    <w:rsid w:val="7C610312"/>
    <w:rsid w:val="7C67DBC6"/>
    <w:rsid w:val="7C681FD4"/>
    <w:rsid w:val="7C6DCC20"/>
    <w:rsid w:val="7C6F332D"/>
    <w:rsid w:val="7C78FA1E"/>
    <w:rsid w:val="7C801797"/>
    <w:rsid w:val="7C99A645"/>
    <w:rsid w:val="7CA26424"/>
    <w:rsid w:val="7CB09E7B"/>
    <w:rsid w:val="7CC3CB15"/>
    <w:rsid w:val="7CE4EAC0"/>
    <w:rsid w:val="7CE7A5C5"/>
    <w:rsid w:val="7CF4D9B8"/>
    <w:rsid w:val="7D0344FA"/>
    <w:rsid w:val="7D2CE0E7"/>
    <w:rsid w:val="7D3042DF"/>
    <w:rsid w:val="7D624DC9"/>
    <w:rsid w:val="7D6944B0"/>
    <w:rsid w:val="7D6B3256"/>
    <w:rsid w:val="7D832BED"/>
    <w:rsid w:val="7D86D453"/>
    <w:rsid w:val="7D8A1D54"/>
    <w:rsid w:val="7DA485A0"/>
    <w:rsid w:val="7DB78E08"/>
    <w:rsid w:val="7DBB2A73"/>
    <w:rsid w:val="7DC9AD60"/>
    <w:rsid w:val="7DDD0B46"/>
    <w:rsid w:val="7DF3AD60"/>
    <w:rsid w:val="7DFAAF65"/>
    <w:rsid w:val="7E032E82"/>
    <w:rsid w:val="7E1BBFEC"/>
    <w:rsid w:val="7E3576A6"/>
    <w:rsid w:val="7E44DC67"/>
    <w:rsid w:val="7E47B417"/>
    <w:rsid w:val="7E4A230A"/>
    <w:rsid w:val="7E6835A4"/>
    <w:rsid w:val="7E77C8D9"/>
    <w:rsid w:val="7E77E067"/>
    <w:rsid w:val="7E7D68C6"/>
    <w:rsid w:val="7EAF1501"/>
    <w:rsid w:val="7EB9B028"/>
    <w:rsid w:val="7EBF3887"/>
    <w:rsid w:val="7ECB2D0C"/>
    <w:rsid w:val="7ECD6415"/>
    <w:rsid w:val="7ED38408"/>
    <w:rsid w:val="7EE04D16"/>
    <w:rsid w:val="7EE390EA"/>
    <w:rsid w:val="7F111E47"/>
    <w:rsid w:val="7F234ACC"/>
    <w:rsid w:val="7F394B21"/>
    <w:rsid w:val="7F51EDF3"/>
    <w:rsid w:val="7F581014"/>
    <w:rsid w:val="7F6D1926"/>
    <w:rsid w:val="7F6E2F8D"/>
    <w:rsid w:val="7F875E65"/>
    <w:rsid w:val="7F92BB44"/>
    <w:rsid w:val="7FA0F869"/>
    <w:rsid w:val="7FAFD6FB"/>
    <w:rsid w:val="7FCB1BF6"/>
    <w:rsid w:val="7FE02A79"/>
    <w:rsid w:val="7FE7C5E7"/>
    <w:rsid w:val="7FEAC132"/>
    <w:rsid w:val="7FFAF7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7F41C8"/>
  <w15:docId w15:val="{3D51EFD4-CDF2-44D8-BC0B-C54A185C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912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C06F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F18F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F83A39"/>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712F62"/>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554C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2603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26030"/>
    <w:rPr>
      <w:rFonts w:ascii="Lucida Grande" w:hAnsi="Lucida Grande" w:cs="Lucida Grande"/>
      <w:sz w:val="18"/>
      <w:szCs w:val="18"/>
    </w:rPr>
  </w:style>
  <w:style w:type="paragraph" w:styleId="Prrafodelista">
    <w:name w:val="List Paragraph"/>
    <w:basedOn w:val="Normal"/>
    <w:link w:val="PrrafodelistaCar"/>
    <w:uiPriority w:val="34"/>
    <w:qFormat/>
    <w:rsid w:val="00D02016"/>
    <w:pPr>
      <w:ind w:left="720"/>
      <w:contextualSpacing/>
    </w:pPr>
  </w:style>
  <w:style w:type="character" w:styleId="Refdecomentario">
    <w:name w:val="annotation reference"/>
    <w:basedOn w:val="Fuentedeprrafopredeter"/>
    <w:uiPriority w:val="99"/>
    <w:semiHidden/>
    <w:unhideWhenUsed/>
    <w:rsid w:val="00C55361"/>
    <w:rPr>
      <w:sz w:val="16"/>
      <w:szCs w:val="16"/>
    </w:rPr>
  </w:style>
  <w:style w:type="paragraph" w:styleId="Textocomentario">
    <w:name w:val="annotation text"/>
    <w:basedOn w:val="Normal"/>
    <w:link w:val="TextocomentarioCar"/>
    <w:uiPriority w:val="99"/>
    <w:semiHidden/>
    <w:unhideWhenUsed/>
    <w:rsid w:val="00C55361"/>
    <w:rPr>
      <w:sz w:val="20"/>
      <w:szCs w:val="20"/>
    </w:rPr>
  </w:style>
  <w:style w:type="character" w:customStyle="1" w:styleId="TextocomentarioCar">
    <w:name w:val="Texto comentario Car"/>
    <w:basedOn w:val="Fuentedeprrafopredeter"/>
    <w:link w:val="Textocomentario"/>
    <w:uiPriority w:val="99"/>
    <w:semiHidden/>
    <w:rsid w:val="00C55361"/>
    <w:rPr>
      <w:sz w:val="20"/>
      <w:szCs w:val="20"/>
    </w:rPr>
  </w:style>
  <w:style w:type="paragraph" w:styleId="Asuntodelcomentario">
    <w:name w:val="annotation subject"/>
    <w:basedOn w:val="Textocomentario"/>
    <w:next w:val="Textocomentario"/>
    <w:link w:val="AsuntodelcomentarioCar"/>
    <w:uiPriority w:val="99"/>
    <w:semiHidden/>
    <w:unhideWhenUsed/>
    <w:rsid w:val="00C55361"/>
    <w:rPr>
      <w:b/>
      <w:bCs/>
    </w:rPr>
  </w:style>
  <w:style w:type="character" w:customStyle="1" w:styleId="AsuntodelcomentarioCar">
    <w:name w:val="Asunto del comentario Car"/>
    <w:basedOn w:val="TextocomentarioCar"/>
    <w:link w:val="Asuntodelcomentario"/>
    <w:uiPriority w:val="99"/>
    <w:semiHidden/>
    <w:rsid w:val="00C55361"/>
    <w:rPr>
      <w:b/>
      <w:bCs/>
      <w:sz w:val="20"/>
      <w:szCs w:val="20"/>
    </w:rPr>
  </w:style>
  <w:style w:type="paragraph" w:styleId="Encabezado">
    <w:name w:val="header"/>
    <w:basedOn w:val="Normal"/>
    <w:link w:val="EncabezadoCar"/>
    <w:uiPriority w:val="99"/>
    <w:unhideWhenUsed/>
    <w:pPr>
      <w:tabs>
        <w:tab w:val="center" w:pos="4680"/>
        <w:tab w:val="right" w:pos="9360"/>
      </w:tabs>
    </w:pPr>
  </w:style>
  <w:style w:type="character" w:customStyle="1" w:styleId="EncabezadoCar">
    <w:name w:val="Encabezado Car"/>
    <w:basedOn w:val="Fuentedeprrafopredeter"/>
    <w:link w:val="Encabezado"/>
    <w:uiPriority w:val="99"/>
    <w:rsid w:val="00D37FE7"/>
  </w:style>
  <w:style w:type="paragraph" w:styleId="Piedepgina">
    <w:name w:val="footer"/>
    <w:basedOn w:val="Normal"/>
    <w:link w:val="PiedepginaCar"/>
    <w:uiPriority w:val="99"/>
    <w:unhideWhenUsed/>
    <w:pPr>
      <w:tabs>
        <w:tab w:val="center" w:pos="4680"/>
        <w:tab w:val="right" w:pos="9360"/>
      </w:tabs>
    </w:pPr>
  </w:style>
  <w:style w:type="character" w:customStyle="1" w:styleId="PiedepginaCar">
    <w:name w:val="Pie de página Car"/>
    <w:basedOn w:val="Fuentedeprrafopredeter"/>
    <w:link w:val="Piedepgina"/>
    <w:uiPriority w:val="99"/>
    <w:rsid w:val="00D37FE7"/>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F91256"/>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539D5"/>
    <w:pPr>
      <w:spacing w:line="259" w:lineRule="auto"/>
      <w:outlineLvl w:val="9"/>
    </w:pPr>
  </w:style>
  <w:style w:type="paragraph" w:styleId="TDC1">
    <w:name w:val="toc 1"/>
    <w:basedOn w:val="Normal"/>
    <w:next w:val="Normal"/>
    <w:autoRedefine/>
    <w:uiPriority w:val="39"/>
    <w:unhideWhenUsed/>
    <w:rsid w:val="00B90D9F"/>
    <w:pPr>
      <w:tabs>
        <w:tab w:val="left" w:pos="720"/>
        <w:tab w:val="right" w:leader="dot" w:pos="7910"/>
      </w:tabs>
      <w:spacing w:after="100"/>
    </w:pPr>
  </w:style>
  <w:style w:type="character" w:styleId="Hipervnculo">
    <w:name w:val="Hyperlink"/>
    <w:basedOn w:val="Fuentedeprrafopredeter"/>
    <w:uiPriority w:val="99"/>
    <w:unhideWhenUsed/>
    <w:rsid w:val="002539D5"/>
    <w:rPr>
      <w:color w:val="0563C1" w:themeColor="hyperlink"/>
      <w:u w:val="single"/>
    </w:rPr>
  </w:style>
  <w:style w:type="paragraph" w:styleId="TDC2">
    <w:name w:val="toc 2"/>
    <w:basedOn w:val="Normal"/>
    <w:next w:val="Normal"/>
    <w:autoRedefine/>
    <w:uiPriority w:val="39"/>
    <w:unhideWhenUsed/>
    <w:rsid w:val="00E65E3F"/>
    <w:pPr>
      <w:spacing w:after="100" w:line="259" w:lineRule="auto"/>
      <w:ind w:left="220"/>
    </w:pPr>
    <w:rPr>
      <w:rFonts w:eastAsiaTheme="minorEastAsia" w:cs="Times New Roman"/>
      <w:sz w:val="22"/>
      <w:szCs w:val="22"/>
    </w:rPr>
  </w:style>
  <w:style w:type="paragraph" w:styleId="TDC3">
    <w:name w:val="toc 3"/>
    <w:basedOn w:val="Normal"/>
    <w:next w:val="Normal"/>
    <w:autoRedefine/>
    <w:uiPriority w:val="39"/>
    <w:unhideWhenUsed/>
    <w:rsid w:val="00E65E3F"/>
    <w:pPr>
      <w:spacing w:after="100" w:line="259" w:lineRule="auto"/>
      <w:ind w:left="440"/>
    </w:pPr>
    <w:rPr>
      <w:rFonts w:eastAsiaTheme="minorEastAsia" w:cs="Times New Roman"/>
      <w:sz w:val="22"/>
      <w:szCs w:val="22"/>
    </w:rPr>
  </w:style>
  <w:style w:type="paragraph" w:styleId="TDC4">
    <w:name w:val="toc 4"/>
    <w:basedOn w:val="Normal"/>
    <w:next w:val="Normal"/>
    <w:autoRedefine/>
    <w:uiPriority w:val="39"/>
    <w:unhideWhenUsed/>
    <w:rsid w:val="00AF5A11"/>
    <w:pPr>
      <w:spacing w:after="100"/>
      <w:ind w:left="720"/>
    </w:pPr>
  </w:style>
  <w:style w:type="paragraph" w:styleId="TDC5">
    <w:name w:val="toc 5"/>
    <w:basedOn w:val="Normal"/>
    <w:next w:val="Normal"/>
    <w:autoRedefine/>
    <w:uiPriority w:val="39"/>
    <w:unhideWhenUsed/>
    <w:rsid w:val="00AF5A11"/>
    <w:pPr>
      <w:spacing w:after="100"/>
      <w:ind w:left="960"/>
    </w:pPr>
  </w:style>
  <w:style w:type="paragraph" w:styleId="Textoindependiente">
    <w:name w:val="Body Text"/>
    <w:basedOn w:val="Normal"/>
    <w:link w:val="TextoindependienteCar"/>
    <w:uiPriority w:val="1"/>
    <w:qFormat/>
    <w:rsid w:val="00697B15"/>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697B15"/>
    <w:rPr>
      <w:rFonts w:ascii="Arial" w:eastAsia="Arial" w:hAnsi="Arial" w:cs="Arial"/>
      <w:lang w:val="es-ES" w:eastAsia="es-ES" w:bidi="es-ES"/>
    </w:rPr>
  </w:style>
  <w:style w:type="paragraph" w:customStyle="1" w:styleId="TableParagraph">
    <w:name w:val="Table Paragraph"/>
    <w:basedOn w:val="Normal"/>
    <w:uiPriority w:val="1"/>
    <w:qFormat/>
    <w:rsid w:val="00697B15"/>
    <w:pPr>
      <w:widowControl w:val="0"/>
      <w:autoSpaceDE w:val="0"/>
      <w:autoSpaceDN w:val="0"/>
    </w:pPr>
    <w:rPr>
      <w:rFonts w:ascii="Arial" w:eastAsia="Arial" w:hAnsi="Arial" w:cs="Arial"/>
      <w:sz w:val="22"/>
      <w:szCs w:val="22"/>
      <w:lang w:val="es-ES" w:eastAsia="es-ES" w:bidi="es-ES"/>
    </w:rPr>
  </w:style>
  <w:style w:type="character" w:customStyle="1" w:styleId="Ttulo4Car">
    <w:name w:val="Título 4 Car"/>
    <w:basedOn w:val="Fuentedeprrafopredeter"/>
    <w:link w:val="Ttulo4"/>
    <w:uiPriority w:val="9"/>
    <w:rsid w:val="00F83A39"/>
    <w:rPr>
      <w:rFonts w:asciiTheme="majorHAnsi" w:eastAsiaTheme="majorEastAsia" w:hAnsiTheme="majorHAnsi" w:cstheme="majorBidi"/>
      <w:i/>
      <w:iCs/>
      <w:color w:val="2E74B5" w:themeColor="accent1" w:themeShade="BF"/>
    </w:rPr>
  </w:style>
  <w:style w:type="character" w:customStyle="1" w:styleId="Ttulo2Car">
    <w:name w:val="Título 2 Car"/>
    <w:basedOn w:val="Fuentedeprrafopredeter"/>
    <w:link w:val="Ttulo2"/>
    <w:uiPriority w:val="9"/>
    <w:rsid w:val="002C06F8"/>
    <w:rPr>
      <w:rFonts w:asciiTheme="majorHAnsi" w:eastAsiaTheme="majorEastAsia" w:hAnsiTheme="majorHAnsi" w:cstheme="majorBidi"/>
      <w:color w:val="2E74B5" w:themeColor="accent1" w:themeShade="BF"/>
      <w:sz w:val="26"/>
      <w:szCs w:val="26"/>
    </w:rPr>
  </w:style>
  <w:style w:type="paragraph" w:styleId="Descripcin">
    <w:name w:val="caption"/>
    <w:basedOn w:val="Normal"/>
    <w:next w:val="Normal"/>
    <w:uiPriority w:val="35"/>
    <w:unhideWhenUsed/>
    <w:qFormat/>
    <w:rsid w:val="00C304BD"/>
    <w:pPr>
      <w:spacing w:after="200"/>
    </w:pPr>
    <w:rPr>
      <w:i/>
      <w:iCs/>
      <w:color w:val="44546A" w:themeColor="text2"/>
      <w:sz w:val="18"/>
      <w:szCs w:val="18"/>
    </w:rPr>
  </w:style>
  <w:style w:type="paragraph" w:styleId="Tabladeilustraciones">
    <w:name w:val="table of figures"/>
    <w:basedOn w:val="Normal"/>
    <w:next w:val="Normal"/>
    <w:uiPriority w:val="99"/>
    <w:semiHidden/>
    <w:unhideWhenUsed/>
    <w:rsid w:val="009B166B"/>
  </w:style>
  <w:style w:type="character" w:customStyle="1" w:styleId="Ttulo3Car">
    <w:name w:val="Título 3 Car"/>
    <w:basedOn w:val="Fuentedeprrafopredeter"/>
    <w:link w:val="Ttulo3"/>
    <w:uiPriority w:val="9"/>
    <w:rsid w:val="005F18F6"/>
    <w:rPr>
      <w:rFonts w:asciiTheme="majorHAnsi" w:eastAsiaTheme="majorEastAsia" w:hAnsiTheme="majorHAnsi" w:cstheme="majorBidi"/>
      <w:color w:val="1F4D78" w:themeColor="accent1" w:themeShade="7F"/>
    </w:rPr>
  </w:style>
  <w:style w:type="paragraph" w:customStyle="1" w:styleId="paragraph">
    <w:name w:val="paragraph"/>
    <w:basedOn w:val="Normal"/>
    <w:rsid w:val="004D10CC"/>
    <w:pPr>
      <w:spacing w:before="100" w:beforeAutospacing="1" w:after="100" w:afterAutospacing="1"/>
    </w:pPr>
    <w:rPr>
      <w:rFonts w:ascii="Times New Roman" w:eastAsia="Times New Roman" w:hAnsi="Times New Roman" w:cs="Times New Roman"/>
      <w:lang w:val="es-DO" w:eastAsia="es-DO"/>
    </w:rPr>
  </w:style>
  <w:style w:type="character" w:customStyle="1" w:styleId="normaltextrun">
    <w:name w:val="normaltextrun"/>
    <w:basedOn w:val="Fuentedeprrafopredeter"/>
    <w:rsid w:val="004D10CC"/>
  </w:style>
  <w:style w:type="character" w:customStyle="1" w:styleId="eop">
    <w:name w:val="eop"/>
    <w:basedOn w:val="Fuentedeprrafopredeter"/>
    <w:rsid w:val="004D10CC"/>
  </w:style>
  <w:style w:type="paragraph" w:customStyle="1" w:styleId="Normal0">
    <w:name w:val="Normal0"/>
    <w:qFormat/>
    <w:rsid w:val="006E3AB0"/>
    <w:pPr>
      <w:spacing w:line="276" w:lineRule="auto"/>
    </w:pPr>
    <w:rPr>
      <w:rFonts w:ascii="Arial" w:eastAsia="Arial" w:hAnsi="Arial" w:cs="Arial"/>
      <w:sz w:val="22"/>
      <w:szCs w:val="22"/>
      <w:lang w:val="es"/>
    </w:rPr>
  </w:style>
  <w:style w:type="character" w:customStyle="1" w:styleId="Ttulo6Car">
    <w:name w:val="Título 6 Car"/>
    <w:basedOn w:val="Fuentedeprrafopredeter"/>
    <w:link w:val="Ttulo6"/>
    <w:uiPriority w:val="9"/>
    <w:semiHidden/>
    <w:rsid w:val="004554C6"/>
    <w:rPr>
      <w:rFonts w:asciiTheme="majorHAnsi" w:eastAsiaTheme="majorEastAsia" w:hAnsiTheme="majorHAnsi" w:cstheme="majorBidi"/>
      <w:color w:val="1F4D78" w:themeColor="accent1" w:themeShade="7F"/>
    </w:rPr>
  </w:style>
  <w:style w:type="character" w:customStyle="1" w:styleId="Ttulo5Car">
    <w:name w:val="Título 5 Car"/>
    <w:basedOn w:val="Fuentedeprrafopredeter"/>
    <w:link w:val="Ttulo5"/>
    <w:uiPriority w:val="9"/>
    <w:rsid w:val="00712F62"/>
    <w:rPr>
      <w:rFonts w:asciiTheme="majorHAnsi" w:eastAsiaTheme="majorEastAsia" w:hAnsiTheme="majorHAnsi" w:cstheme="majorBidi"/>
      <w:color w:val="2E74B5" w:themeColor="accent1" w:themeShade="BF"/>
    </w:rPr>
  </w:style>
  <w:style w:type="paragraph" w:customStyle="1" w:styleId="xmsonormal">
    <w:name w:val="x_msonormal"/>
    <w:basedOn w:val="Normal"/>
    <w:rsid w:val="00720476"/>
    <w:pPr>
      <w:spacing w:before="100" w:beforeAutospacing="1" w:after="100" w:afterAutospacing="1"/>
    </w:pPr>
    <w:rPr>
      <w:rFonts w:ascii="Times New Roman" w:eastAsia="Times New Roman" w:hAnsi="Times New Roman" w:cs="Times New Roman"/>
      <w:lang w:val="es-DO" w:eastAsia="es-DO"/>
    </w:rPr>
  </w:style>
  <w:style w:type="character" w:customStyle="1" w:styleId="markodgdk738w">
    <w:name w:val="markodgdk738w"/>
    <w:basedOn w:val="Fuentedeprrafopredeter"/>
    <w:rsid w:val="002E7910"/>
  </w:style>
  <w:style w:type="table" w:styleId="Tablaconcuadrculaclara">
    <w:name w:val="Grid Table Light"/>
    <w:basedOn w:val="Tablanormal"/>
    <w:uiPriority w:val="40"/>
    <w:rsid w:val="007057DF"/>
    <w:rPr>
      <w:sz w:val="22"/>
      <w:szCs w:val="22"/>
      <w:lang w:val="es-D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DC6">
    <w:name w:val="toc 6"/>
    <w:basedOn w:val="Normal"/>
    <w:next w:val="Normal"/>
    <w:autoRedefine/>
    <w:uiPriority w:val="39"/>
    <w:unhideWhenUsed/>
    <w:rsid w:val="001C0658"/>
    <w:pPr>
      <w:spacing w:after="100"/>
      <w:ind w:left="1200"/>
    </w:pPr>
  </w:style>
  <w:style w:type="paragraph" w:styleId="TDC7">
    <w:name w:val="toc 7"/>
    <w:basedOn w:val="Normal"/>
    <w:next w:val="Normal"/>
    <w:autoRedefine/>
    <w:uiPriority w:val="39"/>
    <w:unhideWhenUsed/>
    <w:rsid w:val="001C0658"/>
    <w:pPr>
      <w:spacing w:after="100"/>
      <w:ind w:left="1440"/>
    </w:pPr>
  </w:style>
  <w:style w:type="paragraph" w:styleId="TDC8">
    <w:name w:val="toc 8"/>
    <w:basedOn w:val="Normal"/>
    <w:next w:val="Normal"/>
    <w:autoRedefine/>
    <w:uiPriority w:val="39"/>
    <w:unhideWhenUsed/>
    <w:rsid w:val="001C0658"/>
    <w:pPr>
      <w:spacing w:after="100" w:line="259" w:lineRule="auto"/>
      <w:ind w:left="1540"/>
    </w:pPr>
    <w:rPr>
      <w:rFonts w:eastAsiaTheme="minorEastAsia"/>
      <w:sz w:val="22"/>
      <w:szCs w:val="22"/>
      <w:lang w:val="es-DO" w:eastAsia="es-DO"/>
    </w:rPr>
  </w:style>
  <w:style w:type="paragraph" w:styleId="TDC9">
    <w:name w:val="toc 9"/>
    <w:basedOn w:val="Normal"/>
    <w:next w:val="Normal"/>
    <w:autoRedefine/>
    <w:uiPriority w:val="39"/>
    <w:unhideWhenUsed/>
    <w:rsid w:val="001C0658"/>
    <w:pPr>
      <w:spacing w:after="100" w:line="259" w:lineRule="auto"/>
      <w:ind w:left="1760"/>
    </w:pPr>
    <w:rPr>
      <w:rFonts w:eastAsiaTheme="minorEastAsia"/>
      <w:sz w:val="22"/>
      <w:szCs w:val="22"/>
      <w:lang w:val="es-DO" w:eastAsia="es-DO"/>
    </w:rPr>
  </w:style>
  <w:style w:type="character" w:styleId="Mencinsinresolver">
    <w:name w:val="Unresolved Mention"/>
    <w:basedOn w:val="Fuentedeprrafopredeter"/>
    <w:uiPriority w:val="99"/>
    <w:semiHidden/>
    <w:unhideWhenUsed/>
    <w:rsid w:val="001C0658"/>
    <w:rPr>
      <w:color w:val="605E5C"/>
      <w:shd w:val="clear" w:color="auto" w:fill="E1DFDD"/>
    </w:rPr>
  </w:style>
  <w:style w:type="paragraph" w:styleId="Revisin">
    <w:name w:val="Revision"/>
    <w:hidden/>
    <w:uiPriority w:val="99"/>
    <w:semiHidden/>
    <w:rsid w:val="00135383"/>
  </w:style>
  <w:style w:type="character" w:customStyle="1" w:styleId="PrrafodelistaCar">
    <w:name w:val="Párrafo de lista Car"/>
    <w:link w:val="Prrafodelista"/>
    <w:uiPriority w:val="34"/>
    <w:rsid w:val="00596FBA"/>
  </w:style>
  <w:style w:type="paragraph" w:styleId="NormalWeb">
    <w:name w:val="Normal (Web)"/>
    <w:basedOn w:val="Normal"/>
    <w:uiPriority w:val="99"/>
    <w:unhideWhenUsed/>
    <w:rsid w:val="00596FBA"/>
    <w:pPr>
      <w:spacing w:before="100" w:beforeAutospacing="1" w:after="100" w:afterAutospacing="1"/>
    </w:pPr>
    <w:rPr>
      <w:rFonts w:ascii="Times New Roman" w:eastAsia="Times New Roman" w:hAnsi="Times New Roman" w:cs="Times New Roman"/>
    </w:rPr>
  </w:style>
  <w:style w:type="character" w:styleId="nfasis">
    <w:name w:val="Emphasis"/>
    <w:basedOn w:val="Fuentedeprrafopredeter"/>
    <w:uiPriority w:val="20"/>
    <w:qFormat/>
    <w:rsid w:val="00596FBA"/>
    <w:rPr>
      <w:i/>
      <w:iCs/>
    </w:rPr>
  </w:style>
  <w:style w:type="character" w:styleId="Hipervnculovisitado">
    <w:name w:val="FollowedHyperlink"/>
    <w:basedOn w:val="Fuentedeprrafopredeter"/>
    <w:uiPriority w:val="99"/>
    <w:semiHidden/>
    <w:unhideWhenUsed/>
    <w:rsid w:val="00B34EAD"/>
    <w:rPr>
      <w:color w:val="954F72" w:themeColor="followedHyperlink"/>
      <w:u w:val="single"/>
    </w:rPr>
  </w:style>
  <w:style w:type="paragraph" w:styleId="Sinespaciado">
    <w:name w:val="No Spacing"/>
    <w:link w:val="SinespaciadoCar"/>
    <w:uiPriority w:val="1"/>
    <w:qFormat/>
    <w:rsid w:val="00D06344"/>
    <w:pPr>
      <w:spacing w:after="0"/>
    </w:pPr>
    <w:rPr>
      <w:rFonts w:eastAsiaTheme="minorEastAsia"/>
      <w:sz w:val="22"/>
      <w:szCs w:val="22"/>
      <w:lang w:val="es-ES" w:eastAsia="es-ES"/>
    </w:rPr>
  </w:style>
  <w:style w:type="character" w:customStyle="1" w:styleId="SinespaciadoCar">
    <w:name w:val="Sin espaciado Car"/>
    <w:basedOn w:val="Fuentedeprrafopredeter"/>
    <w:link w:val="Sinespaciado"/>
    <w:uiPriority w:val="1"/>
    <w:rsid w:val="00D06344"/>
    <w:rPr>
      <w:rFonts w:eastAsiaTheme="minorEastAsia"/>
      <w:sz w:val="22"/>
      <w:szCs w:val="22"/>
      <w:lang w:val="es-ES" w:eastAsia="es-ES"/>
    </w:rPr>
  </w:style>
  <w:style w:type="character" w:styleId="Textodelmarcadordeposicin">
    <w:name w:val="Placeholder Text"/>
    <w:basedOn w:val="Fuentedeprrafopredeter"/>
    <w:uiPriority w:val="99"/>
    <w:semiHidden/>
    <w:rsid w:val="001000A3"/>
    <w:rPr>
      <w:color w:val="808080"/>
    </w:rPr>
  </w:style>
  <w:style w:type="character" w:styleId="Mencionar">
    <w:name w:val="Mention"/>
    <w:basedOn w:val="Fuentedeprrafopredeter"/>
    <w:uiPriority w:val="99"/>
    <w:unhideWhenUsed/>
    <w:rsid w:val="00E66927"/>
    <w:rPr>
      <w:color w:val="2B579A"/>
      <w:shd w:val="clear" w:color="auto" w:fill="E6E6E6"/>
    </w:rPr>
  </w:style>
  <w:style w:type="character" w:styleId="Textoennegrita">
    <w:name w:val="Strong"/>
    <w:basedOn w:val="Fuentedeprrafopredeter"/>
    <w:uiPriority w:val="22"/>
    <w:qFormat/>
    <w:rsid w:val="00BE29DD"/>
    <w:rPr>
      <w:b/>
      <w:bCs/>
    </w:rPr>
  </w:style>
  <w:style w:type="paragraph" w:styleId="Textonotaalfinal">
    <w:name w:val="endnote text"/>
    <w:basedOn w:val="Normal"/>
    <w:link w:val="TextonotaalfinalCar"/>
    <w:uiPriority w:val="99"/>
    <w:unhideWhenUsed/>
    <w:rsid w:val="002A65B7"/>
    <w:pPr>
      <w:spacing w:after="0"/>
    </w:pPr>
    <w:rPr>
      <w:sz w:val="20"/>
      <w:szCs w:val="20"/>
    </w:rPr>
  </w:style>
  <w:style w:type="character" w:customStyle="1" w:styleId="TextonotaalfinalCar">
    <w:name w:val="Texto nota al final Car"/>
    <w:basedOn w:val="Fuentedeprrafopredeter"/>
    <w:link w:val="Textonotaalfinal"/>
    <w:uiPriority w:val="99"/>
    <w:rsid w:val="002A65B7"/>
    <w:rPr>
      <w:sz w:val="20"/>
      <w:szCs w:val="20"/>
    </w:rPr>
  </w:style>
  <w:style w:type="character" w:styleId="Refdenotaalfinal">
    <w:name w:val="endnote reference"/>
    <w:basedOn w:val="Fuentedeprrafopredeter"/>
    <w:uiPriority w:val="99"/>
    <w:semiHidden/>
    <w:unhideWhenUsed/>
    <w:rsid w:val="002A65B7"/>
    <w:rPr>
      <w:vertAlign w:val="superscript"/>
    </w:rPr>
  </w:style>
  <w:style w:type="paragraph" w:styleId="Textonotapie">
    <w:name w:val="footnote text"/>
    <w:basedOn w:val="Normal"/>
    <w:link w:val="TextonotapieCar"/>
    <w:uiPriority w:val="99"/>
    <w:semiHidden/>
    <w:unhideWhenUsed/>
    <w:rsid w:val="00534875"/>
    <w:pPr>
      <w:spacing w:after="0"/>
    </w:pPr>
    <w:rPr>
      <w:sz w:val="20"/>
      <w:szCs w:val="20"/>
    </w:rPr>
  </w:style>
  <w:style w:type="character" w:customStyle="1" w:styleId="TextonotapieCar">
    <w:name w:val="Texto nota pie Car"/>
    <w:basedOn w:val="Fuentedeprrafopredeter"/>
    <w:link w:val="Textonotapie"/>
    <w:uiPriority w:val="99"/>
    <w:semiHidden/>
    <w:rsid w:val="00534875"/>
    <w:rPr>
      <w:sz w:val="20"/>
      <w:szCs w:val="20"/>
    </w:rPr>
  </w:style>
  <w:style w:type="character" w:styleId="Refdenotaalpie">
    <w:name w:val="footnote reference"/>
    <w:basedOn w:val="Fuentedeprrafopredeter"/>
    <w:uiPriority w:val="99"/>
    <w:semiHidden/>
    <w:unhideWhenUsed/>
    <w:rsid w:val="005348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67562">
      <w:bodyDiv w:val="1"/>
      <w:marLeft w:val="0"/>
      <w:marRight w:val="0"/>
      <w:marTop w:val="0"/>
      <w:marBottom w:val="0"/>
      <w:divBdr>
        <w:top w:val="none" w:sz="0" w:space="0" w:color="auto"/>
        <w:left w:val="none" w:sz="0" w:space="0" w:color="auto"/>
        <w:bottom w:val="none" w:sz="0" w:space="0" w:color="auto"/>
        <w:right w:val="none" w:sz="0" w:space="0" w:color="auto"/>
      </w:divBdr>
    </w:div>
    <w:div w:id="97603143">
      <w:bodyDiv w:val="1"/>
      <w:marLeft w:val="0"/>
      <w:marRight w:val="0"/>
      <w:marTop w:val="0"/>
      <w:marBottom w:val="0"/>
      <w:divBdr>
        <w:top w:val="none" w:sz="0" w:space="0" w:color="auto"/>
        <w:left w:val="none" w:sz="0" w:space="0" w:color="auto"/>
        <w:bottom w:val="none" w:sz="0" w:space="0" w:color="auto"/>
        <w:right w:val="none" w:sz="0" w:space="0" w:color="auto"/>
      </w:divBdr>
    </w:div>
    <w:div w:id="103620699">
      <w:bodyDiv w:val="1"/>
      <w:marLeft w:val="0"/>
      <w:marRight w:val="0"/>
      <w:marTop w:val="0"/>
      <w:marBottom w:val="0"/>
      <w:divBdr>
        <w:top w:val="none" w:sz="0" w:space="0" w:color="auto"/>
        <w:left w:val="none" w:sz="0" w:space="0" w:color="auto"/>
        <w:bottom w:val="none" w:sz="0" w:space="0" w:color="auto"/>
        <w:right w:val="none" w:sz="0" w:space="0" w:color="auto"/>
      </w:divBdr>
    </w:div>
    <w:div w:id="122313694">
      <w:bodyDiv w:val="1"/>
      <w:marLeft w:val="0"/>
      <w:marRight w:val="0"/>
      <w:marTop w:val="0"/>
      <w:marBottom w:val="0"/>
      <w:divBdr>
        <w:top w:val="none" w:sz="0" w:space="0" w:color="auto"/>
        <w:left w:val="none" w:sz="0" w:space="0" w:color="auto"/>
        <w:bottom w:val="none" w:sz="0" w:space="0" w:color="auto"/>
        <w:right w:val="none" w:sz="0" w:space="0" w:color="auto"/>
      </w:divBdr>
    </w:div>
    <w:div w:id="153036732">
      <w:bodyDiv w:val="1"/>
      <w:marLeft w:val="0"/>
      <w:marRight w:val="0"/>
      <w:marTop w:val="0"/>
      <w:marBottom w:val="0"/>
      <w:divBdr>
        <w:top w:val="none" w:sz="0" w:space="0" w:color="auto"/>
        <w:left w:val="none" w:sz="0" w:space="0" w:color="auto"/>
        <w:bottom w:val="none" w:sz="0" w:space="0" w:color="auto"/>
        <w:right w:val="none" w:sz="0" w:space="0" w:color="auto"/>
      </w:divBdr>
      <w:divsChild>
        <w:div w:id="581256364">
          <w:marLeft w:val="0"/>
          <w:marRight w:val="0"/>
          <w:marTop w:val="0"/>
          <w:marBottom w:val="0"/>
          <w:divBdr>
            <w:top w:val="none" w:sz="0" w:space="0" w:color="auto"/>
            <w:left w:val="none" w:sz="0" w:space="0" w:color="auto"/>
            <w:bottom w:val="none" w:sz="0" w:space="0" w:color="auto"/>
            <w:right w:val="none" w:sz="0" w:space="0" w:color="auto"/>
          </w:divBdr>
        </w:div>
        <w:div w:id="1090006680">
          <w:marLeft w:val="0"/>
          <w:marRight w:val="0"/>
          <w:marTop w:val="0"/>
          <w:marBottom w:val="0"/>
          <w:divBdr>
            <w:top w:val="none" w:sz="0" w:space="0" w:color="auto"/>
            <w:left w:val="none" w:sz="0" w:space="0" w:color="auto"/>
            <w:bottom w:val="none" w:sz="0" w:space="0" w:color="auto"/>
            <w:right w:val="none" w:sz="0" w:space="0" w:color="auto"/>
          </w:divBdr>
        </w:div>
        <w:div w:id="1284190701">
          <w:marLeft w:val="0"/>
          <w:marRight w:val="0"/>
          <w:marTop w:val="0"/>
          <w:marBottom w:val="0"/>
          <w:divBdr>
            <w:top w:val="none" w:sz="0" w:space="0" w:color="auto"/>
            <w:left w:val="none" w:sz="0" w:space="0" w:color="auto"/>
            <w:bottom w:val="none" w:sz="0" w:space="0" w:color="auto"/>
            <w:right w:val="none" w:sz="0" w:space="0" w:color="auto"/>
          </w:divBdr>
        </w:div>
        <w:div w:id="1557741890">
          <w:marLeft w:val="0"/>
          <w:marRight w:val="0"/>
          <w:marTop w:val="0"/>
          <w:marBottom w:val="0"/>
          <w:divBdr>
            <w:top w:val="none" w:sz="0" w:space="0" w:color="auto"/>
            <w:left w:val="none" w:sz="0" w:space="0" w:color="auto"/>
            <w:bottom w:val="none" w:sz="0" w:space="0" w:color="auto"/>
            <w:right w:val="none" w:sz="0" w:space="0" w:color="auto"/>
          </w:divBdr>
        </w:div>
        <w:div w:id="1786920932">
          <w:marLeft w:val="0"/>
          <w:marRight w:val="0"/>
          <w:marTop w:val="0"/>
          <w:marBottom w:val="0"/>
          <w:divBdr>
            <w:top w:val="none" w:sz="0" w:space="0" w:color="auto"/>
            <w:left w:val="none" w:sz="0" w:space="0" w:color="auto"/>
            <w:bottom w:val="none" w:sz="0" w:space="0" w:color="auto"/>
            <w:right w:val="none" w:sz="0" w:space="0" w:color="auto"/>
          </w:divBdr>
        </w:div>
        <w:div w:id="1958834669">
          <w:marLeft w:val="0"/>
          <w:marRight w:val="0"/>
          <w:marTop w:val="0"/>
          <w:marBottom w:val="0"/>
          <w:divBdr>
            <w:top w:val="none" w:sz="0" w:space="0" w:color="auto"/>
            <w:left w:val="none" w:sz="0" w:space="0" w:color="auto"/>
            <w:bottom w:val="none" w:sz="0" w:space="0" w:color="auto"/>
            <w:right w:val="none" w:sz="0" w:space="0" w:color="auto"/>
          </w:divBdr>
        </w:div>
      </w:divsChild>
    </w:div>
    <w:div w:id="164518524">
      <w:bodyDiv w:val="1"/>
      <w:marLeft w:val="0"/>
      <w:marRight w:val="0"/>
      <w:marTop w:val="0"/>
      <w:marBottom w:val="0"/>
      <w:divBdr>
        <w:top w:val="none" w:sz="0" w:space="0" w:color="auto"/>
        <w:left w:val="none" w:sz="0" w:space="0" w:color="auto"/>
        <w:bottom w:val="none" w:sz="0" w:space="0" w:color="auto"/>
        <w:right w:val="none" w:sz="0" w:space="0" w:color="auto"/>
      </w:divBdr>
    </w:div>
    <w:div w:id="174274949">
      <w:bodyDiv w:val="1"/>
      <w:marLeft w:val="0"/>
      <w:marRight w:val="0"/>
      <w:marTop w:val="0"/>
      <w:marBottom w:val="0"/>
      <w:divBdr>
        <w:top w:val="none" w:sz="0" w:space="0" w:color="auto"/>
        <w:left w:val="none" w:sz="0" w:space="0" w:color="auto"/>
        <w:bottom w:val="none" w:sz="0" w:space="0" w:color="auto"/>
        <w:right w:val="none" w:sz="0" w:space="0" w:color="auto"/>
      </w:divBdr>
    </w:div>
    <w:div w:id="177817785">
      <w:bodyDiv w:val="1"/>
      <w:marLeft w:val="0"/>
      <w:marRight w:val="0"/>
      <w:marTop w:val="0"/>
      <w:marBottom w:val="0"/>
      <w:divBdr>
        <w:top w:val="none" w:sz="0" w:space="0" w:color="auto"/>
        <w:left w:val="none" w:sz="0" w:space="0" w:color="auto"/>
        <w:bottom w:val="none" w:sz="0" w:space="0" w:color="auto"/>
        <w:right w:val="none" w:sz="0" w:space="0" w:color="auto"/>
      </w:divBdr>
    </w:div>
    <w:div w:id="203373213">
      <w:bodyDiv w:val="1"/>
      <w:marLeft w:val="0"/>
      <w:marRight w:val="0"/>
      <w:marTop w:val="0"/>
      <w:marBottom w:val="0"/>
      <w:divBdr>
        <w:top w:val="none" w:sz="0" w:space="0" w:color="auto"/>
        <w:left w:val="none" w:sz="0" w:space="0" w:color="auto"/>
        <w:bottom w:val="none" w:sz="0" w:space="0" w:color="auto"/>
        <w:right w:val="none" w:sz="0" w:space="0" w:color="auto"/>
      </w:divBdr>
    </w:div>
    <w:div w:id="225651088">
      <w:bodyDiv w:val="1"/>
      <w:marLeft w:val="0"/>
      <w:marRight w:val="0"/>
      <w:marTop w:val="0"/>
      <w:marBottom w:val="0"/>
      <w:divBdr>
        <w:top w:val="none" w:sz="0" w:space="0" w:color="auto"/>
        <w:left w:val="none" w:sz="0" w:space="0" w:color="auto"/>
        <w:bottom w:val="none" w:sz="0" w:space="0" w:color="auto"/>
        <w:right w:val="none" w:sz="0" w:space="0" w:color="auto"/>
      </w:divBdr>
    </w:div>
    <w:div w:id="279192712">
      <w:bodyDiv w:val="1"/>
      <w:marLeft w:val="0"/>
      <w:marRight w:val="0"/>
      <w:marTop w:val="0"/>
      <w:marBottom w:val="0"/>
      <w:divBdr>
        <w:top w:val="none" w:sz="0" w:space="0" w:color="auto"/>
        <w:left w:val="none" w:sz="0" w:space="0" w:color="auto"/>
        <w:bottom w:val="none" w:sz="0" w:space="0" w:color="auto"/>
        <w:right w:val="none" w:sz="0" w:space="0" w:color="auto"/>
      </w:divBdr>
    </w:div>
    <w:div w:id="322396343">
      <w:bodyDiv w:val="1"/>
      <w:marLeft w:val="0"/>
      <w:marRight w:val="0"/>
      <w:marTop w:val="0"/>
      <w:marBottom w:val="0"/>
      <w:divBdr>
        <w:top w:val="none" w:sz="0" w:space="0" w:color="auto"/>
        <w:left w:val="none" w:sz="0" w:space="0" w:color="auto"/>
        <w:bottom w:val="none" w:sz="0" w:space="0" w:color="auto"/>
        <w:right w:val="none" w:sz="0" w:space="0" w:color="auto"/>
      </w:divBdr>
    </w:div>
    <w:div w:id="336882129">
      <w:bodyDiv w:val="1"/>
      <w:marLeft w:val="0"/>
      <w:marRight w:val="0"/>
      <w:marTop w:val="0"/>
      <w:marBottom w:val="0"/>
      <w:divBdr>
        <w:top w:val="none" w:sz="0" w:space="0" w:color="auto"/>
        <w:left w:val="none" w:sz="0" w:space="0" w:color="auto"/>
        <w:bottom w:val="none" w:sz="0" w:space="0" w:color="auto"/>
        <w:right w:val="none" w:sz="0" w:space="0" w:color="auto"/>
      </w:divBdr>
    </w:div>
    <w:div w:id="346560070">
      <w:bodyDiv w:val="1"/>
      <w:marLeft w:val="0"/>
      <w:marRight w:val="0"/>
      <w:marTop w:val="0"/>
      <w:marBottom w:val="0"/>
      <w:divBdr>
        <w:top w:val="none" w:sz="0" w:space="0" w:color="auto"/>
        <w:left w:val="none" w:sz="0" w:space="0" w:color="auto"/>
        <w:bottom w:val="none" w:sz="0" w:space="0" w:color="auto"/>
        <w:right w:val="none" w:sz="0" w:space="0" w:color="auto"/>
      </w:divBdr>
    </w:div>
    <w:div w:id="398140670">
      <w:bodyDiv w:val="1"/>
      <w:marLeft w:val="0"/>
      <w:marRight w:val="0"/>
      <w:marTop w:val="0"/>
      <w:marBottom w:val="0"/>
      <w:divBdr>
        <w:top w:val="none" w:sz="0" w:space="0" w:color="auto"/>
        <w:left w:val="none" w:sz="0" w:space="0" w:color="auto"/>
        <w:bottom w:val="none" w:sz="0" w:space="0" w:color="auto"/>
        <w:right w:val="none" w:sz="0" w:space="0" w:color="auto"/>
      </w:divBdr>
      <w:divsChild>
        <w:div w:id="165246013">
          <w:marLeft w:val="0"/>
          <w:marRight w:val="0"/>
          <w:marTop w:val="0"/>
          <w:marBottom w:val="0"/>
          <w:divBdr>
            <w:top w:val="none" w:sz="0" w:space="0" w:color="auto"/>
            <w:left w:val="none" w:sz="0" w:space="0" w:color="auto"/>
            <w:bottom w:val="none" w:sz="0" w:space="0" w:color="auto"/>
            <w:right w:val="none" w:sz="0" w:space="0" w:color="auto"/>
          </w:divBdr>
        </w:div>
        <w:div w:id="263853328">
          <w:marLeft w:val="0"/>
          <w:marRight w:val="0"/>
          <w:marTop w:val="0"/>
          <w:marBottom w:val="0"/>
          <w:divBdr>
            <w:top w:val="none" w:sz="0" w:space="0" w:color="auto"/>
            <w:left w:val="none" w:sz="0" w:space="0" w:color="auto"/>
            <w:bottom w:val="none" w:sz="0" w:space="0" w:color="auto"/>
            <w:right w:val="none" w:sz="0" w:space="0" w:color="auto"/>
          </w:divBdr>
        </w:div>
        <w:div w:id="889725264">
          <w:marLeft w:val="0"/>
          <w:marRight w:val="0"/>
          <w:marTop w:val="0"/>
          <w:marBottom w:val="0"/>
          <w:divBdr>
            <w:top w:val="none" w:sz="0" w:space="0" w:color="auto"/>
            <w:left w:val="none" w:sz="0" w:space="0" w:color="auto"/>
            <w:bottom w:val="none" w:sz="0" w:space="0" w:color="auto"/>
            <w:right w:val="none" w:sz="0" w:space="0" w:color="auto"/>
          </w:divBdr>
        </w:div>
        <w:div w:id="1185822681">
          <w:marLeft w:val="0"/>
          <w:marRight w:val="0"/>
          <w:marTop w:val="0"/>
          <w:marBottom w:val="0"/>
          <w:divBdr>
            <w:top w:val="none" w:sz="0" w:space="0" w:color="auto"/>
            <w:left w:val="none" w:sz="0" w:space="0" w:color="auto"/>
            <w:bottom w:val="none" w:sz="0" w:space="0" w:color="auto"/>
            <w:right w:val="none" w:sz="0" w:space="0" w:color="auto"/>
          </w:divBdr>
        </w:div>
        <w:div w:id="2058624217">
          <w:marLeft w:val="0"/>
          <w:marRight w:val="0"/>
          <w:marTop w:val="0"/>
          <w:marBottom w:val="0"/>
          <w:divBdr>
            <w:top w:val="none" w:sz="0" w:space="0" w:color="auto"/>
            <w:left w:val="none" w:sz="0" w:space="0" w:color="auto"/>
            <w:bottom w:val="none" w:sz="0" w:space="0" w:color="auto"/>
            <w:right w:val="none" w:sz="0" w:space="0" w:color="auto"/>
          </w:divBdr>
        </w:div>
      </w:divsChild>
    </w:div>
    <w:div w:id="415398564">
      <w:bodyDiv w:val="1"/>
      <w:marLeft w:val="0"/>
      <w:marRight w:val="0"/>
      <w:marTop w:val="0"/>
      <w:marBottom w:val="0"/>
      <w:divBdr>
        <w:top w:val="none" w:sz="0" w:space="0" w:color="auto"/>
        <w:left w:val="none" w:sz="0" w:space="0" w:color="auto"/>
        <w:bottom w:val="none" w:sz="0" w:space="0" w:color="auto"/>
        <w:right w:val="none" w:sz="0" w:space="0" w:color="auto"/>
      </w:divBdr>
    </w:div>
    <w:div w:id="443353344">
      <w:bodyDiv w:val="1"/>
      <w:marLeft w:val="0"/>
      <w:marRight w:val="0"/>
      <w:marTop w:val="0"/>
      <w:marBottom w:val="0"/>
      <w:divBdr>
        <w:top w:val="none" w:sz="0" w:space="0" w:color="auto"/>
        <w:left w:val="none" w:sz="0" w:space="0" w:color="auto"/>
        <w:bottom w:val="none" w:sz="0" w:space="0" w:color="auto"/>
        <w:right w:val="none" w:sz="0" w:space="0" w:color="auto"/>
      </w:divBdr>
    </w:div>
    <w:div w:id="452556862">
      <w:bodyDiv w:val="1"/>
      <w:marLeft w:val="0"/>
      <w:marRight w:val="0"/>
      <w:marTop w:val="0"/>
      <w:marBottom w:val="0"/>
      <w:divBdr>
        <w:top w:val="none" w:sz="0" w:space="0" w:color="auto"/>
        <w:left w:val="none" w:sz="0" w:space="0" w:color="auto"/>
        <w:bottom w:val="none" w:sz="0" w:space="0" w:color="auto"/>
        <w:right w:val="none" w:sz="0" w:space="0" w:color="auto"/>
      </w:divBdr>
      <w:divsChild>
        <w:div w:id="383220685">
          <w:marLeft w:val="0"/>
          <w:marRight w:val="0"/>
          <w:marTop w:val="0"/>
          <w:marBottom w:val="0"/>
          <w:divBdr>
            <w:top w:val="none" w:sz="0" w:space="0" w:color="auto"/>
            <w:left w:val="none" w:sz="0" w:space="0" w:color="auto"/>
            <w:bottom w:val="none" w:sz="0" w:space="0" w:color="auto"/>
            <w:right w:val="none" w:sz="0" w:space="0" w:color="auto"/>
          </w:divBdr>
          <w:divsChild>
            <w:div w:id="650207503">
              <w:marLeft w:val="0"/>
              <w:marRight w:val="0"/>
              <w:marTop w:val="0"/>
              <w:marBottom w:val="0"/>
              <w:divBdr>
                <w:top w:val="none" w:sz="0" w:space="0" w:color="auto"/>
                <w:left w:val="none" w:sz="0" w:space="0" w:color="auto"/>
                <w:bottom w:val="single" w:sz="6" w:space="8" w:color="E5E5E5"/>
                <w:right w:val="none" w:sz="0" w:space="0" w:color="auto"/>
              </w:divBdr>
              <w:divsChild>
                <w:div w:id="777061757">
                  <w:marLeft w:val="0"/>
                  <w:marRight w:val="0"/>
                  <w:marTop w:val="0"/>
                  <w:marBottom w:val="0"/>
                  <w:divBdr>
                    <w:top w:val="none" w:sz="0" w:space="0" w:color="auto"/>
                    <w:left w:val="none" w:sz="0" w:space="0" w:color="auto"/>
                    <w:bottom w:val="none" w:sz="0" w:space="0" w:color="auto"/>
                    <w:right w:val="none" w:sz="0" w:space="0" w:color="auto"/>
                  </w:divBdr>
                  <w:divsChild>
                    <w:div w:id="868762820">
                      <w:marLeft w:val="0"/>
                      <w:marRight w:val="0"/>
                      <w:marTop w:val="0"/>
                      <w:marBottom w:val="0"/>
                      <w:divBdr>
                        <w:top w:val="none" w:sz="0" w:space="0" w:color="auto"/>
                        <w:left w:val="none" w:sz="0" w:space="0" w:color="auto"/>
                        <w:bottom w:val="none" w:sz="0" w:space="0" w:color="auto"/>
                        <w:right w:val="none" w:sz="0" w:space="0" w:color="auto"/>
                      </w:divBdr>
                      <w:divsChild>
                        <w:div w:id="30960128">
                          <w:marLeft w:val="0"/>
                          <w:marRight w:val="0"/>
                          <w:marTop w:val="0"/>
                          <w:marBottom w:val="0"/>
                          <w:divBdr>
                            <w:top w:val="none" w:sz="0" w:space="0" w:color="auto"/>
                            <w:left w:val="none" w:sz="0" w:space="0" w:color="auto"/>
                            <w:bottom w:val="none" w:sz="0" w:space="0" w:color="auto"/>
                            <w:right w:val="none" w:sz="0" w:space="0" w:color="auto"/>
                          </w:divBdr>
                          <w:divsChild>
                            <w:div w:id="187648223">
                              <w:marLeft w:val="0"/>
                              <w:marRight w:val="0"/>
                              <w:marTop w:val="0"/>
                              <w:marBottom w:val="0"/>
                              <w:divBdr>
                                <w:top w:val="none" w:sz="0" w:space="0" w:color="auto"/>
                                <w:left w:val="none" w:sz="0" w:space="0" w:color="auto"/>
                                <w:bottom w:val="none" w:sz="0" w:space="0" w:color="auto"/>
                                <w:right w:val="none" w:sz="0" w:space="0" w:color="auto"/>
                              </w:divBdr>
                            </w:div>
                            <w:div w:id="618295315">
                              <w:marLeft w:val="0"/>
                              <w:marRight w:val="0"/>
                              <w:marTop w:val="0"/>
                              <w:marBottom w:val="0"/>
                              <w:divBdr>
                                <w:top w:val="none" w:sz="0" w:space="0" w:color="auto"/>
                                <w:left w:val="none" w:sz="0" w:space="0" w:color="auto"/>
                                <w:bottom w:val="none" w:sz="0" w:space="0" w:color="auto"/>
                                <w:right w:val="none" w:sz="0" w:space="0" w:color="auto"/>
                              </w:divBdr>
                            </w:div>
                            <w:div w:id="701170001">
                              <w:marLeft w:val="0"/>
                              <w:marRight w:val="0"/>
                              <w:marTop w:val="0"/>
                              <w:marBottom w:val="0"/>
                              <w:divBdr>
                                <w:top w:val="none" w:sz="0" w:space="0" w:color="auto"/>
                                <w:left w:val="none" w:sz="0" w:space="0" w:color="auto"/>
                                <w:bottom w:val="none" w:sz="0" w:space="0" w:color="auto"/>
                                <w:right w:val="none" w:sz="0" w:space="0" w:color="auto"/>
                              </w:divBdr>
                            </w:div>
                            <w:div w:id="11036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985396">
          <w:marLeft w:val="0"/>
          <w:marRight w:val="0"/>
          <w:marTop w:val="0"/>
          <w:marBottom w:val="0"/>
          <w:divBdr>
            <w:top w:val="none" w:sz="0" w:space="0" w:color="auto"/>
            <w:left w:val="none" w:sz="0" w:space="0" w:color="auto"/>
            <w:bottom w:val="single" w:sz="6" w:space="8" w:color="E5E5E5"/>
            <w:right w:val="none" w:sz="0" w:space="0" w:color="auto"/>
          </w:divBdr>
          <w:divsChild>
            <w:div w:id="2064672398">
              <w:marLeft w:val="0"/>
              <w:marRight w:val="0"/>
              <w:marTop w:val="0"/>
              <w:marBottom w:val="0"/>
              <w:divBdr>
                <w:top w:val="none" w:sz="0" w:space="0" w:color="auto"/>
                <w:left w:val="none" w:sz="0" w:space="0" w:color="auto"/>
                <w:bottom w:val="none" w:sz="0" w:space="0" w:color="auto"/>
                <w:right w:val="none" w:sz="0" w:space="0" w:color="auto"/>
              </w:divBdr>
              <w:divsChild>
                <w:div w:id="326252961">
                  <w:marLeft w:val="0"/>
                  <w:marRight w:val="0"/>
                  <w:marTop w:val="0"/>
                  <w:marBottom w:val="0"/>
                  <w:divBdr>
                    <w:top w:val="none" w:sz="0" w:space="0" w:color="auto"/>
                    <w:left w:val="none" w:sz="0" w:space="0" w:color="auto"/>
                    <w:bottom w:val="none" w:sz="0" w:space="0" w:color="auto"/>
                    <w:right w:val="single" w:sz="6" w:space="11" w:color="C2C2C2"/>
                  </w:divBdr>
                  <w:divsChild>
                    <w:div w:id="1715688971">
                      <w:marLeft w:val="0"/>
                      <w:marRight w:val="0"/>
                      <w:marTop w:val="0"/>
                      <w:marBottom w:val="0"/>
                      <w:divBdr>
                        <w:top w:val="none" w:sz="0" w:space="0" w:color="auto"/>
                        <w:left w:val="none" w:sz="0" w:space="0" w:color="auto"/>
                        <w:bottom w:val="none" w:sz="0" w:space="0" w:color="auto"/>
                        <w:right w:val="none" w:sz="0" w:space="0" w:color="auto"/>
                      </w:divBdr>
                    </w:div>
                    <w:div w:id="1782411411">
                      <w:marLeft w:val="0"/>
                      <w:marRight w:val="0"/>
                      <w:marTop w:val="0"/>
                      <w:marBottom w:val="0"/>
                      <w:divBdr>
                        <w:top w:val="none" w:sz="0" w:space="0" w:color="auto"/>
                        <w:left w:val="none" w:sz="0" w:space="0" w:color="auto"/>
                        <w:bottom w:val="none" w:sz="0" w:space="0" w:color="auto"/>
                        <w:right w:val="none" w:sz="0" w:space="0" w:color="auto"/>
                      </w:divBdr>
                    </w:div>
                  </w:divsChild>
                </w:div>
                <w:div w:id="386149729">
                  <w:marLeft w:val="0"/>
                  <w:marRight w:val="0"/>
                  <w:marTop w:val="0"/>
                  <w:marBottom w:val="0"/>
                  <w:divBdr>
                    <w:top w:val="none" w:sz="0" w:space="0" w:color="auto"/>
                    <w:left w:val="none" w:sz="0" w:space="0" w:color="auto"/>
                    <w:bottom w:val="none" w:sz="0" w:space="0" w:color="auto"/>
                    <w:right w:val="none" w:sz="0" w:space="0" w:color="auto"/>
                  </w:divBdr>
                  <w:divsChild>
                    <w:div w:id="1922326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53447050">
      <w:bodyDiv w:val="1"/>
      <w:marLeft w:val="0"/>
      <w:marRight w:val="0"/>
      <w:marTop w:val="0"/>
      <w:marBottom w:val="0"/>
      <w:divBdr>
        <w:top w:val="none" w:sz="0" w:space="0" w:color="auto"/>
        <w:left w:val="none" w:sz="0" w:space="0" w:color="auto"/>
        <w:bottom w:val="none" w:sz="0" w:space="0" w:color="auto"/>
        <w:right w:val="none" w:sz="0" w:space="0" w:color="auto"/>
      </w:divBdr>
    </w:div>
    <w:div w:id="475411854">
      <w:bodyDiv w:val="1"/>
      <w:marLeft w:val="0"/>
      <w:marRight w:val="0"/>
      <w:marTop w:val="0"/>
      <w:marBottom w:val="0"/>
      <w:divBdr>
        <w:top w:val="none" w:sz="0" w:space="0" w:color="auto"/>
        <w:left w:val="none" w:sz="0" w:space="0" w:color="auto"/>
        <w:bottom w:val="none" w:sz="0" w:space="0" w:color="auto"/>
        <w:right w:val="none" w:sz="0" w:space="0" w:color="auto"/>
      </w:divBdr>
      <w:divsChild>
        <w:div w:id="602079399">
          <w:marLeft w:val="0"/>
          <w:marRight w:val="0"/>
          <w:marTop w:val="0"/>
          <w:marBottom w:val="0"/>
          <w:divBdr>
            <w:top w:val="none" w:sz="0" w:space="0" w:color="auto"/>
            <w:left w:val="none" w:sz="0" w:space="0" w:color="auto"/>
            <w:bottom w:val="none" w:sz="0" w:space="0" w:color="auto"/>
            <w:right w:val="none" w:sz="0" w:space="0" w:color="auto"/>
          </w:divBdr>
        </w:div>
        <w:div w:id="1027099054">
          <w:marLeft w:val="0"/>
          <w:marRight w:val="0"/>
          <w:marTop w:val="0"/>
          <w:marBottom w:val="0"/>
          <w:divBdr>
            <w:top w:val="none" w:sz="0" w:space="0" w:color="auto"/>
            <w:left w:val="none" w:sz="0" w:space="0" w:color="auto"/>
            <w:bottom w:val="none" w:sz="0" w:space="0" w:color="auto"/>
            <w:right w:val="none" w:sz="0" w:space="0" w:color="auto"/>
          </w:divBdr>
        </w:div>
      </w:divsChild>
    </w:div>
    <w:div w:id="481654899">
      <w:bodyDiv w:val="1"/>
      <w:marLeft w:val="0"/>
      <w:marRight w:val="0"/>
      <w:marTop w:val="0"/>
      <w:marBottom w:val="0"/>
      <w:divBdr>
        <w:top w:val="none" w:sz="0" w:space="0" w:color="auto"/>
        <w:left w:val="none" w:sz="0" w:space="0" w:color="auto"/>
        <w:bottom w:val="none" w:sz="0" w:space="0" w:color="auto"/>
        <w:right w:val="none" w:sz="0" w:space="0" w:color="auto"/>
      </w:divBdr>
      <w:divsChild>
        <w:div w:id="224805631">
          <w:marLeft w:val="0"/>
          <w:marRight w:val="0"/>
          <w:marTop w:val="0"/>
          <w:marBottom w:val="0"/>
          <w:divBdr>
            <w:top w:val="none" w:sz="0" w:space="0" w:color="auto"/>
            <w:left w:val="none" w:sz="0" w:space="0" w:color="auto"/>
            <w:bottom w:val="none" w:sz="0" w:space="0" w:color="auto"/>
            <w:right w:val="none" w:sz="0" w:space="0" w:color="auto"/>
          </w:divBdr>
        </w:div>
      </w:divsChild>
    </w:div>
    <w:div w:id="513767693">
      <w:bodyDiv w:val="1"/>
      <w:marLeft w:val="0"/>
      <w:marRight w:val="0"/>
      <w:marTop w:val="0"/>
      <w:marBottom w:val="0"/>
      <w:divBdr>
        <w:top w:val="none" w:sz="0" w:space="0" w:color="auto"/>
        <w:left w:val="none" w:sz="0" w:space="0" w:color="auto"/>
        <w:bottom w:val="none" w:sz="0" w:space="0" w:color="auto"/>
        <w:right w:val="none" w:sz="0" w:space="0" w:color="auto"/>
      </w:divBdr>
    </w:div>
    <w:div w:id="535853793">
      <w:bodyDiv w:val="1"/>
      <w:marLeft w:val="0"/>
      <w:marRight w:val="0"/>
      <w:marTop w:val="0"/>
      <w:marBottom w:val="0"/>
      <w:divBdr>
        <w:top w:val="none" w:sz="0" w:space="0" w:color="auto"/>
        <w:left w:val="none" w:sz="0" w:space="0" w:color="auto"/>
        <w:bottom w:val="none" w:sz="0" w:space="0" w:color="auto"/>
        <w:right w:val="none" w:sz="0" w:space="0" w:color="auto"/>
      </w:divBdr>
      <w:divsChild>
        <w:div w:id="570239789">
          <w:marLeft w:val="0"/>
          <w:marRight w:val="0"/>
          <w:marTop w:val="0"/>
          <w:marBottom w:val="0"/>
          <w:divBdr>
            <w:top w:val="none" w:sz="0" w:space="0" w:color="auto"/>
            <w:left w:val="none" w:sz="0" w:space="0" w:color="auto"/>
            <w:bottom w:val="none" w:sz="0" w:space="0" w:color="auto"/>
            <w:right w:val="none" w:sz="0" w:space="0" w:color="auto"/>
          </w:divBdr>
        </w:div>
        <w:div w:id="1814446044">
          <w:marLeft w:val="0"/>
          <w:marRight w:val="0"/>
          <w:marTop w:val="0"/>
          <w:marBottom w:val="0"/>
          <w:divBdr>
            <w:top w:val="none" w:sz="0" w:space="0" w:color="auto"/>
            <w:left w:val="none" w:sz="0" w:space="0" w:color="auto"/>
            <w:bottom w:val="none" w:sz="0" w:space="0" w:color="auto"/>
            <w:right w:val="none" w:sz="0" w:space="0" w:color="auto"/>
          </w:divBdr>
        </w:div>
        <w:div w:id="1851336889">
          <w:marLeft w:val="0"/>
          <w:marRight w:val="0"/>
          <w:marTop w:val="0"/>
          <w:marBottom w:val="0"/>
          <w:divBdr>
            <w:top w:val="none" w:sz="0" w:space="0" w:color="auto"/>
            <w:left w:val="none" w:sz="0" w:space="0" w:color="auto"/>
            <w:bottom w:val="none" w:sz="0" w:space="0" w:color="auto"/>
            <w:right w:val="none" w:sz="0" w:space="0" w:color="auto"/>
          </w:divBdr>
        </w:div>
        <w:div w:id="1949698529">
          <w:marLeft w:val="0"/>
          <w:marRight w:val="0"/>
          <w:marTop w:val="0"/>
          <w:marBottom w:val="0"/>
          <w:divBdr>
            <w:top w:val="none" w:sz="0" w:space="0" w:color="auto"/>
            <w:left w:val="none" w:sz="0" w:space="0" w:color="auto"/>
            <w:bottom w:val="none" w:sz="0" w:space="0" w:color="auto"/>
            <w:right w:val="none" w:sz="0" w:space="0" w:color="auto"/>
          </w:divBdr>
        </w:div>
        <w:div w:id="2139452785">
          <w:marLeft w:val="0"/>
          <w:marRight w:val="0"/>
          <w:marTop w:val="0"/>
          <w:marBottom w:val="0"/>
          <w:divBdr>
            <w:top w:val="none" w:sz="0" w:space="0" w:color="auto"/>
            <w:left w:val="none" w:sz="0" w:space="0" w:color="auto"/>
            <w:bottom w:val="none" w:sz="0" w:space="0" w:color="auto"/>
            <w:right w:val="none" w:sz="0" w:space="0" w:color="auto"/>
          </w:divBdr>
        </w:div>
      </w:divsChild>
    </w:div>
    <w:div w:id="540214360">
      <w:bodyDiv w:val="1"/>
      <w:marLeft w:val="0"/>
      <w:marRight w:val="0"/>
      <w:marTop w:val="0"/>
      <w:marBottom w:val="0"/>
      <w:divBdr>
        <w:top w:val="none" w:sz="0" w:space="0" w:color="auto"/>
        <w:left w:val="none" w:sz="0" w:space="0" w:color="auto"/>
        <w:bottom w:val="none" w:sz="0" w:space="0" w:color="auto"/>
        <w:right w:val="none" w:sz="0" w:space="0" w:color="auto"/>
      </w:divBdr>
    </w:div>
    <w:div w:id="543753725">
      <w:bodyDiv w:val="1"/>
      <w:marLeft w:val="0"/>
      <w:marRight w:val="0"/>
      <w:marTop w:val="0"/>
      <w:marBottom w:val="0"/>
      <w:divBdr>
        <w:top w:val="none" w:sz="0" w:space="0" w:color="auto"/>
        <w:left w:val="none" w:sz="0" w:space="0" w:color="auto"/>
        <w:bottom w:val="none" w:sz="0" w:space="0" w:color="auto"/>
        <w:right w:val="none" w:sz="0" w:space="0" w:color="auto"/>
      </w:divBdr>
    </w:div>
    <w:div w:id="610473424">
      <w:bodyDiv w:val="1"/>
      <w:marLeft w:val="0"/>
      <w:marRight w:val="0"/>
      <w:marTop w:val="0"/>
      <w:marBottom w:val="0"/>
      <w:divBdr>
        <w:top w:val="none" w:sz="0" w:space="0" w:color="auto"/>
        <w:left w:val="none" w:sz="0" w:space="0" w:color="auto"/>
        <w:bottom w:val="none" w:sz="0" w:space="0" w:color="auto"/>
        <w:right w:val="none" w:sz="0" w:space="0" w:color="auto"/>
      </w:divBdr>
    </w:div>
    <w:div w:id="611207344">
      <w:bodyDiv w:val="1"/>
      <w:marLeft w:val="0"/>
      <w:marRight w:val="0"/>
      <w:marTop w:val="0"/>
      <w:marBottom w:val="0"/>
      <w:divBdr>
        <w:top w:val="none" w:sz="0" w:space="0" w:color="auto"/>
        <w:left w:val="none" w:sz="0" w:space="0" w:color="auto"/>
        <w:bottom w:val="none" w:sz="0" w:space="0" w:color="auto"/>
        <w:right w:val="none" w:sz="0" w:space="0" w:color="auto"/>
      </w:divBdr>
    </w:div>
    <w:div w:id="611936769">
      <w:bodyDiv w:val="1"/>
      <w:marLeft w:val="0"/>
      <w:marRight w:val="0"/>
      <w:marTop w:val="0"/>
      <w:marBottom w:val="0"/>
      <w:divBdr>
        <w:top w:val="none" w:sz="0" w:space="0" w:color="auto"/>
        <w:left w:val="none" w:sz="0" w:space="0" w:color="auto"/>
        <w:bottom w:val="none" w:sz="0" w:space="0" w:color="auto"/>
        <w:right w:val="none" w:sz="0" w:space="0" w:color="auto"/>
      </w:divBdr>
    </w:div>
    <w:div w:id="639264386">
      <w:bodyDiv w:val="1"/>
      <w:marLeft w:val="0"/>
      <w:marRight w:val="0"/>
      <w:marTop w:val="0"/>
      <w:marBottom w:val="0"/>
      <w:divBdr>
        <w:top w:val="none" w:sz="0" w:space="0" w:color="auto"/>
        <w:left w:val="none" w:sz="0" w:space="0" w:color="auto"/>
        <w:bottom w:val="none" w:sz="0" w:space="0" w:color="auto"/>
        <w:right w:val="none" w:sz="0" w:space="0" w:color="auto"/>
      </w:divBdr>
    </w:div>
    <w:div w:id="669450961">
      <w:bodyDiv w:val="1"/>
      <w:marLeft w:val="0"/>
      <w:marRight w:val="0"/>
      <w:marTop w:val="0"/>
      <w:marBottom w:val="0"/>
      <w:divBdr>
        <w:top w:val="none" w:sz="0" w:space="0" w:color="auto"/>
        <w:left w:val="none" w:sz="0" w:space="0" w:color="auto"/>
        <w:bottom w:val="none" w:sz="0" w:space="0" w:color="auto"/>
        <w:right w:val="none" w:sz="0" w:space="0" w:color="auto"/>
      </w:divBdr>
      <w:divsChild>
        <w:div w:id="359090359">
          <w:marLeft w:val="0"/>
          <w:marRight w:val="0"/>
          <w:marTop w:val="0"/>
          <w:marBottom w:val="0"/>
          <w:divBdr>
            <w:top w:val="none" w:sz="0" w:space="0" w:color="auto"/>
            <w:left w:val="none" w:sz="0" w:space="0" w:color="auto"/>
            <w:bottom w:val="none" w:sz="0" w:space="0" w:color="auto"/>
            <w:right w:val="none" w:sz="0" w:space="0" w:color="auto"/>
          </w:divBdr>
        </w:div>
        <w:div w:id="1419208835">
          <w:marLeft w:val="0"/>
          <w:marRight w:val="0"/>
          <w:marTop w:val="0"/>
          <w:marBottom w:val="0"/>
          <w:divBdr>
            <w:top w:val="none" w:sz="0" w:space="0" w:color="auto"/>
            <w:left w:val="none" w:sz="0" w:space="0" w:color="auto"/>
            <w:bottom w:val="none" w:sz="0" w:space="0" w:color="auto"/>
            <w:right w:val="none" w:sz="0" w:space="0" w:color="auto"/>
          </w:divBdr>
        </w:div>
        <w:div w:id="1810704863">
          <w:marLeft w:val="0"/>
          <w:marRight w:val="0"/>
          <w:marTop w:val="0"/>
          <w:marBottom w:val="0"/>
          <w:divBdr>
            <w:top w:val="none" w:sz="0" w:space="0" w:color="auto"/>
            <w:left w:val="none" w:sz="0" w:space="0" w:color="auto"/>
            <w:bottom w:val="none" w:sz="0" w:space="0" w:color="auto"/>
            <w:right w:val="none" w:sz="0" w:space="0" w:color="auto"/>
          </w:divBdr>
          <w:divsChild>
            <w:div w:id="1827434877">
              <w:marLeft w:val="-75"/>
              <w:marRight w:val="0"/>
              <w:marTop w:val="30"/>
              <w:marBottom w:val="30"/>
              <w:divBdr>
                <w:top w:val="none" w:sz="0" w:space="0" w:color="auto"/>
                <w:left w:val="none" w:sz="0" w:space="0" w:color="auto"/>
                <w:bottom w:val="none" w:sz="0" w:space="0" w:color="auto"/>
                <w:right w:val="none" w:sz="0" w:space="0" w:color="auto"/>
              </w:divBdr>
              <w:divsChild>
                <w:div w:id="17053348">
                  <w:marLeft w:val="0"/>
                  <w:marRight w:val="0"/>
                  <w:marTop w:val="0"/>
                  <w:marBottom w:val="0"/>
                  <w:divBdr>
                    <w:top w:val="none" w:sz="0" w:space="0" w:color="auto"/>
                    <w:left w:val="none" w:sz="0" w:space="0" w:color="auto"/>
                    <w:bottom w:val="none" w:sz="0" w:space="0" w:color="auto"/>
                    <w:right w:val="none" w:sz="0" w:space="0" w:color="auto"/>
                  </w:divBdr>
                  <w:divsChild>
                    <w:div w:id="151410849">
                      <w:marLeft w:val="0"/>
                      <w:marRight w:val="0"/>
                      <w:marTop w:val="0"/>
                      <w:marBottom w:val="0"/>
                      <w:divBdr>
                        <w:top w:val="none" w:sz="0" w:space="0" w:color="auto"/>
                        <w:left w:val="none" w:sz="0" w:space="0" w:color="auto"/>
                        <w:bottom w:val="none" w:sz="0" w:space="0" w:color="auto"/>
                        <w:right w:val="none" w:sz="0" w:space="0" w:color="auto"/>
                      </w:divBdr>
                    </w:div>
                    <w:div w:id="450393189">
                      <w:marLeft w:val="0"/>
                      <w:marRight w:val="0"/>
                      <w:marTop w:val="0"/>
                      <w:marBottom w:val="0"/>
                      <w:divBdr>
                        <w:top w:val="none" w:sz="0" w:space="0" w:color="auto"/>
                        <w:left w:val="none" w:sz="0" w:space="0" w:color="auto"/>
                        <w:bottom w:val="none" w:sz="0" w:space="0" w:color="auto"/>
                        <w:right w:val="none" w:sz="0" w:space="0" w:color="auto"/>
                      </w:divBdr>
                    </w:div>
                    <w:div w:id="770322406">
                      <w:marLeft w:val="0"/>
                      <w:marRight w:val="0"/>
                      <w:marTop w:val="0"/>
                      <w:marBottom w:val="0"/>
                      <w:divBdr>
                        <w:top w:val="none" w:sz="0" w:space="0" w:color="auto"/>
                        <w:left w:val="none" w:sz="0" w:space="0" w:color="auto"/>
                        <w:bottom w:val="none" w:sz="0" w:space="0" w:color="auto"/>
                        <w:right w:val="none" w:sz="0" w:space="0" w:color="auto"/>
                      </w:divBdr>
                    </w:div>
                    <w:div w:id="1080523087">
                      <w:marLeft w:val="0"/>
                      <w:marRight w:val="0"/>
                      <w:marTop w:val="0"/>
                      <w:marBottom w:val="0"/>
                      <w:divBdr>
                        <w:top w:val="none" w:sz="0" w:space="0" w:color="auto"/>
                        <w:left w:val="none" w:sz="0" w:space="0" w:color="auto"/>
                        <w:bottom w:val="none" w:sz="0" w:space="0" w:color="auto"/>
                        <w:right w:val="none" w:sz="0" w:space="0" w:color="auto"/>
                      </w:divBdr>
                    </w:div>
                    <w:div w:id="2013482353">
                      <w:marLeft w:val="0"/>
                      <w:marRight w:val="0"/>
                      <w:marTop w:val="0"/>
                      <w:marBottom w:val="0"/>
                      <w:divBdr>
                        <w:top w:val="none" w:sz="0" w:space="0" w:color="auto"/>
                        <w:left w:val="none" w:sz="0" w:space="0" w:color="auto"/>
                        <w:bottom w:val="none" w:sz="0" w:space="0" w:color="auto"/>
                        <w:right w:val="none" w:sz="0" w:space="0" w:color="auto"/>
                      </w:divBdr>
                    </w:div>
                    <w:div w:id="2079594749">
                      <w:marLeft w:val="0"/>
                      <w:marRight w:val="0"/>
                      <w:marTop w:val="0"/>
                      <w:marBottom w:val="0"/>
                      <w:divBdr>
                        <w:top w:val="none" w:sz="0" w:space="0" w:color="auto"/>
                        <w:left w:val="none" w:sz="0" w:space="0" w:color="auto"/>
                        <w:bottom w:val="none" w:sz="0" w:space="0" w:color="auto"/>
                        <w:right w:val="none" w:sz="0" w:space="0" w:color="auto"/>
                      </w:divBdr>
                    </w:div>
                  </w:divsChild>
                </w:div>
                <w:div w:id="33118952">
                  <w:marLeft w:val="0"/>
                  <w:marRight w:val="0"/>
                  <w:marTop w:val="0"/>
                  <w:marBottom w:val="0"/>
                  <w:divBdr>
                    <w:top w:val="none" w:sz="0" w:space="0" w:color="auto"/>
                    <w:left w:val="none" w:sz="0" w:space="0" w:color="auto"/>
                    <w:bottom w:val="none" w:sz="0" w:space="0" w:color="auto"/>
                    <w:right w:val="none" w:sz="0" w:space="0" w:color="auto"/>
                  </w:divBdr>
                  <w:divsChild>
                    <w:div w:id="1083991340">
                      <w:marLeft w:val="0"/>
                      <w:marRight w:val="0"/>
                      <w:marTop w:val="0"/>
                      <w:marBottom w:val="0"/>
                      <w:divBdr>
                        <w:top w:val="none" w:sz="0" w:space="0" w:color="auto"/>
                        <w:left w:val="none" w:sz="0" w:space="0" w:color="auto"/>
                        <w:bottom w:val="none" w:sz="0" w:space="0" w:color="auto"/>
                        <w:right w:val="none" w:sz="0" w:space="0" w:color="auto"/>
                      </w:divBdr>
                    </w:div>
                  </w:divsChild>
                </w:div>
                <w:div w:id="54205035">
                  <w:marLeft w:val="0"/>
                  <w:marRight w:val="0"/>
                  <w:marTop w:val="0"/>
                  <w:marBottom w:val="0"/>
                  <w:divBdr>
                    <w:top w:val="none" w:sz="0" w:space="0" w:color="auto"/>
                    <w:left w:val="none" w:sz="0" w:space="0" w:color="auto"/>
                    <w:bottom w:val="none" w:sz="0" w:space="0" w:color="auto"/>
                    <w:right w:val="none" w:sz="0" w:space="0" w:color="auto"/>
                  </w:divBdr>
                  <w:divsChild>
                    <w:div w:id="498809663">
                      <w:marLeft w:val="0"/>
                      <w:marRight w:val="0"/>
                      <w:marTop w:val="0"/>
                      <w:marBottom w:val="0"/>
                      <w:divBdr>
                        <w:top w:val="none" w:sz="0" w:space="0" w:color="auto"/>
                        <w:left w:val="none" w:sz="0" w:space="0" w:color="auto"/>
                        <w:bottom w:val="none" w:sz="0" w:space="0" w:color="auto"/>
                        <w:right w:val="none" w:sz="0" w:space="0" w:color="auto"/>
                      </w:divBdr>
                    </w:div>
                  </w:divsChild>
                </w:div>
                <w:div w:id="205919935">
                  <w:marLeft w:val="0"/>
                  <w:marRight w:val="0"/>
                  <w:marTop w:val="0"/>
                  <w:marBottom w:val="0"/>
                  <w:divBdr>
                    <w:top w:val="none" w:sz="0" w:space="0" w:color="auto"/>
                    <w:left w:val="none" w:sz="0" w:space="0" w:color="auto"/>
                    <w:bottom w:val="none" w:sz="0" w:space="0" w:color="auto"/>
                    <w:right w:val="none" w:sz="0" w:space="0" w:color="auto"/>
                  </w:divBdr>
                  <w:divsChild>
                    <w:div w:id="732775539">
                      <w:marLeft w:val="0"/>
                      <w:marRight w:val="0"/>
                      <w:marTop w:val="0"/>
                      <w:marBottom w:val="0"/>
                      <w:divBdr>
                        <w:top w:val="none" w:sz="0" w:space="0" w:color="auto"/>
                        <w:left w:val="none" w:sz="0" w:space="0" w:color="auto"/>
                        <w:bottom w:val="none" w:sz="0" w:space="0" w:color="auto"/>
                        <w:right w:val="none" w:sz="0" w:space="0" w:color="auto"/>
                      </w:divBdr>
                    </w:div>
                  </w:divsChild>
                </w:div>
                <w:div w:id="213004601">
                  <w:marLeft w:val="0"/>
                  <w:marRight w:val="0"/>
                  <w:marTop w:val="0"/>
                  <w:marBottom w:val="0"/>
                  <w:divBdr>
                    <w:top w:val="none" w:sz="0" w:space="0" w:color="auto"/>
                    <w:left w:val="none" w:sz="0" w:space="0" w:color="auto"/>
                    <w:bottom w:val="none" w:sz="0" w:space="0" w:color="auto"/>
                    <w:right w:val="none" w:sz="0" w:space="0" w:color="auto"/>
                  </w:divBdr>
                  <w:divsChild>
                    <w:div w:id="675233907">
                      <w:marLeft w:val="0"/>
                      <w:marRight w:val="0"/>
                      <w:marTop w:val="0"/>
                      <w:marBottom w:val="0"/>
                      <w:divBdr>
                        <w:top w:val="none" w:sz="0" w:space="0" w:color="auto"/>
                        <w:left w:val="none" w:sz="0" w:space="0" w:color="auto"/>
                        <w:bottom w:val="none" w:sz="0" w:space="0" w:color="auto"/>
                        <w:right w:val="none" w:sz="0" w:space="0" w:color="auto"/>
                      </w:divBdr>
                    </w:div>
                  </w:divsChild>
                </w:div>
                <w:div w:id="224531861">
                  <w:marLeft w:val="0"/>
                  <w:marRight w:val="0"/>
                  <w:marTop w:val="0"/>
                  <w:marBottom w:val="0"/>
                  <w:divBdr>
                    <w:top w:val="none" w:sz="0" w:space="0" w:color="auto"/>
                    <w:left w:val="none" w:sz="0" w:space="0" w:color="auto"/>
                    <w:bottom w:val="none" w:sz="0" w:space="0" w:color="auto"/>
                    <w:right w:val="none" w:sz="0" w:space="0" w:color="auto"/>
                  </w:divBdr>
                  <w:divsChild>
                    <w:div w:id="484665428">
                      <w:marLeft w:val="0"/>
                      <w:marRight w:val="0"/>
                      <w:marTop w:val="0"/>
                      <w:marBottom w:val="0"/>
                      <w:divBdr>
                        <w:top w:val="none" w:sz="0" w:space="0" w:color="auto"/>
                        <w:left w:val="none" w:sz="0" w:space="0" w:color="auto"/>
                        <w:bottom w:val="none" w:sz="0" w:space="0" w:color="auto"/>
                        <w:right w:val="none" w:sz="0" w:space="0" w:color="auto"/>
                      </w:divBdr>
                    </w:div>
                  </w:divsChild>
                </w:div>
                <w:div w:id="237053847">
                  <w:marLeft w:val="0"/>
                  <w:marRight w:val="0"/>
                  <w:marTop w:val="0"/>
                  <w:marBottom w:val="0"/>
                  <w:divBdr>
                    <w:top w:val="none" w:sz="0" w:space="0" w:color="auto"/>
                    <w:left w:val="none" w:sz="0" w:space="0" w:color="auto"/>
                    <w:bottom w:val="none" w:sz="0" w:space="0" w:color="auto"/>
                    <w:right w:val="none" w:sz="0" w:space="0" w:color="auto"/>
                  </w:divBdr>
                  <w:divsChild>
                    <w:div w:id="2033142663">
                      <w:marLeft w:val="0"/>
                      <w:marRight w:val="0"/>
                      <w:marTop w:val="0"/>
                      <w:marBottom w:val="0"/>
                      <w:divBdr>
                        <w:top w:val="none" w:sz="0" w:space="0" w:color="auto"/>
                        <w:left w:val="none" w:sz="0" w:space="0" w:color="auto"/>
                        <w:bottom w:val="none" w:sz="0" w:space="0" w:color="auto"/>
                        <w:right w:val="none" w:sz="0" w:space="0" w:color="auto"/>
                      </w:divBdr>
                    </w:div>
                  </w:divsChild>
                </w:div>
                <w:div w:id="241645796">
                  <w:marLeft w:val="0"/>
                  <w:marRight w:val="0"/>
                  <w:marTop w:val="0"/>
                  <w:marBottom w:val="0"/>
                  <w:divBdr>
                    <w:top w:val="none" w:sz="0" w:space="0" w:color="auto"/>
                    <w:left w:val="none" w:sz="0" w:space="0" w:color="auto"/>
                    <w:bottom w:val="none" w:sz="0" w:space="0" w:color="auto"/>
                    <w:right w:val="none" w:sz="0" w:space="0" w:color="auto"/>
                  </w:divBdr>
                  <w:divsChild>
                    <w:div w:id="183176880">
                      <w:marLeft w:val="0"/>
                      <w:marRight w:val="0"/>
                      <w:marTop w:val="0"/>
                      <w:marBottom w:val="0"/>
                      <w:divBdr>
                        <w:top w:val="none" w:sz="0" w:space="0" w:color="auto"/>
                        <w:left w:val="none" w:sz="0" w:space="0" w:color="auto"/>
                        <w:bottom w:val="none" w:sz="0" w:space="0" w:color="auto"/>
                        <w:right w:val="none" w:sz="0" w:space="0" w:color="auto"/>
                      </w:divBdr>
                    </w:div>
                  </w:divsChild>
                </w:div>
                <w:div w:id="245188028">
                  <w:marLeft w:val="0"/>
                  <w:marRight w:val="0"/>
                  <w:marTop w:val="0"/>
                  <w:marBottom w:val="0"/>
                  <w:divBdr>
                    <w:top w:val="none" w:sz="0" w:space="0" w:color="auto"/>
                    <w:left w:val="none" w:sz="0" w:space="0" w:color="auto"/>
                    <w:bottom w:val="none" w:sz="0" w:space="0" w:color="auto"/>
                    <w:right w:val="none" w:sz="0" w:space="0" w:color="auto"/>
                  </w:divBdr>
                  <w:divsChild>
                    <w:div w:id="375737573">
                      <w:marLeft w:val="0"/>
                      <w:marRight w:val="0"/>
                      <w:marTop w:val="0"/>
                      <w:marBottom w:val="0"/>
                      <w:divBdr>
                        <w:top w:val="none" w:sz="0" w:space="0" w:color="auto"/>
                        <w:left w:val="none" w:sz="0" w:space="0" w:color="auto"/>
                        <w:bottom w:val="none" w:sz="0" w:space="0" w:color="auto"/>
                        <w:right w:val="none" w:sz="0" w:space="0" w:color="auto"/>
                      </w:divBdr>
                    </w:div>
                  </w:divsChild>
                </w:div>
                <w:div w:id="260916118">
                  <w:marLeft w:val="0"/>
                  <w:marRight w:val="0"/>
                  <w:marTop w:val="0"/>
                  <w:marBottom w:val="0"/>
                  <w:divBdr>
                    <w:top w:val="none" w:sz="0" w:space="0" w:color="auto"/>
                    <w:left w:val="none" w:sz="0" w:space="0" w:color="auto"/>
                    <w:bottom w:val="none" w:sz="0" w:space="0" w:color="auto"/>
                    <w:right w:val="none" w:sz="0" w:space="0" w:color="auto"/>
                  </w:divBdr>
                  <w:divsChild>
                    <w:div w:id="120735339">
                      <w:marLeft w:val="0"/>
                      <w:marRight w:val="0"/>
                      <w:marTop w:val="0"/>
                      <w:marBottom w:val="0"/>
                      <w:divBdr>
                        <w:top w:val="none" w:sz="0" w:space="0" w:color="auto"/>
                        <w:left w:val="none" w:sz="0" w:space="0" w:color="auto"/>
                        <w:bottom w:val="none" w:sz="0" w:space="0" w:color="auto"/>
                        <w:right w:val="none" w:sz="0" w:space="0" w:color="auto"/>
                      </w:divBdr>
                    </w:div>
                  </w:divsChild>
                </w:div>
                <w:div w:id="328950781">
                  <w:marLeft w:val="0"/>
                  <w:marRight w:val="0"/>
                  <w:marTop w:val="0"/>
                  <w:marBottom w:val="0"/>
                  <w:divBdr>
                    <w:top w:val="none" w:sz="0" w:space="0" w:color="auto"/>
                    <w:left w:val="none" w:sz="0" w:space="0" w:color="auto"/>
                    <w:bottom w:val="none" w:sz="0" w:space="0" w:color="auto"/>
                    <w:right w:val="none" w:sz="0" w:space="0" w:color="auto"/>
                  </w:divBdr>
                  <w:divsChild>
                    <w:div w:id="210965789">
                      <w:marLeft w:val="0"/>
                      <w:marRight w:val="0"/>
                      <w:marTop w:val="0"/>
                      <w:marBottom w:val="0"/>
                      <w:divBdr>
                        <w:top w:val="none" w:sz="0" w:space="0" w:color="auto"/>
                        <w:left w:val="none" w:sz="0" w:space="0" w:color="auto"/>
                        <w:bottom w:val="none" w:sz="0" w:space="0" w:color="auto"/>
                        <w:right w:val="none" w:sz="0" w:space="0" w:color="auto"/>
                      </w:divBdr>
                    </w:div>
                  </w:divsChild>
                </w:div>
                <w:div w:id="398331252">
                  <w:marLeft w:val="0"/>
                  <w:marRight w:val="0"/>
                  <w:marTop w:val="0"/>
                  <w:marBottom w:val="0"/>
                  <w:divBdr>
                    <w:top w:val="none" w:sz="0" w:space="0" w:color="auto"/>
                    <w:left w:val="none" w:sz="0" w:space="0" w:color="auto"/>
                    <w:bottom w:val="none" w:sz="0" w:space="0" w:color="auto"/>
                    <w:right w:val="none" w:sz="0" w:space="0" w:color="auto"/>
                  </w:divBdr>
                  <w:divsChild>
                    <w:div w:id="282420558">
                      <w:marLeft w:val="0"/>
                      <w:marRight w:val="0"/>
                      <w:marTop w:val="0"/>
                      <w:marBottom w:val="0"/>
                      <w:divBdr>
                        <w:top w:val="none" w:sz="0" w:space="0" w:color="auto"/>
                        <w:left w:val="none" w:sz="0" w:space="0" w:color="auto"/>
                        <w:bottom w:val="none" w:sz="0" w:space="0" w:color="auto"/>
                        <w:right w:val="none" w:sz="0" w:space="0" w:color="auto"/>
                      </w:divBdr>
                    </w:div>
                  </w:divsChild>
                </w:div>
                <w:div w:id="419520499">
                  <w:marLeft w:val="0"/>
                  <w:marRight w:val="0"/>
                  <w:marTop w:val="0"/>
                  <w:marBottom w:val="0"/>
                  <w:divBdr>
                    <w:top w:val="none" w:sz="0" w:space="0" w:color="auto"/>
                    <w:left w:val="none" w:sz="0" w:space="0" w:color="auto"/>
                    <w:bottom w:val="none" w:sz="0" w:space="0" w:color="auto"/>
                    <w:right w:val="none" w:sz="0" w:space="0" w:color="auto"/>
                  </w:divBdr>
                  <w:divsChild>
                    <w:div w:id="781189931">
                      <w:marLeft w:val="0"/>
                      <w:marRight w:val="0"/>
                      <w:marTop w:val="0"/>
                      <w:marBottom w:val="0"/>
                      <w:divBdr>
                        <w:top w:val="none" w:sz="0" w:space="0" w:color="auto"/>
                        <w:left w:val="none" w:sz="0" w:space="0" w:color="auto"/>
                        <w:bottom w:val="none" w:sz="0" w:space="0" w:color="auto"/>
                        <w:right w:val="none" w:sz="0" w:space="0" w:color="auto"/>
                      </w:divBdr>
                    </w:div>
                  </w:divsChild>
                </w:div>
                <w:div w:id="419715715">
                  <w:marLeft w:val="0"/>
                  <w:marRight w:val="0"/>
                  <w:marTop w:val="0"/>
                  <w:marBottom w:val="0"/>
                  <w:divBdr>
                    <w:top w:val="none" w:sz="0" w:space="0" w:color="auto"/>
                    <w:left w:val="none" w:sz="0" w:space="0" w:color="auto"/>
                    <w:bottom w:val="none" w:sz="0" w:space="0" w:color="auto"/>
                    <w:right w:val="none" w:sz="0" w:space="0" w:color="auto"/>
                  </w:divBdr>
                  <w:divsChild>
                    <w:div w:id="880096494">
                      <w:marLeft w:val="0"/>
                      <w:marRight w:val="0"/>
                      <w:marTop w:val="0"/>
                      <w:marBottom w:val="0"/>
                      <w:divBdr>
                        <w:top w:val="none" w:sz="0" w:space="0" w:color="auto"/>
                        <w:left w:val="none" w:sz="0" w:space="0" w:color="auto"/>
                        <w:bottom w:val="none" w:sz="0" w:space="0" w:color="auto"/>
                        <w:right w:val="none" w:sz="0" w:space="0" w:color="auto"/>
                      </w:divBdr>
                    </w:div>
                  </w:divsChild>
                </w:div>
                <w:div w:id="452938761">
                  <w:marLeft w:val="0"/>
                  <w:marRight w:val="0"/>
                  <w:marTop w:val="0"/>
                  <w:marBottom w:val="0"/>
                  <w:divBdr>
                    <w:top w:val="none" w:sz="0" w:space="0" w:color="auto"/>
                    <w:left w:val="none" w:sz="0" w:space="0" w:color="auto"/>
                    <w:bottom w:val="none" w:sz="0" w:space="0" w:color="auto"/>
                    <w:right w:val="none" w:sz="0" w:space="0" w:color="auto"/>
                  </w:divBdr>
                  <w:divsChild>
                    <w:div w:id="344937318">
                      <w:marLeft w:val="0"/>
                      <w:marRight w:val="0"/>
                      <w:marTop w:val="0"/>
                      <w:marBottom w:val="0"/>
                      <w:divBdr>
                        <w:top w:val="none" w:sz="0" w:space="0" w:color="auto"/>
                        <w:left w:val="none" w:sz="0" w:space="0" w:color="auto"/>
                        <w:bottom w:val="none" w:sz="0" w:space="0" w:color="auto"/>
                        <w:right w:val="none" w:sz="0" w:space="0" w:color="auto"/>
                      </w:divBdr>
                    </w:div>
                  </w:divsChild>
                </w:div>
                <w:div w:id="463274232">
                  <w:marLeft w:val="0"/>
                  <w:marRight w:val="0"/>
                  <w:marTop w:val="0"/>
                  <w:marBottom w:val="0"/>
                  <w:divBdr>
                    <w:top w:val="none" w:sz="0" w:space="0" w:color="auto"/>
                    <w:left w:val="none" w:sz="0" w:space="0" w:color="auto"/>
                    <w:bottom w:val="none" w:sz="0" w:space="0" w:color="auto"/>
                    <w:right w:val="none" w:sz="0" w:space="0" w:color="auto"/>
                  </w:divBdr>
                  <w:divsChild>
                    <w:div w:id="141047632">
                      <w:marLeft w:val="0"/>
                      <w:marRight w:val="0"/>
                      <w:marTop w:val="0"/>
                      <w:marBottom w:val="0"/>
                      <w:divBdr>
                        <w:top w:val="none" w:sz="0" w:space="0" w:color="auto"/>
                        <w:left w:val="none" w:sz="0" w:space="0" w:color="auto"/>
                        <w:bottom w:val="none" w:sz="0" w:space="0" w:color="auto"/>
                        <w:right w:val="none" w:sz="0" w:space="0" w:color="auto"/>
                      </w:divBdr>
                    </w:div>
                  </w:divsChild>
                </w:div>
                <w:div w:id="513421197">
                  <w:marLeft w:val="0"/>
                  <w:marRight w:val="0"/>
                  <w:marTop w:val="0"/>
                  <w:marBottom w:val="0"/>
                  <w:divBdr>
                    <w:top w:val="none" w:sz="0" w:space="0" w:color="auto"/>
                    <w:left w:val="none" w:sz="0" w:space="0" w:color="auto"/>
                    <w:bottom w:val="none" w:sz="0" w:space="0" w:color="auto"/>
                    <w:right w:val="none" w:sz="0" w:space="0" w:color="auto"/>
                  </w:divBdr>
                  <w:divsChild>
                    <w:div w:id="717095727">
                      <w:marLeft w:val="0"/>
                      <w:marRight w:val="0"/>
                      <w:marTop w:val="0"/>
                      <w:marBottom w:val="0"/>
                      <w:divBdr>
                        <w:top w:val="none" w:sz="0" w:space="0" w:color="auto"/>
                        <w:left w:val="none" w:sz="0" w:space="0" w:color="auto"/>
                        <w:bottom w:val="none" w:sz="0" w:space="0" w:color="auto"/>
                        <w:right w:val="none" w:sz="0" w:space="0" w:color="auto"/>
                      </w:divBdr>
                    </w:div>
                  </w:divsChild>
                </w:div>
                <w:div w:id="515538689">
                  <w:marLeft w:val="0"/>
                  <w:marRight w:val="0"/>
                  <w:marTop w:val="0"/>
                  <w:marBottom w:val="0"/>
                  <w:divBdr>
                    <w:top w:val="none" w:sz="0" w:space="0" w:color="auto"/>
                    <w:left w:val="none" w:sz="0" w:space="0" w:color="auto"/>
                    <w:bottom w:val="none" w:sz="0" w:space="0" w:color="auto"/>
                    <w:right w:val="none" w:sz="0" w:space="0" w:color="auto"/>
                  </w:divBdr>
                  <w:divsChild>
                    <w:div w:id="2130389436">
                      <w:marLeft w:val="0"/>
                      <w:marRight w:val="0"/>
                      <w:marTop w:val="0"/>
                      <w:marBottom w:val="0"/>
                      <w:divBdr>
                        <w:top w:val="none" w:sz="0" w:space="0" w:color="auto"/>
                        <w:left w:val="none" w:sz="0" w:space="0" w:color="auto"/>
                        <w:bottom w:val="none" w:sz="0" w:space="0" w:color="auto"/>
                        <w:right w:val="none" w:sz="0" w:space="0" w:color="auto"/>
                      </w:divBdr>
                    </w:div>
                  </w:divsChild>
                </w:div>
                <w:div w:id="520625748">
                  <w:marLeft w:val="0"/>
                  <w:marRight w:val="0"/>
                  <w:marTop w:val="0"/>
                  <w:marBottom w:val="0"/>
                  <w:divBdr>
                    <w:top w:val="none" w:sz="0" w:space="0" w:color="auto"/>
                    <w:left w:val="none" w:sz="0" w:space="0" w:color="auto"/>
                    <w:bottom w:val="none" w:sz="0" w:space="0" w:color="auto"/>
                    <w:right w:val="none" w:sz="0" w:space="0" w:color="auto"/>
                  </w:divBdr>
                  <w:divsChild>
                    <w:div w:id="1043362585">
                      <w:marLeft w:val="0"/>
                      <w:marRight w:val="0"/>
                      <w:marTop w:val="0"/>
                      <w:marBottom w:val="0"/>
                      <w:divBdr>
                        <w:top w:val="none" w:sz="0" w:space="0" w:color="auto"/>
                        <w:left w:val="none" w:sz="0" w:space="0" w:color="auto"/>
                        <w:bottom w:val="none" w:sz="0" w:space="0" w:color="auto"/>
                        <w:right w:val="none" w:sz="0" w:space="0" w:color="auto"/>
                      </w:divBdr>
                    </w:div>
                  </w:divsChild>
                </w:div>
                <w:div w:id="532117780">
                  <w:marLeft w:val="0"/>
                  <w:marRight w:val="0"/>
                  <w:marTop w:val="0"/>
                  <w:marBottom w:val="0"/>
                  <w:divBdr>
                    <w:top w:val="none" w:sz="0" w:space="0" w:color="auto"/>
                    <w:left w:val="none" w:sz="0" w:space="0" w:color="auto"/>
                    <w:bottom w:val="none" w:sz="0" w:space="0" w:color="auto"/>
                    <w:right w:val="none" w:sz="0" w:space="0" w:color="auto"/>
                  </w:divBdr>
                  <w:divsChild>
                    <w:div w:id="620646640">
                      <w:marLeft w:val="0"/>
                      <w:marRight w:val="0"/>
                      <w:marTop w:val="0"/>
                      <w:marBottom w:val="0"/>
                      <w:divBdr>
                        <w:top w:val="none" w:sz="0" w:space="0" w:color="auto"/>
                        <w:left w:val="none" w:sz="0" w:space="0" w:color="auto"/>
                        <w:bottom w:val="none" w:sz="0" w:space="0" w:color="auto"/>
                        <w:right w:val="none" w:sz="0" w:space="0" w:color="auto"/>
                      </w:divBdr>
                    </w:div>
                  </w:divsChild>
                </w:div>
                <w:div w:id="575171362">
                  <w:marLeft w:val="0"/>
                  <w:marRight w:val="0"/>
                  <w:marTop w:val="0"/>
                  <w:marBottom w:val="0"/>
                  <w:divBdr>
                    <w:top w:val="none" w:sz="0" w:space="0" w:color="auto"/>
                    <w:left w:val="none" w:sz="0" w:space="0" w:color="auto"/>
                    <w:bottom w:val="none" w:sz="0" w:space="0" w:color="auto"/>
                    <w:right w:val="none" w:sz="0" w:space="0" w:color="auto"/>
                  </w:divBdr>
                  <w:divsChild>
                    <w:div w:id="1234045663">
                      <w:marLeft w:val="0"/>
                      <w:marRight w:val="0"/>
                      <w:marTop w:val="0"/>
                      <w:marBottom w:val="0"/>
                      <w:divBdr>
                        <w:top w:val="none" w:sz="0" w:space="0" w:color="auto"/>
                        <w:left w:val="none" w:sz="0" w:space="0" w:color="auto"/>
                        <w:bottom w:val="none" w:sz="0" w:space="0" w:color="auto"/>
                        <w:right w:val="none" w:sz="0" w:space="0" w:color="auto"/>
                      </w:divBdr>
                    </w:div>
                  </w:divsChild>
                </w:div>
                <w:div w:id="618336903">
                  <w:marLeft w:val="0"/>
                  <w:marRight w:val="0"/>
                  <w:marTop w:val="0"/>
                  <w:marBottom w:val="0"/>
                  <w:divBdr>
                    <w:top w:val="none" w:sz="0" w:space="0" w:color="auto"/>
                    <w:left w:val="none" w:sz="0" w:space="0" w:color="auto"/>
                    <w:bottom w:val="none" w:sz="0" w:space="0" w:color="auto"/>
                    <w:right w:val="none" w:sz="0" w:space="0" w:color="auto"/>
                  </w:divBdr>
                  <w:divsChild>
                    <w:div w:id="2029258099">
                      <w:marLeft w:val="0"/>
                      <w:marRight w:val="0"/>
                      <w:marTop w:val="0"/>
                      <w:marBottom w:val="0"/>
                      <w:divBdr>
                        <w:top w:val="none" w:sz="0" w:space="0" w:color="auto"/>
                        <w:left w:val="none" w:sz="0" w:space="0" w:color="auto"/>
                        <w:bottom w:val="none" w:sz="0" w:space="0" w:color="auto"/>
                        <w:right w:val="none" w:sz="0" w:space="0" w:color="auto"/>
                      </w:divBdr>
                    </w:div>
                  </w:divsChild>
                </w:div>
                <w:div w:id="621301940">
                  <w:marLeft w:val="0"/>
                  <w:marRight w:val="0"/>
                  <w:marTop w:val="0"/>
                  <w:marBottom w:val="0"/>
                  <w:divBdr>
                    <w:top w:val="none" w:sz="0" w:space="0" w:color="auto"/>
                    <w:left w:val="none" w:sz="0" w:space="0" w:color="auto"/>
                    <w:bottom w:val="none" w:sz="0" w:space="0" w:color="auto"/>
                    <w:right w:val="none" w:sz="0" w:space="0" w:color="auto"/>
                  </w:divBdr>
                  <w:divsChild>
                    <w:div w:id="1313173720">
                      <w:marLeft w:val="0"/>
                      <w:marRight w:val="0"/>
                      <w:marTop w:val="0"/>
                      <w:marBottom w:val="0"/>
                      <w:divBdr>
                        <w:top w:val="none" w:sz="0" w:space="0" w:color="auto"/>
                        <w:left w:val="none" w:sz="0" w:space="0" w:color="auto"/>
                        <w:bottom w:val="none" w:sz="0" w:space="0" w:color="auto"/>
                        <w:right w:val="none" w:sz="0" w:space="0" w:color="auto"/>
                      </w:divBdr>
                    </w:div>
                  </w:divsChild>
                </w:div>
                <w:div w:id="659500443">
                  <w:marLeft w:val="0"/>
                  <w:marRight w:val="0"/>
                  <w:marTop w:val="0"/>
                  <w:marBottom w:val="0"/>
                  <w:divBdr>
                    <w:top w:val="none" w:sz="0" w:space="0" w:color="auto"/>
                    <w:left w:val="none" w:sz="0" w:space="0" w:color="auto"/>
                    <w:bottom w:val="none" w:sz="0" w:space="0" w:color="auto"/>
                    <w:right w:val="none" w:sz="0" w:space="0" w:color="auto"/>
                  </w:divBdr>
                  <w:divsChild>
                    <w:div w:id="113407355">
                      <w:marLeft w:val="0"/>
                      <w:marRight w:val="0"/>
                      <w:marTop w:val="0"/>
                      <w:marBottom w:val="0"/>
                      <w:divBdr>
                        <w:top w:val="none" w:sz="0" w:space="0" w:color="auto"/>
                        <w:left w:val="none" w:sz="0" w:space="0" w:color="auto"/>
                        <w:bottom w:val="none" w:sz="0" w:space="0" w:color="auto"/>
                        <w:right w:val="none" w:sz="0" w:space="0" w:color="auto"/>
                      </w:divBdr>
                    </w:div>
                  </w:divsChild>
                </w:div>
                <w:div w:id="721249482">
                  <w:marLeft w:val="0"/>
                  <w:marRight w:val="0"/>
                  <w:marTop w:val="0"/>
                  <w:marBottom w:val="0"/>
                  <w:divBdr>
                    <w:top w:val="none" w:sz="0" w:space="0" w:color="auto"/>
                    <w:left w:val="none" w:sz="0" w:space="0" w:color="auto"/>
                    <w:bottom w:val="none" w:sz="0" w:space="0" w:color="auto"/>
                    <w:right w:val="none" w:sz="0" w:space="0" w:color="auto"/>
                  </w:divBdr>
                  <w:divsChild>
                    <w:div w:id="1691761616">
                      <w:marLeft w:val="0"/>
                      <w:marRight w:val="0"/>
                      <w:marTop w:val="0"/>
                      <w:marBottom w:val="0"/>
                      <w:divBdr>
                        <w:top w:val="none" w:sz="0" w:space="0" w:color="auto"/>
                        <w:left w:val="none" w:sz="0" w:space="0" w:color="auto"/>
                        <w:bottom w:val="none" w:sz="0" w:space="0" w:color="auto"/>
                        <w:right w:val="none" w:sz="0" w:space="0" w:color="auto"/>
                      </w:divBdr>
                    </w:div>
                  </w:divsChild>
                </w:div>
                <w:div w:id="798767298">
                  <w:marLeft w:val="0"/>
                  <w:marRight w:val="0"/>
                  <w:marTop w:val="0"/>
                  <w:marBottom w:val="0"/>
                  <w:divBdr>
                    <w:top w:val="none" w:sz="0" w:space="0" w:color="auto"/>
                    <w:left w:val="none" w:sz="0" w:space="0" w:color="auto"/>
                    <w:bottom w:val="none" w:sz="0" w:space="0" w:color="auto"/>
                    <w:right w:val="none" w:sz="0" w:space="0" w:color="auto"/>
                  </w:divBdr>
                  <w:divsChild>
                    <w:div w:id="1480342126">
                      <w:marLeft w:val="0"/>
                      <w:marRight w:val="0"/>
                      <w:marTop w:val="0"/>
                      <w:marBottom w:val="0"/>
                      <w:divBdr>
                        <w:top w:val="none" w:sz="0" w:space="0" w:color="auto"/>
                        <w:left w:val="none" w:sz="0" w:space="0" w:color="auto"/>
                        <w:bottom w:val="none" w:sz="0" w:space="0" w:color="auto"/>
                        <w:right w:val="none" w:sz="0" w:space="0" w:color="auto"/>
                      </w:divBdr>
                    </w:div>
                  </w:divsChild>
                </w:div>
                <w:div w:id="835849935">
                  <w:marLeft w:val="0"/>
                  <w:marRight w:val="0"/>
                  <w:marTop w:val="0"/>
                  <w:marBottom w:val="0"/>
                  <w:divBdr>
                    <w:top w:val="none" w:sz="0" w:space="0" w:color="auto"/>
                    <w:left w:val="none" w:sz="0" w:space="0" w:color="auto"/>
                    <w:bottom w:val="none" w:sz="0" w:space="0" w:color="auto"/>
                    <w:right w:val="none" w:sz="0" w:space="0" w:color="auto"/>
                  </w:divBdr>
                  <w:divsChild>
                    <w:div w:id="762647998">
                      <w:marLeft w:val="0"/>
                      <w:marRight w:val="0"/>
                      <w:marTop w:val="0"/>
                      <w:marBottom w:val="0"/>
                      <w:divBdr>
                        <w:top w:val="none" w:sz="0" w:space="0" w:color="auto"/>
                        <w:left w:val="none" w:sz="0" w:space="0" w:color="auto"/>
                        <w:bottom w:val="none" w:sz="0" w:space="0" w:color="auto"/>
                        <w:right w:val="none" w:sz="0" w:space="0" w:color="auto"/>
                      </w:divBdr>
                    </w:div>
                  </w:divsChild>
                </w:div>
                <w:div w:id="865749759">
                  <w:marLeft w:val="0"/>
                  <w:marRight w:val="0"/>
                  <w:marTop w:val="0"/>
                  <w:marBottom w:val="0"/>
                  <w:divBdr>
                    <w:top w:val="none" w:sz="0" w:space="0" w:color="auto"/>
                    <w:left w:val="none" w:sz="0" w:space="0" w:color="auto"/>
                    <w:bottom w:val="none" w:sz="0" w:space="0" w:color="auto"/>
                    <w:right w:val="none" w:sz="0" w:space="0" w:color="auto"/>
                  </w:divBdr>
                  <w:divsChild>
                    <w:div w:id="55472988">
                      <w:marLeft w:val="0"/>
                      <w:marRight w:val="0"/>
                      <w:marTop w:val="0"/>
                      <w:marBottom w:val="0"/>
                      <w:divBdr>
                        <w:top w:val="none" w:sz="0" w:space="0" w:color="auto"/>
                        <w:left w:val="none" w:sz="0" w:space="0" w:color="auto"/>
                        <w:bottom w:val="none" w:sz="0" w:space="0" w:color="auto"/>
                        <w:right w:val="none" w:sz="0" w:space="0" w:color="auto"/>
                      </w:divBdr>
                    </w:div>
                  </w:divsChild>
                </w:div>
                <w:div w:id="868420163">
                  <w:marLeft w:val="0"/>
                  <w:marRight w:val="0"/>
                  <w:marTop w:val="0"/>
                  <w:marBottom w:val="0"/>
                  <w:divBdr>
                    <w:top w:val="none" w:sz="0" w:space="0" w:color="auto"/>
                    <w:left w:val="none" w:sz="0" w:space="0" w:color="auto"/>
                    <w:bottom w:val="none" w:sz="0" w:space="0" w:color="auto"/>
                    <w:right w:val="none" w:sz="0" w:space="0" w:color="auto"/>
                  </w:divBdr>
                  <w:divsChild>
                    <w:div w:id="2114864084">
                      <w:marLeft w:val="0"/>
                      <w:marRight w:val="0"/>
                      <w:marTop w:val="0"/>
                      <w:marBottom w:val="0"/>
                      <w:divBdr>
                        <w:top w:val="none" w:sz="0" w:space="0" w:color="auto"/>
                        <w:left w:val="none" w:sz="0" w:space="0" w:color="auto"/>
                        <w:bottom w:val="none" w:sz="0" w:space="0" w:color="auto"/>
                        <w:right w:val="none" w:sz="0" w:space="0" w:color="auto"/>
                      </w:divBdr>
                    </w:div>
                  </w:divsChild>
                </w:div>
                <w:div w:id="896742034">
                  <w:marLeft w:val="0"/>
                  <w:marRight w:val="0"/>
                  <w:marTop w:val="0"/>
                  <w:marBottom w:val="0"/>
                  <w:divBdr>
                    <w:top w:val="none" w:sz="0" w:space="0" w:color="auto"/>
                    <w:left w:val="none" w:sz="0" w:space="0" w:color="auto"/>
                    <w:bottom w:val="none" w:sz="0" w:space="0" w:color="auto"/>
                    <w:right w:val="none" w:sz="0" w:space="0" w:color="auto"/>
                  </w:divBdr>
                  <w:divsChild>
                    <w:div w:id="1903445819">
                      <w:marLeft w:val="0"/>
                      <w:marRight w:val="0"/>
                      <w:marTop w:val="0"/>
                      <w:marBottom w:val="0"/>
                      <w:divBdr>
                        <w:top w:val="none" w:sz="0" w:space="0" w:color="auto"/>
                        <w:left w:val="none" w:sz="0" w:space="0" w:color="auto"/>
                        <w:bottom w:val="none" w:sz="0" w:space="0" w:color="auto"/>
                        <w:right w:val="none" w:sz="0" w:space="0" w:color="auto"/>
                      </w:divBdr>
                    </w:div>
                  </w:divsChild>
                </w:div>
                <w:div w:id="1001274401">
                  <w:marLeft w:val="0"/>
                  <w:marRight w:val="0"/>
                  <w:marTop w:val="0"/>
                  <w:marBottom w:val="0"/>
                  <w:divBdr>
                    <w:top w:val="none" w:sz="0" w:space="0" w:color="auto"/>
                    <w:left w:val="none" w:sz="0" w:space="0" w:color="auto"/>
                    <w:bottom w:val="none" w:sz="0" w:space="0" w:color="auto"/>
                    <w:right w:val="none" w:sz="0" w:space="0" w:color="auto"/>
                  </w:divBdr>
                  <w:divsChild>
                    <w:div w:id="1030374533">
                      <w:marLeft w:val="0"/>
                      <w:marRight w:val="0"/>
                      <w:marTop w:val="0"/>
                      <w:marBottom w:val="0"/>
                      <w:divBdr>
                        <w:top w:val="none" w:sz="0" w:space="0" w:color="auto"/>
                        <w:left w:val="none" w:sz="0" w:space="0" w:color="auto"/>
                        <w:bottom w:val="none" w:sz="0" w:space="0" w:color="auto"/>
                        <w:right w:val="none" w:sz="0" w:space="0" w:color="auto"/>
                      </w:divBdr>
                    </w:div>
                  </w:divsChild>
                </w:div>
                <w:div w:id="1006711109">
                  <w:marLeft w:val="0"/>
                  <w:marRight w:val="0"/>
                  <w:marTop w:val="0"/>
                  <w:marBottom w:val="0"/>
                  <w:divBdr>
                    <w:top w:val="none" w:sz="0" w:space="0" w:color="auto"/>
                    <w:left w:val="none" w:sz="0" w:space="0" w:color="auto"/>
                    <w:bottom w:val="none" w:sz="0" w:space="0" w:color="auto"/>
                    <w:right w:val="none" w:sz="0" w:space="0" w:color="auto"/>
                  </w:divBdr>
                  <w:divsChild>
                    <w:div w:id="129136697">
                      <w:marLeft w:val="0"/>
                      <w:marRight w:val="0"/>
                      <w:marTop w:val="0"/>
                      <w:marBottom w:val="0"/>
                      <w:divBdr>
                        <w:top w:val="none" w:sz="0" w:space="0" w:color="auto"/>
                        <w:left w:val="none" w:sz="0" w:space="0" w:color="auto"/>
                        <w:bottom w:val="none" w:sz="0" w:space="0" w:color="auto"/>
                        <w:right w:val="none" w:sz="0" w:space="0" w:color="auto"/>
                      </w:divBdr>
                    </w:div>
                  </w:divsChild>
                </w:div>
                <w:div w:id="1024595049">
                  <w:marLeft w:val="0"/>
                  <w:marRight w:val="0"/>
                  <w:marTop w:val="0"/>
                  <w:marBottom w:val="0"/>
                  <w:divBdr>
                    <w:top w:val="none" w:sz="0" w:space="0" w:color="auto"/>
                    <w:left w:val="none" w:sz="0" w:space="0" w:color="auto"/>
                    <w:bottom w:val="none" w:sz="0" w:space="0" w:color="auto"/>
                    <w:right w:val="none" w:sz="0" w:space="0" w:color="auto"/>
                  </w:divBdr>
                  <w:divsChild>
                    <w:div w:id="1418558417">
                      <w:marLeft w:val="0"/>
                      <w:marRight w:val="0"/>
                      <w:marTop w:val="0"/>
                      <w:marBottom w:val="0"/>
                      <w:divBdr>
                        <w:top w:val="none" w:sz="0" w:space="0" w:color="auto"/>
                        <w:left w:val="none" w:sz="0" w:space="0" w:color="auto"/>
                        <w:bottom w:val="none" w:sz="0" w:space="0" w:color="auto"/>
                        <w:right w:val="none" w:sz="0" w:space="0" w:color="auto"/>
                      </w:divBdr>
                    </w:div>
                  </w:divsChild>
                </w:div>
                <w:div w:id="1037046176">
                  <w:marLeft w:val="0"/>
                  <w:marRight w:val="0"/>
                  <w:marTop w:val="0"/>
                  <w:marBottom w:val="0"/>
                  <w:divBdr>
                    <w:top w:val="none" w:sz="0" w:space="0" w:color="auto"/>
                    <w:left w:val="none" w:sz="0" w:space="0" w:color="auto"/>
                    <w:bottom w:val="none" w:sz="0" w:space="0" w:color="auto"/>
                    <w:right w:val="none" w:sz="0" w:space="0" w:color="auto"/>
                  </w:divBdr>
                  <w:divsChild>
                    <w:div w:id="429472273">
                      <w:marLeft w:val="0"/>
                      <w:marRight w:val="0"/>
                      <w:marTop w:val="0"/>
                      <w:marBottom w:val="0"/>
                      <w:divBdr>
                        <w:top w:val="none" w:sz="0" w:space="0" w:color="auto"/>
                        <w:left w:val="none" w:sz="0" w:space="0" w:color="auto"/>
                        <w:bottom w:val="none" w:sz="0" w:space="0" w:color="auto"/>
                        <w:right w:val="none" w:sz="0" w:space="0" w:color="auto"/>
                      </w:divBdr>
                    </w:div>
                  </w:divsChild>
                </w:div>
                <w:div w:id="1208374395">
                  <w:marLeft w:val="0"/>
                  <w:marRight w:val="0"/>
                  <w:marTop w:val="0"/>
                  <w:marBottom w:val="0"/>
                  <w:divBdr>
                    <w:top w:val="none" w:sz="0" w:space="0" w:color="auto"/>
                    <w:left w:val="none" w:sz="0" w:space="0" w:color="auto"/>
                    <w:bottom w:val="none" w:sz="0" w:space="0" w:color="auto"/>
                    <w:right w:val="none" w:sz="0" w:space="0" w:color="auto"/>
                  </w:divBdr>
                  <w:divsChild>
                    <w:div w:id="989283812">
                      <w:marLeft w:val="0"/>
                      <w:marRight w:val="0"/>
                      <w:marTop w:val="0"/>
                      <w:marBottom w:val="0"/>
                      <w:divBdr>
                        <w:top w:val="none" w:sz="0" w:space="0" w:color="auto"/>
                        <w:left w:val="none" w:sz="0" w:space="0" w:color="auto"/>
                        <w:bottom w:val="none" w:sz="0" w:space="0" w:color="auto"/>
                        <w:right w:val="none" w:sz="0" w:space="0" w:color="auto"/>
                      </w:divBdr>
                    </w:div>
                  </w:divsChild>
                </w:div>
                <w:div w:id="1249727091">
                  <w:marLeft w:val="0"/>
                  <w:marRight w:val="0"/>
                  <w:marTop w:val="0"/>
                  <w:marBottom w:val="0"/>
                  <w:divBdr>
                    <w:top w:val="none" w:sz="0" w:space="0" w:color="auto"/>
                    <w:left w:val="none" w:sz="0" w:space="0" w:color="auto"/>
                    <w:bottom w:val="none" w:sz="0" w:space="0" w:color="auto"/>
                    <w:right w:val="none" w:sz="0" w:space="0" w:color="auto"/>
                  </w:divBdr>
                  <w:divsChild>
                    <w:div w:id="398333789">
                      <w:marLeft w:val="0"/>
                      <w:marRight w:val="0"/>
                      <w:marTop w:val="0"/>
                      <w:marBottom w:val="0"/>
                      <w:divBdr>
                        <w:top w:val="none" w:sz="0" w:space="0" w:color="auto"/>
                        <w:left w:val="none" w:sz="0" w:space="0" w:color="auto"/>
                        <w:bottom w:val="none" w:sz="0" w:space="0" w:color="auto"/>
                        <w:right w:val="none" w:sz="0" w:space="0" w:color="auto"/>
                      </w:divBdr>
                    </w:div>
                  </w:divsChild>
                </w:div>
                <w:div w:id="1288663911">
                  <w:marLeft w:val="0"/>
                  <w:marRight w:val="0"/>
                  <w:marTop w:val="0"/>
                  <w:marBottom w:val="0"/>
                  <w:divBdr>
                    <w:top w:val="none" w:sz="0" w:space="0" w:color="auto"/>
                    <w:left w:val="none" w:sz="0" w:space="0" w:color="auto"/>
                    <w:bottom w:val="none" w:sz="0" w:space="0" w:color="auto"/>
                    <w:right w:val="none" w:sz="0" w:space="0" w:color="auto"/>
                  </w:divBdr>
                  <w:divsChild>
                    <w:div w:id="1154687103">
                      <w:marLeft w:val="0"/>
                      <w:marRight w:val="0"/>
                      <w:marTop w:val="0"/>
                      <w:marBottom w:val="0"/>
                      <w:divBdr>
                        <w:top w:val="none" w:sz="0" w:space="0" w:color="auto"/>
                        <w:left w:val="none" w:sz="0" w:space="0" w:color="auto"/>
                        <w:bottom w:val="none" w:sz="0" w:space="0" w:color="auto"/>
                        <w:right w:val="none" w:sz="0" w:space="0" w:color="auto"/>
                      </w:divBdr>
                    </w:div>
                  </w:divsChild>
                </w:div>
                <w:div w:id="1294677710">
                  <w:marLeft w:val="0"/>
                  <w:marRight w:val="0"/>
                  <w:marTop w:val="0"/>
                  <w:marBottom w:val="0"/>
                  <w:divBdr>
                    <w:top w:val="none" w:sz="0" w:space="0" w:color="auto"/>
                    <w:left w:val="none" w:sz="0" w:space="0" w:color="auto"/>
                    <w:bottom w:val="none" w:sz="0" w:space="0" w:color="auto"/>
                    <w:right w:val="none" w:sz="0" w:space="0" w:color="auto"/>
                  </w:divBdr>
                  <w:divsChild>
                    <w:div w:id="1418164248">
                      <w:marLeft w:val="0"/>
                      <w:marRight w:val="0"/>
                      <w:marTop w:val="0"/>
                      <w:marBottom w:val="0"/>
                      <w:divBdr>
                        <w:top w:val="none" w:sz="0" w:space="0" w:color="auto"/>
                        <w:left w:val="none" w:sz="0" w:space="0" w:color="auto"/>
                        <w:bottom w:val="none" w:sz="0" w:space="0" w:color="auto"/>
                        <w:right w:val="none" w:sz="0" w:space="0" w:color="auto"/>
                      </w:divBdr>
                    </w:div>
                  </w:divsChild>
                </w:div>
                <w:div w:id="1384326524">
                  <w:marLeft w:val="0"/>
                  <w:marRight w:val="0"/>
                  <w:marTop w:val="0"/>
                  <w:marBottom w:val="0"/>
                  <w:divBdr>
                    <w:top w:val="none" w:sz="0" w:space="0" w:color="auto"/>
                    <w:left w:val="none" w:sz="0" w:space="0" w:color="auto"/>
                    <w:bottom w:val="none" w:sz="0" w:space="0" w:color="auto"/>
                    <w:right w:val="none" w:sz="0" w:space="0" w:color="auto"/>
                  </w:divBdr>
                  <w:divsChild>
                    <w:div w:id="408307495">
                      <w:marLeft w:val="0"/>
                      <w:marRight w:val="0"/>
                      <w:marTop w:val="0"/>
                      <w:marBottom w:val="0"/>
                      <w:divBdr>
                        <w:top w:val="none" w:sz="0" w:space="0" w:color="auto"/>
                        <w:left w:val="none" w:sz="0" w:space="0" w:color="auto"/>
                        <w:bottom w:val="none" w:sz="0" w:space="0" w:color="auto"/>
                        <w:right w:val="none" w:sz="0" w:space="0" w:color="auto"/>
                      </w:divBdr>
                    </w:div>
                  </w:divsChild>
                </w:div>
                <w:div w:id="1448507946">
                  <w:marLeft w:val="0"/>
                  <w:marRight w:val="0"/>
                  <w:marTop w:val="0"/>
                  <w:marBottom w:val="0"/>
                  <w:divBdr>
                    <w:top w:val="none" w:sz="0" w:space="0" w:color="auto"/>
                    <w:left w:val="none" w:sz="0" w:space="0" w:color="auto"/>
                    <w:bottom w:val="none" w:sz="0" w:space="0" w:color="auto"/>
                    <w:right w:val="none" w:sz="0" w:space="0" w:color="auto"/>
                  </w:divBdr>
                  <w:divsChild>
                    <w:div w:id="517282586">
                      <w:marLeft w:val="0"/>
                      <w:marRight w:val="0"/>
                      <w:marTop w:val="0"/>
                      <w:marBottom w:val="0"/>
                      <w:divBdr>
                        <w:top w:val="none" w:sz="0" w:space="0" w:color="auto"/>
                        <w:left w:val="none" w:sz="0" w:space="0" w:color="auto"/>
                        <w:bottom w:val="none" w:sz="0" w:space="0" w:color="auto"/>
                        <w:right w:val="none" w:sz="0" w:space="0" w:color="auto"/>
                      </w:divBdr>
                    </w:div>
                  </w:divsChild>
                </w:div>
                <w:div w:id="1562787445">
                  <w:marLeft w:val="0"/>
                  <w:marRight w:val="0"/>
                  <w:marTop w:val="0"/>
                  <w:marBottom w:val="0"/>
                  <w:divBdr>
                    <w:top w:val="none" w:sz="0" w:space="0" w:color="auto"/>
                    <w:left w:val="none" w:sz="0" w:space="0" w:color="auto"/>
                    <w:bottom w:val="none" w:sz="0" w:space="0" w:color="auto"/>
                    <w:right w:val="none" w:sz="0" w:space="0" w:color="auto"/>
                  </w:divBdr>
                  <w:divsChild>
                    <w:div w:id="600649413">
                      <w:marLeft w:val="0"/>
                      <w:marRight w:val="0"/>
                      <w:marTop w:val="0"/>
                      <w:marBottom w:val="0"/>
                      <w:divBdr>
                        <w:top w:val="none" w:sz="0" w:space="0" w:color="auto"/>
                        <w:left w:val="none" w:sz="0" w:space="0" w:color="auto"/>
                        <w:bottom w:val="none" w:sz="0" w:space="0" w:color="auto"/>
                        <w:right w:val="none" w:sz="0" w:space="0" w:color="auto"/>
                      </w:divBdr>
                    </w:div>
                  </w:divsChild>
                </w:div>
                <w:div w:id="1579095055">
                  <w:marLeft w:val="0"/>
                  <w:marRight w:val="0"/>
                  <w:marTop w:val="0"/>
                  <w:marBottom w:val="0"/>
                  <w:divBdr>
                    <w:top w:val="none" w:sz="0" w:space="0" w:color="auto"/>
                    <w:left w:val="none" w:sz="0" w:space="0" w:color="auto"/>
                    <w:bottom w:val="none" w:sz="0" w:space="0" w:color="auto"/>
                    <w:right w:val="none" w:sz="0" w:space="0" w:color="auto"/>
                  </w:divBdr>
                  <w:divsChild>
                    <w:div w:id="660887047">
                      <w:marLeft w:val="0"/>
                      <w:marRight w:val="0"/>
                      <w:marTop w:val="0"/>
                      <w:marBottom w:val="0"/>
                      <w:divBdr>
                        <w:top w:val="none" w:sz="0" w:space="0" w:color="auto"/>
                        <w:left w:val="none" w:sz="0" w:space="0" w:color="auto"/>
                        <w:bottom w:val="none" w:sz="0" w:space="0" w:color="auto"/>
                        <w:right w:val="none" w:sz="0" w:space="0" w:color="auto"/>
                      </w:divBdr>
                    </w:div>
                  </w:divsChild>
                </w:div>
                <w:div w:id="1595242298">
                  <w:marLeft w:val="0"/>
                  <w:marRight w:val="0"/>
                  <w:marTop w:val="0"/>
                  <w:marBottom w:val="0"/>
                  <w:divBdr>
                    <w:top w:val="none" w:sz="0" w:space="0" w:color="auto"/>
                    <w:left w:val="none" w:sz="0" w:space="0" w:color="auto"/>
                    <w:bottom w:val="none" w:sz="0" w:space="0" w:color="auto"/>
                    <w:right w:val="none" w:sz="0" w:space="0" w:color="auto"/>
                  </w:divBdr>
                  <w:divsChild>
                    <w:div w:id="1742363523">
                      <w:marLeft w:val="0"/>
                      <w:marRight w:val="0"/>
                      <w:marTop w:val="0"/>
                      <w:marBottom w:val="0"/>
                      <w:divBdr>
                        <w:top w:val="none" w:sz="0" w:space="0" w:color="auto"/>
                        <w:left w:val="none" w:sz="0" w:space="0" w:color="auto"/>
                        <w:bottom w:val="none" w:sz="0" w:space="0" w:color="auto"/>
                        <w:right w:val="none" w:sz="0" w:space="0" w:color="auto"/>
                      </w:divBdr>
                    </w:div>
                  </w:divsChild>
                </w:div>
                <w:div w:id="1672828415">
                  <w:marLeft w:val="0"/>
                  <w:marRight w:val="0"/>
                  <w:marTop w:val="0"/>
                  <w:marBottom w:val="0"/>
                  <w:divBdr>
                    <w:top w:val="none" w:sz="0" w:space="0" w:color="auto"/>
                    <w:left w:val="none" w:sz="0" w:space="0" w:color="auto"/>
                    <w:bottom w:val="none" w:sz="0" w:space="0" w:color="auto"/>
                    <w:right w:val="none" w:sz="0" w:space="0" w:color="auto"/>
                  </w:divBdr>
                  <w:divsChild>
                    <w:div w:id="1836453241">
                      <w:marLeft w:val="0"/>
                      <w:marRight w:val="0"/>
                      <w:marTop w:val="0"/>
                      <w:marBottom w:val="0"/>
                      <w:divBdr>
                        <w:top w:val="none" w:sz="0" w:space="0" w:color="auto"/>
                        <w:left w:val="none" w:sz="0" w:space="0" w:color="auto"/>
                        <w:bottom w:val="none" w:sz="0" w:space="0" w:color="auto"/>
                        <w:right w:val="none" w:sz="0" w:space="0" w:color="auto"/>
                      </w:divBdr>
                    </w:div>
                  </w:divsChild>
                </w:div>
                <w:div w:id="1679189338">
                  <w:marLeft w:val="0"/>
                  <w:marRight w:val="0"/>
                  <w:marTop w:val="0"/>
                  <w:marBottom w:val="0"/>
                  <w:divBdr>
                    <w:top w:val="none" w:sz="0" w:space="0" w:color="auto"/>
                    <w:left w:val="none" w:sz="0" w:space="0" w:color="auto"/>
                    <w:bottom w:val="none" w:sz="0" w:space="0" w:color="auto"/>
                    <w:right w:val="none" w:sz="0" w:space="0" w:color="auto"/>
                  </w:divBdr>
                  <w:divsChild>
                    <w:div w:id="960187537">
                      <w:marLeft w:val="0"/>
                      <w:marRight w:val="0"/>
                      <w:marTop w:val="0"/>
                      <w:marBottom w:val="0"/>
                      <w:divBdr>
                        <w:top w:val="none" w:sz="0" w:space="0" w:color="auto"/>
                        <w:left w:val="none" w:sz="0" w:space="0" w:color="auto"/>
                        <w:bottom w:val="none" w:sz="0" w:space="0" w:color="auto"/>
                        <w:right w:val="none" w:sz="0" w:space="0" w:color="auto"/>
                      </w:divBdr>
                    </w:div>
                  </w:divsChild>
                </w:div>
                <w:div w:id="1770539105">
                  <w:marLeft w:val="0"/>
                  <w:marRight w:val="0"/>
                  <w:marTop w:val="0"/>
                  <w:marBottom w:val="0"/>
                  <w:divBdr>
                    <w:top w:val="none" w:sz="0" w:space="0" w:color="auto"/>
                    <w:left w:val="none" w:sz="0" w:space="0" w:color="auto"/>
                    <w:bottom w:val="none" w:sz="0" w:space="0" w:color="auto"/>
                    <w:right w:val="none" w:sz="0" w:space="0" w:color="auto"/>
                  </w:divBdr>
                  <w:divsChild>
                    <w:div w:id="1387726741">
                      <w:marLeft w:val="0"/>
                      <w:marRight w:val="0"/>
                      <w:marTop w:val="0"/>
                      <w:marBottom w:val="0"/>
                      <w:divBdr>
                        <w:top w:val="none" w:sz="0" w:space="0" w:color="auto"/>
                        <w:left w:val="none" w:sz="0" w:space="0" w:color="auto"/>
                        <w:bottom w:val="none" w:sz="0" w:space="0" w:color="auto"/>
                        <w:right w:val="none" w:sz="0" w:space="0" w:color="auto"/>
                      </w:divBdr>
                    </w:div>
                  </w:divsChild>
                </w:div>
                <w:div w:id="1787575103">
                  <w:marLeft w:val="0"/>
                  <w:marRight w:val="0"/>
                  <w:marTop w:val="0"/>
                  <w:marBottom w:val="0"/>
                  <w:divBdr>
                    <w:top w:val="none" w:sz="0" w:space="0" w:color="auto"/>
                    <w:left w:val="none" w:sz="0" w:space="0" w:color="auto"/>
                    <w:bottom w:val="none" w:sz="0" w:space="0" w:color="auto"/>
                    <w:right w:val="none" w:sz="0" w:space="0" w:color="auto"/>
                  </w:divBdr>
                  <w:divsChild>
                    <w:div w:id="1025793954">
                      <w:marLeft w:val="0"/>
                      <w:marRight w:val="0"/>
                      <w:marTop w:val="0"/>
                      <w:marBottom w:val="0"/>
                      <w:divBdr>
                        <w:top w:val="none" w:sz="0" w:space="0" w:color="auto"/>
                        <w:left w:val="none" w:sz="0" w:space="0" w:color="auto"/>
                        <w:bottom w:val="none" w:sz="0" w:space="0" w:color="auto"/>
                        <w:right w:val="none" w:sz="0" w:space="0" w:color="auto"/>
                      </w:divBdr>
                    </w:div>
                  </w:divsChild>
                </w:div>
                <w:div w:id="1935436682">
                  <w:marLeft w:val="0"/>
                  <w:marRight w:val="0"/>
                  <w:marTop w:val="0"/>
                  <w:marBottom w:val="0"/>
                  <w:divBdr>
                    <w:top w:val="none" w:sz="0" w:space="0" w:color="auto"/>
                    <w:left w:val="none" w:sz="0" w:space="0" w:color="auto"/>
                    <w:bottom w:val="none" w:sz="0" w:space="0" w:color="auto"/>
                    <w:right w:val="none" w:sz="0" w:space="0" w:color="auto"/>
                  </w:divBdr>
                  <w:divsChild>
                    <w:div w:id="665940846">
                      <w:marLeft w:val="0"/>
                      <w:marRight w:val="0"/>
                      <w:marTop w:val="0"/>
                      <w:marBottom w:val="0"/>
                      <w:divBdr>
                        <w:top w:val="none" w:sz="0" w:space="0" w:color="auto"/>
                        <w:left w:val="none" w:sz="0" w:space="0" w:color="auto"/>
                        <w:bottom w:val="none" w:sz="0" w:space="0" w:color="auto"/>
                        <w:right w:val="none" w:sz="0" w:space="0" w:color="auto"/>
                      </w:divBdr>
                    </w:div>
                  </w:divsChild>
                </w:div>
                <w:div w:id="1965426719">
                  <w:marLeft w:val="0"/>
                  <w:marRight w:val="0"/>
                  <w:marTop w:val="0"/>
                  <w:marBottom w:val="0"/>
                  <w:divBdr>
                    <w:top w:val="none" w:sz="0" w:space="0" w:color="auto"/>
                    <w:left w:val="none" w:sz="0" w:space="0" w:color="auto"/>
                    <w:bottom w:val="none" w:sz="0" w:space="0" w:color="auto"/>
                    <w:right w:val="none" w:sz="0" w:space="0" w:color="auto"/>
                  </w:divBdr>
                  <w:divsChild>
                    <w:div w:id="95445686">
                      <w:marLeft w:val="0"/>
                      <w:marRight w:val="0"/>
                      <w:marTop w:val="0"/>
                      <w:marBottom w:val="0"/>
                      <w:divBdr>
                        <w:top w:val="none" w:sz="0" w:space="0" w:color="auto"/>
                        <w:left w:val="none" w:sz="0" w:space="0" w:color="auto"/>
                        <w:bottom w:val="none" w:sz="0" w:space="0" w:color="auto"/>
                        <w:right w:val="none" w:sz="0" w:space="0" w:color="auto"/>
                      </w:divBdr>
                    </w:div>
                  </w:divsChild>
                </w:div>
                <w:div w:id="1992175385">
                  <w:marLeft w:val="0"/>
                  <w:marRight w:val="0"/>
                  <w:marTop w:val="0"/>
                  <w:marBottom w:val="0"/>
                  <w:divBdr>
                    <w:top w:val="none" w:sz="0" w:space="0" w:color="auto"/>
                    <w:left w:val="none" w:sz="0" w:space="0" w:color="auto"/>
                    <w:bottom w:val="none" w:sz="0" w:space="0" w:color="auto"/>
                    <w:right w:val="none" w:sz="0" w:space="0" w:color="auto"/>
                  </w:divBdr>
                  <w:divsChild>
                    <w:div w:id="744961948">
                      <w:marLeft w:val="0"/>
                      <w:marRight w:val="0"/>
                      <w:marTop w:val="0"/>
                      <w:marBottom w:val="0"/>
                      <w:divBdr>
                        <w:top w:val="none" w:sz="0" w:space="0" w:color="auto"/>
                        <w:left w:val="none" w:sz="0" w:space="0" w:color="auto"/>
                        <w:bottom w:val="none" w:sz="0" w:space="0" w:color="auto"/>
                        <w:right w:val="none" w:sz="0" w:space="0" w:color="auto"/>
                      </w:divBdr>
                    </w:div>
                  </w:divsChild>
                </w:div>
                <w:div w:id="2120638698">
                  <w:marLeft w:val="0"/>
                  <w:marRight w:val="0"/>
                  <w:marTop w:val="0"/>
                  <w:marBottom w:val="0"/>
                  <w:divBdr>
                    <w:top w:val="none" w:sz="0" w:space="0" w:color="auto"/>
                    <w:left w:val="none" w:sz="0" w:space="0" w:color="auto"/>
                    <w:bottom w:val="none" w:sz="0" w:space="0" w:color="auto"/>
                    <w:right w:val="none" w:sz="0" w:space="0" w:color="auto"/>
                  </w:divBdr>
                  <w:divsChild>
                    <w:div w:id="56650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21325">
      <w:bodyDiv w:val="1"/>
      <w:marLeft w:val="0"/>
      <w:marRight w:val="0"/>
      <w:marTop w:val="0"/>
      <w:marBottom w:val="0"/>
      <w:divBdr>
        <w:top w:val="none" w:sz="0" w:space="0" w:color="auto"/>
        <w:left w:val="none" w:sz="0" w:space="0" w:color="auto"/>
        <w:bottom w:val="none" w:sz="0" w:space="0" w:color="auto"/>
        <w:right w:val="none" w:sz="0" w:space="0" w:color="auto"/>
      </w:divBdr>
      <w:divsChild>
        <w:div w:id="747577071">
          <w:marLeft w:val="0"/>
          <w:marRight w:val="0"/>
          <w:marTop w:val="0"/>
          <w:marBottom w:val="0"/>
          <w:divBdr>
            <w:top w:val="none" w:sz="0" w:space="0" w:color="auto"/>
            <w:left w:val="none" w:sz="0" w:space="0" w:color="auto"/>
            <w:bottom w:val="none" w:sz="0" w:space="0" w:color="auto"/>
            <w:right w:val="none" w:sz="0" w:space="0" w:color="auto"/>
          </w:divBdr>
        </w:div>
      </w:divsChild>
    </w:div>
    <w:div w:id="715395536">
      <w:bodyDiv w:val="1"/>
      <w:marLeft w:val="0"/>
      <w:marRight w:val="0"/>
      <w:marTop w:val="0"/>
      <w:marBottom w:val="0"/>
      <w:divBdr>
        <w:top w:val="none" w:sz="0" w:space="0" w:color="auto"/>
        <w:left w:val="none" w:sz="0" w:space="0" w:color="auto"/>
        <w:bottom w:val="none" w:sz="0" w:space="0" w:color="auto"/>
        <w:right w:val="none" w:sz="0" w:space="0" w:color="auto"/>
      </w:divBdr>
      <w:divsChild>
        <w:div w:id="393168202">
          <w:marLeft w:val="0"/>
          <w:marRight w:val="0"/>
          <w:marTop w:val="0"/>
          <w:marBottom w:val="0"/>
          <w:divBdr>
            <w:top w:val="none" w:sz="0" w:space="0" w:color="auto"/>
            <w:left w:val="none" w:sz="0" w:space="0" w:color="auto"/>
            <w:bottom w:val="none" w:sz="0" w:space="0" w:color="auto"/>
            <w:right w:val="none" w:sz="0" w:space="0" w:color="auto"/>
          </w:divBdr>
        </w:div>
        <w:div w:id="774860855">
          <w:marLeft w:val="0"/>
          <w:marRight w:val="0"/>
          <w:marTop w:val="0"/>
          <w:marBottom w:val="0"/>
          <w:divBdr>
            <w:top w:val="none" w:sz="0" w:space="0" w:color="auto"/>
            <w:left w:val="none" w:sz="0" w:space="0" w:color="auto"/>
            <w:bottom w:val="none" w:sz="0" w:space="0" w:color="auto"/>
            <w:right w:val="none" w:sz="0" w:space="0" w:color="auto"/>
          </w:divBdr>
        </w:div>
        <w:div w:id="775323431">
          <w:marLeft w:val="0"/>
          <w:marRight w:val="0"/>
          <w:marTop w:val="0"/>
          <w:marBottom w:val="0"/>
          <w:divBdr>
            <w:top w:val="none" w:sz="0" w:space="0" w:color="auto"/>
            <w:left w:val="none" w:sz="0" w:space="0" w:color="auto"/>
            <w:bottom w:val="none" w:sz="0" w:space="0" w:color="auto"/>
            <w:right w:val="none" w:sz="0" w:space="0" w:color="auto"/>
          </w:divBdr>
        </w:div>
        <w:div w:id="1427338172">
          <w:marLeft w:val="0"/>
          <w:marRight w:val="0"/>
          <w:marTop w:val="0"/>
          <w:marBottom w:val="0"/>
          <w:divBdr>
            <w:top w:val="none" w:sz="0" w:space="0" w:color="auto"/>
            <w:left w:val="none" w:sz="0" w:space="0" w:color="auto"/>
            <w:bottom w:val="none" w:sz="0" w:space="0" w:color="auto"/>
            <w:right w:val="none" w:sz="0" w:space="0" w:color="auto"/>
          </w:divBdr>
        </w:div>
      </w:divsChild>
    </w:div>
    <w:div w:id="719548396">
      <w:bodyDiv w:val="1"/>
      <w:marLeft w:val="0"/>
      <w:marRight w:val="0"/>
      <w:marTop w:val="0"/>
      <w:marBottom w:val="0"/>
      <w:divBdr>
        <w:top w:val="none" w:sz="0" w:space="0" w:color="auto"/>
        <w:left w:val="none" w:sz="0" w:space="0" w:color="auto"/>
        <w:bottom w:val="none" w:sz="0" w:space="0" w:color="auto"/>
        <w:right w:val="none" w:sz="0" w:space="0" w:color="auto"/>
      </w:divBdr>
    </w:div>
    <w:div w:id="722216183">
      <w:bodyDiv w:val="1"/>
      <w:marLeft w:val="0"/>
      <w:marRight w:val="0"/>
      <w:marTop w:val="0"/>
      <w:marBottom w:val="0"/>
      <w:divBdr>
        <w:top w:val="none" w:sz="0" w:space="0" w:color="auto"/>
        <w:left w:val="none" w:sz="0" w:space="0" w:color="auto"/>
        <w:bottom w:val="none" w:sz="0" w:space="0" w:color="auto"/>
        <w:right w:val="none" w:sz="0" w:space="0" w:color="auto"/>
      </w:divBdr>
    </w:div>
    <w:div w:id="737434741">
      <w:bodyDiv w:val="1"/>
      <w:marLeft w:val="0"/>
      <w:marRight w:val="0"/>
      <w:marTop w:val="0"/>
      <w:marBottom w:val="0"/>
      <w:divBdr>
        <w:top w:val="none" w:sz="0" w:space="0" w:color="auto"/>
        <w:left w:val="none" w:sz="0" w:space="0" w:color="auto"/>
        <w:bottom w:val="none" w:sz="0" w:space="0" w:color="auto"/>
        <w:right w:val="none" w:sz="0" w:space="0" w:color="auto"/>
      </w:divBdr>
    </w:div>
    <w:div w:id="738331565">
      <w:bodyDiv w:val="1"/>
      <w:marLeft w:val="0"/>
      <w:marRight w:val="0"/>
      <w:marTop w:val="0"/>
      <w:marBottom w:val="0"/>
      <w:divBdr>
        <w:top w:val="none" w:sz="0" w:space="0" w:color="auto"/>
        <w:left w:val="none" w:sz="0" w:space="0" w:color="auto"/>
        <w:bottom w:val="none" w:sz="0" w:space="0" w:color="auto"/>
        <w:right w:val="none" w:sz="0" w:space="0" w:color="auto"/>
      </w:divBdr>
    </w:div>
    <w:div w:id="739593155">
      <w:bodyDiv w:val="1"/>
      <w:marLeft w:val="0"/>
      <w:marRight w:val="0"/>
      <w:marTop w:val="0"/>
      <w:marBottom w:val="0"/>
      <w:divBdr>
        <w:top w:val="none" w:sz="0" w:space="0" w:color="auto"/>
        <w:left w:val="none" w:sz="0" w:space="0" w:color="auto"/>
        <w:bottom w:val="none" w:sz="0" w:space="0" w:color="auto"/>
        <w:right w:val="none" w:sz="0" w:space="0" w:color="auto"/>
      </w:divBdr>
    </w:div>
    <w:div w:id="763913355">
      <w:bodyDiv w:val="1"/>
      <w:marLeft w:val="0"/>
      <w:marRight w:val="0"/>
      <w:marTop w:val="0"/>
      <w:marBottom w:val="0"/>
      <w:divBdr>
        <w:top w:val="none" w:sz="0" w:space="0" w:color="auto"/>
        <w:left w:val="none" w:sz="0" w:space="0" w:color="auto"/>
        <w:bottom w:val="none" w:sz="0" w:space="0" w:color="auto"/>
        <w:right w:val="none" w:sz="0" w:space="0" w:color="auto"/>
      </w:divBdr>
    </w:div>
    <w:div w:id="801725686">
      <w:bodyDiv w:val="1"/>
      <w:marLeft w:val="0"/>
      <w:marRight w:val="0"/>
      <w:marTop w:val="0"/>
      <w:marBottom w:val="0"/>
      <w:divBdr>
        <w:top w:val="none" w:sz="0" w:space="0" w:color="auto"/>
        <w:left w:val="none" w:sz="0" w:space="0" w:color="auto"/>
        <w:bottom w:val="none" w:sz="0" w:space="0" w:color="auto"/>
        <w:right w:val="none" w:sz="0" w:space="0" w:color="auto"/>
      </w:divBdr>
      <w:divsChild>
        <w:div w:id="212354809">
          <w:marLeft w:val="0"/>
          <w:marRight w:val="0"/>
          <w:marTop w:val="0"/>
          <w:marBottom w:val="0"/>
          <w:divBdr>
            <w:top w:val="none" w:sz="0" w:space="0" w:color="auto"/>
            <w:left w:val="none" w:sz="0" w:space="0" w:color="auto"/>
            <w:bottom w:val="none" w:sz="0" w:space="0" w:color="auto"/>
            <w:right w:val="none" w:sz="0" w:space="0" w:color="auto"/>
          </w:divBdr>
        </w:div>
        <w:div w:id="234241516">
          <w:marLeft w:val="0"/>
          <w:marRight w:val="0"/>
          <w:marTop w:val="0"/>
          <w:marBottom w:val="0"/>
          <w:divBdr>
            <w:top w:val="none" w:sz="0" w:space="0" w:color="auto"/>
            <w:left w:val="none" w:sz="0" w:space="0" w:color="auto"/>
            <w:bottom w:val="none" w:sz="0" w:space="0" w:color="auto"/>
            <w:right w:val="none" w:sz="0" w:space="0" w:color="auto"/>
          </w:divBdr>
        </w:div>
        <w:div w:id="332731610">
          <w:marLeft w:val="0"/>
          <w:marRight w:val="0"/>
          <w:marTop w:val="0"/>
          <w:marBottom w:val="0"/>
          <w:divBdr>
            <w:top w:val="none" w:sz="0" w:space="0" w:color="auto"/>
            <w:left w:val="none" w:sz="0" w:space="0" w:color="auto"/>
            <w:bottom w:val="none" w:sz="0" w:space="0" w:color="auto"/>
            <w:right w:val="none" w:sz="0" w:space="0" w:color="auto"/>
          </w:divBdr>
          <w:divsChild>
            <w:div w:id="102120296">
              <w:marLeft w:val="0"/>
              <w:marRight w:val="0"/>
              <w:marTop w:val="0"/>
              <w:marBottom w:val="0"/>
              <w:divBdr>
                <w:top w:val="none" w:sz="0" w:space="0" w:color="auto"/>
                <w:left w:val="none" w:sz="0" w:space="0" w:color="auto"/>
                <w:bottom w:val="none" w:sz="0" w:space="0" w:color="auto"/>
                <w:right w:val="none" w:sz="0" w:space="0" w:color="auto"/>
              </w:divBdr>
            </w:div>
            <w:div w:id="578448786">
              <w:marLeft w:val="0"/>
              <w:marRight w:val="0"/>
              <w:marTop w:val="0"/>
              <w:marBottom w:val="0"/>
              <w:divBdr>
                <w:top w:val="none" w:sz="0" w:space="0" w:color="auto"/>
                <w:left w:val="none" w:sz="0" w:space="0" w:color="auto"/>
                <w:bottom w:val="none" w:sz="0" w:space="0" w:color="auto"/>
                <w:right w:val="none" w:sz="0" w:space="0" w:color="auto"/>
              </w:divBdr>
            </w:div>
            <w:div w:id="1179008879">
              <w:marLeft w:val="0"/>
              <w:marRight w:val="0"/>
              <w:marTop w:val="0"/>
              <w:marBottom w:val="0"/>
              <w:divBdr>
                <w:top w:val="none" w:sz="0" w:space="0" w:color="auto"/>
                <w:left w:val="none" w:sz="0" w:space="0" w:color="auto"/>
                <w:bottom w:val="none" w:sz="0" w:space="0" w:color="auto"/>
                <w:right w:val="none" w:sz="0" w:space="0" w:color="auto"/>
              </w:divBdr>
            </w:div>
            <w:div w:id="1440180621">
              <w:marLeft w:val="0"/>
              <w:marRight w:val="0"/>
              <w:marTop w:val="0"/>
              <w:marBottom w:val="0"/>
              <w:divBdr>
                <w:top w:val="none" w:sz="0" w:space="0" w:color="auto"/>
                <w:left w:val="none" w:sz="0" w:space="0" w:color="auto"/>
                <w:bottom w:val="none" w:sz="0" w:space="0" w:color="auto"/>
                <w:right w:val="none" w:sz="0" w:space="0" w:color="auto"/>
              </w:divBdr>
            </w:div>
            <w:div w:id="2066486245">
              <w:marLeft w:val="0"/>
              <w:marRight w:val="0"/>
              <w:marTop w:val="0"/>
              <w:marBottom w:val="0"/>
              <w:divBdr>
                <w:top w:val="none" w:sz="0" w:space="0" w:color="auto"/>
                <w:left w:val="none" w:sz="0" w:space="0" w:color="auto"/>
                <w:bottom w:val="none" w:sz="0" w:space="0" w:color="auto"/>
                <w:right w:val="none" w:sz="0" w:space="0" w:color="auto"/>
              </w:divBdr>
            </w:div>
          </w:divsChild>
        </w:div>
        <w:div w:id="518399812">
          <w:marLeft w:val="0"/>
          <w:marRight w:val="0"/>
          <w:marTop w:val="0"/>
          <w:marBottom w:val="0"/>
          <w:divBdr>
            <w:top w:val="none" w:sz="0" w:space="0" w:color="auto"/>
            <w:left w:val="none" w:sz="0" w:space="0" w:color="auto"/>
            <w:bottom w:val="none" w:sz="0" w:space="0" w:color="auto"/>
            <w:right w:val="none" w:sz="0" w:space="0" w:color="auto"/>
          </w:divBdr>
        </w:div>
        <w:div w:id="649821685">
          <w:marLeft w:val="0"/>
          <w:marRight w:val="0"/>
          <w:marTop w:val="0"/>
          <w:marBottom w:val="0"/>
          <w:divBdr>
            <w:top w:val="none" w:sz="0" w:space="0" w:color="auto"/>
            <w:left w:val="none" w:sz="0" w:space="0" w:color="auto"/>
            <w:bottom w:val="none" w:sz="0" w:space="0" w:color="auto"/>
            <w:right w:val="none" w:sz="0" w:space="0" w:color="auto"/>
          </w:divBdr>
        </w:div>
        <w:div w:id="682900875">
          <w:marLeft w:val="0"/>
          <w:marRight w:val="0"/>
          <w:marTop w:val="0"/>
          <w:marBottom w:val="0"/>
          <w:divBdr>
            <w:top w:val="none" w:sz="0" w:space="0" w:color="auto"/>
            <w:left w:val="none" w:sz="0" w:space="0" w:color="auto"/>
            <w:bottom w:val="none" w:sz="0" w:space="0" w:color="auto"/>
            <w:right w:val="none" w:sz="0" w:space="0" w:color="auto"/>
          </w:divBdr>
        </w:div>
        <w:div w:id="810555482">
          <w:marLeft w:val="0"/>
          <w:marRight w:val="0"/>
          <w:marTop w:val="0"/>
          <w:marBottom w:val="0"/>
          <w:divBdr>
            <w:top w:val="none" w:sz="0" w:space="0" w:color="auto"/>
            <w:left w:val="none" w:sz="0" w:space="0" w:color="auto"/>
            <w:bottom w:val="none" w:sz="0" w:space="0" w:color="auto"/>
            <w:right w:val="none" w:sz="0" w:space="0" w:color="auto"/>
          </w:divBdr>
        </w:div>
        <w:div w:id="955481101">
          <w:marLeft w:val="0"/>
          <w:marRight w:val="0"/>
          <w:marTop w:val="0"/>
          <w:marBottom w:val="0"/>
          <w:divBdr>
            <w:top w:val="none" w:sz="0" w:space="0" w:color="auto"/>
            <w:left w:val="none" w:sz="0" w:space="0" w:color="auto"/>
            <w:bottom w:val="none" w:sz="0" w:space="0" w:color="auto"/>
            <w:right w:val="none" w:sz="0" w:space="0" w:color="auto"/>
          </w:divBdr>
        </w:div>
        <w:div w:id="1012340364">
          <w:marLeft w:val="0"/>
          <w:marRight w:val="0"/>
          <w:marTop w:val="0"/>
          <w:marBottom w:val="0"/>
          <w:divBdr>
            <w:top w:val="none" w:sz="0" w:space="0" w:color="auto"/>
            <w:left w:val="none" w:sz="0" w:space="0" w:color="auto"/>
            <w:bottom w:val="none" w:sz="0" w:space="0" w:color="auto"/>
            <w:right w:val="none" w:sz="0" w:space="0" w:color="auto"/>
          </w:divBdr>
        </w:div>
        <w:div w:id="1040473639">
          <w:marLeft w:val="0"/>
          <w:marRight w:val="0"/>
          <w:marTop w:val="0"/>
          <w:marBottom w:val="0"/>
          <w:divBdr>
            <w:top w:val="none" w:sz="0" w:space="0" w:color="auto"/>
            <w:left w:val="none" w:sz="0" w:space="0" w:color="auto"/>
            <w:bottom w:val="none" w:sz="0" w:space="0" w:color="auto"/>
            <w:right w:val="none" w:sz="0" w:space="0" w:color="auto"/>
          </w:divBdr>
          <w:divsChild>
            <w:div w:id="1453400688">
              <w:marLeft w:val="0"/>
              <w:marRight w:val="0"/>
              <w:marTop w:val="0"/>
              <w:marBottom w:val="0"/>
              <w:divBdr>
                <w:top w:val="none" w:sz="0" w:space="0" w:color="auto"/>
                <w:left w:val="none" w:sz="0" w:space="0" w:color="auto"/>
                <w:bottom w:val="none" w:sz="0" w:space="0" w:color="auto"/>
                <w:right w:val="none" w:sz="0" w:space="0" w:color="auto"/>
              </w:divBdr>
            </w:div>
          </w:divsChild>
        </w:div>
        <w:div w:id="1355501822">
          <w:marLeft w:val="0"/>
          <w:marRight w:val="0"/>
          <w:marTop w:val="0"/>
          <w:marBottom w:val="0"/>
          <w:divBdr>
            <w:top w:val="none" w:sz="0" w:space="0" w:color="auto"/>
            <w:left w:val="none" w:sz="0" w:space="0" w:color="auto"/>
            <w:bottom w:val="none" w:sz="0" w:space="0" w:color="auto"/>
            <w:right w:val="none" w:sz="0" w:space="0" w:color="auto"/>
          </w:divBdr>
          <w:divsChild>
            <w:div w:id="473134430">
              <w:marLeft w:val="0"/>
              <w:marRight w:val="0"/>
              <w:marTop w:val="0"/>
              <w:marBottom w:val="0"/>
              <w:divBdr>
                <w:top w:val="none" w:sz="0" w:space="0" w:color="auto"/>
                <w:left w:val="none" w:sz="0" w:space="0" w:color="auto"/>
                <w:bottom w:val="none" w:sz="0" w:space="0" w:color="auto"/>
                <w:right w:val="none" w:sz="0" w:space="0" w:color="auto"/>
              </w:divBdr>
            </w:div>
            <w:div w:id="616259200">
              <w:marLeft w:val="0"/>
              <w:marRight w:val="0"/>
              <w:marTop w:val="0"/>
              <w:marBottom w:val="0"/>
              <w:divBdr>
                <w:top w:val="none" w:sz="0" w:space="0" w:color="auto"/>
                <w:left w:val="none" w:sz="0" w:space="0" w:color="auto"/>
                <w:bottom w:val="none" w:sz="0" w:space="0" w:color="auto"/>
                <w:right w:val="none" w:sz="0" w:space="0" w:color="auto"/>
              </w:divBdr>
            </w:div>
            <w:div w:id="1155295759">
              <w:marLeft w:val="0"/>
              <w:marRight w:val="0"/>
              <w:marTop w:val="0"/>
              <w:marBottom w:val="0"/>
              <w:divBdr>
                <w:top w:val="none" w:sz="0" w:space="0" w:color="auto"/>
                <w:left w:val="none" w:sz="0" w:space="0" w:color="auto"/>
                <w:bottom w:val="none" w:sz="0" w:space="0" w:color="auto"/>
                <w:right w:val="none" w:sz="0" w:space="0" w:color="auto"/>
              </w:divBdr>
            </w:div>
            <w:div w:id="1828549285">
              <w:marLeft w:val="0"/>
              <w:marRight w:val="0"/>
              <w:marTop w:val="0"/>
              <w:marBottom w:val="0"/>
              <w:divBdr>
                <w:top w:val="none" w:sz="0" w:space="0" w:color="auto"/>
                <w:left w:val="none" w:sz="0" w:space="0" w:color="auto"/>
                <w:bottom w:val="none" w:sz="0" w:space="0" w:color="auto"/>
                <w:right w:val="none" w:sz="0" w:space="0" w:color="auto"/>
              </w:divBdr>
            </w:div>
            <w:div w:id="2074349593">
              <w:marLeft w:val="0"/>
              <w:marRight w:val="0"/>
              <w:marTop w:val="0"/>
              <w:marBottom w:val="0"/>
              <w:divBdr>
                <w:top w:val="none" w:sz="0" w:space="0" w:color="auto"/>
                <w:left w:val="none" w:sz="0" w:space="0" w:color="auto"/>
                <w:bottom w:val="none" w:sz="0" w:space="0" w:color="auto"/>
                <w:right w:val="none" w:sz="0" w:space="0" w:color="auto"/>
              </w:divBdr>
            </w:div>
          </w:divsChild>
        </w:div>
        <w:div w:id="1837500315">
          <w:marLeft w:val="0"/>
          <w:marRight w:val="0"/>
          <w:marTop w:val="0"/>
          <w:marBottom w:val="0"/>
          <w:divBdr>
            <w:top w:val="none" w:sz="0" w:space="0" w:color="auto"/>
            <w:left w:val="none" w:sz="0" w:space="0" w:color="auto"/>
            <w:bottom w:val="none" w:sz="0" w:space="0" w:color="auto"/>
            <w:right w:val="none" w:sz="0" w:space="0" w:color="auto"/>
          </w:divBdr>
        </w:div>
      </w:divsChild>
    </w:div>
    <w:div w:id="803932738">
      <w:bodyDiv w:val="1"/>
      <w:marLeft w:val="0"/>
      <w:marRight w:val="0"/>
      <w:marTop w:val="0"/>
      <w:marBottom w:val="0"/>
      <w:divBdr>
        <w:top w:val="none" w:sz="0" w:space="0" w:color="auto"/>
        <w:left w:val="none" w:sz="0" w:space="0" w:color="auto"/>
        <w:bottom w:val="none" w:sz="0" w:space="0" w:color="auto"/>
        <w:right w:val="none" w:sz="0" w:space="0" w:color="auto"/>
      </w:divBdr>
    </w:div>
    <w:div w:id="858154966">
      <w:bodyDiv w:val="1"/>
      <w:marLeft w:val="0"/>
      <w:marRight w:val="0"/>
      <w:marTop w:val="0"/>
      <w:marBottom w:val="0"/>
      <w:divBdr>
        <w:top w:val="none" w:sz="0" w:space="0" w:color="auto"/>
        <w:left w:val="none" w:sz="0" w:space="0" w:color="auto"/>
        <w:bottom w:val="none" w:sz="0" w:space="0" w:color="auto"/>
        <w:right w:val="none" w:sz="0" w:space="0" w:color="auto"/>
      </w:divBdr>
      <w:divsChild>
        <w:div w:id="265843529">
          <w:marLeft w:val="0"/>
          <w:marRight w:val="0"/>
          <w:marTop w:val="0"/>
          <w:marBottom w:val="0"/>
          <w:divBdr>
            <w:top w:val="none" w:sz="0" w:space="0" w:color="auto"/>
            <w:left w:val="none" w:sz="0" w:space="0" w:color="auto"/>
            <w:bottom w:val="none" w:sz="0" w:space="0" w:color="auto"/>
            <w:right w:val="none" w:sz="0" w:space="0" w:color="auto"/>
          </w:divBdr>
        </w:div>
        <w:div w:id="278416914">
          <w:marLeft w:val="0"/>
          <w:marRight w:val="0"/>
          <w:marTop w:val="0"/>
          <w:marBottom w:val="0"/>
          <w:divBdr>
            <w:top w:val="none" w:sz="0" w:space="0" w:color="auto"/>
            <w:left w:val="none" w:sz="0" w:space="0" w:color="auto"/>
            <w:bottom w:val="none" w:sz="0" w:space="0" w:color="auto"/>
            <w:right w:val="none" w:sz="0" w:space="0" w:color="auto"/>
          </w:divBdr>
        </w:div>
        <w:div w:id="315692298">
          <w:marLeft w:val="0"/>
          <w:marRight w:val="0"/>
          <w:marTop w:val="0"/>
          <w:marBottom w:val="0"/>
          <w:divBdr>
            <w:top w:val="none" w:sz="0" w:space="0" w:color="auto"/>
            <w:left w:val="none" w:sz="0" w:space="0" w:color="auto"/>
            <w:bottom w:val="none" w:sz="0" w:space="0" w:color="auto"/>
            <w:right w:val="none" w:sz="0" w:space="0" w:color="auto"/>
          </w:divBdr>
        </w:div>
        <w:div w:id="490100591">
          <w:marLeft w:val="0"/>
          <w:marRight w:val="0"/>
          <w:marTop w:val="0"/>
          <w:marBottom w:val="0"/>
          <w:divBdr>
            <w:top w:val="none" w:sz="0" w:space="0" w:color="auto"/>
            <w:left w:val="none" w:sz="0" w:space="0" w:color="auto"/>
            <w:bottom w:val="none" w:sz="0" w:space="0" w:color="auto"/>
            <w:right w:val="none" w:sz="0" w:space="0" w:color="auto"/>
          </w:divBdr>
        </w:div>
        <w:div w:id="658079350">
          <w:marLeft w:val="0"/>
          <w:marRight w:val="0"/>
          <w:marTop w:val="0"/>
          <w:marBottom w:val="0"/>
          <w:divBdr>
            <w:top w:val="none" w:sz="0" w:space="0" w:color="auto"/>
            <w:left w:val="none" w:sz="0" w:space="0" w:color="auto"/>
            <w:bottom w:val="none" w:sz="0" w:space="0" w:color="auto"/>
            <w:right w:val="none" w:sz="0" w:space="0" w:color="auto"/>
          </w:divBdr>
        </w:div>
        <w:div w:id="703025096">
          <w:marLeft w:val="0"/>
          <w:marRight w:val="0"/>
          <w:marTop w:val="0"/>
          <w:marBottom w:val="0"/>
          <w:divBdr>
            <w:top w:val="none" w:sz="0" w:space="0" w:color="auto"/>
            <w:left w:val="none" w:sz="0" w:space="0" w:color="auto"/>
            <w:bottom w:val="none" w:sz="0" w:space="0" w:color="auto"/>
            <w:right w:val="none" w:sz="0" w:space="0" w:color="auto"/>
          </w:divBdr>
        </w:div>
        <w:div w:id="760183454">
          <w:marLeft w:val="0"/>
          <w:marRight w:val="0"/>
          <w:marTop w:val="0"/>
          <w:marBottom w:val="0"/>
          <w:divBdr>
            <w:top w:val="none" w:sz="0" w:space="0" w:color="auto"/>
            <w:left w:val="none" w:sz="0" w:space="0" w:color="auto"/>
            <w:bottom w:val="none" w:sz="0" w:space="0" w:color="auto"/>
            <w:right w:val="none" w:sz="0" w:space="0" w:color="auto"/>
          </w:divBdr>
        </w:div>
        <w:div w:id="971909250">
          <w:marLeft w:val="0"/>
          <w:marRight w:val="0"/>
          <w:marTop w:val="0"/>
          <w:marBottom w:val="0"/>
          <w:divBdr>
            <w:top w:val="none" w:sz="0" w:space="0" w:color="auto"/>
            <w:left w:val="none" w:sz="0" w:space="0" w:color="auto"/>
            <w:bottom w:val="none" w:sz="0" w:space="0" w:color="auto"/>
            <w:right w:val="none" w:sz="0" w:space="0" w:color="auto"/>
          </w:divBdr>
        </w:div>
        <w:div w:id="978071178">
          <w:marLeft w:val="0"/>
          <w:marRight w:val="0"/>
          <w:marTop w:val="0"/>
          <w:marBottom w:val="0"/>
          <w:divBdr>
            <w:top w:val="none" w:sz="0" w:space="0" w:color="auto"/>
            <w:left w:val="none" w:sz="0" w:space="0" w:color="auto"/>
            <w:bottom w:val="none" w:sz="0" w:space="0" w:color="auto"/>
            <w:right w:val="none" w:sz="0" w:space="0" w:color="auto"/>
          </w:divBdr>
        </w:div>
        <w:div w:id="1686981120">
          <w:marLeft w:val="0"/>
          <w:marRight w:val="0"/>
          <w:marTop w:val="0"/>
          <w:marBottom w:val="0"/>
          <w:divBdr>
            <w:top w:val="none" w:sz="0" w:space="0" w:color="auto"/>
            <w:left w:val="none" w:sz="0" w:space="0" w:color="auto"/>
            <w:bottom w:val="none" w:sz="0" w:space="0" w:color="auto"/>
            <w:right w:val="none" w:sz="0" w:space="0" w:color="auto"/>
          </w:divBdr>
        </w:div>
        <w:div w:id="1790316490">
          <w:marLeft w:val="0"/>
          <w:marRight w:val="0"/>
          <w:marTop w:val="0"/>
          <w:marBottom w:val="0"/>
          <w:divBdr>
            <w:top w:val="none" w:sz="0" w:space="0" w:color="auto"/>
            <w:left w:val="none" w:sz="0" w:space="0" w:color="auto"/>
            <w:bottom w:val="none" w:sz="0" w:space="0" w:color="auto"/>
            <w:right w:val="none" w:sz="0" w:space="0" w:color="auto"/>
          </w:divBdr>
        </w:div>
        <w:div w:id="2056932111">
          <w:marLeft w:val="0"/>
          <w:marRight w:val="0"/>
          <w:marTop w:val="0"/>
          <w:marBottom w:val="0"/>
          <w:divBdr>
            <w:top w:val="none" w:sz="0" w:space="0" w:color="auto"/>
            <w:left w:val="none" w:sz="0" w:space="0" w:color="auto"/>
            <w:bottom w:val="none" w:sz="0" w:space="0" w:color="auto"/>
            <w:right w:val="none" w:sz="0" w:space="0" w:color="auto"/>
          </w:divBdr>
        </w:div>
      </w:divsChild>
    </w:div>
    <w:div w:id="872153259">
      <w:bodyDiv w:val="1"/>
      <w:marLeft w:val="0"/>
      <w:marRight w:val="0"/>
      <w:marTop w:val="0"/>
      <w:marBottom w:val="0"/>
      <w:divBdr>
        <w:top w:val="none" w:sz="0" w:space="0" w:color="auto"/>
        <w:left w:val="none" w:sz="0" w:space="0" w:color="auto"/>
        <w:bottom w:val="none" w:sz="0" w:space="0" w:color="auto"/>
        <w:right w:val="none" w:sz="0" w:space="0" w:color="auto"/>
      </w:divBdr>
    </w:div>
    <w:div w:id="892622085">
      <w:bodyDiv w:val="1"/>
      <w:marLeft w:val="0"/>
      <w:marRight w:val="0"/>
      <w:marTop w:val="0"/>
      <w:marBottom w:val="0"/>
      <w:divBdr>
        <w:top w:val="none" w:sz="0" w:space="0" w:color="auto"/>
        <w:left w:val="none" w:sz="0" w:space="0" w:color="auto"/>
        <w:bottom w:val="none" w:sz="0" w:space="0" w:color="auto"/>
        <w:right w:val="none" w:sz="0" w:space="0" w:color="auto"/>
      </w:divBdr>
    </w:div>
    <w:div w:id="901788437">
      <w:bodyDiv w:val="1"/>
      <w:marLeft w:val="0"/>
      <w:marRight w:val="0"/>
      <w:marTop w:val="0"/>
      <w:marBottom w:val="0"/>
      <w:divBdr>
        <w:top w:val="none" w:sz="0" w:space="0" w:color="auto"/>
        <w:left w:val="none" w:sz="0" w:space="0" w:color="auto"/>
        <w:bottom w:val="none" w:sz="0" w:space="0" w:color="auto"/>
        <w:right w:val="none" w:sz="0" w:space="0" w:color="auto"/>
      </w:divBdr>
    </w:div>
    <w:div w:id="908341024">
      <w:bodyDiv w:val="1"/>
      <w:marLeft w:val="0"/>
      <w:marRight w:val="0"/>
      <w:marTop w:val="0"/>
      <w:marBottom w:val="0"/>
      <w:divBdr>
        <w:top w:val="none" w:sz="0" w:space="0" w:color="auto"/>
        <w:left w:val="none" w:sz="0" w:space="0" w:color="auto"/>
        <w:bottom w:val="none" w:sz="0" w:space="0" w:color="auto"/>
        <w:right w:val="none" w:sz="0" w:space="0" w:color="auto"/>
      </w:divBdr>
    </w:div>
    <w:div w:id="925960777">
      <w:bodyDiv w:val="1"/>
      <w:marLeft w:val="0"/>
      <w:marRight w:val="0"/>
      <w:marTop w:val="0"/>
      <w:marBottom w:val="0"/>
      <w:divBdr>
        <w:top w:val="none" w:sz="0" w:space="0" w:color="auto"/>
        <w:left w:val="none" w:sz="0" w:space="0" w:color="auto"/>
        <w:bottom w:val="none" w:sz="0" w:space="0" w:color="auto"/>
        <w:right w:val="none" w:sz="0" w:space="0" w:color="auto"/>
      </w:divBdr>
      <w:divsChild>
        <w:div w:id="72431665">
          <w:marLeft w:val="0"/>
          <w:marRight w:val="0"/>
          <w:marTop w:val="0"/>
          <w:marBottom w:val="0"/>
          <w:divBdr>
            <w:top w:val="none" w:sz="0" w:space="0" w:color="auto"/>
            <w:left w:val="none" w:sz="0" w:space="0" w:color="auto"/>
            <w:bottom w:val="none" w:sz="0" w:space="0" w:color="auto"/>
            <w:right w:val="none" w:sz="0" w:space="0" w:color="auto"/>
          </w:divBdr>
        </w:div>
        <w:div w:id="1401753528">
          <w:marLeft w:val="0"/>
          <w:marRight w:val="0"/>
          <w:marTop w:val="0"/>
          <w:marBottom w:val="0"/>
          <w:divBdr>
            <w:top w:val="none" w:sz="0" w:space="0" w:color="auto"/>
            <w:left w:val="none" w:sz="0" w:space="0" w:color="auto"/>
            <w:bottom w:val="none" w:sz="0" w:space="0" w:color="auto"/>
            <w:right w:val="none" w:sz="0" w:space="0" w:color="auto"/>
          </w:divBdr>
        </w:div>
        <w:div w:id="2054233726">
          <w:marLeft w:val="0"/>
          <w:marRight w:val="0"/>
          <w:marTop w:val="0"/>
          <w:marBottom w:val="0"/>
          <w:divBdr>
            <w:top w:val="none" w:sz="0" w:space="0" w:color="auto"/>
            <w:left w:val="none" w:sz="0" w:space="0" w:color="auto"/>
            <w:bottom w:val="none" w:sz="0" w:space="0" w:color="auto"/>
            <w:right w:val="none" w:sz="0" w:space="0" w:color="auto"/>
          </w:divBdr>
        </w:div>
      </w:divsChild>
    </w:div>
    <w:div w:id="967586022">
      <w:bodyDiv w:val="1"/>
      <w:marLeft w:val="0"/>
      <w:marRight w:val="0"/>
      <w:marTop w:val="0"/>
      <w:marBottom w:val="0"/>
      <w:divBdr>
        <w:top w:val="none" w:sz="0" w:space="0" w:color="auto"/>
        <w:left w:val="none" w:sz="0" w:space="0" w:color="auto"/>
        <w:bottom w:val="none" w:sz="0" w:space="0" w:color="auto"/>
        <w:right w:val="none" w:sz="0" w:space="0" w:color="auto"/>
      </w:divBdr>
      <w:divsChild>
        <w:div w:id="860703328">
          <w:marLeft w:val="0"/>
          <w:marRight w:val="0"/>
          <w:marTop w:val="0"/>
          <w:marBottom w:val="0"/>
          <w:divBdr>
            <w:top w:val="none" w:sz="0" w:space="0" w:color="auto"/>
            <w:left w:val="none" w:sz="0" w:space="0" w:color="auto"/>
            <w:bottom w:val="none" w:sz="0" w:space="0" w:color="auto"/>
            <w:right w:val="none" w:sz="0" w:space="0" w:color="auto"/>
          </w:divBdr>
        </w:div>
        <w:div w:id="1378621186">
          <w:marLeft w:val="0"/>
          <w:marRight w:val="0"/>
          <w:marTop w:val="0"/>
          <w:marBottom w:val="0"/>
          <w:divBdr>
            <w:top w:val="none" w:sz="0" w:space="0" w:color="auto"/>
            <w:left w:val="none" w:sz="0" w:space="0" w:color="auto"/>
            <w:bottom w:val="none" w:sz="0" w:space="0" w:color="auto"/>
            <w:right w:val="none" w:sz="0" w:space="0" w:color="auto"/>
          </w:divBdr>
        </w:div>
        <w:div w:id="1860775607">
          <w:marLeft w:val="0"/>
          <w:marRight w:val="0"/>
          <w:marTop w:val="0"/>
          <w:marBottom w:val="0"/>
          <w:divBdr>
            <w:top w:val="none" w:sz="0" w:space="0" w:color="auto"/>
            <w:left w:val="none" w:sz="0" w:space="0" w:color="auto"/>
            <w:bottom w:val="none" w:sz="0" w:space="0" w:color="auto"/>
            <w:right w:val="none" w:sz="0" w:space="0" w:color="auto"/>
          </w:divBdr>
        </w:div>
      </w:divsChild>
    </w:div>
    <w:div w:id="996884680">
      <w:bodyDiv w:val="1"/>
      <w:marLeft w:val="0"/>
      <w:marRight w:val="0"/>
      <w:marTop w:val="0"/>
      <w:marBottom w:val="0"/>
      <w:divBdr>
        <w:top w:val="none" w:sz="0" w:space="0" w:color="auto"/>
        <w:left w:val="none" w:sz="0" w:space="0" w:color="auto"/>
        <w:bottom w:val="none" w:sz="0" w:space="0" w:color="auto"/>
        <w:right w:val="none" w:sz="0" w:space="0" w:color="auto"/>
      </w:divBdr>
    </w:div>
    <w:div w:id="1014192519">
      <w:bodyDiv w:val="1"/>
      <w:marLeft w:val="0"/>
      <w:marRight w:val="0"/>
      <w:marTop w:val="0"/>
      <w:marBottom w:val="0"/>
      <w:divBdr>
        <w:top w:val="none" w:sz="0" w:space="0" w:color="auto"/>
        <w:left w:val="none" w:sz="0" w:space="0" w:color="auto"/>
        <w:bottom w:val="none" w:sz="0" w:space="0" w:color="auto"/>
        <w:right w:val="none" w:sz="0" w:space="0" w:color="auto"/>
      </w:divBdr>
    </w:div>
    <w:div w:id="1024864100">
      <w:bodyDiv w:val="1"/>
      <w:marLeft w:val="0"/>
      <w:marRight w:val="0"/>
      <w:marTop w:val="0"/>
      <w:marBottom w:val="0"/>
      <w:divBdr>
        <w:top w:val="none" w:sz="0" w:space="0" w:color="auto"/>
        <w:left w:val="none" w:sz="0" w:space="0" w:color="auto"/>
        <w:bottom w:val="none" w:sz="0" w:space="0" w:color="auto"/>
        <w:right w:val="none" w:sz="0" w:space="0" w:color="auto"/>
      </w:divBdr>
    </w:div>
    <w:div w:id="1031034074">
      <w:bodyDiv w:val="1"/>
      <w:marLeft w:val="0"/>
      <w:marRight w:val="0"/>
      <w:marTop w:val="0"/>
      <w:marBottom w:val="0"/>
      <w:divBdr>
        <w:top w:val="none" w:sz="0" w:space="0" w:color="auto"/>
        <w:left w:val="none" w:sz="0" w:space="0" w:color="auto"/>
        <w:bottom w:val="none" w:sz="0" w:space="0" w:color="auto"/>
        <w:right w:val="none" w:sz="0" w:space="0" w:color="auto"/>
      </w:divBdr>
    </w:div>
    <w:div w:id="1042369310">
      <w:bodyDiv w:val="1"/>
      <w:marLeft w:val="0"/>
      <w:marRight w:val="0"/>
      <w:marTop w:val="0"/>
      <w:marBottom w:val="0"/>
      <w:divBdr>
        <w:top w:val="none" w:sz="0" w:space="0" w:color="auto"/>
        <w:left w:val="none" w:sz="0" w:space="0" w:color="auto"/>
        <w:bottom w:val="none" w:sz="0" w:space="0" w:color="auto"/>
        <w:right w:val="none" w:sz="0" w:space="0" w:color="auto"/>
      </w:divBdr>
    </w:div>
    <w:div w:id="1138913566">
      <w:bodyDiv w:val="1"/>
      <w:marLeft w:val="0"/>
      <w:marRight w:val="0"/>
      <w:marTop w:val="0"/>
      <w:marBottom w:val="0"/>
      <w:divBdr>
        <w:top w:val="none" w:sz="0" w:space="0" w:color="auto"/>
        <w:left w:val="none" w:sz="0" w:space="0" w:color="auto"/>
        <w:bottom w:val="none" w:sz="0" w:space="0" w:color="auto"/>
        <w:right w:val="none" w:sz="0" w:space="0" w:color="auto"/>
      </w:divBdr>
    </w:div>
    <w:div w:id="1155608698">
      <w:bodyDiv w:val="1"/>
      <w:marLeft w:val="0"/>
      <w:marRight w:val="0"/>
      <w:marTop w:val="0"/>
      <w:marBottom w:val="0"/>
      <w:divBdr>
        <w:top w:val="none" w:sz="0" w:space="0" w:color="auto"/>
        <w:left w:val="none" w:sz="0" w:space="0" w:color="auto"/>
        <w:bottom w:val="none" w:sz="0" w:space="0" w:color="auto"/>
        <w:right w:val="none" w:sz="0" w:space="0" w:color="auto"/>
      </w:divBdr>
    </w:div>
    <w:div w:id="1172065171">
      <w:bodyDiv w:val="1"/>
      <w:marLeft w:val="0"/>
      <w:marRight w:val="0"/>
      <w:marTop w:val="0"/>
      <w:marBottom w:val="0"/>
      <w:divBdr>
        <w:top w:val="none" w:sz="0" w:space="0" w:color="auto"/>
        <w:left w:val="none" w:sz="0" w:space="0" w:color="auto"/>
        <w:bottom w:val="none" w:sz="0" w:space="0" w:color="auto"/>
        <w:right w:val="none" w:sz="0" w:space="0" w:color="auto"/>
      </w:divBdr>
    </w:div>
    <w:div w:id="1185825113">
      <w:bodyDiv w:val="1"/>
      <w:marLeft w:val="0"/>
      <w:marRight w:val="0"/>
      <w:marTop w:val="0"/>
      <w:marBottom w:val="0"/>
      <w:divBdr>
        <w:top w:val="none" w:sz="0" w:space="0" w:color="auto"/>
        <w:left w:val="none" w:sz="0" w:space="0" w:color="auto"/>
        <w:bottom w:val="none" w:sz="0" w:space="0" w:color="auto"/>
        <w:right w:val="none" w:sz="0" w:space="0" w:color="auto"/>
      </w:divBdr>
    </w:div>
    <w:div w:id="1212690746">
      <w:bodyDiv w:val="1"/>
      <w:marLeft w:val="0"/>
      <w:marRight w:val="0"/>
      <w:marTop w:val="0"/>
      <w:marBottom w:val="0"/>
      <w:divBdr>
        <w:top w:val="none" w:sz="0" w:space="0" w:color="auto"/>
        <w:left w:val="none" w:sz="0" w:space="0" w:color="auto"/>
        <w:bottom w:val="none" w:sz="0" w:space="0" w:color="auto"/>
        <w:right w:val="none" w:sz="0" w:space="0" w:color="auto"/>
      </w:divBdr>
    </w:div>
    <w:div w:id="1231429972">
      <w:bodyDiv w:val="1"/>
      <w:marLeft w:val="0"/>
      <w:marRight w:val="0"/>
      <w:marTop w:val="0"/>
      <w:marBottom w:val="0"/>
      <w:divBdr>
        <w:top w:val="none" w:sz="0" w:space="0" w:color="auto"/>
        <w:left w:val="none" w:sz="0" w:space="0" w:color="auto"/>
        <w:bottom w:val="none" w:sz="0" w:space="0" w:color="auto"/>
        <w:right w:val="none" w:sz="0" w:space="0" w:color="auto"/>
      </w:divBdr>
    </w:div>
    <w:div w:id="1249461241">
      <w:bodyDiv w:val="1"/>
      <w:marLeft w:val="0"/>
      <w:marRight w:val="0"/>
      <w:marTop w:val="0"/>
      <w:marBottom w:val="0"/>
      <w:divBdr>
        <w:top w:val="none" w:sz="0" w:space="0" w:color="auto"/>
        <w:left w:val="none" w:sz="0" w:space="0" w:color="auto"/>
        <w:bottom w:val="none" w:sz="0" w:space="0" w:color="auto"/>
        <w:right w:val="none" w:sz="0" w:space="0" w:color="auto"/>
      </w:divBdr>
    </w:div>
    <w:div w:id="1281645033">
      <w:bodyDiv w:val="1"/>
      <w:marLeft w:val="0"/>
      <w:marRight w:val="0"/>
      <w:marTop w:val="0"/>
      <w:marBottom w:val="0"/>
      <w:divBdr>
        <w:top w:val="none" w:sz="0" w:space="0" w:color="auto"/>
        <w:left w:val="none" w:sz="0" w:space="0" w:color="auto"/>
        <w:bottom w:val="none" w:sz="0" w:space="0" w:color="auto"/>
        <w:right w:val="none" w:sz="0" w:space="0" w:color="auto"/>
      </w:divBdr>
      <w:divsChild>
        <w:div w:id="152575180">
          <w:marLeft w:val="0"/>
          <w:marRight w:val="0"/>
          <w:marTop w:val="0"/>
          <w:marBottom w:val="0"/>
          <w:divBdr>
            <w:top w:val="none" w:sz="0" w:space="0" w:color="auto"/>
            <w:left w:val="none" w:sz="0" w:space="0" w:color="auto"/>
            <w:bottom w:val="none" w:sz="0" w:space="0" w:color="auto"/>
            <w:right w:val="none" w:sz="0" w:space="0" w:color="auto"/>
          </w:divBdr>
        </w:div>
        <w:div w:id="538276764">
          <w:marLeft w:val="0"/>
          <w:marRight w:val="0"/>
          <w:marTop w:val="0"/>
          <w:marBottom w:val="0"/>
          <w:divBdr>
            <w:top w:val="none" w:sz="0" w:space="0" w:color="auto"/>
            <w:left w:val="none" w:sz="0" w:space="0" w:color="auto"/>
            <w:bottom w:val="none" w:sz="0" w:space="0" w:color="auto"/>
            <w:right w:val="none" w:sz="0" w:space="0" w:color="auto"/>
          </w:divBdr>
        </w:div>
        <w:div w:id="1163813458">
          <w:marLeft w:val="0"/>
          <w:marRight w:val="0"/>
          <w:marTop w:val="0"/>
          <w:marBottom w:val="0"/>
          <w:divBdr>
            <w:top w:val="none" w:sz="0" w:space="0" w:color="auto"/>
            <w:left w:val="none" w:sz="0" w:space="0" w:color="auto"/>
            <w:bottom w:val="none" w:sz="0" w:space="0" w:color="auto"/>
            <w:right w:val="none" w:sz="0" w:space="0" w:color="auto"/>
          </w:divBdr>
        </w:div>
        <w:div w:id="1271546160">
          <w:marLeft w:val="0"/>
          <w:marRight w:val="0"/>
          <w:marTop w:val="0"/>
          <w:marBottom w:val="0"/>
          <w:divBdr>
            <w:top w:val="none" w:sz="0" w:space="0" w:color="auto"/>
            <w:left w:val="none" w:sz="0" w:space="0" w:color="auto"/>
            <w:bottom w:val="none" w:sz="0" w:space="0" w:color="auto"/>
            <w:right w:val="none" w:sz="0" w:space="0" w:color="auto"/>
          </w:divBdr>
        </w:div>
        <w:div w:id="1371564759">
          <w:marLeft w:val="0"/>
          <w:marRight w:val="0"/>
          <w:marTop w:val="0"/>
          <w:marBottom w:val="0"/>
          <w:divBdr>
            <w:top w:val="none" w:sz="0" w:space="0" w:color="auto"/>
            <w:left w:val="none" w:sz="0" w:space="0" w:color="auto"/>
            <w:bottom w:val="none" w:sz="0" w:space="0" w:color="auto"/>
            <w:right w:val="none" w:sz="0" w:space="0" w:color="auto"/>
          </w:divBdr>
        </w:div>
        <w:div w:id="1407267185">
          <w:marLeft w:val="0"/>
          <w:marRight w:val="0"/>
          <w:marTop w:val="0"/>
          <w:marBottom w:val="0"/>
          <w:divBdr>
            <w:top w:val="none" w:sz="0" w:space="0" w:color="auto"/>
            <w:left w:val="none" w:sz="0" w:space="0" w:color="auto"/>
            <w:bottom w:val="none" w:sz="0" w:space="0" w:color="auto"/>
            <w:right w:val="none" w:sz="0" w:space="0" w:color="auto"/>
          </w:divBdr>
        </w:div>
        <w:div w:id="1465352023">
          <w:marLeft w:val="0"/>
          <w:marRight w:val="0"/>
          <w:marTop w:val="0"/>
          <w:marBottom w:val="0"/>
          <w:divBdr>
            <w:top w:val="none" w:sz="0" w:space="0" w:color="auto"/>
            <w:left w:val="none" w:sz="0" w:space="0" w:color="auto"/>
            <w:bottom w:val="none" w:sz="0" w:space="0" w:color="auto"/>
            <w:right w:val="none" w:sz="0" w:space="0" w:color="auto"/>
          </w:divBdr>
        </w:div>
        <w:div w:id="1546913540">
          <w:marLeft w:val="0"/>
          <w:marRight w:val="0"/>
          <w:marTop w:val="0"/>
          <w:marBottom w:val="0"/>
          <w:divBdr>
            <w:top w:val="none" w:sz="0" w:space="0" w:color="auto"/>
            <w:left w:val="none" w:sz="0" w:space="0" w:color="auto"/>
            <w:bottom w:val="none" w:sz="0" w:space="0" w:color="auto"/>
            <w:right w:val="none" w:sz="0" w:space="0" w:color="auto"/>
          </w:divBdr>
        </w:div>
        <w:div w:id="1664895794">
          <w:marLeft w:val="0"/>
          <w:marRight w:val="0"/>
          <w:marTop w:val="0"/>
          <w:marBottom w:val="0"/>
          <w:divBdr>
            <w:top w:val="none" w:sz="0" w:space="0" w:color="auto"/>
            <w:left w:val="none" w:sz="0" w:space="0" w:color="auto"/>
            <w:bottom w:val="none" w:sz="0" w:space="0" w:color="auto"/>
            <w:right w:val="none" w:sz="0" w:space="0" w:color="auto"/>
          </w:divBdr>
        </w:div>
        <w:div w:id="1900246690">
          <w:marLeft w:val="0"/>
          <w:marRight w:val="0"/>
          <w:marTop w:val="0"/>
          <w:marBottom w:val="0"/>
          <w:divBdr>
            <w:top w:val="none" w:sz="0" w:space="0" w:color="auto"/>
            <w:left w:val="none" w:sz="0" w:space="0" w:color="auto"/>
            <w:bottom w:val="none" w:sz="0" w:space="0" w:color="auto"/>
            <w:right w:val="none" w:sz="0" w:space="0" w:color="auto"/>
          </w:divBdr>
        </w:div>
        <w:div w:id="2013026674">
          <w:marLeft w:val="0"/>
          <w:marRight w:val="0"/>
          <w:marTop w:val="0"/>
          <w:marBottom w:val="0"/>
          <w:divBdr>
            <w:top w:val="none" w:sz="0" w:space="0" w:color="auto"/>
            <w:left w:val="none" w:sz="0" w:space="0" w:color="auto"/>
            <w:bottom w:val="none" w:sz="0" w:space="0" w:color="auto"/>
            <w:right w:val="none" w:sz="0" w:space="0" w:color="auto"/>
          </w:divBdr>
        </w:div>
        <w:div w:id="2087610989">
          <w:marLeft w:val="0"/>
          <w:marRight w:val="0"/>
          <w:marTop w:val="0"/>
          <w:marBottom w:val="0"/>
          <w:divBdr>
            <w:top w:val="none" w:sz="0" w:space="0" w:color="auto"/>
            <w:left w:val="none" w:sz="0" w:space="0" w:color="auto"/>
            <w:bottom w:val="none" w:sz="0" w:space="0" w:color="auto"/>
            <w:right w:val="none" w:sz="0" w:space="0" w:color="auto"/>
          </w:divBdr>
        </w:div>
      </w:divsChild>
    </w:div>
    <w:div w:id="1281648896">
      <w:bodyDiv w:val="1"/>
      <w:marLeft w:val="0"/>
      <w:marRight w:val="0"/>
      <w:marTop w:val="0"/>
      <w:marBottom w:val="0"/>
      <w:divBdr>
        <w:top w:val="none" w:sz="0" w:space="0" w:color="auto"/>
        <w:left w:val="none" w:sz="0" w:space="0" w:color="auto"/>
        <w:bottom w:val="none" w:sz="0" w:space="0" w:color="auto"/>
        <w:right w:val="none" w:sz="0" w:space="0" w:color="auto"/>
      </w:divBdr>
    </w:div>
    <w:div w:id="1284725642">
      <w:bodyDiv w:val="1"/>
      <w:marLeft w:val="0"/>
      <w:marRight w:val="0"/>
      <w:marTop w:val="0"/>
      <w:marBottom w:val="0"/>
      <w:divBdr>
        <w:top w:val="none" w:sz="0" w:space="0" w:color="auto"/>
        <w:left w:val="none" w:sz="0" w:space="0" w:color="auto"/>
        <w:bottom w:val="none" w:sz="0" w:space="0" w:color="auto"/>
        <w:right w:val="none" w:sz="0" w:space="0" w:color="auto"/>
      </w:divBdr>
    </w:div>
    <w:div w:id="1291282616">
      <w:bodyDiv w:val="1"/>
      <w:marLeft w:val="0"/>
      <w:marRight w:val="0"/>
      <w:marTop w:val="0"/>
      <w:marBottom w:val="0"/>
      <w:divBdr>
        <w:top w:val="none" w:sz="0" w:space="0" w:color="auto"/>
        <w:left w:val="none" w:sz="0" w:space="0" w:color="auto"/>
        <w:bottom w:val="none" w:sz="0" w:space="0" w:color="auto"/>
        <w:right w:val="none" w:sz="0" w:space="0" w:color="auto"/>
      </w:divBdr>
      <w:divsChild>
        <w:div w:id="212205830">
          <w:marLeft w:val="0"/>
          <w:marRight w:val="0"/>
          <w:marTop w:val="0"/>
          <w:marBottom w:val="0"/>
          <w:divBdr>
            <w:top w:val="none" w:sz="0" w:space="0" w:color="auto"/>
            <w:left w:val="none" w:sz="0" w:space="0" w:color="auto"/>
            <w:bottom w:val="none" w:sz="0" w:space="0" w:color="auto"/>
            <w:right w:val="none" w:sz="0" w:space="0" w:color="auto"/>
          </w:divBdr>
        </w:div>
        <w:div w:id="244803596">
          <w:marLeft w:val="0"/>
          <w:marRight w:val="0"/>
          <w:marTop w:val="0"/>
          <w:marBottom w:val="0"/>
          <w:divBdr>
            <w:top w:val="none" w:sz="0" w:space="0" w:color="auto"/>
            <w:left w:val="none" w:sz="0" w:space="0" w:color="auto"/>
            <w:bottom w:val="none" w:sz="0" w:space="0" w:color="auto"/>
            <w:right w:val="none" w:sz="0" w:space="0" w:color="auto"/>
          </w:divBdr>
        </w:div>
        <w:div w:id="264504426">
          <w:marLeft w:val="0"/>
          <w:marRight w:val="0"/>
          <w:marTop w:val="0"/>
          <w:marBottom w:val="0"/>
          <w:divBdr>
            <w:top w:val="none" w:sz="0" w:space="0" w:color="auto"/>
            <w:left w:val="none" w:sz="0" w:space="0" w:color="auto"/>
            <w:bottom w:val="none" w:sz="0" w:space="0" w:color="auto"/>
            <w:right w:val="none" w:sz="0" w:space="0" w:color="auto"/>
          </w:divBdr>
        </w:div>
        <w:div w:id="754941383">
          <w:marLeft w:val="0"/>
          <w:marRight w:val="0"/>
          <w:marTop w:val="0"/>
          <w:marBottom w:val="0"/>
          <w:divBdr>
            <w:top w:val="none" w:sz="0" w:space="0" w:color="auto"/>
            <w:left w:val="none" w:sz="0" w:space="0" w:color="auto"/>
            <w:bottom w:val="none" w:sz="0" w:space="0" w:color="auto"/>
            <w:right w:val="none" w:sz="0" w:space="0" w:color="auto"/>
          </w:divBdr>
        </w:div>
        <w:div w:id="1227376388">
          <w:marLeft w:val="0"/>
          <w:marRight w:val="0"/>
          <w:marTop w:val="0"/>
          <w:marBottom w:val="0"/>
          <w:divBdr>
            <w:top w:val="none" w:sz="0" w:space="0" w:color="auto"/>
            <w:left w:val="none" w:sz="0" w:space="0" w:color="auto"/>
            <w:bottom w:val="none" w:sz="0" w:space="0" w:color="auto"/>
            <w:right w:val="none" w:sz="0" w:space="0" w:color="auto"/>
          </w:divBdr>
          <w:divsChild>
            <w:div w:id="1043600464">
              <w:marLeft w:val="-75"/>
              <w:marRight w:val="0"/>
              <w:marTop w:val="30"/>
              <w:marBottom w:val="30"/>
              <w:divBdr>
                <w:top w:val="none" w:sz="0" w:space="0" w:color="auto"/>
                <w:left w:val="none" w:sz="0" w:space="0" w:color="auto"/>
                <w:bottom w:val="none" w:sz="0" w:space="0" w:color="auto"/>
                <w:right w:val="none" w:sz="0" w:space="0" w:color="auto"/>
              </w:divBdr>
              <w:divsChild>
                <w:div w:id="28142662">
                  <w:marLeft w:val="0"/>
                  <w:marRight w:val="0"/>
                  <w:marTop w:val="0"/>
                  <w:marBottom w:val="0"/>
                  <w:divBdr>
                    <w:top w:val="none" w:sz="0" w:space="0" w:color="auto"/>
                    <w:left w:val="none" w:sz="0" w:space="0" w:color="auto"/>
                    <w:bottom w:val="none" w:sz="0" w:space="0" w:color="auto"/>
                    <w:right w:val="none" w:sz="0" w:space="0" w:color="auto"/>
                  </w:divBdr>
                  <w:divsChild>
                    <w:div w:id="9337274">
                      <w:marLeft w:val="0"/>
                      <w:marRight w:val="0"/>
                      <w:marTop w:val="0"/>
                      <w:marBottom w:val="0"/>
                      <w:divBdr>
                        <w:top w:val="none" w:sz="0" w:space="0" w:color="auto"/>
                        <w:left w:val="none" w:sz="0" w:space="0" w:color="auto"/>
                        <w:bottom w:val="none" w:sz="0" w:space="0" w:color="auto"/>
                        <w:right w:val="none" w:sz="0" w:space="0" w:color="auto"/>
                      </w:divBdr>
                    </w:div>
                  </w:divsChild>
                </w:div>
                <w:div w:id="40830532">
                  <w:marLeft w:val="0"/>
                  <w:marRight w:val="0"/>
                  <w:marTop w:val="0"/>
                  <w:marBottom w:val="0"/>
                  <w:divBdr>
                    <w:top w:val="none" w:sz="0" w:space="0" w:color="auto"/>
                    <w:left w:val="none" w:sz="0" w:space="0" w:color="auto"/>
                    <w:bottom w:val="none" w:sz="0" w:space="0" w:color="auto"/>
                    <w:right w:val="none" w:sz="0" w:space="0" w:color="auto"/>
                  </w:divBdr>
                  <w:divsChild>
                    <w:div w:id="952899252">
                      <w:marLeft w:val="0"/>
                      <w:marRight w:val="0"/>
                      <w:marTop w:val="0"/>
                      <w:marBottom w:val="0"/>
                      <w:divBdr>
                        <w:top w:val="none" w:sz="0" w:space="0" w:color="auto"/>
                        <w:left w:val="none" w:sz="0" w:space="0" w:color="auto"/>
                        <w:bottom w:val="none" w:sz="0" w:space="0" w:color="auto"/>
                        <w:right w:val="none" w:sz="0" w:space="0" w:color="auto"/>
                      </w:divBdr>
                    </w:div>
                  </w:divsChild>
                </w:div>
                <w:div w:id="45640313">
                  <w:marLeft w:val="0"/>
                  <w:marRight w:val="0"/>
                  <w:marTop w:val="0"/>
                  <w:marBottom w:val="0"/>
                  <w:divBdr>
                    <w:top w:val="none" w:sz="0" w:space="0" w:color="auto"/>
                    <w:left w:val="none" w:sz="0" w:space="0" w:color="auto"/>
                    <w:bottom w:val="none" w:sz="0" w:space="0" w:color="auto"/>
                    <w:right w:val="none" w:sz="0" w:space="0" w:color="auto"/>
                  </w:divBdr>
                  <w:divsChild>
                    <w:div w:id="261574505">
                      <w:marLeft w:val="0"/>
                      <w:marRight w:val="0"/>
                      <w:marTop w:val="0"/>
                      <w:marBottom w:val="0"/>
                      <w:divBdr>
                        <w:top w:val="none" w:sz="0" w:space="0" w:color="auto"/>
                        <w:left w:val="none" w:sz="0" w:space="0" w:color="auto"/>
                        <w:bottom w:val="none" w:sz="0" w:space="0" w:color="auto"/>
                        <w:right w:val="none" w:sz="0" w:space="0" w:color="auto"/>
                      </w:divBdr>
                    </w:div>
                  </w:divsChild>
                </w:div>
                <w:div w:id="72047318">
                  <w:marLeft w:val="0"/>
                  <w:marRight w:val="0"/>
                  <w:marTop w:val="0"/>
                  <w:marBottom w:val="0"/>
                  <w:divBdr>
                    <w:top w:val="none" w:sz="0" w:space="0" w:color="auto"/>
                    <w:left w:val="none" w:sz="0" w:space="0" w:color="auto"/>
                    <w:bottom w:val="none" w:sz="0" w:space="0" w:color="auto"/>
                    <w:right w:val="none" w:sz="0" w:space="0" w:color="auto"/>
                  </w:divBdr>
                  <w:divsChild>
                    <w:div w:id="1163938231">
                      <w:marLeft w:val="0"/>
                      <w:marRight w:val="0"/>
                      <w:marTop w:val="0"/>
                      <w:marBottom w:val="0"/>
                      <w:divBdr>
                        <w:top w:val="none" w:sz="0" w:space="0" w:color="auto"/>
                        <w:left w:val="none" w:sz="0" w:space="0" w:color="auto"/>
                        <w:bottom w:val="none" w:sz="0" w:space="0" w:color="auto"/>
                        <w:right w:val="none" w:sz="0" w:space="0" w:color="auto"/>
                      </w:divBdr>
                    </w:div>
                  </w:divsChild>
                </w:div>
                <w:div w:id="85344650">
                  <w:marLeft w:val="0"/>
                  <w:marRight w:val="0"/>
                  <w:marTop w:val="0"/>
                  <w:marBottom w:val="0"/>
                  <w:divBdr>
                    <w:top w:val="none" w:sz="0" w:space="0" w:color="auto"/>
                    <w:left w:val="none" w:sz="0" w:space="0" w:color="auto"/>
                    <w:bottom w:val="none" w:sz="0" w:space="0" w:color="auto"/>
                    <w:right w:val="none" w:sz="0" w:space="0" w:color="auto"/>
                  </w:divBdr>
                  <w:divsChild>
                    <w:div w:id="346449203">
                      <w:marLeft w:val="0"/>
                      <w:marRight w:val="0"/>
                      <w:marTop w:val="0"/>
                      <w:marBottom w:val="0"/>
                      <w:divBdr>
                        <w:top w:val="none" w:sz="0" w:space="0" w:color="auto"/>
                        <w:left w:val="none" w:sz="0" w:space="0" w:color="auto"/>
                        <w:bottom w:val="none" w:sz="0" w:space="0" w:color="auto"/>
                        <w:right w:val="none" w:sz="0" w:space="0" w:color="auto"/>
                      </w:divBdr>
                    </w:div>
                  </w:divsChild>
                </w:div>
                <w:div w:id="121534569">
                  <w:marLeft w:val="0"/>
                  <w:marRight w:val="0"/>
                  <w:marTop w:val="0"/>
                  <w:marBottom w:val="0"/>
                  <w:divBdr>
                    <w:top w:val="none" w:sz="0" w:space="0" w:color="auto"/>
                    <w:left w:val="none" w:sz="0" w:space="0" w:color="auto"/>
                    <w:bottom w:val="none" w:sz="0" w:space="0" w:color="auto"/>
                    <w:right w:val="none" w:sz="0" w:space="0" w:color="auto"/>
                  </w:divBdr>
                  <w:divsChild>
                    <w:div w:id="505441795">
                      <w:marLeft w:val="0"/>
                      <w:marRight w:val="0"/>
                      <w:marTop w:val="0"/>
                      <w:marBottom w:val="0"/>
                      <w:divBdr>
                        <w:top w:val="none" w:sz="0" w:space="0" w:color="auto"/>
                        <w:left w:val="none" w:sz="0" w:space="0" w:color="auto"/>
                        <w:bottom w:val="none" w:sz="0" w:space="0" w:color="auto"/>
                        <w:right w:val="none" w:sz="0" w:space="0" w:color="auto"/>
                      </w:divBdr>
                    </w:div>
                  </w:divsChild>
                </w:div>
                <w:div w:id="124200689">
                  <w:marLeft w:val="0"/>
                  <w:marRight w:val="0"/>
                  <w:marTop w:val="0"/>
                  <w:marBottom w:val="0"/>
                  <w:divBdr>
                    <w:top w:val="none" w:sz="0" w:space="0" w:color="auto"/>
                    <w:left w:val="none" w:sz="0" w:space="0" w:color="auto"/>
                    <w:bottom w:val="none" w:sz="0" w:space="0" w:color="auto"/>
                    <w:right w:val="none" w:sz="0" w:space="0" w:color="auto"/>
                  </w:divBdr>
                  <w:divsChild>
                    <w:div w:id="1690253890">
                      <w:marLeft w:val="0"/>
                      <w:marRight w:val="0"/>
                      <w:marTop w:val="0"/>
                      <w:marBottom w:val="0"/>
                      <w:divBdr>
                        <w:top w:val="none" w:sz="0" w:space="0" w:color="auto"/>
                        <w:left w:val="none" w:sz="0" w:space="0" w:color="auto"/>
                        <w:bottom w:val="none" w:sz="0" w:space="0" w:color="auto"/>
                        <w:right w:val="none" w:sz="0" w:space="0" w:color="auto"/>
                      </w:divBdr>
                    </w:div>
                  </w:divsChild>
                </w:div>
                <w:div w:id="141820276">
                  <w:marLeft w:val="0"/>
                  <w:marRight w:val="0"/>
                  <w:marTop w:val="0"/>
                  <w:marBottom w:val="0"/>
                  <w:divBdr>
                    <w:top w:val="none" w:sz="0" w:space="0" w:color="auto"/>
                    <w:left w:val="none" w:sz="0" w:space="0" w:color="auto"/>
                    <w:bottom w:val="none" w:sz="0" w:space="0" w:color="auto"/>
                    <w:right w:val="none" w:sz="0" w:space="0" w:color="auto"/>
                  </w:divBdr>
                  <w:divsChild>
                    <w:div w:id="1960717809">
                      <w:marLeft w:val="0"/>
                      <w:marRight w:val="0"/>
                      <w:marTop w:val="0"/>
                      <w:marBottom w:val="0"/>
                      <w:divBdr>
                        <w:top w:val="none" w:sz="0" w:space="0" w:color="auto"/>
                        <w:left w:val="none" w:sz="0" w:space="0" w:color="auto"/>
                        <w:bottom w:val="none" w:sz="0" w:space="0" w:color="auto"/>
                        <w:right w:val="none" w:sz="0" w:space="0" w:color="auto"/>
                      </w:divBdr>
                    </w:div>
                  </w:divsChild>
                </w:div>
                <w:div w:id="174879616">
                  <w:marLeft w:val="0"/>
                  <w:marRight w:val="0"/>
                  <w:marTop w:val="0"/>
                  <w:marBottom w:val="0"/>
                  <w:divBdr>
                    <w:top w:val="none" w:sz="0" w:space="0" w:color="auto"/>
                    <w:left w:val="none" w:sz="0" w:space="0" w:color="auto"/>
                    <w:bottom w:val="none" w:sz="0" w:space="0" w:color="auto"/>
                    <w:right w:val="none" w:sz="0" w:space="0" w:color="auto"/>
                  </w:divBdr>
                  <w:divsChild>
                    <w:div w:id="1048844804">
                      <w:marLeft w:val="0"/>
                      <w:marRight w:val="0"/>
                      <w:marTop w:val="0"/>
                      <w:marBottom w:val="0"/>
                      <w:divBdr>
                        <w:top w:val="none" w:sz="0" w:space="0" w:color="auto"/>
                        <w:left w:val="none" w:sz="0" w:space="0" w:color="auto"/>
                        <w:bottom w:val="none" w:sz="0" w:space="0" w:color="auto"/>
                        <w:right w:val="none" w:sz="0" w:space="0" w:color="auto"/>
                      </w:divBdr>
                    </w:div>
                  </w:divsChild>
                </w:div>
                <w:div w:id="196436189">
                  <w:marLeft w:val="0"/>
                  <w:marRight w:val="0"/>
                  <w:marTop w:val="0"/>
                  <w:marBottom w:val="0"/>
                  <w:divBdr>
                    <w:top w:val="none" w:sz="0" w:space="0" w:color="auto"/>
                    <w:left w:val="none" w:sz="0" w:space="0" w:color="auto"/>
                    <w:bottom w:val="none" w:sz="0" w:space="0" w:color="auto"/>
                    <w:right w:val="none" w:sz="0" w:space="0" w:color="auto"/>
                  </w:divBdr>
                  <w:divsChild>
                    <w:div w:id="1929970642">
                      <w:marLeft w:val="0"/>
                      <w:marRight w:val="0"/>
                      <w:marTop w:val="0"/>
                      <w:marBottom w:val="0"/>
                      <w:divBdr>
                        <w:top w:val="none" w:sz="0" w:space="0" w:color="auto"/>
                        <w:left w:val="none" w:sz="0" w:space="0" w:color="auto"/>
                        <w:bottom w:val="none" w:sz="0" w:space="0" w:color="auto"/>
                        <w:right w:val="none" w:sz="0" w:space="0" w:color="auto"/>
                      </w:divBdr>
                    </w:div>
                  </w:divsChild>
                </w:div>
                <w:div w:id="217935743">
                  <w:marLeft w:val="0"/>
                  <w:marRight w:val="0"/>
                  <w:marTop w:val="0"/>
                  <w:marBottom w:val="0"/>
                  <w:divBdr>
                    <w:top w:val="none" w:sz="0" w:space="0" w:color="auto"/>
                    <w:left w:val="none" w:sz="0" w:space="0" w:color="auto"/>
                    <w:bottom w:val="none" w:sz="0" w:space="0" w:color="auto"/>
                    <w:right w:val="none" w:sz="0" w:space="0" w:color="auto"/>
                  </w:divBdr>
                  <w:divsChild>
                    <w:div w:id="425346370">
                      <w:marLeft w:val="0"/>
                      <w:marRight w:val="0"/>
                      <w:marTop w:val="0"/>
                      <w:marBottom w:val="0"/>
                      <w:divBdr>
                        <w:top w:val="none" w:sz="0" w:space="0" w:color="auto"/>
                        <w:left w:val="none" w:sz="0" w:space="0" w:color="auto"/>
                        <w:bottom w:val="none" w:sz="0" w:space="0" w:color="auto"/>
                        <w:right w:val="none" w:sz="0" w:space="0" w:color="auto"/>
                      </w:divBdr>
                    </w:div>
                  </w:divsChild>
                </w:div>
                <w:div w:id="256864240">
                  <w:marLeft w:val="0"/>
                  <w:marRight w:val="0"/>
                  <w:marTop w:val="0"/>
                  <w:marBottom w:val="0"/>
                  <w:divBdr>
                    <w:top w:val="none" w:sz="0" w:space="0" w:color="auto"/>
                    <w:left w:val="none" w:sz="0" w:space="0" w:color="auto"/>
                    <w:bottom w:val="none" w:sz="0" w:space="0" w:color="auto"/>
                    <w:right w:val="none" w:sz="0" w:space="0" w:color="auto"/>
                  </w:divBdr>
                  <w:divsChild>
                    <w:div w:id="863787502">
                      <w:marLeft w:val="0"/>
                      <w:marRight w:val="0"/>
                      <w:marTop w:val="0"/>
                      <w:marBottom w:val="0"/>
                      <w:divBdr>
                        <w:top w:val="none" w:sz="0" w:space="0" w:color="auto"/>
                        <w:left w:val="none" w:sz="0" w:space="0" w:color="auto"/>
                        <w:bottom w:val="none" w:sz="0" w:space="0" w:color="auto"/>
                        <w:right w:val="none" w:sz="0" w:space="0" w:color="auto"/>
                      </w:divBdr>
                    </w:div>
                  </w:divsChild>
                </w:div>
                <w:div w:id="278411579">
                  <w:marLeft w:val="0"/>
                  <w:marRight w:val="0"/>
                  <w:marTop w:val="0"/>
                  <w:marBottom w:val="0"/>
                  <w:divBdr>
                    <w:top w:val="none" w:sz="0" w:space="0" w:color="auto"/>
                    <w:left w:val="none" w:sz="0" w:space="0" w:color="auto"/>
                    <w:bottom w:val="none" w:sz="0" w:space="0" w:color="auto"/>
                    <w:right w:val="none" w:sz="0" w:space="0" w:color="auto"/>
                  </w:divBdr>
                  <w:divsChild>
                    <w:div w:id="1699502624">
                      <w:marLeft w:val="0"/>
                      <w:marRight w:val="0"/>
                      <w:marTop w:val="0"/>
                      <w:marBottom w:val="0"/>
                      <w:divBdr>
                        <w:top w:val="none" w:sz="0" w:space="0" w:color="auto"/>
                        <w:left w:val="none" w:sz="0" w:space="0" w:color="auto"/>
                        <w:bottom w:val="none" w:sz="0" w:space="0" w:color="auto"/>
                        <w:right w:val="none" w:sz="0" w:space="0" w:color="auto"/>
                      </w:divBdr>
                    </w:div>
                  </w:divsChild>
                </w:div>
                <w:div w:id="313339164">
                  <w:marLeft w:val="0"/>
                  <w:marRight w:val="0"/>
                  <w:marTop w:val="0"/>
                  <w:marBottom w:val="0"/>
                  <w:divBdr>
                    <w:top w:val="none" w:sz="0" w:space="0" w:color="auto"/>
                    <w:left w:val="none" w:sz="0" w:space="0" w:color="auto"/>
                    <w:bottom w:val="none" w:sz="0" w:space="0" w:color="auto"/>
                    <w:right w:val="none" w:sz="0" w:space="0" w:color="auto"/>
                  </w:divBdr>
                  <w:divsChild>
                    <w:div w:id="693505853">
                      <w:marLeft w:val="0"/>
                      <w:marRight w:val="0"/>
                      <w:marTop w:val="0"/>
                      <w:marBottom w:val="0"/>
                      <w:divBdr>
                        <w:top w:val="none" w:sz="0" w:space="0" w:color="auto"/>
                        <w:left w:val="none" w:sz="0" w:space="0" w:color="auto"/>
                        <w:bottom w:val="none" w:sz="0" w:space="0" w:color="auto"/>
                        <w:right w:val="none" w:sz="0" w:space="0" w:color="auto"/>
                      </w:divBdr>
                    </w:div>
                  </w:divsChild>
                </w:div>
                <w:div w:id="378172036">
                  <w:marLeft w:val="0"/>
                  <w:marRight w:val="0"/>
                  <w:marTop w:val="0"/>
                  <w:marBottom w:val="0"/>
                  <w:divBdr>
                    <w:top w:val="none" w:sz="0" w:space="0" w:color="auto"/>
                    <w:left w:val="none" w:sz="0" w:space="0" w:color="auto"/>
                    <w:bottom w:val="none" w:sz="0" w:space="0" w:color="auto"/>
                    <w:right w:val="none" w:sz="0" w:space="0" w:color="auto"/>
                  </w:divBdr>
                  <w:divsChild>
                    <w:div w:id="1059741343">
                      <w:marLeft w:val="0"/>
                      <w:marRight w:val="0"/>
                      <w:marTop w:val="0"/>
                      <w:marBottom w:val="0"/>
                      <w:divBdr>
                        <w:top w:val="none" w:sz="0" w:space="0" w:color="auto"/>
                        <w:left w:val="none" w:sz="0" w:space="0" w:color="auto"/>
                        <w:bottom w:val="none" w:sz="0" w:space="0" w:color="auto"/>
                        <w:right w:val="none" w:sz="0" w:space="0" w:color="auto"/>
                      </w:divBdr>
                    </w:div>
                  </w:divsChild>
                </w:div>
                <w:div w:id="397169325">
                  <w:marLeft w:val="0"/>
                  <w:marRight w:val="0"/>
                  <w:marTop w:val="0"/>
                  <w:marBottom w:val="0"/>
                  <w:divBdr>
                    <w:top w:val="none" w:sz="0" w:space="0" w:color="auto"/>
                    <w:left w:val="none" w:sz="0" w:space="0" w:color="auto"/>
                    <w:bottom w:val="none" w:sz="0" w:space="0" w:color="auto"/>
                    <w:right w:val="none" w:sz="0" w:space="0" w:color="auto"/>
                  </w:divBdr>
                  <w:divsChild>
                    <w:div w:id="257449914">
                      <w:marLeft w:val="0"/>
                      <w:marRight w:val="0"/>
                      <w:marTop w:val="0"/>
                      <w:marBottom w:val="0"/>
                      <w:divBdr>
                        <w:top w:val="none" w:sz="0" w:space="0" w:color="auto"/>
                        <w:left w:val="none" w:sz="0" w:space="0" w:color="auto"/>
                        <w:bottom w:val="none" w:sz="0" w:space="0" w:color="auto"/>
                        <w:right w:val="none" w:sz="0" w:space="0" w:color="auto"/>
                      </w:divBdr>
                    </w:div>
                  </w:divsChild>
                </w:div>
                <w:div w:id="411124263">
                  <w:marLeft w:val="0"/>
                  <w:marRight w:val="0"/>
                  <w:marTop w:val="0"/>
                  <w:marBottom w:val="0"/>
                  <w:divBdr>
                    <w:top w:val="none" w:sz="0" w:space="0" w:color="auto"/>
                    <w:left w:val="none" w:sz="0" w:space="0" w:color="auto"/>
                    <w:bottom w:val="none" w:sz="0" w:space="0" w:color="auto"/>
                    <w:right w:val="none" w:sz="0" w:space="0" w:color="auto"/>
                  </w:divBdr>
                  <w:divsChild>
                    <w:div w:id="1904631702">
                      <w:marLeft w:val="0"/>
                      <w:marRight w:val="0"/>
                      <w:marTop w:val="0"/>
                      <w:marBottom w:val="0"/>
                      <w:divBdr>
                        <w:top w:val="none" w:sz="0" w:space="0" w:color="auto"/>
                        <w:left w:val="none" w:sz="0" w:space="0" w:color="auto"/>
                        <w:bottom w:val="none" w:sz="0" w:space="0" w:color="auto"/>
                        <w:right w:val="none" w:sz="0" w:space="0" w:color="auto"/>
                      </w:divBdr>
                    </w:div>
                  </w:divsChild>
                </w:div>
                <w:div w:id="438909406">
                  <w:marLeft w:val="0"/>
                  <w:marRight w:val="0"/>
                  <w:marTop w:val="0"/>
                  <w:marBottom w:val="0"/>
                  <w:divBdr>
                    <w:top w:val="none" w:sz="0" w:space="0" w:color="auto"/>
                    <w:left w:val="none" w:sz="0" w:space="0" w:color="auto"/>
                    <w:bottom w:val="none" w:sz="0" w:space="0" w:color="auto"/>
                    <w:right w:val="none" w:sz="0" w:space="0" w:color="auto"/>
                  </w:divBdr>
                  <w:divsChild>
                    <w:div w:id="22903911">
                      <w:marLeft w:val="0"/>
                      <w:marRight w:val="0"/>
                      <w:marTop w:val="0"/>
                      <w:marBottom w:val="0"/>
                      <w:divBdr>
                        <w:top w:val="none" w:sz="0" w:space="0" w:color="auto"/>
                        <w:left w:val="none" w:sz="0" w:space="0" w:color="auto"/>
                        <w:bottom w:val="none" w:sz="0" w:space="0" w:color="auto"/>
                        <w:right w:val="none" w:sz="0" w:space="0" w:color="auto"/>
                      </w:divBdr>
                    </w:div>
                  </w:divsChild>
                </w:div>
                <w:div w:id="493298129">
                  <w:marLeft w:val="0"/>
                  <w:marRight w:val="0"/>
                  <w:marTop w:val="0"/>
                  <w:marBottom w:val="0"/>
                  <w:divBdr>
                    <w:top w:val="none" w:sz="0" w:space="0" w:color="auto"/>
                    <w:left w:val="none" w:sz="0" w:space="0" w:color="auto"/>
                    <w:bottom w:val="none" w:sz="0" w:space="0" w:color="auto"/>
                    <w:right w:val="none" w:sz="0" w:space="0" w:color="auto"/>
                  </w:divBdr>
                  <w:divsChild>
                    <w:div w:id="760563457">
                      <w:marLeft w:val="0"/>
                      <w:marRight w:val="0"/>
                      <w:marTop w:val="0"/>
                      <w:marBottom w:val="0"/>
                      <w:divBdr>
                        <w:top w:val="none" w:sz="0" w:space="0" w:color="auto"/>
                        <w:left w:val="none" w:sz="0" w:space="0" w:color="auto"/>
                        <w:bottom w:val="none" w:sz="0" w:space="0" w:color="auto"/>
                        <w:right w:val="none" w:sz="0" w:space="0" w:color="auto"/>
                      </w:divBdr>
                    </w:div>
                  </w:divsChild>
                </w:div>
                <w:div w:id="522667206">
                  <w:marLeft w:val="0"/>
                  <w:marRight w:val="0"/>
                  <w:marTop w:val="0"/>
                  <w:marBottom w:val="0"/>
                  <w:divBdr>
                    <w:top w:val="none" w:sz="0" w:space="0" w:color="auto"/>
                    <w:left w:val="none" w:sz="0" w:space="0" w:color="auto"/>
                    <w:bottom w:val="none" w:sz="0" w:space="0" w:color="auto"/>
                    <w:right w:val="none" w:sz="0" w:space="0" w:color="auto"/>
                  </w:divBdr>
                  <w:divsChild>
                    <w:div w:id="1327973999">
                      <w:marLeft w:val="0"/>
                      <w:marRight w:val="0"/>
                      <w:marTop w:val="0"/>
                      <w:marBottom w:val="0"/>
                      <w:divBdr>
                        <w:top w:val="none" w:sz="0" w:space="0" w:color="auto"/>
                        <w:left w:val="none" w:sz="0" w:space="0" w:color="auto"/>
                        <w:bottom w:val="none" w:sz="0" w:space="0" w:color="auto"/>
                        <w:right w:val="none" w:sz="0" w:space="0" w:color="auto"/>
                      </w:divBdr>
                    </w:div>
                  </w:divsChild>
                </w:div>
                <w:div w:id="534390247">
                  <w:marLeft w:val="0"/>
                  <w:marRight w:val="0"/>
                  <w:marTop w:val="0"/>
                  <w:marBottom w:val="0"/>
                  <w:divBdr>
                    <w:top w:val="none" w:sz="0" w:space="0" w:color="auto"/>
                    <w:left w:val="none" w:sz="0" w:space="0" w:color="auto"/>
                    <w:bottom w:val="none" w:sz="0" w:space="0" w:color="auto"/>
                    <w:right w:val="none" w:sz="0" w:space="0" w:color="auto"/>
                  </w:divBdr>
                  <w:divsChild>
                    <w:div w:id="1936742847">
                      <w:marLeft w:val="0"/>
                      <w:marRight w:val="0"/>
                      <w:marTop w:val="0"/>
                      <w:marBottom w:val="0"/>
                      <w:divBdr>
                        <w:top w:val="none" w:sz="0" w:space="0" w:color="auto"/>
                        <w:left w:val="none" w:sz="0" w:space="0" w:color="auto"/>
                        <w:bottom w:val="none" w:sz="0" w:space="0" w:color="auto"/>
                        <w:right w:val="none" w:sz="0" w:space="0" w:color="auto"/>
                      </w:divBdr>
                    </w:div>
                  </w:divsChild>
                </w:div>
                <w:div w:id="535167915">
                  <w:marLeft w:val="0"/>
                  <w:marRight w:val="0"/>
                  <w:marTop w:val="0"/>
                  <w:marBottom w:val="0"/>
                  <w:divBdr>
                    <w:top w:val="none" w:sz="0" w:space="0" w:color="auto"/>
                    <w:left w:val="none" w:sz="0" w:space="0" w:color="auto"/>
                    <w:bottom w:val="none" w:sz="0" w:space="0" w:color="auto"/>
                    <w:right w:val="none" w:sz="0" w:space="0" w:color="auto"/>
                  </w:divBdr>
                  <w:divsChild>
                    <w:div w:id="905799011">
                      <w:marLeft w:val="0"/>
                      <w:marRight w:val="0"/>
                      <w:marTop w:val="0"/>
                      <w:marBottom w:val="0"/>
                      <w:divBdr>
                        <w:top w:val="none" w:sz="0" w:space="0" w:color="auto"/>
                        <w:left w:val="none" w:sz="0" w:space="0" w:color="auto"/>
                        <w:bottom w:val="none" w:sz="0" w:space="0" w:color="auto"/>
                        <w:right w:val="none" w:sz="0" w:space="0" w:color="auto"/>
                      </w:divBdr>
                    </w:div>
                  </w:divsChild>
                </w:div>
                <w:div w:id="559287855">
                  <w:marLeft w:val="0"/>
                  <w:marRight w:val="0"/>
                  <w:marTop w:val="0"/>
                  <w:marBottom w:val="0"/>
                  <w:divBdr>
                    <w:top w:val="none" w:sz="0" w:space="0" w:color="auto"/>
                    <w:left w:val="none" w:sz="0" w:space="0" w:color="auto"/>
                    <w:bottom w:val="none" w:sz="0" w:space="0" w:color="auto"/>
                    <w:right w:val="none" w:sz="0" w:space="0" w:color="auto"/>
                  </w:divBdr>
                  <w:divsChild>
                    <w:div w:id="2071614491">
                      <w:marLeft w:val="0"/>
                      <w:marRight w:val="0"/>
                      <w:marTop w:val="0"/>
                      <w:marBottom w:val="0"/>
                      <w:divBdr>
                        <w:top w:val="none" w:sz="0" w:space="0" w:color="auto"/>
                        <w:left w:val="none" w:sz="0" w:space="0" w:color="auto"/>
                        <w:bottom w:val="none" w:sz="0" w:space="0" w:color="auto"/>
                        <w:right w:val="none" w:sz="0" w:space="0" w:color="auto"/>
                      </w:divBdr>
                    </w:div>
                  </w:divsChild>
                </w:div>
                <w:div w:id="566114711">
                  <w:marLeft w:val="0"/>
                  <w:marRight w:val="0"/>
                  <w:marTop w:val="0"/>
                  <w:marBottom w:val="0"/>
                  <w:divBdr>
                    <w:top w:val="none" w:sz="0" w:space="0" w:color="auto"/>
                    <w:left w:val="none" w:sz="0" w:space="0" w:color="auto"/>
                    <w:bottom w:val="none" w:sz="0" w:space="0" w:color="auto"/>
                    <w:right w:val="none" w:sz="0" w:space="0" w:color="auto"/>
                  </w:divBdr>
                  <w:divsChild>
                    <w:div w:id="1460680275">
                      <w:marLeft w:val="0"/>
                      <w:marRight w:val="0"/>
                      <w:marTop w:val="0"/>
                      <w:marBottom w:val="0"/>
                      <w:divBdr>
                        <w:top w:val="none" w:sz="0" w:space="0" w:color="auto"/>
                        <w:left w:val="none" w:sz="0" w:space="0" w:color="auto"/>
                        <w:bottom w:val="none" w:sz="0" w:space="0" w:color="auto"/>
                        <w:right w:val="none" w:sz="0" w:space="0" w:color="auto"/>
                      </w:divBdr>
                    </w:div>
                  </w:divsChild>
                </w:div>
                <w:div w:id="667102048">
                  <w:marLeft w:val="0"/>
                  <w:marRight w:val="0"/>
                  <w:marTop w:val="0"/>
                  <w:marBottom w:val="0"/>
                  <w:divBdr>
                    <w:top w:val="none" w:sz="0" w:space="0" w:color="auto"/>
                    <w:left w:val="none" w:sz="0" w:space="0" w:color="auto"/>
                    <w:bottom w:val="none" w:sz="0" w:space="0" w:color="auto"/>
                    <w:right w:val="none" w:sz="0" w:space="0" w:color="auto"/>
                  </w:divBdr>
                  <w:divsChild>
                    <w:div w:id="811678088">
                      <w:marLeft w:val="0"/>
                      <w:marRight w:val="0"/>
                      <w:marTop w:val="0"/>
                      <w:marBottom w:val="0"/>
                      <w:divBdr>
                        <w:top w:val="none" w:sz="0" w:space="0" w:color="auto"/>
                        <w:left w:val="none" w:sz="0" w:space="0" w:color="auto"/>
                        <w:bottom w:val="none" w:sz="0" w:space="0" w:color="auto"/>
                        <w:right w:val="none" w:sz="0" w:space="0" w:color="auto"/>
                      </w:divBdr>
                    </w:div>
                  </w:divsChild>
                </w:div>
                <w:div w:id="683242700">
                  <w:marLeft w:val="0"/>
                  <w:marRight w:val="0"/>
                  <w:marTop w:val="0"/>
                  <w:marBottom w:val="0"/>
                  <w:divBdr>
                    <w:top w:val="none" w:sz="0" w:space="0" w:color="auto"/>
                    <w:left w:val="none" w:sz="0" w:space="0" w:color="auto"/>
                    <w:bottom w:val="none" w:sz="0" w:space="0" w:color="auto"/>
                    <w:right w:val="none" w:sz="0" w:space="0" w:color="auto"/>
                  </w:divBdr>
                  <w:divsChild>
                    <w:div w:id="948389897">
                      <w:marLeft w:val="0"/>
                      <w:marRight w:val="0"/>
                      <w:marTop w:val="0"/>
                      <w:marBottom w:val="0"/>
                      <w:divBdr>
                        <w:top w:val="none" w:sz="0" w:space="0" w:color="auto"/>
                        <w:left w:val="none" w:sz="0" w:space="0" w:color="auto"/>
                        <w:bottom w:val="none" w:sz="0" w:space="0" w:color="auto"/>
                        <w:right w:val="none" w:sz="0" w:space="0" w:color="auto"/>
                      </w:divBdr>
                    </w:div>
                  </w:divsChild>
                </w:div>
                <w:div w:id="708798180">
                  <w:marLeft w:val="0"/>
                  <w:marRight w:val="0"/>
                  <w:marTop w:val="0"/>
                  <w:marBottom w:val="0"/>
                  <w:divBdr>
                    <w:top w:val="none" w:sz="0" w:space="0" w:color="auto"/>
                    <w:left w:val="none" w:sz="0" w:space="0" w:color="auto"/>
                    <w:bottom w:val="none" w:sz="0" w:space="0" w:color="auto"/>
                    <w:right w:val="none" w:sz="0" w:space="0" w:color="auto"/>
                  </w:divBdr>
                  <w:divsChild>
                    <w:div w:id="1544830931">
                      <w:marLeft w:val="0"/>
                      <w:marRight w:val="0"/>
                      <w:marTop w:val="0"/>
                      <w:marBottom w:val="0"/>
                      <w:divBdr>
                        <w:top w:val="none" w:sz="0" w:space="0" w:color="auto"/>
                        <w:left w:val="none" w:sz="0" w:space="0" w:color="auto"/>
                        <w:bottom w:val="none" w:sz="0" w:space="0" w:color="auto"/>
                        <w:right w:val="none" w:sz="0" w:space="0" w:color="auto"/>
                      </w:divBdr>
                    </w:div>
                  </w:divsChild>
                </w:div>
                <w:div w:id="717902320">
                  <w:marLeft w:val="0"/>
                  <w:marRight w:val="0"/>
                  <w:marTop w:val="0"/>
                  <w:marBottom w:val="0"/>
                  <w:divBdr>
                    <w:top w:val="none" w:sz="0" w:space="0" w:color="auto"/>
                    <w:left w:val="none" w:sz="0" w:space="0" w:color="auto"/>
                    <w:bottom w:val="none" w:sz="0" w:space="0" w:color="auto"/>
                    <w:right w:val="none" w:sz="0" w:space="0" w:color="auto"/>
                  </w:divBdr>
                  <w:divsChild>
                    <w:div w:id="57868669">
                      <w:marLeft w:val="0"/>
                      <w:marRight w:val="0"/>
                      <w:marTop w:val="0"/>
                      <w:marBottom w:val="0"/>
                      <w:divBdr>
                        <w:top w:val="none" w:sz="0" w:space="0" w:color="auto"/>
                        <w:left w:val="none" w:sz="0" w:space="0" w:color="auto"/>
                        <w:bottom w:val="none" w:sz="0" w:space="0" w:color="auto"/>
                        <w:right w:val="none" w:sz="0" w:space="0" w:color="auto"/>
                      </w:divBdr>
                    </w:div>
                  </w:divsChild>
                </w:div>
                <w:div w:id="830944950">
                  <w:marLeft w:val="0"/>
                  <w:marRight w:val="0"/>
                  <w:marTop w:val="0"/>
                  <w:marBottom w:val="0"/>
                  <w:divBdr>
                    <w:top w:val="none" w:sz="0" w:space="0" w:color="auto"/>
                    <w:left w:val="none" w:sz="0" w:space="0" w:color="auto"/>
                    <w:bottom w:val="none" w:sz="0" w:space="0" w:color="auto"/>
                    <w:right w:val="none" w:sz="0" w:space="0" w:color="auto"/>
                  </w:divBdr>
                  <w:divsChild>
                    <w:div w:id="1251350174">
                      <w:marLeft w:val="0"/>
                      <w:marRight w:val="0"/>
                      <w:marTop w:val="0"/>
                      <w:marBottom w:val="0"/>
                      <w:divBdr>
                        <w:top w:val="none" w:sz="0" w:space="0" w:color="auto"/>
                        <w:left w:val="none" w:sz="0" w:space="0" w:color="auto"/>
                        <w:bottom w:val="none" w:sz="0" w:space="0" w:color="auto"/>
                        <w:right w:val="none" w:sz="0" w:space="0" w:color="auto"/>
                      </w:divBdr>
                    </w:div>
                  </w:divsChild>
                </w:div>
                <w:div w:id="835538897">
                  <w:marLeft w:val="0"/>
                  <w:marRight w:val="0"/>
                  <w:marTop w:val="0"/>
                  <w:marBottom w:val="0"/>
                  <w:divBdr>
                    <w:top w:val="none" w:sz="0" w:space="0" w:color="auto"/>
                    <w:left w:val="none" w:sz="0" w:space="0" w:color="auto"/>
                    <w:bottom w:val="none" w:sz="0" w:space="0" w:color="auto"/>
                    <w:right w:val="none" w:sz="0" w:space="0" w:color="auto"/>
                  </w:divBdr>
                  <w:divsChild>
                    <w:div w:id="617882744">
                      <w:marLeft w:val="0"/>
                      <w:marRight w:val="0"/>
                      <w:marTop w:val="0"/>
                      <w:marBottom w:val="0"/>
                      <w:divBdr>
                        <w:top w:val="none" w:sz="0" w:space="0" w:color="auto"/>
                        <w:left w:val="none" w:sz="0" w:space="0" w:color="auto"/>
                        <w:bottom w:val="none" w:sz="0" w:space="0" w:color="auto"/>
                        <w:right w:val="none" w:sz="0" w:space="0" w:color="auto"/>
                      </w:divBdr>
                    </w:div>
                  </w:divsChild>
                </w:div>
                <w:div w:id="861935913">
                  <w:marLeft w:val="0"/>
                  <w:marRight w:val="0"/>
                  <w:marTop w:val="0"/>
                  <w:marBottom w:val="0"/>
                  <w:divBdr>
                    <w:top w:val="none" w:sz="0" w:space="0" w:color="auto"/>
                    <w:left w:val="none" w:sz="0" w:space="0" w:color="auto"/>
                    <w:bottom w:val="none" w:sz="0" w:space="0" w:color="auto"/>
                    <w:right w:val="none" w:sz="0" w:space="0" w:color="auto"/>
                  </w:divBdr>
                  <w:divsChild>
                    <w:div w:id="1205480579">
                      <w:marLeft w:val="0"/>
                      <w:marRight w:val="0"/>
                      <w:marTop w:val="0"/>
                      <w:marBottom w:val="0"/>
                      <w:divBdr>
                        <w:top w:val="none" w:sz="0" w:space="0" w:color="auto"/>
                        <w:left w:val="none" w:sz="0" w:space="0" w:color="auto"/>
                        <w:bottom w:val="none" w:sz="0" w:space="0" w:color="auto"/>
                        <w:right w:val="none" w:sz="0" w:space="0" w:color="auto"/>
                      </w:divBdr>
                    </w:div>
                  </w:divsChild>
                </w:div>
                <w:div w:id="862207021">
                  <w:marLeft w:val="0"/>
                  <w:marRight w:val="0"/>
                  <w:marTop w:val="0"/>
                  <w:marBottom w:val="0"/>
                  <w:divBdr>
                    <w:top w:val="none" w:sz="0" w:space="0" w:color="auto"/>
                    <w:left w:val="none" w:sz="0" w:space="0" w:color="auto"/>
                    <w:bottom w:val="none" w:sz="0" w:space="0" w:color="auto"/>
                    <w:right w:val="none" w:sz="0" w:space="0" w:color="auto"/>
                  </w:divBdr>
                  <w:divsChild>
                    <w:div w:id="671378975">
                      <w:marLeft w:val="0"/>
                      <w:marRight w:val="0"/>
                      <w:marTop w:val="0"/>
                      <w:marBottom w:val="0"/>
                      <w:divBdr>
                        <w:top w:val="none" w:sz="0" w:space="0" w:color="auto"/>
                        <w:left w:val="none" w:sz="0" w:space="0" w:color="auto"/>
                        <w:bottom w:val="none" w:sz="0" w:space="0" w:color="auto"/>
                        <w:right w:val="none" w:sz="0" w:space="0" w:color="auto"/>
                      </w:divBdr>
                    </w:div>
                  </w:divsChild>
                </w:div>
                <w:div w:id="880089015">
                  <w:marLeft w:val="0"/>
                  <w:marRight w:val="0"/>
                  <w:marTop w:val="0"/>
                  <w:marBottom w:val="0"/>
                  <w:divBdr>
                    <w:top w:val="none" w:sz="0" w:space="0" w:color="auto"/>
                    <w:left w:val="none" w:sz="0" w:space="0" w:color="auto"/>
                    <w:bottom w:val="none" w:sz="0" w:space="0" w:color="auto"/>
                    <w:right w:val="none" w:sz="0" w:space="0" w:color="auto"/>
                  </w:divBdr>
                  <w:divsChild>
                    <w:div w:id="832528475">
                      <w:marLeft w:val="0"/>
                      <w:marRight w:val="0"/>
                      <w:marTop w:val="0"/>
                      <w:marBottom w:val="0"/>
                      <w:divBdr>
                        <w:top w:val="none" w:sz="0" w:space="0" w:color="auto"/>
                        <w:left w:val="none" w:sz="0" w:space="0" w:color="auto"/>
                        <w:bottom w:val="none" w:sz="0" w:space="0" w:color="auto"/>
                        <w:right w:val="none" w:sz="0" w:space="0" w:color="auto"/>
                      </w:divBdr>
                    </w:div>
                  </w:divsChild>
                </w:div>
                <w:div w:id="903872769">
                  <w:marLeft w:val="0"/>
                  <w:marRight w:val="0"/>
                  <w:marTop w:val="0"/>
                  <w:marBottom w:val="0"/>
                  <w:divBdr>
                    <w:top w:val="none" w:sz="0" w:space="0" w:color="auto"/>
                    <w:left w:val="none" w:sz="0" w:space="0" w:color="auto"/>
                    <w:bottom w:val="none" w:sz="0" w:space="0" w:color="auto"/>
                    <w:right w:val="none" w:sz="0" w:space="0" w:color="auto"/>
                  </w:divBdr>
                  <w:divsChild>
                    <w:div w:id="1616593052">
                      <w:marLeft w:val="0"/>
                      <w:marRight w:val="0"/>
                      <w:marTop w:val="0"/>
                      <w:marBottom w:val="0"/>
                      <w:divBdr>
                        <w:top w:val="none" w:sz="0" w:space="0" w:color="auto"/>
                        <w:left w:val="none" w:sz="0" w:space="0" w:color="auto"/>
                        <w:bottom w:val="none" w:sz="0" w:space="0" w:color="auto"/>
                        <w:right w:val="none" w:sz="0" w:space="0" w:color="auto"/>
                      </w:divBdr>
                    </w:div>
                  </w:divsChild>
                </w:div>
                <w:div w:id="931399194">
                  <w:marLeft w:val="0"/>
                  <w:marRight w:val="0"/>
                  <w:marTop w:val="0"/>
                  <w:marBottom w:val="0"/>
                  <w:divBdr>
                    <w:top w:val="none" w:sz="0" w:space="0" w:color="auto"/>
                    <w:left w:val="none" w:sz="0" w:space="0" w:color="auto"/>
                    <w:bottom w:val="none" w:sz="0" w:space="0" w:color="auto"/>
                    <w:right w:val="none" w:sz="0" w:space="0" w:color="auto"/>
                  </w:divBdr>
                  <w:divsChild>
                    <w:div w:id="795180799">
                      <w:marLeft w:val="0"/>
                      <w:marRight w:val="0"/>
                      <w:marTop w:val="0"/>
                      <w:marBottom w:val="0"/>
                      <w:divBdr>
                        <w:top w:val="none" w:sz="0" w:space="0" w:color="auto"/>
                        <w:left w:val="none" w:sz="0" w:space="0" w:color="auto"/>
                        <w:bottom w:val="none" w:sz="0" w:space="0" w:color="auto"/>
                        <w:right w:val="none" w:sz="0" w:space="0" w:color="auto"/>
                      </w:divBdr>
                    </w:div>
                  </w:divsChild>
                </w:div>
                <w:div w:id="940071887">
                  <w:marLeft w:val="0"/>
                  <w:marRight w:val="0"/>
                  <w:marTop w:val="0"/>
                  <w:marBottom w:val="0"/>
                  <w:divBdr>
                    <w:top w:val="none" w:sz="0" w:space="0" w:color="auto"/>
                    <w:left w:val="none" w:sz="0" w:space="0" w:color="auto"/>
                    <w:bottom w:val="none" w:sz="0" w:space="0" w:color="auto"/>
                    <w:right w:val="none" w:sz="0" w:space="0" w:color="auto"/>
                  </w:divBdr>
                  <w:divsChild>
                    <w:div w:id="431362991">
                      <w:marLeft w:val="0"/>
                      <w:marRight w:val="0"/>
                      <w:marTop w:val="0"/>
                      <w:marBottom w:val="0"/>
                      <w:divBdr>
                        <w:top w:val="none" w:sz="0" w:space="0" w:color="auto"/>
                        <w:left w:val="none" w:sz="0" w:space="0" w:color="auto"/>
                        <w:bottom w:val="none" w:sz="0" w:space="0" w:color="auto"/>
                        <w:right w:val="none" w:sz="0" w:space="0" w:color="auto"/>
                      </w:divBdr>
                    </w:div>
                  </w:divsChild>
                </w:div>
                <w:div w:id="970669398">
                  <w:marLeft w:val="0"/>
                  <w:marRight w:val="0"/>
                  <w:marTop w:val="0"/>
                  <w:marBottom w:val="0"/>
                  <w:divBdr>
                    <w:top w:val="none" w:sz="0" w:space="0" w:color="auto"/>
                    <w:left w:val="none" w:sz="0" w:space="0" w:color="auto"/>
                    <w:bottom w:val="none" w:sz="0" w:space="0" w:color="auto"/>
                    <w:right w:val="none" w:sz="0" w:space="0" w:color="auto"/>
                  </w:divBdr>
                  <w:divsChild>
                    <w:div w:id="1482770258">
                      <w:marLeft w:val="0"/>
                      <w:marRight w:val="0"/>
                      <w:marTop w:val="0"/>
                      <w:marBottom w:val="0"/>
                      <w:divBdr>
                        <w:top w:val="none" w:sz="0" w:space="0" w:color="auto"/>
                        <w:left w:val="none" w:sz="0" w:space="0" w:color="auto"/>
                        <w:bottom w:val="none" w:sz="0" w:space="0" w:color="auto"/>
                        <w:right w:val="none" w:sz="0" w:space="0" w:color="auto"/>
                      </w:divBdr>
                    </w:div>
                  </w:divsChild>
                </w:div>
                <w:div w:id="980039084">
                  <w:marLeft w:val="0"/>
                  <w:marRight w:val="0"/>
                  <w:marTop w:val="0"/>
                  <w:marBottom w:val="0"/>
                  <w:divBdr>
                    <w:top w:val="none" w:sz="0" w:space="0" w:color="auto"/>
                    <w:left w:val="none" w:sz="0" w:space="0" w:color="auto"/>
                    <w:bottom w:val="none" w:sz="0" w:space="0" w:color="auto"/>
                    <w:right w:val="none" w:sz="0" w:space="0" w:color="auto"/>
                  </w:divBdr>
                  <w:divsChild>
                    <w:div w:id="1887641510">
                      <w:marLeft w:val="0"/>
                      <w:marRight w:val="0"/>
                      <w:marTop w:val="0"/>
                      <w:marBottom w:val="0"/>
                      <w:divBdr>
                        <w:top w:val="none" w:sz="0" w:space="0" w:color="auto"/>
                        <w:left w:val="none" w:sz="0" w:space="0" w:color="auto"/>
                        <w:bottom w:val="none" w:sz="0" w:space="0" w:color="auto"/>
                        <w:right w:val="none" w:sz="0" w:space="0" w:color="auto"/>
                      </w:divBdr>
                    </w:div>
                  </w:divsChild>
                </w:div>
                <w:div w:id="1006055890">
                  <w:marLeft w:val="0"/>
                  <w:marRight w:val="0"/>
                  <w:marTop w:val="0"/>
                  <w:marBottom w:val="0"/>
                  <w:divBdr>
                    <w:top w:val="none" w:sz="0" w:space="0" w:color="auto"/>
                    <w:left w:val="none" w:sz="0" w:space="0" w:color="auto"/>
                    <w:bottom w:val="none" w:sz="0" w:space="0" w:color="auto"/>
                    <w:right w:val="none" w:sz="0" w:space="0" w:color="auto"/>
                  </w:divBdr>
                  <w:divsChild>
                    <w:div w:id="545918248">
                      <w:marLeft w:val="0"/>
                      <w:marRight w:val="0"/>
                      <w:marTop w:val="0"/>
                      <w:marBottom w:val="0"/>
                      <w:divBdr>
                        <w:top w:val="none" w:sz="0" w:space="0" w:color="auto"/>
                        <w:left w:val="none" w:sz="0" w:space="0" w:color="auto"/>
                        <w:bottom w:val="none" w:sz="0" w:space="0" w:color="auto"/>
                        <w:right w:val="none" w:sz="0" w:space="0" w:color="auto"/>
                      </w:divBdr>
                    </w:div>
                  </w:divsChild>
                </w:div>
                <w:div w:id="1008681046">
                  <w:marLeft w:val="0"/>
                  <w:marRight w:val="0"/>
                  <w:marTop w:val="0"/>
                  <w:marBottom w:val="0"/>
                  <w:divBdr>
                    <w:top w:val="none" w:sz="0" w:space="0" w:color="auto"/>
                    <w:left w:val="none" w:sz="0" w:space="0" w:color="auto"/>
                    <w:bottom w:val="none" w:sz="0" w:space="0" w:color="auto"/>
                    <w:right w:val="none" w:sz="0" w:space="0" w:color="auto"/>
                  </w:divBdr>
                  <w:divsChild>
                    <w:div w:id="1847938889">
                      <w:marLeft w:val="0"/>
                      <w:marRight w:val="0"/>
                      <w:marTop w:val="0"/>
                      <w:marBottom w:val="0"/>
                      <w:divBdr>
                        <w:top w:val="none" w:sz="0" w:space="0" w:color="auto"/>
                        <w:left w:val="none" w:sz="0" w:space="0" w:color="auto"/>
                        <w:bottom w:val="none" w:sz="0" w:space="0" w:color="auto"/>
                        <w:right w:val="none" w:sz="0" w:space="0" w:color="auto"/>
                      </w:divBdr>
                    </w:div>
                  </w:divsChild>
                </w:div>
                <w:div w:id="1018846329">
                  <w:marLeft w:val="0"/>
                  <w:marRight w:val="0"/>
                  <w:marTop w:val="0"/>
                  <w:marBottom w:val="0"/>
                  <w:divBdr>
                    <w:top w:val="none" w:sz="0" w:space="0" w:color="auto"/>
                    <w:left w:val="none" w:sz="0" w:space="0" w:color="auto"/>
                    <w:bottom w:val="none" w:sz="0" w:space="0" w:color="auto"/>
                    <w:right w:val="none" w:sz="0" w:space="0" w:color="auto"/>
                  </w:divBdr>
                  <w:divsChild>
                    <w:div w:id="1686325398">
                      <w:marLeft w:val="0"/>
                      <w:marRight w:val="0"/>
                      <w:marTop w:val="0"/>
                      <w:marBottom w:val="0"/>
                      <w:divBdr>
                        <w:top w:val="none" w:sz="0" w:space="0" w:color="auto"/>
                        <w:left w:val="none" w:sz="0" w:space="0" w:color="auto"/>
                        <w:bottom w:val="none" w:sz="0" w:space="0" w:color="auto"/>
                        <w:right w:val="none" w:sz="0" w:space="0" w:color="auto"/>
                      </w:divBdr>
                    </w:div>
                  </w:divsChild>
                </w:div>
                <w:div w:id="1023095727">
                  <w:marLeft w:val="0"/>
                  <w:marRight w:val="0"/>
                  <w:marTop w:val="0"/>
                  <w:marBottom w:val="0"/>
                  <w:divBdr>
                    <w:top w:val="none" w:sz="0" w:space="0" w:color="auto"/>
                    <w:left w:val="none" w:sz="0" w:space="0" w:color="auto"/>
                    <w:bottom w:val="none" w:sz="0" w:space="0" w:color="auto"/>
                    <w:right w:val="none" w:sz="0" w:space="0" w:color="auto"/>
                  </w:divBdr>
                  <w:divsChild>
                    <w:div w:id="1202782953">
                      <w:marLeft w:val="0"/>
                      <w:marRight w:val="0"/>
                      <w:marTop w:val="0"/>
                      <w:marBottom w:val="0"/>
                      <w:divBdr>
                        <w:top w:val="none" w:sz="0" w:space="0" w:color="auto"/>
                        <w:left w:val="none" w:sz="0" w:space="0" w:color="auto"/>
                        <w:bottom w:val="none" w:sz="0" w:space="0" w:color="auto"/>
                        <w:right w:val="none" w:sz="0" w:space="0" w:color="auto"/>
                      </w:divBdr>
                    </w:div>
                  </w:divsChild>
                </w:div>
                <w:div w:id="1029988016">
                  <w:marLeft w:val="0"/>
                  <w:marRight w:val="0"/>
                  <w:marTop w:val="0"/>
                  <w:marBottom w:val="0"/>
                  <w:divBdr>
                    <w:top w:val="none" w:sz="0" w:space="0" w:color="auto"/>
                    <w:left w:val="none" w:sz="0" w:space="0" w:color="auto"/>
                    <w:bottom w:val="none" w:sz="0" w:space="0" w:color="auto"/>
                    <w:right w:val="none" w:sz="0" w:space="0" w:color="auto"/>
                  </w:divBdr>
                  <w:divsChild>
                    <w:div w:id="496385530">
                      <w:marLeft w:val="0"/>
                      <w:marRight w:val="0"/>
                      <w:marTop w:val="0"/>
                      <w:marBottom w:val="0"/>
                      <w:divBdr>
                        <w:top w:val="none" w:sz="0" w:space="0" w:color="auto"/>
                        <w:left w:val="none" w:sz="0" w:space="0" w:color="auto"/>
                        <w:bottom w:val="none" w:sz="0" w:space="0" w:color="auto"/>
                        <w:right w:val="none" w:sz="0" w:space="0" w:color="auto"/>
                      </w:divBdr>
                    </w:div>
                  </w:divsChild>
                </w:div>
                <w:div w:id="1077635478">
                  <w:marLeft w:val="0"/>
                  <w:marRight w:val="0"/>
                  <w:marTop w:val="0"/>
                  <w:marBottom w:val="0"/>
                  <w:divBdr>
                    <w:top w:val="none" w:sz="0" w:space="0" w:color="auto"/>
                    <w:left w:val="none" w:sz="0" w:space="0" w:color="auto"/>
                    <w:bottom w:val="none" w:sz="0" w:space="0" w:color="auto"/>
                    <w:right w:val="none" w:sz="0" w:space="0" w:color="auto"/>
                  </w:divBdr>
                  <w:divsChild>
                    <w:div w:id="258955415">
                      <w:marLeft w:val="0"/>
                      <w:marRight w:val="0"/>
                      <w:marTop w:val="0"/>
                      <w:marBottom w:val="0"/>
                      <w:divBdr>
                        <w:top w:val="none" w:sz="0" w:space="0" w:color="auto"/>
                        <w:left w:val="none" w:sz="0" w:space="0" w:color="auto"/>
                        <w:bottom w:val="none" w:sz="0" w:space="0" w:color="auto"/>
                        <w:right w:val="none" w:sz="0" w:space="0" w:color="auto"/>
                      </w:divBdr>
                    </w:div>
                  </w:divsChild>
                </w:div>
                <w:div w:id="1080058196">
                  <w:marLeft w:val="0"/>
                  <w:marRight w:val="0"/>
                  <w:marTop w:val="0"/>
                  <w:marBottom w:val="0"/>
                  <w:divBdr>
                    <w:top w:val="none" w:sz="0" w:space="0" w:color="auto"/>
                    <w:left w:val="none" w:sz="0" w:space="0" w:color="auto"/>
                    <w:bottom w:val="none" w:sz="0" w:space="0" w:color="auto"/>
                    <w:right w:val="none" w:sz="0" w:space="0" w:color="auto"/>
                  </w:divBdr>
                  <w:divsChild>
                    <w:div w:id="1628663564">
                      <w:marLeft w:val="0"/>
                      <w:marRight w:val="0"/>
                      <w:marTop w:val="0"/>
                      <w:marBottom w:val="0"/>
                      <w:divBdr>
                        <w:top w:val="none" w:sz="0" w:space="0" w:color="auto"/>
                        <w:left w:val="none" w:sz="0" w:space="0" w:color="auto"/>
                        <w:bottom w:val="none" w:sz="0" w:space="0" w:color="auto"/>
                        <w:right w:val="none" w:sz="0" w:space="0" w:color="auto"/>
                      </w:divBdr>
                    </w:div>
                  </w:divsChild>
                </w:div>
                <w:div w:id="1154222913">
                  <w:marLeft w:val="0"/>
                  <w:marRight w:val="0"/>
                  <w:marTop w:val="0"/>
                  <w:marBottom w:val="0"/>
                  <w:divBdr>
                    <w:top w:val="none" w:sz="0" w:space="0" w:color="auto"/>
                    <w:left w:val="none" w:sz="0" w:space="0" w:color="auto"/>
                    <w:bottom w:val="none" w:sz="0" w:space="0" w:color="auto"/>
                    <w:right w:val="none" w:sz="0" w:space="0" w:color="auto"/>
                  </w:divBdr>
                  <w:divsChild>
                    <w:div w:id="444007352">
                      <w:marLeft w:val="0"/>
                      <w:marRight w:val="0"/>
                      <w:marTop w:val="0"/>
                      <w:marBottom w:val="0"/>
                      <w:divBdr>
                        <w:top w:val="none" w:sz="0" w:space="0" w:color="auto"/>
                        <w:left w:val="none" w:sz="0" w:space="0" w:color="auto"/>
                        <w:bottom w:val="none" w:sz="0" w:space="0" w:color="auto"/>
                        <w:right w:val="none" w:sz="0" w:space="0" w:color="auto"/>
                      </w:divBdr>
                    </w:div>
                  </w:divsChild>
                </w:div>
                <w:div w:id="1174035575">
                  <w:marLeft w:val="0"/>
                  <w:marRight w:val="0"/>
                  <w:marTop w:val="0"/>
                  <w:marBottom w:val="0"/>
                  <w:divBdr>
                    <w:top w:val="none" w:sz="0" w:space="0" w:color="auto"/>
                    <w:left w:val="none" w:sz="0" w:space="0" w:color="auto"/>
                    <w:bottom w:val="none" w:sz="0" w:space="0" w:color="auto"/>
                    <w:right w:val="none" w:sz="0" w:space="0" w:color="auto"/>
                  </w:divBdr>
                  <w:divsChild>
                    <w:div w:id="324403599">
                      <w:marLeft w:val="0"/>
                      <w:marRight w:val="0"/>
                      <w:marTop w:val="0"/>
                      <w:marBottom w:val="0"/>
                      <w:divBdr>
                        <w:top w:val="none" w:sz="0" w:space="0" w:color="auto"/>
                        <w:left w:val="none" w:sz="0" w:space="0" w:color="auto"/>
                        <w:bottom w:val="none" w:sz="0" w:space="0" w:color="auto"/>
                        <w:right w:val="none" w:sz="0" w:space="0" w:color="auto"/>
                      </w:divBdr>
                    </w:div>
                  </w:divsChild>
                </w:div>
                <w:div w:id="1181626727">
                  <w:marLeft w:val="0"/>
                  <w:marRight w:val="0"/>
                  <w:marTop w:val="0"/>
                  <w:marBottom w:val="0"/>
                  <w:divBdr>
                    <w:top w:val="none" w:sz="0" w:space="0" w:color="auto"/>
                    <w:left w:val="none" w:sz="0" w:space="0" w:color="auto"/>
                    <w:bottom w:val="none" w:sz="0" w:space="0" w:color="auto"/>
                    <w:right w:val="none" w:sz="0" w:space="0" w:color="auto"/>
                  </w:divBdr>
                  <w:divsChild>
                    <w:div w:id="1276520769">
                      <w:marLeft w:val="0"/>
                      <w:marRight w:val="0"/>
                      <w:marTop w:val="0"/>
                      <w:marBottom w:val="0"/>
                      <w:divBdr>
                        <w:top w:val="none" w:sz="0" w:space="0" w:color="auto"/>
                        <w:left w:val="none" w:sz="0" w:space="0" w:color="auto"/>
                        <w:bottom w:val="none" w:sz="0" w:space="0" w:color="auto"/>
                        <w:right w:val="none" w:sz="0" w:space="0" w:color="auto"/>
                      </w:divBdr>
                    </w:div>
                  </w:divsChild>
                </w:div>
                <w:div w:id="1183085747">
                  <w:marLeft w:val="0"/>
                  <w:marRight w:val="0"/>
                  <w:marTop w:val="0"/>
                  <w:marBottom w:val="0"/>
                  <w:divBdr>
                    <w:top w:val="none" w:sz="0" w:space="0" w:color="auto"/>
                    <w:left w:val="none" w:sz="0" w:space="0" w:color="auto"/>
                    <w:bottom w:val="none" w:sz="0" w:space="0" w:color="auto"/>
                    <w:right w:val="none" w:sz="0" w:space="0" w:color="auto"/>
                  </w:divBdr>
                  <w:divsChild>
                    <w:div w:id="1390227071">
                      <w:marLeft w:val="0"/>
                      <w:marRight w:val="0"/>
                      <w:marTop w:val="0"/>
                      <w:marBottom w:val="0"/>
                      <w:divBdr>
                        <w:top w:val="none" w:sz="0" w:space="0" w:color="auto"/>
                        <w:left w:val="none" w:sz="0" w:space="0" w:color="auto"/>
                        <w:bottom w:val="none" w:sz="0" w:space="0" w:color="auto"/>
                        <w:right w:val="none" w:sz="0" w:space="0" w:color="auto"/>
                      </w:divBdr>
                    </w:div>
                  </w:divsChild>
                </w:div>
                <w:div w:id="1210730685">
                  <w:marLeft w:val="0"/>
                  <w:marRight w:val="0"/>
                  <w:marTop w:val="0"/>
                  <w:marBottom w:val="0"/>
                  <w:divBdr>
                    <w:top w:val="none" w:sz="0" w:space="0" w:color="auto"/>
                    <w:left w:val="none" w:sz="0" w:space="0" w:color="auto"/>
                    <w:bottom w:val="none" w:sz="0" w:space="0" w:color="auto"/>
                    <w:right w:val="none" w:sz="0" w:space="0" w:color="auto"/>
                  </w:divBdr>
                  <w:divsChild>
                    <w:div w:id="1585992872">
                      <w:marLeft w:val="0"/>
                      <w:marRight w:val="0"/>
                      <w:marTop w:val="0"/>
                      <w:marBottom w:val="0"/>
                      <w:divBdr>
                        <w:top w:val="none" w:sz="0" w:space="0" w:color="auto"/>
                        <w:left w:val="none" w:sz="0" w:space="0" w:color="auto"/>
                        <w:bottom w:val="none" w:sz="0" w:space="0" w:color="auto"/>
                        <w:right w:val="none" w:sz="0" w:space="0" w:color="auto"/>
                      </w:divBdr>
                    </w:div>
                  </w:divsChild>
                </w:div>
                <w:div w:id="1232809045">
                  <w:marLeft w:val="0"/>
                  <w:marRight w:val="0"/>
                  <w:marTop w:val="0"/>
                  <w:marBottom w:val="0"/>
                  <w:divBdr>
                    <w:top w:val="none" w:sz="0" w:space="0" w:color="auto"/>
                    <w:left w:val="none" w:sz="0" w:space="0" w:color="auto"/>
                    <w:bottom w:val="none" w:sz="0" w:space="0" w:color="auto"/>
                    <w:right w:val="none" w:sz="0" w:space="0" w:color="auto"/>
                  </w:divBdr>
                  <w:divsChild>
                    <w:div w:id="16663922">
                      <w:marLeft w:val="0"/>
                      <w:marRight w:val="0"/>
                      <w:marTop w:val="0"/>
                      <w:marBottom w:val="0"/>
                      <w:divBdr>
                        <w:top w:val="none" w:sz="0" w:space="0" w:color="auto"/>
                        <w:left w:val="none" w:sz="0" w:space="0" w:color="auto"/>
                        <w:bottom w:val="none" w:sz="0" w:space="0" w:color="auto"/>
                        <w:right w:val="none" w:sz="0" w:space="0" w:color="auto"/>
                      </w:divBdr>
                    </w:div>
                  </w:divsChild>
                </w:div>
                <w:div w:id="1297032239">
                  <w:marLeft w:val="0"/>
                  <w:marRight w:val="0"/>
                  <w:marTop w:val="0"/>
                  <w:marBottom w:val="0"/>
                  <w:divBdr>
                    <w:top w:val="none" w:sz="0" w:space="0" w:color="auto"/>
                    <w:left w:val="none" w:sz="0" w:space="0" w:color="auto"/>
                    <w:bottom w:val="none" w:sz="0" w:space="0" w:color="auto"/>
                    <w:right w:val="none" w:sz="0" w:space="0" w:color="auto"/>
                  </w:divBdr>
                  <w:divsChild>
                    <w:div w:id="1303921400">
                      <w:marLeft w:val="0"/>
                      <w:marRight w:val="0"/>
                      <w:marTop w:val="0"/>
                      <w:marBottom w:val="0"/>
                      <w:divBdr>
                        <w:top w:val="none" w:sz="0" w:space="0" w:color="auto"/>
                        <w:left w:val="none" w:sz="0" w:space="0" w:color="auto"/>
                        <w:bottom w:val="none" w:sz="0" w:space="0" w:color="auto"/>
                        <w:right w:val="none" w:sz="0" w:space="0" w:color="auto"/>
                      </w:divBdr>
                    </w:div>
                  </w:divsChild>
                </w:div>
                <w:div w:id="1313216926">
                  <w:marLeft w:val="0"/>
                  <w:marRight w:val="0"/>
                  <w:marTop w:val="0"/>
                  <w:marBottom w:val="0"/>
                  <w:divBdr>
                    <w:top w:val="none" w:sz="0" w:space="0" w:color="auto"/>
                    <w:left w:val="none" w:sz="0" w:space="0" w:color="auto"/>
                    <w:bottom w:val="none" w:sz="0" w:space="0" w:color="auto"/>
                    <w:right w:val="none" w:sz="0" w:space="0" w:color="auto"/>
                  </w:divBdr>
                  <w:divsChild>
                    <w:div w:id="1616866397">
                      <w:marLeft w:val="0"/>
                      <w:marRight w:val="0"/>
                      <w:marTop w:val="0"/>
                      <w:marBottom w:val="0"/>
                      <w:divBdr>
                        <w:top w:val="none" w:sz="0" w:space="0" w:color="auto"/>
                        <w:left w:val="none" w:sz="0" w:space="0" w:color="auto"/>
                        <w:bottom w:val="none" w:sz="0" w:space="0" w:color="auto"/>
                        <w:right w:val="none" w:sz="0" w:space="0" w:color="auto"/>
                      </w:divBdr>
                    </w:div>
                  </w:divsChild>
                </w:div>
                <w:div w:id="1385447439">
                  <w:marLeft w:val="0"/>
                  <w:marRight w:val="0"/>
                  <w:marTop w:val="0"/>
                  <w:marBottom w:val="0"/>
                  <w:divBdr>
                    <w:top w:val="none" w:sz="0" w:space="0" w:color="auto"/>
                    <w:left w:val="none" w:sz="0" w:space="0" w:color="auto"/>
                    <w:bottom w:val="none" w:sz="0" w:space="0" w:color="auto"/>
                    <w:right w:val="none" w:sz="0" w:space="0" w:color="auto"/>
                  </w:divBdr>
                  <w:divsChild>
                    <w:div w:id="1514371793">
                      <w:marLeft w:val="0"/>
                      <w:marRight w:val="0"/>
                      <w:marTop w:val="0"/>
                      <w:marBottom w:val="0"/>
                      <w:divBdr>
                        <w:top w:val="none" w:sz="0" w:space="0" w:color="auto"/>
                        <w:left w:val="none" w:sz="0" w:space="0" w:color="auto"/>
                        <w:bottom w:val="none" w:sz="0" w:space="0" w:color="auto"/>
                        <w:right w:val="none" w:sz="0" w:space="0" w:color="auto"/>
                      </w:divBdr>
                    </w:div>
                  </w:divsChild>
                </w:div>
                <w:div w:id="1429346434">
                  <w:marLeft w:val="0"/>
                  <w:marRight w:val="0"/>
                  <w:marTop w:val="0"/>
                  <w:marBottom w:val="0"/>
                  <w:divBdr>
                    <w:top w:val="none" w:sz="0" w:space="0" w:color="auto"/>
                    <w:left w:val="none" w:sz="0" w:space="0" w:color="auto"/>
                    <w:bottom w:val="none" w:sz="0" w:space="0" w:color="auto"/>
                    <w:right w:val="none" w:sz="0" w:space="0" w:color="auto"/>
                  </w:divBdr>
                  <w:divsChild>
                    <w:div w:id="865755805">
                      <w:marLeft w:val="0"/>
                      <w:marRight w:val="0"/>
                      <w:marTop w:val="0"/>
                      <w:marBottom w:val="0"/>
                      <w:divBdr>
                        <w:top w:val="none" w:sz="0" w:space="0" w:color="auto"/>
                        <w:left w:val="none" w:sz="0" w:space="0" w:color="auto"/>
                        <w:bottom w:val="none" w:sz="0" w:space="0" w:color="auto"/>
                        <w:right w:val="none" w:sz="0" w:space="0" w:color="auto"/>
                      </w:divBdr>
                    </w:div>
                  </w:divsChild>
                </w:div>
                <w:div w:id="1451245282">
                  <w:marLeft w:val="0"/>
                  <w:marRight w:val="0"/>
                  <w:marTop w:val="0"/>
                  <w:marBottom w:val="0"/>
                  <w:divBdr>
                    <w:top w:val="none" w:sz="0" w:space="0" w:color="auto"/>
                    <w:left w:val="none" w:sz="0" w:space="0" w:color="auto"/>
                    <w:bottom w:val="none" w:sz="0" w:space="0" w:color="auto"/>
                    <w:right w:val="none" w:sz="0" w:space="0" w:color="auto"/>
                  </w:divBdr>
                  <w:divsChild>
                    <w:div w:id="1890845098">
                      <w:marLeft w:val="0"/>
                      <w:marRight w:val="0"/>
                      <w:marTop w:val="0"/>
                      <w:marBottom w:val="0"/>
                      <w:divBdr>
                        <w:top w:val="none" w:sz="0" w:space="0" w:color="auto"/>
                        <w:left w:val="none" w:sz="0" w:space="0" w:color="auto"/>
                        <w:bottom w:val="none" w:sz="0" w:space="0" w:color="auto"/>
                        <w:right w:val="none" w:sz="0" w:space="0" w:color="auto"/>
                      </w:divBdr>
                    </w:div>
                  </w:divsChild>
                </w:div>
                <w:div w:id="1463570465">
                  <w:marLeft w:val="0"/>
                  <w:marRight w:val="0"/>
                  <w:marTop w:val="0"/>
                  <w:marBottom w:val="0"/>
                  <w:divBdr>
                    <w:top w:val="none" w:sz="0" w:space="0" w:color="auto"/>
                    <w:left w:val="none" w:sz="0" w:space="0" w:color="auto"/>
                    <w:bottom w:val="none" w:sz="0" w:space="0" w:color="auto"/>
                    <w:right w:val="none" w:sz="0" w:space="0" w:color="auto"/>
                  </w:divBdr>
                  <w:divsChild>
                    <w:div w:id="1849826595">
                      <w:marLeft w:val="0"/>
                      <w:marRight w:val="0"/>
                      <w:marTop w:val="0"/>
                      <w:marBottom w:val="0"/>
                      <w:divBdr>
                        <w:top w:val="none" w:sz="0" w:space="0" w:color="auto"/>
                        <w:left w:val="none" w:sz="0" w:space="0" w:color="auto"/>
                        <w:bottom w:val="none" w:sz="0" w:space="0" w:color="auto"/>
                        <w:right w:val="none" w:sz="0" w:space="0" w:color="auto"/>
                      </w:divBdr>
                    </w:div>
                  </w:divsChild>
                </w:div>
                <w:div w:id="1543446585">
                  <w:marLeft w:val="0"/>
                  <w:marRight w:val="0"/>
                  <w:marTop w:val="0"/>
                  <w:marBottom w:val="0"/>
                  <w:divBdr>
                    <w:top w:val="none" w:sz="0" w:space="0" w:color="auto"/>
                    <w:left w:val="none" w:sz="0" w:space="0" w:color="auto"/>
                    <w:bottom w:val="none" w:sz="0" w:space="0" w:color="auto"/>
                    <w:right w:val="none" w:sz="0" w:space="0" w:color="auto"/>
                  </w:divBdr>
                  <w:divsChild>
                    <w:div w:id="220791830">
                      <w:marLeft w:val="0"/>
                      <w:marRight w:val="0"/>
                      <w:marTop w:val="0"/>
                      <w:marBottom w:val="0"/>
                      <w:divBdr>
                        <w:top w:val="none" w:sz="0" w:space="0" w:color="auto"/>
                        <w:left w:val="none" w:sz="0" w:space="0" w:color="auto"/>
                        <w:bottom w:val="none" w:sz="0" w:space="0" w:color="auto"/>
                        <w:right w:val="none" w:sz="0" w:space="0" w:color="auto"/>
                      </w:divBdr>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864100623">
                      <w:marLeft w:val="0"/>
                      <w:marRight w:val="0"/>
                      <w:marTop w:val="0"/>
                      <w:marBottom w:val="0"/>
                      <w:divBdr>
                        <w:top w:val="none" w:sz="0" w:space="0" w:color="auto"/>
                        <w:left w:val="none" w:sz="0" w:space="0" w:color="auto"/>
                        <w:bottom w:val="none" w:sz="0" w:space="0" w:color="auto"/>
                        <w:right w:val="none" w:sz="0" w:space="0" w:color="auto"/>
                      </w:divBdr>
                    </w:div>
                  </w:divsChild>
                </w:div>
                <w:div w:id="1599217298">
                  <w:marLeft w:val="0"/>
                  <w:marRight w:val="0"/>
                  <w:marTop w:val="0"/>
                  <w:marBottom w:val="0"/>
                  <w:divBdr>
                    <w:top w:val="none" w:sz="0" w:space="0" w:color="auto"/>
                    <w:left w:val="none" w:sz="0" w:space="0" w:color="auto"/>
                    <w:bottom w:val="none" w:sz="0" w:space="0" w:color="auto"/>
                    <w:right w:val="none" w:sz="0" w:space="0" w:color="auto"/>
                  </w:divBdr>
                  <w:divsChild>
                    <w:div w:id="1760444560">
                      <w:marLeft w:val="0"/>
                      <w:marRight w:val="0"/>
                      <w:marTop w:val="0"/>
                      <w:marBottom w:val="0"/>
                      <w:divBdr>
                        <w:top w:val="none" w:sz="0" w:space="0" w:color="auto"/>
                        <w:left w:val="none" w:sz="0" w:space="0" w:color="auto"/>
                        <w:bottom w:val="none" w:sz="0" w:space="0" w:color="auto"/>
                        <w:right w:val="none" w:sz="0" w:space="0" w:color="auto"/>
                      </w:divBdr>
                    </w:div>
                  </w:divsChild>
                </w:div>
                <w:div w:id="1608924753">
                  <w:marLeft w:val="0"/>
                  <w:marRight w:val="0"/>
                  <w:marTop w:val="0"/>
                  <w:marBottom w:val="0"/>
                  <w:divBdr>
                    <w:top w:val="none" w:sz="0" w:space="0" w:color="auto"/>
                    <w:left w:val="none" w:sz="0" w:space="0" w:color="auto"/>
                    <w:bottom w:val="none" w:sz="0" w:space="0" w:color="auto"/>
                    <w:right w:val="none" w:sz="0" w:space="0" w:color="auto"/>
                  </w:divBdr>
                  <w:divsChild>
                    <w:div w:id="1884558029">
                      <w:marLeft w:val="0"/>
                      <w:marRight w:val="0"/>
                      <w:marTop w:val="0"/>
                      <w:marBottom w:val="0"/>
                      <w:divBdr>
                        <w:top w:val="none" w:sz="0" w:space="0" w:color="auto"/>
                        <w:left w:val="none" w:sz="0" w:space="0" w:color="auto"/>
                        <w:bottom w:val="none" w:sz="0" w:space="0" w:color="auto"/>
                        <w:right w:val="none" w:sz="0" w:space="0" w:color="auto"/>
                      </w:divBdr>
                    </w:div>
                  </w:divsChild>
                </w:div>
                <w:div w:id="1617367926">
                  <w:marLeft w:val="0"/>
                  <w:marRight w:val="0"/>
                  <w:marTop w:val="0"/>
                  <w:marBottom w:val="0"/>
                  <w:divBdr>
                    <w:top w:val="none" w:sz="0" w:space="0" w:color="auto"/>
                    <w:left w:val="none" w:sz="0" w:space="0" w:color="auto"/>
                    <w:bottom w:val="none" w:sz="0" w:space="0" w:color="auto"/>
                    <w:right w:val="none" w:sz="0" w:space="0" w:color="auto"/>
                  </w:divBdr>
                  <w:divsChild>
                    <w:div w:id="1255557838">
                      <w:marLeft w:val="0"/>
                      <w:marRight w:val="0"/>
                      <w:marTop w:val="0"/>
                      <w:marBottom w:val="0"/>
                      <w:divBdr>
                        <w:top w:val="none" w:sz="0" w:space="0" w:color="auto"/>
                        <w:left w:val="none" w:sz="0" w:space="0" w:color="auto"/>
                        <w:bottom w:val="none" w:sz="0" w:space="0" w:color="auto"/>
                        <w:right w:val="none" w:sz="0" w:space="0" w:color="auto"/>
                      </w:divBdr>
                    </w:div>
                  </w:divsChild>
                </w:div>
                <w:div w:id="1648046781">
                  <w:marLeft w:val="0"/>
                  <w:marRight w:val="0"/>
                  <w:marTop w:val="0"/>
                  <w:marBottom w:val="0"/>
                  <w:divBdr>
                    <w:top w:val="none" w:sz="0" w:space="0" w:color="auto"/>
                    <w:left w:val="none" w:sz="0" w:space="0" w:color="auto"/>
                    <w:bottom w:val="none" w:sz="0" w:space="0" w:color="auto"/>
                    <w:right w:val="none" w:sz="0" w:space="0" w:color="auto"/>
                  </w:divBdr>
                  <w:divsChild>
                    <w:div w:id="795026807">
                      <w:marLeft w:val="0"/>
                      <w:marRight w:val="0"/>
                      <w:marTop w:val="0"/>
                      <w:marBottom w:val="0"/>
                      <w:divBdr>
                        <w:top w:val="none" w:sz="0" w:space="0" w:color="auto"/>
                        <w:left w:val="none" w:sz="0" w:space="0" w:color="auto"/>
                        <w:bottom w:val="none" w:sz="0" w:space="0" w:color="auto"/>
                        <w:right w:val="none" w:sz="0" w:space="0" w:color="auto"/>
                      </w:divBdr>
                    </w:div>
                  </w:divsChild>
                </w:div>
                <w:div w:id="1659073548">
                  <w:marLeft w:val="0"/>
                  <w:marRight w:val="0"/>
                  <w:marTop w:val="0"/>
                  <w:marBottom w:val="0"/>
                  <w:divBdr>
                    <w:top w:val="none" w:sz="0" w:space="0" w:color="auto"/>
                    <w:left w:val="none" w:sz="0" w:space="0" w:color="auto"/>
                    <w:bottom w:val="none" w:sz="0" w:space="0" w:color="auto"/>
                    <w:right w:val="none" w:sz="0" w:space="0" w:color="auto"/>
                  </w:divBdr>
                  <w:divsChild>
                    <w:div w:id="915241144">
                      <w:marLeft w:val="0"/>
                      <w:marRight w:val="0"/>
                      <w:marTop w:val="0"/>
                      <w:marBottom w:val="0"/>
                      <w:divBdr>
                        <w:top w:val="none" w:sz="0" w:space="0" w:color="auto"/>
                        <w:left w:val="none" w:sz="0" w:space="0" w:color="auto"/>
                        <w:bottom w:val="none" w:sz="0" w:space="0" w:color="auto"/>
                        <w:right w:val="none" w:sz="0" w:space="0" w:color="auto"/>
                      </w:divBdr>
                    </w:div>
                  </w:divsChild>
                </w:div>
                <w:div w:id="1680811071">
                  <w:marLeft w:val="0"/>
                  <w:marRight w:val="0"/>
                  <w:marTop w:val="0"/>
                  <w:marBottom w:val="0"/>
                  <w:divBdr>
                    <w:top w:val="none" w:sz="0" w:space="0" w:color="auto"/>
                    <w:left w:val="none" w:sz="0" w:space="0" w:color="auto"/>
                    <w:bottom w:val="none" w:sz="0" w:space="0" w:color="auto"/>
                    <w:right w:val="none" w:sz="0" w:space="0" w:color="auto"/>
                  </w:divBdr>
                  <w:divsChild>
                    <w:div w:id="875698023">
                      <w:marLeft w:val="0"/>
                      <w:marRight w:val="0"/>
                      <w:marTop w:val="0"/>
                      <w:marBottom w:val="0"/>
                      <w:divBdr>
                        <w:top w:val="none" w:sz="0" w:space="0" w:color="auto"/>
                        <w:left w:val="none" w:sz="0" w:space="0" w:color="auto"/>
                        <w:bottom w:val="none" w:sz="0" w:space="0" w:color="auto"/>
                        <w:right w:val="none" w:sz="0" w:space="0" w:color="auto"/>
                      </w:divBdr>
                    </w:div>
                  </w:divsChild>
                </w:div>
                <w:div w:id="1687756415">
                  <w:marLeft w:val="0"/>
                  <w:marRight w:val="0"/>
                  <w:marTop w:val="0"/>
                  <w:marBottom w:val="0"/>
                  <w:divBdr>
                    <w:top w:val="none" w:sz="0" w:space="0" w:color="auto"/>
                    <w:left w:val="none" w:sz="0" w:space="0" w:color="auto"/>
                    <w:bottom w:val="none" w:sz="0" w:space="0" w:color="auto"/>
                    <w:right w:val="none" w:sz="0" w:space="0" w:color="auto"/>
                  </w:divBdr>
                  <w:divsChild>
                    <w:div w:id="339703188">
                      <w:marLeft w:val="0"/>
                      <w:marRight w:val="0"/>
                      <w:marTop w:val="0"/>
                      <w:marBottom w:val="0"/>
                      <w:divBdr>
                        <w:top w:val="none" w:sz="0" w:space="0" w:color="auto"/>
                        <w:left w:val="none" w:sz="0" w:space="0" w:color="auto"/>
                        <w:bottom w:val="none" w:sz="0" w:space="0" w:color="auto"/>
                        <w:right w:val="none" w:sz="0" w:space="0" w:color="auto"/>
                      </w:divBdr>
                    </w:div>
                  </w:divsChild>
                </w:div>
                <w:div w:id="1729573927">
                  <w:marLeft w:val="0"/>
                  <w:marRight w:val="0"/>
                  <w:marTop w:val="0"/>
                  <w:marBottom w:val="0"/>
                  <w:divBdr>
                    <w:top w:val="none" w:sz="0" w:space="0" w:color="auto"/>
                    <w:left w:val="none" w:sz="0" w:space="0" w:color="auto"/>
                    <w:bottom w:val="none" w:sz="0" w:space="0" w:color="auto"/>
                    <w:right w:val="none" w:sz="0" w:space="0" w:color="auto"/>
                  </w:divBdr>
                  <w:divsChild>
                    <w:div w:id="383067862">
                      <w:marLeft w:val="0"/>
                      <w:marRight w:val="0"/>
                      <w:marTop w:val="0"/>
                      <w:marBottom w:val="0"/>
                      <w:divBdr>
                        <w:top w:val="none" w:sz="0" w:space="0" w:color="auto"/>
                        <w:left w:val="none" w:sz="0" w:space="0" w:color="auto"/>
                        <w:bottom w:val="none" w:sz="0" w:space="0" w:color="auto"/>
                        <w:right w:val="none" w:sz="0" w:space="0" w:color="auto"/>
                      </w:divBdr>
                    </w:div>
                  </w:divsChild>
                </w:div>
                <w:div w:id="1736201234">
                  <w:marLeft w:val="0"/>
                  <w:marRight w:val="0"/>
                  <w:marTop w:val="0"/>
                  <w:marBottom w:val="0"/>
                  <w:divBdr>
                    <w:top w:val="none" w:sz="0" w:space="0" w:color="auto"/>
                    <w:left w:val="none" w:sz="0" w:space="0" w:color="auto"/>
                    <w:bottom w:val="none" w:sz="0" w:space="0" w:color="auto"/>
                    <w:right w:val="none" w:sz="0" w:space="0" w:color="auto"/>
                  </w:divBdr>
                  <w:divsChild>
                    <w:div w:id="841120536">
                      <w:marLeft w:val="0"/>
                      <w:marRight w:val="0"/>
                      <w:marTop w:val="0"/>
                      <w:marBottom w:val="0"/>
                      <w:divBdr>
                        <w:top w:val="none" w:sz="0" w:space="0" w:color="auto"/>
                        <w:left w:val="none" w:sz="0" w:space="0" w:color="auto"/>
                        <w:bottom w:val="none" w:sz="0" w:space="0" w:color="auto"/>
                        <w:right w:val="none" w:sz="0" w:space="0" w:color="auto"/>
                      </w:divBdr>
                    </w:div>
                  </w:divsChild>
                </w:div>
                <w:div w:id="1741100538">
                  <w:marLeft w:val="0"/>
                  <w:marRight w:val="0"/>
                  <w:marTop w:val="0"/>
                  <w:marBottom w:val="0"/>
                  <w:divBdr>
                    <w:top w:val="none" w:sz="0" w:space="0" w:color="auto"/>
                    <w:left w:val="none" w:sz="0" w:space="0" w:color="auto"/>
                    <w:bottom w:val="none" w:sz="0" w:space="0" w:color="auto"/>
                    <w:right w:val="none" w:sz="0" w:space="0" w:color="auto"/>
                  </w:divBdr>
                  <w:divsChild>
                    <w:div w:id="1634364116">
                      <w:marLeft w:val="0"/>
                      <w:marRight w:val="0"/>
                      <w:marTop w:val="0"/>
                      <w:marBottom w:val="0"/>
                      <w:divBdr>
                        <w:top w:val="none" w:sz="0" w:space="0" w:color="auto"/>
                        <w:left w:val="none" w:sz="0" w:space="0" w:color="auto"/>
                        <w:bottom w:val="none" w:sz="0" w:space="0" w:color="auto"/>
                        <w:right w:val="none" w:sz="0" w:space="0" w:color="auto"/>
                      </w:divBdr>
                    </w:div>
                  </w:divsChild>
                </w:div>
                <w:div w:id="1772890856">
                  <w:marLeft w:val="0"/>
                  <w:marRight w:val="0"/>
                  <w:marTop w:val="0"/>
                  <w:marBottom w:val="0"/>
                  <w:divBdr>
                    <w:top w:val="none" w:sz="0" w:space="0" w:color="auto"/>
                    <w:left w:val="none" w:sz="0" w:space="0" w:color="auto"/>
                    <w:bottom w:val="none" w:sz="0" w:space="0" w:color="auto"/>
                    <w:right w:val="none" w:sz="0" w:space="0" w:color="auto"/>
                  </w:divBdr>
                  <w:divsChild>
                    <w:div w:id="224803046">
                      <w:marLeft w:val="0"/>
                      <w:marRight w:val="0"/>
                      <w:marTop w:val="0"/>
                      <w:marBottom w:val="0"/>
                      <w:divBdr>
                        <w:top w:val="none" w:sz="0" w:space="0" w:color="auto"/>
                        <w:left w:val="none" w:sz="0" w:space="0" w:color="auto"/>
                        <w:bottom w:val="none" w:sz="0" w:space="0" w:color="auto"/>
                        <w:right w:val="none" w:sz="0" w:space="0" w:color="auto"/>
                      </w:divBdr>
                    </w:div>
                  </w:divsChild>
                </w:div>
                <w:div w:id="1844277067">
                  <w:marLeft w:val="0"/>
                  <w:marRight w:val="0"/>
                  <w:marTop w:val="0"/>
                  <w:marBottom w:val="0"/>
                  <w:divBdr>
                    <w:top w:val="none" w:sz="0" w:space="0" w:color="auto"/>
                    <w:left w:val="none" w:sz="0" w:space="0" w:color="auto"/>
                    <w:bottom w:val="none" w:sz="0" w:space="0" w:color="auto"/>
                    <w:right w:val="none" w:sz="0" w:space="0" w:color="auto"/>
                  </w:divBdr>
                  <w:divsChild>
                    <w:div w:id="1726875998">
                      <w:marLeft w:val="0"/>
                      <w:marRight w:val="0"/>
                      <w:marTop w:val="0"/>
                      <w:marBottom w:val="0"/>
                      <w:divBdr>
                        <w:top w:val="none" w:sz="0" w:space="0" w:color="auto"/>
                        <w:left w:val="none" w:sz="0" w:space="0" w:color="auto"/>
                        <w:bottom w:val="none" w:sz="0" w:space="0" w:color="auto"/>
                        <w:right w:val="none" w:sz="0" w:space="0" w:color="auto"/>
                      </w:divBdr>
                    </w:div>
                  </w:divsChild>
                </w:div>
                <w:div w:id="1846048717">
                  <w:marLeft w:val="0"/>
                  <w:marRight w:val="0"/>
                  <w:marTop w:val="0"/>
                  <w:marBottom w:val="0"/>
                  <w:divBdr>
                    <w:top w:val="none" w:sz="0" w:space="0" w:color="auto"/>
                    <w:left w:val="none" w:sz="0" w:space="0" w:color="auto"/>
                    <w:bottom w:val="none" w:sz="0" w:space="0" w:color="auto"/>
                    <w:right w:val="none" w:sz="0" w:space="0" w:color="auto"/>
                  </w:divBdr>
                  <w:divsChild>
                    <w:div w:id="670568689">
                      <w:marLeft w:val="0"/>
                      <w:marRight w:val="0"/>
                      <w:marTop w:val="0"/>
                      <w:marBottom w:val="0"/>
                      <w:divBdr>
                        <w:top w:val="none" w:sz="0" w:space="0" w:color="auto"/>
                        <w:left w:val="none" w:sz="0" w:space="0" w:color="auto"/>
                        <w:bottom w:val="none" w:sz="0" w:space="0" w:color="auto"/>
                        <w:right w:val="none" w:sz="0" w:space="0" w:color="auto"/>
                      </w:divBdr>
                    </w:div>
                  </w:divsChild>
                </w:div>
                <w:div w:id="1849977197">
                  <w:marLeft w:val="0"/>
                  <w:marRight w:val="0"/>
                  <w:marTop w:val="0"/>
                  <w:marBottom w:val="0"/>
                  <w:divBdr>
                    <w:top w:val="none" w:sz="0" w:space="0" w:color="auto"/>
                    <w:left w:val="none" w:sz="0" w:space="0" w:color="auto"/>
                    <w:bottom w:val="none" w:sz="0" w:space="0" w:color="auto"/>
                    <w:right w:val="none" w:sz="0" w:space="0" w:color="auto"/>
                  </w:divBdr>
                  <w:divsChild>
                    <w:div w:id="1977760778">
                      <w:marLeft w:val="0"/>
                      <w:marRight w:val="0"/>
                      <w:marTop w:val="0"/>
                      <w:marBottom w:val="0"/>
                      <w:divBdr>
                        <w:top w:val="none" w:sz="0" w:space="0" w:color="auto"/>
                        <w:left w:val="none" w:sz="0" w:space="0" w:color="auto"/>
                        <w:bottom w:val="none" w:sz="0" w:space="0" w:color="auto"/>
                        <w:right w:val="none" w:sz="0" w:space="0" w:color="auto"/>
                      </w:divBdr>
                    </w:div>
                  </w:divsChild>
                </w:div>
                <w:div w:id="1859194289">
                  <w:marLeft w:val="0"/>
                  <w:marRight w:val="0"/>
                  <w:marTop w:val="0"/>
                  <w:marBottom w:val="0"/>
                  <w:divBdr>
                    <w:top w:val="none" w:sz="0" w:space="0" w:color="auto"/>
                    <w:left w:val="none" w:sz="0" w:space="0" w:color="auto"/>
                    <w:bottom w:val="none" w:sz="0" w:space="0" w:color="auto"/>
                    <w:right w:val="none" w:sz="0" w:space="0" w:color="auto"/>
                  </w:divBdr>
                  <w:divsChild>
                    <w:div w:id="715273463">
                      <w:marLeft w:val="0"/>
                      <w:marRight w:val="0"/>
                      <w:marTop w:val="0"/>
                      <w:marBottom w:val="0"/>
                      <w:divBdr>
                        <w:top w:val="none" w:sz="0" w:space="0" w:color="auto"/>
                        <w:left w:val="none" w:sz="0" w:space="0" w:color="auto"/>
                        <w:bottom w:val="none" w:sz="0" w:space="0" w:color="auto"/>
                        <w:right w:val="none" w:sz="0" w:space="0" w:color="auto"/>
                      </w:divBdr>
                    </w:div>
                  </w:divsChild>
                </w:div>
                <w:div w:id="1883396430">
                  <w:marLeft w:val="0"/>
                  <w:marRight w:val="0"/>
                  <w:marTop w:val="0"/>
                  <w:marBottom w:val="0"/>
                  <w:divBdr>
                    <w:top w:val="none" w:sz="0" w:space="0" w:color="auto"/>
                    <w:left w:val="none" w:sz="0" w:space="0" w:color="auto"/>
                    <w:bottom w:val="none" w:sz="0" w:space="0" w:color="auto"/>
                    <w:right w:val="none" w:sz="0" w:space="0" w:color="auto"/>
                  </w:divBdr>
                  <w:divsChild>
                    <w:div w:id="1069109086">
                      <w:marLeft w:val="0"/>
                      <w:marRight w:val="0"/>
                      <w:marTop w:val="0"/>
                      <w:marBottom w:val="0"/>
                      <w:divBdr>
                        <w:top w:val="none" w:sz="0" w:space="0" w:color="auto"/>
                        <w:left w:val="none" w:sz="0" w:space="0" w:color="auto"/>
                        <w:bottom w:val="none" w:sz="0" w:space="0" w:color="auto"/>
                        <w:right w:val="none" w:sz="0" w:space="0" w:color="auto"/>
                      </w:divBdr>
                    </w:div>
                  </w:divsChild>
                </w:div>
                <w:div w:id="1905870439">
                  <w:marLeft w:val="0"/>
                  <w:marRight w:val="0"/>
                  <w:marTop w:val="0"/>
                  <w:marBottom w:val="0"/>
                  <w:divBdr>
                    <w:top w:val="none" w:sz="0" w:space="0" w:color="auto"/>
                    <w:left w:val="none" w:sz="0" w:space="0" w:color="auto"/>
                    <w:bottom w:val="none" w:sz="0" w:space="0" w:color="auto"/>
                    <w:right w:val="none" w:sz="0" w:space="0" w:color="auto"/>
                  </w:divBdr>
                  <w:divsChild>
                    <w:div w:id="1868372119">
                      <w:marLeft w:val="0"/>
                      <w:marRight w:val="0"/>
                      <w:marTop w:val="0"/>
                      <w:marBottom w:val="0"/>
                      <w:divBdr>
                        <w:top w:val="none" w:sz="0" w:space="0" w:color="auto"/>
                        <w:left w:val="none" w:sz="0" w:space="0" w:color="auto"/>
                        <w:bottom w:val="none" w:sz="0" w:space="0" w:color="auto"/>
                        <w:right w:val="none" w:sz="0" w:space="0" w:color="auto"/>
                      </w:divBdr>
                    </w:div>
                  </w:divsChild>
                </w:div>
                <w:div w:id="1955407144">
                  <w:marLeft w:val="0"/>
                  <w:marRight w:val="0"/>
                  <w:marTop w:val="0"/>
                  <w:marBottom w:val="0"/>
                  <w:divBdr>
                    <w:top w:val="none" w:sz="0" w:space="0" w:color="auto"/>
                    <w:left w:val="none" w:sz="0" w:space="0" w:color="auto"/>
                    <w:bottom w:val="none" w:sz="0" w:space="0" w:color="auto"/>
                    <w:right w:val="none" w:sz="0" w:space="0" w:color="auto"/>
                  </w:divBdr>
                  <w:divsChild>
                    <w:div w:id="764349404">
                      <w:marLeft w:val="0"/>
                      <w:marRight w:val="0"/>
                      <w:marTop w:val="0"/>
                      <w:marBottom w:val="0"/>
                      <w:divBdr>
                        <w:top w:val="none" w:sz="0" w:space="0" w:color="auto"/>
                        <w:left w:val="none" w:sz="0" w:space="0" w:color="auto"/>
                        <w:bottom w:val="none" w:sz="0" w:space="0" w:color="auto"/>
                        <w:right w:val="none" w:sz="0" w:space="0" w:color="auto"/>
                      </w:divBdr>
                    </w:div>
                  </w:divsChild>
                </w:div>
                <w:div w:id="1968853373">
                  <w:marLeft w:val="0"/>
                  <w:marRight w:val="0"/>
                  <w:marTop w:val="0"/>
                  <w:marBottom w:val="0"/>
                  <w:divBdr>
                    <w:top w:val="none" w:sz="0" w:space="0" w:color="auto"/>
                    <w:left w:val="none" w:sz="0" w:space="0" w:color="auto"/>
                    <w:bottom w:val="none" w:sz="0" w:space="0" w:color="auto"/>
                    <w:right w:val="none" w:sz="0" w:space="0" w:color="auto"/>
                  </w:divBdr>
                  <w:divsChild>
                    <w:div w:id="1145047357">
                      <w:marLeft w:val="0"/>
                      <w:marRight w:val="0"/>
                      <w:marTop w:val="0"/>
                      <w:marBottom w:val="0"/>
                      <w:divBdr>
                        <w:top w:val="none" w:sz="0" w:space="0" w:color="auto"/>
                        <w:left w:val="none" w:sz="0" w:space="0" w:color="auto"/>
                        <w:bottom w:val="none" w:sz="0" w:space="0" w:color="auto"/>
                        <w:right w:val="none" w:sz="0" w:space="0" w:color="auto"/>
                      </w:divBdr>
                    </w:div>
                  </w:divsChild>
                </w:div>
                <w:div w:id="2009089649">
                  <w:marLeft w:val="0"/>
                  <w:marRight w:val="0"/>
                  <w:marTop w:val="0"/>
                  <w:marBottom w:val="0"/>
                  <w:divBdr>
                    <w:top w:val="none" w:sz="0" w:space="0" w:color="auto"/>
                    <w:left w:val="none" w:sz="0" w:space="0" w:color="auto"/>
                    <w:bottom w:val="none" w:sz="0" w:space="0" w:color="auto"/>
                    <w:right w:val="none" w:sz="0" w:space="0" w:color="auto"/>
                  </w:divBdr>
                  <w:divsChild>
                    <w:div w:id="471945275">
                      <w:marLeft w:val="0"/>
                      <w:marRight w:val="0"/>
                      <w:marTop w:val="0"/>
                      <w:marBottom w:val="0"/>
                      <w:divBdr>
                        <w:top w:val="none" w:sz="0" w:space="0" w:color="auto"/>
                        <w:left w:val="none" w:sz="0" w:space="0" w:color="auto"/>
                        <w:bottom w:val="none" w:sz="0" w:space="0" w:color="auto"/>
                        <w:right w:val="none" w:sz="0" w:space="0" w:color="auto"/>
                      </w:divBdr>
                    </w:div>
                  </w:divsChild>
                </w:div>
                <w:div w:id="2040932451">
                  <w:marLeft w:val="0"/>
                  <w:marRight w:val="0"/>
                  <w:marTop w:val="0"/>
                  <w:marBottom w:val="0"/>
                  <w:divBdr>
                    <w:top w:val="none" w:sz="0" w:space="0" w:color="auto"/>
                    <w:left w:val="none" w:sz="0" w:space="0" w:color="auto"/>
                    <w:bottom w:val="none" w:sz="0" w:space="0" w:color="auto"/>
                    <w:right w:val="none" w:sz="0" w:space="0" w:color="auto"/>
                  </w:divBdr>
                  <w:divsChild>
                    <w:div w:id="917246350">
                      <w:marLeft w:val="0"/>
                      <w:marRight w:val="0"/>
                      <w:marTop w:val="0"/>
                      <w:marBottom w:val="0"/>
                      <w:divBdr>
                        <w:top w:val="none" w:sz="0" w:space="0" w:color="auto"/>
                        <w:left w:val="none" w:sz="0" w:space="0" w:color="auto"/>
                        <w:bottom w:val="none" w:sz="0" w:space="0" w:color="auto"/>
                        <w:right w:val="none" w:sz="0" w:space="0" w:color="auto"/>
                      </w:divBdr>
                    </w:div>
                  </w:divsChild>
                </w:div>
                <w:div w:id="2052261345">
                  <w:marLeft w:val="0"/>
                  <w:marRight w:val="0"/>
                  <w:marTop w:val="0"/>
                  <w:marBottom w:val="0"/>
                  <w:divBdr>
                    <w:top w:val="none" w:sz="0" w:space="0" w:color="auto"/>
                    <w:left w:val="none" w:sz="0" w:space="0" w:color="auto"/>
                    <w:bottom w:val="none" w:sz="0" w:space="0" w:color="auto"/>
                    <w:right w:val="none" w:sz="0" w:space="0" w:color="auto"/>
                  </w:divBdr>
                  <w:divsChild>
                    <w:div w:id="759448197">
                      <w:marLeft w:val="0"/>
                      <w:marRight w:val="0"/>
                      <w:marTop w:val="0"/>
                      <w:marBottom w:val="0"/>
                      <w:divBdr>
                        <w:top w:val="none" w:sz="0" w:space="0" w:color="auto"/>
                        <w:left w:val="none" w:sz="0" w:space="0" w:color="auto"/>
                        <w:bottom w:val="none" w:sz="0" w:space="0" w:color="auto"/>
                        <w:right w:val="none" w:sz="0" w:space="0" w:color="auto"/>
                      </w:divBdr>
                    </w:div>
                  </w:divsChild>
                </w:div>
                <w:div w:id="2080134789">
                  <w:marLeft w:val="0"/>
                  <w:marRight w:val="0"/>
                  <w:marTop w:val="0"/>
                  <w:marBottom w:val="0"/>
                  <w:divBdr>
                    <w:top w:val="none" w:sz="0" w:space="0" w:color="auto"/>
                    <w:left w:val="none" w:sz="0" w:space="0" w:color="auto"/>
                    <w:bottom w:val="none" w:sz="0" w:space="0" w:color="auto"/>
                    <w:right w:val="none" w:sz="0" w:space="0" w:color="auto"/>
                  </w:divBdr>
                  <w:divsChild>
                    <w:div w:id="1585651754">
                      <w:marLeft w:val="0"/>
                      <w:marRight w:val="0"/>
                      <w:marTop w:val="0"/>
                      <w:marBottom w:val="0"/>
                      <w:divBdr>
                        <w:top w:val="none" w:sz="0" w:space="0" w:color="auto"/>
                        <w:left w:val="none" w:sz="0" w:space="0" w:color="auto"/>
                        <w:bottom w:val="none" w:sz="0" w:space="0" w:color="auto"/>
                        <w:right w:val="none" w:sz="0" w:space="0" w:color="auto"/>
                      </w:divBdr>
                    </w:div>
                  </w:divsChild>
                </w:div>
                <w:div w:id="2101638180">
                  <w:marLeft w:val="0"/>
                  <w:marRight w:val="0"/>
                  <w:marTop w:val="0"/>
                  <w:marBottom w:val="0"/>
                  <w:divBdr>
                    <w:top w:val="none" w:sz="0" w:space="0" w:color="auto"/>
                    <w:left w:val="none" w:sz="0" w:space="0" w:color="auto"/>
                    <w:bottom w:val="none" w:sz="0" w:space="0" w:color="auto"/>
                    <w:right w:val="none" w:sz="0" w:space="0" w:color="auto"/>
                  </w:divBdr>
                  <w:divsChild>
                    <w:div w:id="780301697">
                      <w:marLeft w:val="0"/>
                      <w:marRight w:val="0"/>
                      <w:marTop w:val="0"/>
                      <w:marBottom w:val="0"/>
                      <w:divBdr>
                        <w:top w:val="none" w:sz="0" w:space="0" w:color="auto"/>
                        <w:left w:val="none" w:sz="0" w:space="0" w:color="auto"/>
                        <w:bottom w:val="none" w:sz="0" w:space="0" w:color="auto"/>
                        <w:right w:val="none" w:sz="0" w:space="0" w:color="auto"/>
                      </w:divBdr>
                    </w:div>
                  </w:divsChild>
                </w:div>
                <w:div w:id="2123307298">
                  <w:marLeft w:val="0"/>
                  <w:marRight w:val="0"/>
                  <w:marTop w:val="0"/>
                  <w:marBottom w:val="0"/>
                  <w:divBdr>
                    <w:top w:val="none" w:sz="0" w:space="0" w:color="auto"/>
                    <w:left w:val="none" w:sz="0" w:space="0" w:color="auto"/>
                    <w:bottom w:val="none" w:sz="0" w:space="0" w:color="auto"/>
                    <w:right w:val="none" w:sz="0" w:space="0" w:color="auto"/>
                  </w:divBdr>
                  <w:divsChild>
                    <w:div w:id="58479872">
                      <w:marLeft w:val="0"/>
                      <w:marRight w:val="0"/>
                      <w:marTop w:val="0"/>
                      <w:marBottom w:val="0"/>
                      <w:divBdr>
                        <w:top w:val="none" w:sz="0" w:space="0" w:color="auto"/>
                        <w:left w:val="none" w:sz="0" w:space="0" w:color="auto"/>
                        <w:bottom w:val="none" w:sz="0" w:space="0" w:color="auto"/>
                        <w:right w:val="none" w:sz="0" w:space="0" w:color="auto"/>
                      </w:divBdr>
                    </w:div>
                  </w:divsChild>
                </w:div>
                <w:div w:id="2124759981">
                  <w:marLeft w:val="0"/>
                  <w:marRight w:val="0"/>
                  <w:marTop w:val="0"/>
                  <w:marBottom w:val="0"/>
                  <w:divBdr>
                    <w:top w:val="none" w:sz="0" w:space="0" w:color="auto"/>
                    <w:left w:val="none" w:sz="0" w:space="0" w:color="auto"/>
                    <w:bottom w:val="none" w:sz="0" w:space="0" w:color="auto"/>
                    <w:right w:val="none" w:sz="0" w:space="0" w:color="auto"/>
                  </w:divBdr>
                  <w:divsChild>
                    <w:div w:id="352734073">
                      <w:marLeft w:val="0"/>
                      <w:marRight w:val="0"/>
                      <w:marTop w:val="0"/>
                      <w:marBottom w:val="0"/>
                      <w:divBdr>
                        <w:top w:val="none" w:sz="0" w:space="0" w:color="auto"/>
                        <w:left w:val="none" w:sz="0" w:space="0" w:color="auto"/>
                        <w:bottom w:val="none" w:sz="0" w:space="0" w:color="auto"/>
                        <w:right w:val="none" w:sz="0" w:space="0" w:color="auto"/>
                      </w:divBdr>
                    </w:div>
                  </w:divsChild>
                </w:div>
                <w:div w:id="2126852243">
                  <w:marLeft w:val="0"/>
                  <w:marRight w:val="0"/>
                  <w:marTop w:val="0"/>
                  <w:marBottom w:val="0"/>
                  <w:divBdr>
                    <w:top w:val="none" w:sz="0" w:space="0" w:color="auto"/>
                    <w:left w:val="none" w:sz="0" w:space="0" w:color="auto"/>
                    <w:bottom w:val="none" w:sz="0" w:space="0" w:color="auto"/>
                    <w:right w:val="none" w:sz="0" w:space="0" w:color="auto"/>
                  </w:divBdr>
                  <w:divsChild>
                    <w:div w:id="415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73217">
          <w:marLeft w:val="0"/>
          <w:marRight w:val="0"/>
          <w:marTop w:val="0"/>
          <w:marBottom w:val="0"/>
          <w:divBdr>
            <w:top w:val="none" w:sz="0" w:space="0" w:color="auto"/>
            <w:left w:val="none" w:sz="0" w:space="0" w:color="auto"/>
            <w:bottom w:val="none" w:sz="0" w:space="0" w:color="auto"/>
            <w:right w:val="none" w:sz="0" w:space="0" w:color="auto"/>
          </w:divBdr>
        </w:div>
        <w:div w:id="1909682878">
          <w:marLeft w:val="0"/>
          <w:marRight w:val="0"/>
          <w:marTop w:val="0"/>
          <w:marBottom w:val="0"/>
          <w:divBdr>
            <w:top w:val="none" w:sz="0" w:space="0" w:color="auto"/>
            <w:left w:val="none" w:sz="0" w:space="0" w:color="auto"/>
            <w:bottom w:val="none" w:sz="0" w:space="0" w:color="auto"/>
            <w:right w:val="none" w:sz="0" w:space="0" w:color="auto"/>
          </w:divBdr>
        </w:div>
        <w:div w:id="1995180156">
          <w:marLeft w:val="0"/>
          <w:marRight w:val="0"/>
          <w:marTop w:val="0"/>
          <w:marBottom w:val="0"/>
          <w:divBdr>
            <w:top w:val="none" w:sz="0" w:space="0" w:color="auto"/>
            <w:left w:val="none" w:sz="0" w:space="0" w:color="auto"/>
            <w:bottom w:val="none" w:sz="0" w:space="0" w:color="auto"/>
            <w:right w:val="none" w:sz="0" w:space="0" w:color="auto"/>
          </w:divBdr>
        </w:div>
      </w:divsChild>
    </w:div>
    <w:div w:id="1320423270">
      <w:bodyDiv w:val="1"/>
      <w:marLeft w:val="0"/>
      <w:marRight w:val="0"/>
      <w:marTop w:val="0"/>
      <w:marBottom w:val="0"/>
      <w:divBdr>
        <w:top w:val="none" w:sz="0" w:space="0" w:color="auto"/>
        <w:left w:val="none" w:sz="0" w:space="0" w:color="auto"/>
        <w:bottom w:val="none" w:sz="0" w:space="0" w:color="auto"/>
        <w:right w:val="none" w:sz="0" w:space="0" w:color="auto"/>
      </w:divBdr>
    </w:div>
    <w:div w:id="1329139193">
      <w:bodyDiv w:val="1"/>
      <w:marLeft w:val="0"/>
      <w:marRight w:val="0"/>
      <w:marTop w:val="0"/>
      <w:marBottom w:val="0"/>
      <w:divBdr>
        <w:top w:val="none" w:sz="0" w:space="0" w:color="auto"/>
        <w:left w:val="none" w:sz="0" w:space="0" w:color="auto"/>
        <w:bottom w:val="none" w:sz="0" w:space="0" w:color="auto"/>
        <w:right w:val="none" w:sz="0" w:space="0" w:color="auto"/>
      </w:divBdr>
    </w:div>
    <w:div w:id="1331181150">
      <w:bodyDiv w:val="1"/>
      <w:marLeft w:val="0"/>
      <w:marRight w:val="0"/>
      <w:marTop w:val="0"/>
      <w:marBottom w:val="0"/>
      <w:divBdr>
        <w:top w:val="none" w:sz="0" w:space="0" w:color="auto"/>
        <w:left w:val="none" w:sz="0" w:space="0" w:color="auto"/>
        <w:bottom w:val="none" w:sz="0" w:space="0" w:color="auto"/>
        <w:right w:val="none" w:sz="0" w:space="0" w:color="auto"/>
      </w:divBdr>
      <w:divsChild>
        <w:div w:id="341128349">
          <w:marLeft w:val="0"/>
          <w:marRight w:val="0"/>
          <w:marTop w:val="0"/>
          <w:marBottom w:val="0"/>
          <w:divBdr>
            <w:top w:val="none" w:sz="0" w:space="0" w:color="auto"/>
            <w:left w:val="none" w:sz="0" w:space="0" w:color="auto"/>
            <w:bottom w:val="none" w:sz="0" w:space="0" w:color="auto"/>
            <w:right w:val="none" w:sz="0" w:space="0" w:color="auto"/>
          </w:divBdr>
        </w:div>
        <w:div w:id="425082070">
          <w:marLeft w:val="0"/>
          <w:marRight w:val="0"/>
          <w:marTop w:val="0"/>
          <w:marBottom w:val="0"/>
          <w:divBdr>
            <w:top w:val="none" w:sz="0" w:space="0" w:color="auto"/>
            <w:left w:val="none" w:sz="0" w:space="0" w:color="auto"/>
            <w:bottom w:val="none" w:sz="0" w:space="0" w:color="auto"/>
            <w:right w:val="none" w:sz="0" w:space="0" w:color="auto"/>
          </w:divBdr>
        </w:div>
        <w:div w:id="510725704">
          <w:marLeft w:val="0"/>
          <w:marRight w:val="0"/>
          <w:marTop w:val="0"/>
          <w:marBottom w:val="0"/>
          <w:divBdr>
            <w:top w:val="none" w:sz="0" w:space="0" w:color="auto"/>
            <w:left w:val="none" w:sz="0" w:space="0" w:color="auto"/>
            <w:bottom w:val="none" w:sz="0" w:space="0" w:color="auto"/>
            <w:right w:val="none" w:sz="0" w:space="0" w:color="auto"/>
          </w:divBdr>
        </w:div>
        <w:div w:id="1434745550">
          <w:marLeft w:val="0"/>
          <w:marRight w:val="0"/>
          <w:marTop w:val="0"/>
          <w:marBottom w:val="0"/>
          <w:divBdr>
            <w:top w:val="none" w:sz="0" w:space="0" w:color="auto"/>
            <w:left w:val="none" w:sz="0" w:space="0" w:color="auto"/>
            <w:bottom w:val="none" w:sz="0" w:space="0" w:color="auto"/>
            <w:right w:val="none" w:sz="0" w:space="0" w:color="auto"/>
          </w:divBdr>
        </w:div>
        <w:div w:id="1627933891">
          <w:marLeft w:val="0"/>
          <w:marRight w:val="0"/>
          <w:marTop w:val="0"/>
          <w:marBottom w:val="0"/>
          <w:divBdr>
            <w:top w:val="none" w:sz="0" w:space="0" w:color="auto"/>
            <w:left w:val="none" w:sz="0" w:space="0" w:color="auto"/>
            <w:bottom w:val="none" w:sz="0" w:space="0" w:color="auto"/>
            <w:right w:val="none" w:sz="0" w:space="0" w:color="auto"/>
          </w:divBdr>
        </w:div>
        <w:div w:id="1970864869">
          <w:marLeft w:val="0"/>
          <w:marRight w:val="0"/>
          <w:marTop w:val="0"/>
          <w:marBottom w:val="0"/>
          <w:divBdr>
            <w:top w:val="none" w:sz="0" w:space="0" w:color="auto"/>
            <w:left w:val="none" w:sz="0" w:space="0" w:color="auto"/>
            <w:bottom w:val="none" w:sz="0" w:space="0" w:color="auto"/>
            <w:right w:val="none" w:sz="0" w:space="0" w:color="auto"/>
          </w:divBdr>
        </w:div>
        <w:div w:id="1987775526">
          <w:marLeft w:val="0"/>
          <w:marRight w:val="0"/>
          <w:marTop w:val="0"/>
          <w:marBottom w:val="0"/>
          <w:divBdr>
            <w:top w:val="none" w:sz="0" w:space="0" w:color="auto"/>
            <w:left w:val="none" w:sz="0" w:space="0" w:color="auto"/>
            <w:bottom w:val="none" w:sz="0" w:space="0" w:color="auto"/>
            <w:right w:val="none" w:sz="0" w:space="0" w:color="auto"/>
          </w:divBdr>
        </w:div>
        <w:div w:id="2105832668">
          <w:marLeft w:val="0"/>
          <w:marRight w:val="0"/>
          <w:marTop w:val="0"/>
          <w:marBottom w:val="0"/>
          <w:divBdr>
            <w:top w:val="none" w:sz="0" w:space="0" w:color="auto"/>
            <w:left w:val="none" w:sz="0" w:space="0" w:color="auto"/>
            <w:bottom w:val="none" w:sz="0" w:space="0" w:color="auto"/>
            <w:right w:val="none" w:sz="0" w:space="0" w:color="auto"/>
          </w:divBdr>
        </w:div>
      </w:divsChild>
    </w:div>
    <w:div w:id="1342585473">
      <w:bodyDiv w:val="1"/>
      <w:marLeft w:val="0"/>
      <w:marRight w:val="0"/>
      <w:marTop w:val="0"/>
      <w:marBottom w:val="0"/>
      <w:divBdr>
        <w:top w:val="none" w:sz="0" w:space="0" w:color="auto"/>
        <w:left w:val="none" w:sz="0" w:space="0" w:color="auto"/>
        <w:bottom w:val="none" w:sz="0" w:space="0" w:color="auto"/>
        <w:right w:val="none" w:sz="0" w:space="0" w:color="auto"/>
      </w:divBdr>
    </w:div>
    <w:div w:id="1348674774">
      <w:bodyDiv w:val="1"/>
      <w:marLeft w:val="0"/>
      <w:marRight w:val="0"/>
      <w:marTop w:val="0"/>
      <w:marBottom w:val="0"/>
      <w:divBdr>
        <w:top w:val="none" w:sz="0" w:space="0" w:color="auto"/>
        <w:left w:val="none" w:sz="0" w:space="0" w:color="auto"/>
        <w:bottom w:val="none" w:sz="0" w:space="0" w:color="auto"/>
        <w:right w:val="none" w:sz="0" w:space="0" w:color="auto"/>
      </w:divBdr>
    </w:div>
    <w:div w:id="1388258487">
      <w:bodyDiv w:val="1"/>
      <w:marLeft w:val="0"/>
      <w:marRight w:val="0"/>
      <w:marTop w:val="0"/>
      <w:marBottom w:val="0"/>
      <w:divBdr>
        <w:top w:val="none" w:sz="0" w:space="0" w:color="auto"/>
        <w:left w:val="none" w:sz="0" w:space="0" w:color="auto"/>
        <w:bottom w:val="none" w:sz="0" w:space="0" w:color="auto"/>
        <w:right w:val="none" w:sz="0" w:space="0" w:color="auto"/>
      </w:divBdr>
      <w:divsChild>
        <w:div w:id="186019363">
          <w:marLeft w:val="0"/>
          <w:marRight w:val="0"/>
          <w:marTop w:val="0"/>
          <w:marBottom w:val="0"/>
          <w:divBdr>
            <w:top w:val="none" w:sz="0" w:space="0" w:color="auto"/>
            <w:left w:val="none" w:sz="0" w:space="0" w:color="auto"/>
            <w:bottom w:val="none" w:sz="0" w:space="0" w:color="auto"/>
            <w:right w:val="none" w:sz="0" w:space="0" w:color="auto"/>
          </w:divBdr>
        </w:div>
        <w:div w:id="353963980">
          <w:marLeft w:val="0"/>
          <w:marRight w:val="0"/>
          <w:marTop w:val="0"/>
          <w:marBottom w:val="0"/>
          <w:divBdr>
            <w:top w:val="none" w:sz="0" w:space="0" w:color="auto"/>
            <w:left w:val="none" w:sz="0" w:space="0" w:color="auto"/>
            <w:bottom w:val="none" w:sz="0" w:space="0" w:color="auto"/>
            <w:right w:val="none" w:sz="0" w:space="0" w:color="auto"/>
          </w:divBdr>
        </w:div>
        <w:div w:id="566964193">
          <w:marLeft w:val="0"/>
          <w:marRight w:val="0"/>
          <w:marTop w:val="0"/>
          <w:marBottom w:val="0"/>
          <w:divBdr>
            <w:top w:val="none" w:sz="0" w:space="0" w:color="auto"/>
            <w:left w:val="none" w:sz="0" w:space="0" w:color="auto"/>
            <w:bottom w:val="none" w:sz="0" w:space="0" w:color="auto"/>
            <w:right w:val="none" w:sz="0" w:space="0" w:color="auto"/>
          </w:divBdr>
        </w:div>
        <w:div w:id="1330324469">
          <w:marLeft w:val="0"/>
          <w:marRight w:val="0"/>
          <w:marTop w:val="0"/>
          <w:marBottom w:val="0"/>
          <w:divBdr>
            <w:top w:val="none" w:sz="0" w:space="0" w:color="auto"/>
            <w:left w:val="none" w:sz="0" w:space="0" w:color="auto"/>
            <w:bottom w:val="none" w:sz="0" w:space="0" w:color="auto"/>
            <w:right w:val="none" w:sz="0" w:space="0" w:color="auto"/>
          </w:divBdr>
        </w:div>
        <w:div w:id="1984239622">
          <w:marLeft w:val="0"/>
          <w:marRight w:val="0"/>
          <w:marTop w:val="0"/>
          <w:marBottom w:val="0"/>
          <w:divBdr>
            <w:top w:val="none" w:sz="0" w:space="0" w:color="auto"/>
            <w:left w:val="none" w:sz="0" w:space="0" w:color="auto"/>
            <w:bottom w:val="none" w:sz="0" w:space="0" w:color="auto"/>
            <w:right w:val="none" w:sz="0" w:space="0" w:color="auto"/>
          </w:divBdr>
        </w:div>
        <w:div w:id="2004889517">
          <w:marLeft w:val="0"/>
          <w:marRight w:val="0"/>
          <w:marTop w:val="0"/>
          <w:marBottom w:val="0"/>
          <w:divBdr>
            <w:top w:val="none" w:sz="0" w:space="0" w:color="auto"/>
            <w:left w:val="none" w:sz="0" w:space="0" w:color="auto"/>
            <w:bottom w:val="none" w:sz="0" w:space="0" w:color="auto"/>
            <w:right w:val="none" w:sz="0" w:space="0" w:color="auto"/>
          </w:divBdr>
          <w:divsChild>
            <w:div w:id="246422947">
              <w:marLeft w:val="-75"/>
              <w:marRight w:val="0"/>
              <w:marTop w:val="30"/>
              <w:marBottom w:val="30"/>
              <w:divBdr>
                <w:top w:val="none" w:sz="0" w:space="0" w:color="auto"/>
                <w:left w:val="none" w:sz="0" w:space="0" w:color="auto"/>
                <w:bottom w:val="none" w:sz="0" w:space="0" w:color="auto"/>
                <w:right w:val="none" w:sz="0" w:space="0" w:color="auto"/>
              </w:divBdr>
              <w:divsChild>
                <w:div w:id="38093628">
                  <w:marLeft w:val="0"/>
                  <w:marRight w:val="0"/>
                  <w:marTop w:val="0"/>
                  <w:marBottom w:val="0"/>
                  <w:divBdr>
                    <w:top w:val="none" w:sz="0" w:space="0" w:color="auto"/>
                    <w:left w:val="none" w:sz="0" w:space="0" w:color="auto"/>
                    <w:bottom w:val="none" w:sz="0" w:space="0" w:color="auto"/>
                    <w:right w:val="none" w:sz="0" w:space="0" w:color="auto"/>
                  </w:divBdr>
                  <w:divsChild>
                    <w:div w:id="199516103">
                      <w:marLeft w:val="0"/>
                      <w:marRight w:val="0"/>
                      <w:marTop w:val="0"/>
                      <w:marBottom w:val="0"/>
                      <w:divBdr>
                        <w:top w:val="none" w:sz="0" w:space="0" w:color="auto"/>
                        <w:left w:val="none" w:sz="0" w:space="0" w:color="auto"/>
                        <w:bottom w:val="none" w:sz="0" w:space="0" w:color="auto"/>
                        <w:right w:val="none" w:sz="0" w:space="0" w:color="auto"/>
                      </w:divBdr>
                    </w:div>
                  </w:divsChild>
                </w:div>
                <w:div w:id="77337642">
                  <w:marLeft w:val="0"/>
                  <w:marRight w:val="0"/>
                  <w:marTop w:val="0"/>
                  <w:marBottom w:val="0"/>
                  <w:divBdr>
                    <w:top w:val="none" w:sz="0" w:space="0" w:color="auto"/>
                    <w:left w:val="none" w:sz="0" w:space="0" w:color="auto"/>
                    <w:bottom w:val="none" w:sz="0" w:space="0" w:color="auto"/>
                    <w:right w:val="none" w:sz="0" w:space="0" w:color="auto"/>
                  </w:divBdr>
                  <w:divsChild>
                    <w:div w:id="1106774337">
                      <w:marLeft w:val="0"/>
                      <w:marRight w:val="0"/>
                      <w:marTop w:val="0"/>
                      <w:marBottom w:val="0"/>
                      <w:divBdr>
                        <w:top w:val="none" w:sz="0" w:space="0" w:color="auto"/>
                        <w:left w:val="none" w:sz="0" w:space="0" w:color="auto"/>
                        <w:bottom w:val="none" w:sz="0" w:space="0" w:color="auto"/>
                        <w:right w:val="none" w:sz="0" w:space="0" w:color="auto"/>
                      </w:divBdr>
                    </w:div>
                  </w:divsChild>
                </w:div>
                <w:div w:id="296958217">
                  <w:marLeft w:val="0"/>
                  <w:marRight w:val="0"/>
                  <w:marTop w:val="0"/>
                  <w:marBottom w:val="0"/>
                  <w:divBdr>
                    <w:top w:val="none" w:sz="0" w:space="0" w:color="auto"/>
                    <w:left w:val="none" w:sz="0" w:space="0" w:color="auto"/>
                    <w:bottom w:val="none" w:sz="0" w:space="0" w:color="auto"/>
                    <w:right w:val="none" w:sz="0" w:space="0" w:color="auto"/>
                  </w:divBdr>
                  <w:divsChild>
                    <w:div w:id="911819561">
                      <w:marLeft w:val="0"/>
                      <w:marRight w:val="0"/>
                      <w:marTop w:val="0"/>
                      <w:marBottom w:val="0"/>
                      <w:divBdr>
                        <w:top w:val="none" w:sz="0" w:space="0" w:color="auto"/>
                        <w:left w:val="none" w:sz="0" w:space="0" w:color="auto"/>
                        <w:bottom w:val="none" w:sz="0" w:space="0" w:color="auto"/>
                        <w:right w:val="none" w:sz="0" w:space="0" w:color="auto"/>
                      </w:divBdr>
                    </w:div>
                  </w:divsChild>
                </w:div>
                <w:div w:id="351884049">
                  <w:marLeft w:val="0"/>
                  <w:marRight w:val="0"/>
                  <w:marTop w:val="0"/>
                  <w:marBottom w:val="0"/>
                  <w:divBdr>
                    <w:top w:val="none" w:sz="0" w:space="0" w:color="auto"/>
                    <w:left w:val="none" w:sz="0" w:space="0" w:color="auto"/>
                    <w:bottom w:val="none" w:sz="0" w:space="0" w:color="auto"/>
                    <w:right w:val="none" w:sz="0" w:space="0" w:color="auto"/>
                  </w:divBdr>
                  <w:divsChild>
                    <w:div w:id="707989619">
                      <w:marLeft w:val="0"/>
                      <w:marRight w:val="0"/>
                      <w:marTop w:val="0"/>
                      <w:marBottom w:val="0"/>
                      <w:divBdr>
                        <w:top w:val="none" w:sz="0" w:space="0" w:color="auto"/>
                        <w:left w:val="none" w:sz="0" w:space="0" w:color="auto"/>
                        <w:bottom w:val="none" w:sz="0" w:space="0" w:color="auto"/>
                        <w:right w:val="none" w:sz="0" w:space="0" w:color="auto"/>
                      </w:divBdr>
                    </w:div>
                  </w:divsChild>
                </w:div>
                <w:div w:id="393629388">
                  <w:marLeft w:val="0"/>
                  <w:marRight w:val="0"/>
                  <w:marTop w:val="0"/>
                  <w:marBottom w:val="0"/>
                  <w:divBdr>
                    <w:top w:val="none" w:sz="0" w:space="0" w:color="auto"/>
                    <w:left w:val="none" w:sz="0" w:space="0" w:color="auto"/>
                    <w:bottom w:val="none" w:sz="0" w:space="0" w:color="auto"/>
                    <w:right w:val="none" w:sz="0" w:space="0" w:color="auto"/>
                  </w:divBdr>
                  <w:divsChild>
                    <w:div w:id="2038237375">
                      <w:marLeft w:val="0"/>
                      <w:marRight w:val="0"/>
                      <w:marTop w:val="0"/>
                      <w:marBottom w:val="0"/>
                      <w:divBdr>
                        <w:top w:val="none" w:sz="0" w:space="0" w:color="auto"/>
                        <w:left w:val="none" w:sz="0" w:space="0" w:color="auto"/>
                        <w:bottom w:val="none" w:sz="0" w:space="0" w:color="auto"/>
                        <w:right w:val="none" w:sz="0" w:space="0" w:color="auto"/>
                      </w:divBdr>
                    </w:div>
                  </w:divsChild>
                </w:div>
                <w:div w:id="408577323">
                  <w:marLeft w:val="0"/>
                  <w:marRight w:val="0"/>
                  <w:marTop w:val="0"/>
                  <w:marBottom w:val="0"/>
                  <w:divBdr>
                    <w:top w:val="none" w:sz="0" w:space="0" w:color="auto"/>
                    <w:left w:val="none" w:sz="0" w:space="0" w:color="auto"/>
                    <w:bottom w:val="none" w:sz="0" w:space="0" w:color="auto"/>
                    <w:right w:val="none" w:sz="0" w:space="0" w:color="auto"/>
                  </w:divBdr>
                  <w:divsChild>
                    <w:div w:id="1307852608">
                      <w:marLeft w:val="0"/>
                      <w:marRight w:val="0"/>
                      <w:marTop w:val="0"/>
                      <w:marBottom w:val="0"/>
                      <w:divBdr>
                        <w:top w:val="none" w:sz="0" w:space="0" w:color="auto"/>
                        <w:left w:val="none" w:sz="0" w:space="0" w:color="auto"/>
                        <w:bottom w:val="none" w:sz="0" w:space="0" w:color="auto"/>
                        <w:right w:val="none" w:sz="0" w:space="0" w:color="auto"/>
                      </w:divBdr>
                    </w:div>
                  </w:divsChild>
                </w:div>
                <w:div w:id="421608443">
                  <w:marLeft w:val="0"/>
                  <w:marRight w:val="0"/>
                  <w:marTop w:val="0"/>
                  <w:marBottom w:val="0"/>
                  <w:divBdr>
                    <w:top w:val="none" w:sz="0" w:space="0" w:color="auto"/>
                    <w:left w:val="none" w:sz="0" w:space="0" w:color="auto"/>
                    <w:bottom w:val="none" w:sz="0" w:space="0" w:color="auto"/>
                    <w:right w:val="none" w:sz="0" w:space="0" w:color="auto"/>
                  </w:divBdr>
                  <w:divsChild>
                    <w:div w:id="565651256">
                      <w:marLeft w:val="0"/>
                      <w:marRight w:val="0"/>
                      <w:marTop w:val="0"/>
                      <w:marBottom w:val="0"/>
                      <w:divBdr>
                        <w:top w:val="none" w:sz="0" w:space="0" w:color="auto"/>
                        <w:left w:val="none" w:sz="0" w:space="0" w:color="auto"/>
                        <w:bottom w:val="none" w:sz="0" w:space="0" w:color="auto"/>
                        <w:right w:val="none" w:sz="0" w:space="0" w:color="auto"/>
                      </w:divBdr>
                    </w:div>
                  </w:divsChild>
                </w:div>
                <w:div w:id="466170137">
                  <w:marLeft w:val="0"/>
                  <w:marRight w:val="0"/>
                  <w:marTop w:val="0"/>
                  <w:marBottom w:val="0"/>
                  <w:divBdr>
                    <w:top w:val="none" w:sz="0" w:space="0" w:color="auto"/>
                    <w:left w:val="none" w:sz="0" w:space="0" w:color="auto"/>
                    <w:bottom w:val="none" w:sz="0" w:space="0" w:color="auto"/>
                    <w:right w:val="none" w:sz="0" w:space="0" w:color="auto"/>
                  </w:divBdr>
                  <w:divsChild>
                    <w:div w:id="392772826">
                      <w:marLeft w:val="0"/>
                      <w:marRight w:val="0"/>
                      <w:marTop w:val="0"/>
                      <w:marBottom w:val="0"/>
                      <w:divBdr>
                        <w:top w:val="none" w:sz="0" w:space="0" w:color="auto"/>
                        <w:left w:val="none" w:sz="0" w:space="0" w:color="auto"/>
                        <w:bottom w:val="none" w:sz="0" w:space="0" w:color="auto"/>
                        <w:right w:val="none" w:sz="0" w:space="0" w:color="auto"/>
                      </w:divBdr>
                    </w:div>
                  </w:divsChild>
                </w:div>
                <w:div w:id="485585343">
                  <w:marLeft w:val="0"/>
                  <w:marRight w:val="0"/>
                  <w:marTop w:val="0"/>
                  <w:marBottom w:val="0"/>
                  <w:divBdr>
                    <w:top w:val="none" w:sz="0" w:space="0" w:color="auto"/>
                    <w:left w:val="none" w:sz="0" w:space="0" w:color="auto"/>
                    <w:bottom w:val="none" w:sz="0" w:space="0" w:color="auto"/>
                    <w:right w:val="none" w:sz="0" w:space="0" w:color="auto"/>
                  </w:divBdr>
                  <w:divsChild>
                    <w:div w:id="517812695">
                      <w:marLeft w:val="0"/>
                      <w:marRight w:val="0"/>
                      <w:marTop w:val="0"/>
                      <w:marBottom w:val="0"/>
                      <w:divBdr>
                        <w:top w:val="none" w:sz="0" w:space="0" w:color="auto"/>
                        <w:left w:val="none" w:sz="0" w:space="0" w:color="auto"/>
                        <w:bottom w:val="none" w:sz="0" w:space="0" w:color="auto"/>
                        <w:right w:val="none" w:sz="0" w:space="0" w:color="auto"/>
                      </w:divBdr>
                    </w:div>
                  </w:divsChild>
                </w:div>
                <w:div w:id="521476845">
                  <w:marLeft w:val="0"/>
                  <w:marRight w:val="0"/>
                  <w:marTop w:val="0"/>
                  <w:marBottom w:val="0"/>
                  <w:divBdr>
                    <w:top w:val="none" w:sz="0" w:space="0" w:color="auto"/>
                    <w:left w:val="none" w:sz="0" w:space="0" w:color="auto"/>
                    <w:bottom w:val="none" w:sz="0" w:space="0" w:color="auto"/>
                    <w:right w:val="none" w:sz="0" w:space="0" w:color="auto"/>
                  </w:divBdr>
                  <w:divsChild>
                    <w:div w:id="630017744">
                      <w:marLeft w:val="0"/>
                      <w:marRight w:val="0"/>
                      <w:marTop w:val="0"/>
                      <w:marBottom w:val="0"/>
                      <w:divBdr>
                        <w:top w:val="none" w:sz="0" w:space="0" w:color="auto"/>
                        <w:left w:val="none" w:sz="0" w:space="0" w:color="auto"/>
                        <w:bottom w:val="none" w:sz="0" w:space="0" w:color="auto"/>
                        <w:right w:val="none" w:sz="0" w:space="0" w:color="auto"/>
                      </w:divBdr>
                    </w:div>
                  </w:divsChild>
                </w:div>
                <w:div w:id="579022652">
                  <w:marLeft w:val="0"/>
                  <w:marRight w:val="0"/>
                  <w:marTop w:val="0"/>
                  <w:marBottom w:val="0"/>
                  <w:divBdr>
                    <w:top w:val="none" w:sz="0" w:space="0" w:color="auto"/>
                    <w:left w:val="none" w:sz="0" w:space="0" w:color="auto"/>
                    <w:bottom w:val="none" w:sz="0" w:space="0" w:color="auto"/>
                    <w:right w:val="none" w:sz="0" w:space="0" w:color="auto"/>
                  </w:divBdr>
                  <w:divsChild>
                    <w:div w:id="421687959">
                      <w:marLeft w:val="0"/>
                      <w:marRight w:val="0"/>
                      <w:marTop w:val="0"/>
                      <w:marBottom w:val="0"/>
                      <w:divBdr>
                        <w:top w:val="none" w:sz="0" w:space="0" w:color="auto"/>
                        <w:left w:val="none" w:sz="0" w:space="0" w:color="auto"/>
                        <w:bottom w:val="none" w:sz="0" w:space="0" w:color="auto"/>
                        <w:right w:val="none" w:sz="0" w:space="0" w:color="auto"/>
                      </w:divBdr>
                    </w:div>
                  </w:divsChild>
                </w:div>
                <w:div w:id="581528518">
                  <w:marLeft w:val="0"/>
                  <w:marRight w:val="0"/>
                  <w:marTop w:val="0"/>
                  <w:marBottom w:val="0"/>
                  <w:divBdr>
                    <w:top w:val="none" w:sz="0" w:space="0" w:color="auto"/>
                    <w:left w:val="none" w:sz="0" w:space="0" w:color="auto"/>
                    <w:bottom w:val="none" w:sz="0" w:space="0" w:color="auto"/>
                    <w:right w:val="none" w:sz="0" w:space="0" w:color="auto"/>
                  </w:divBdr>
                  <w:divsChild>
                    <w:div w:id="1102382184">
                      <w:marLeft w:val="0"/>
                      <w:marRight w:val="0"/>
                      <w:marTop w:val="0"/>
                      <w:marBottom w:val="0"/>
                      <w:divBdr>
                        <w:top w:val="none" w:sz="0" w:space="0" w:color="auto"/>
                        <w:left w:val="none" w:sz="0" w:space="0" w:color="auto"/>
                        <w:bottom w:val="none" w:sz="0" w:space="0" w:color="auto"/>
                        <w:right w:val="none" w:sz="0" w:space="0" w:color="auto"/>
                      </w:divBdr>
                    </w:div>
                  </w:divsChild>
                </w:div>
                <w:div w:id="661664174">
                  <w:marLeft w:val="0"/>
                  <w:marRight w:val="0"/>
                  <w:marTop w:val="0"/>
                  <w:marBottom w:val="0"/>
                  <w:divBdr>
                    <w:top w:val="none" w:sz="0" w:space="0" w:color="auto"/>
                    <w:left w:val="none" w:sz="0" w:space="0" w:color="auto"/>
                    <w:bottom w:val="none" w:sz="0" w:space="0" w:color="auto"/>
                    <w:right w:val="none" w:sz="0" w:space="0" w:color="auto"/>
                  </w:divBdr>
                  <w:divsChild>
                    <w:div w:id="1705666368">
                      <w:marLeft w:val="0"/>
                      <w:marRight w:val="0"/>
                      <w:marTop w:val="0"/>
                      <w:marBottom w:val="0"/>
                      <w:divBdr>
                        <w:top w:val="none" w:sz="0" w:space="0" w:color="auto"/>
                        <w:left w:val="none" w:sz="0" w:space="0" w:color="auto"/>
                        <w:bottom w:val="none" w:sz="0" w:space="0" w:color="auto"/>
                        <w:right w:val="none" w:sz="0" w:space="0" w:color="auto"/>
                      </w:divBdr>
                    </w:div>
                  </w:divsChild>
                </w:div>
                <w:div w:id="663552933">
                  <w:marLeft w:val="0"/>
                  <w:marRight w:val="0"/>
                  <w:marTop w:val="0"/>
                  <w:marBottom w:val="0"/>
                  <w:divBdr>
                    <w:top w:val="none" w:sz="0" w:space="0" w:color="auto"/>
                    <w:left w:val="none" w:sz="0" w:space="0" w:color="auto"/>
                    <w:bottom w:val="none" w:sz="0" w:space="0" w:color="auto"/>
                    <w:right w:val="none" w:sz="0" w:space="0" w:color="auto"/>
                  </w:divBdr>
                  <w:divsChild>
                    <w:div w:id="787700061">
                      <w:marLeft w:val="0"/>
                      <w:marRight w:val="0"/>
                      <w:marTop w:val="0"/>
                      <w:marBottom w:val="0"/>
                      <w:divBdr>
                        <w:top w:val="none" w:sz="0" w:space="0" w:color="auto"/>
                        <w:left w:val="none" w:sz="0" w:space="0" w:color="auto"/>
                        <w:bottom w:val="none" w:sz="0" w:space="0" w:color="auto"/>
                        <w:right w:val="none" w:sz="0" w:space="0" w:color="auto"/>
                      </w:divBdr>
                    </w:div>
                    <w:div w:id="1432704159">
                      <w:marLeft w:val="0"/>
                      <w:marRight w:val="0"/>
                      <w:marTop w:val="0"/>
                      <w:marBottom w:val="0"/>
                      <w:divBdr>
                        <w:top w:val="none" w:sz="0" w:space="0" w:color="auto"/>
                        <w:left w:val="none" w:sz="0" w:space="0" w:color="auto"/>
                        <w:bottom w:val="none" w:sz="0" w:space="0" w:color="auto"/>
                        <w:right w:val="none" w:sz="0" w:space="0" w:color="auto"/>
                      </w:divBdr>
                    </w:div>
                    <w:div w:id="1599098458">
                      <w:marLeft w:val="0"/>
                      <w:marRight w:val="0"/>
                      <w:marTop w:val="0"/>
                      <w:marBottom w:val="0"/>
                      <w:divBdr>
                        <w:top w:val="none" w:sz="0" w:space="0" w:color="auto"/>
                        <w:left w:val="none" w:sz="0" w:space="0" w:color="auto"/>
                        <w:bottom w:val="none" w:sz="0" w:space="0" w:color="auto"/>
                        <w:right w:val="none" w:sz="0" w:space="0" w:color="auto"/>
                      </w:divBdr>
                    </w:div>
                    <w:div w:id="1600022810">
                      <w:marLeft w:val="0"/>
                      <w:marRight w:val="0"/>
                      <w:marTop w:val="0"/>
                      <w:marBottom w:val="0"/>
                      <w:divBdr>
                        <w:top w:val="none" w:sz="0" w:space="0" w:color="auto"/>
                        <w:left w:val="none" w:sz="0" w:space="0" w:color="auto"/>
                        <w:bottom w:val="none" w:sz="0" w:space="0" w:color="auto"/>
                        <w:right w:val="none" w:sz="0" w:space="0" w:color="auto"/>
                      </w:divBdr>
                    </w:div>
                    <w:div w:id="1772582574">
                      <w:marLeft w:val="0"/>
                      <w:marRight w:val="0"/>
                      <w:marTop w:val="0"/>
                      <w:marBottom w:val="0"/>
                      <w:divBdr>
                        <w:top w:val="none" w:sz="0" w:space="0" w:color="auto"/>
                        <w:left w:val="none" w:sz="0" w:space="0" w:color="auto"/>
                        <w:bottom w:val="none" w:sz="0" w:space="0" w:color="auto"/>
                        <w:right w:val="none" w:sz="0" w:space="0" w:color="auto"/>
                      </w:divBdr>
                    </w:div>
                    <w:div w:id="1861356040">
                      <w:marLeft w:val="0"/>
                      <w:marRight w:val="0"/>
                      <w:marTop w:val="0"/>
                      <w:marBottom w:val="0"/>
                      <w:divBdr>
                        <w:top w:val="none" w:sz="0" w:space="0" w:color="auto"/>
                        <w:left w:val="none" w:sz="0" w:space="0" w:color="auto"/>
                        <w:bottom w:val="none" w:sz="0" w:space="0" w:color="auto"/>
                        <w:right w:val="none" w:sz="0" w:space="0" w:color="auto"/>
                      </w:divBdr>
                    </w:div>
                  </w:divsChild>
                </w:div>
                <w:div w:id="704797847">
                  <w:marLeft w:val="0"/>
                  <w:marRight w:val="0"/>
                  <w:marTop w:val="0"/>
                  <w:marBottom w:val="0"/>
                  <w:divBdr>
                    <w:top w:val="none" w:sz="0" w:space="0" w:color="auto"/>
                    <w:left w:val="none" w:sz="0" w:space="0" w:color="auto"/>
                    <w:bottom w:val="none" w:sz="0" w:space="0" w:color="auto"/>
                    <w:right w:val="none" w:sz="0" w:space="0" w:color="auto"/>
                  </w:divBdr>
                  <w:divsChild>
                    <w:div w:id="290670918">
                      <w:marLeft w:val="0"/>
                      <w:marRight w:val="0"/>
                      <w:marTop w:val="0"/>
                      <w:marBottom w:val="0"/>
                      <w:divBdr>
                        <w:top w:val="none" w:sz="0" w:space="0" w:color="auto"/>
                        <w:left w:val="none" w:sz="0" w:space="0" w:color="auto"/>
                        <w:bottom w:val="none" w:sz="0" w:space="0" w:color="auto"/>
                        <w:right w:val="none" w:sz="0" w:space="0" w:color="auto"/>
                      </w:divBdr>
                    </w:div>
                  </w:divsChild>
                </w:div>
                <w:div w:id="719093478">
                  <w:marLeft w:val="0"/>
                  <w:marRight w:val="0"/>
                  <w:marTop w:val="0"/>
                  <w:marBottom w:val="0"/>
                  <w:divBdr>
                    <w:top w:val="none" w:sz="0" w:space="0" w:color="auto"/>
                    <w:left w:val="none" w:sz="0" w:space="0" w:color="auto"/>
                    <w:bottom w:val="none" w:sz="0" w:space="0" w:color="auto"/>
                    <w:right w:val="none" w:sz="0" w:space="0" w:color="auto"/>
                  </w:divBdr>
                  <w:divsChild>
                    <w:div w:id="1672440720">
                      <w:marLeft w:val="0"/>
                      <w:marRight w:val="0"/>
                      <w:marTop w:val="0"/>
                      <w:marBottom w:val="0"/>
                      <w:divBdr>
                        <w:top w:val="none" w:sz="0" w:space="0" w:color="auto"/>
                        <w:left w:val="none" w:sz="0" w:space="0" w:color="auto"/>
                        <w:bottom w:val="none" w:sz="0" w:space="0" w:color="auto"/>
                        <w:right w:val="none" w:sz="0" w:space="0" w:color="auto"/>
                      </w:divBdr>
                    </w:div>
                  </w:divsChild>
                </w:div>
                <w:div w:id="741024752">
                  <w:marLeft w:val="0"/>
                  <w:marRight w:val="0"/>
                  <w:marTop w:val="0"/>
                  <w:marBottom w:val="0"/>
                  <w:divBdr>
                    <w:top w:val="none" w:sz="0" w:space="0" w:color="auto"/>
                    <w:left w:val="none" w:sz="0" w:space="0" w:color="auto"/>
                    <w:bottom w:val="none" w:sz="0" w:space="0" w:color="auto"/>
                    <w:right w:val="none" w:sz="0" w:space="0" w:color="auto"/>
                  </w:divBdr>
                  <w:divsChild>
                    <w:div w:id="1527333203">
                      <w:marLeft w:val="0"/>
                      <w:marRight w:val="0"/>
                      <w:marTop w:val="0"/>
                      <w:marBottom w:val="0"/>
                      <w:divBdr>
                        <w:top w:val="none" w:sz="0" w:space="0" w:color="auto"/>
                        <w:left w:val="none" w:sz="0" w:space="0" w:color="auto"/>
                        <w:bottom w:val="none" w:sz="0" w:space="0" w:color="auto"/>
                        <w:right w:val="none" w:sz="0" w:space="0" w:color="auto"/>
                      </w:divBdr>
                    </w:div>
                  </w:divsChild>
                </w:div>
                <w:div w:id="891311308">
                  <w:marLeft w:val="0"/>
                  <w:marRight w:val="0"/>
                  <w:marTop w:val="0"/>
                  <w:marBottom w:val="0"/>
                  <w:divBdr>
                    <w:top w:val="none" w:sz="0" w:space="0" w:color="auto"/>
                    <w:left w:val="none" w:sz="0" w:space="0" w:color="auto"/>
                    <w:bottom w:val="none" w:sz="0" w:space="0" w:color="auto"/>
                    <w:right w:val="none" w:sz="0" w:space="0" w:color="auto"/>
                  </w:divBdr>
                  <w:divsChild>
                    <w:div w:id="1369380730">
                      <w:marLeft w:val="0"/>
                      <w:marRight w:val="0"/>
                      <w:marTop w:val="0"/>
                      <w:marBottom w:val="0"/>
                      <w:divBdr>
                        <w:top w:val="none" w:sz="0" w:space="0" w:color="auto"/>
                        <w:left w:val="none" w:sz="0" w:space="0" w:color="auto"/>
                        <w:bottom w:val="none" w:sz="0" w:space="0" w:color="auto"/>
                        <w:right w:val="none" w:sz="0" w:space="0" w:color="auto"/>
                      </w:divBdr>
                    </w:div>
                  </w:divsChild>
                </w:div>
                <w:div w:id="938485270">
                  <w:marLeft w:val="0"/>
                  <w:marRight w:val="0"/>
                  <w:marTop w:val="0"/>
                  <w:marBottom w:val="0"/>
                  <w:divBdr>
                    <w:top w:val="none" w:sz="0" w:space="0" w:color="auto"/>
                    <w:left w:val="none" w:sz="0" w:space="0" w:color="auto"/>
                    <w:bottom w:val="none" w:sz="0" w:space="0" w:color="auto"/>
                    <w:right w:val="none" w:sz="0" w:space="0" w:color="auto"/>
                  </w:divBdr>
                  <w:divsChild>
                    <w:div w:id="1195386851">
                      <w:marLeft w:val="0"/>
                      <w:marRight w:val="0"/>
                      <w:marTop w:val="0"/>
                      <w:marBottom w:val="0"/>
                      <w:divBdr>
                        <w:top w:val="none" w:sz="0" w:space="0" w:color="auto"/>
                        <w:left w:val="none" w:sz="0" w:space="0" w:color="auto"/>
                        <w:bottom w:val="none" w:sz="0" w:space="0" w:color="auto"/>
                        <w:right w:val="none" w:sz="0" w:space="0" w:color="auto"/>
                      </w:divBdr>
                    </w:div>
                  </w:divsChild>
                </w:div>
                <w:div w:id="943344808">
                  <w:marLeft w:val="0"/>
                  <w:marRight w:val="0"/>
                  <w:marTop w:val="0"/>
                  <w:marBottom w:val="0"/>
                  <w:divBdr>
                    <w:top w:val="none" w:sz="0" w:space="0" w:color="auto"/>
                    <w:left w:val="none" w:sz="0" w:space="0" w:color="auto"/>
                    <w:bottom w:val="none" w:sz="0" w:space="0" w:color="auto"/>
                    <w:right w:val="none" w:sz="0" w:space="0" w:color="auto"/>
                  </w:divBdr>
                  <w:divsChild>
                    <w:div w:id="166602966">
                      <w:marLeft w:val="0"/>
                      <w:marRight w:val="0"/>
                      <w:marTop w:val="0"/>
                      <w:marBottom w:val="0"/>
                      <w:divBdr>
                        <w:top w:val="none" w:sz="0" w:space="0" w:color="auto"/>
                        <w:left w:val="none" w:sz="0" w:space="0" w:color="auto"/>
                        <w:bottom w:val="none" w:sz="0" w:space="0" w:color="auto"/>
                        <w:right w:val="none" w:sz="0" w:space="0" w:color="auto"/>
                      </w:divBdr>
                    </w:div>
                  </w:divsChild>
                </w:div>
                <w:div w:id="948001760">
                  <w:marLeft w:val="0"/>
                  <w:marRight w:val="0"/>
                  <w:marTop w:val="0"/>
                  <w:marBottom w:val="0"/>
                  <w:divBdr>
                    <w:top w:val="none" w:sz="0" w:space="0" w:color="auto"/>
                    <w:left w:val="none" w:sz="0" w:space="0" w:color="auto"/>
                    <w:bottom w:val="none" w:sz="0" w:space="0" w:color="auto"/>
                    <w:right w:val="none" w:sz="0" w:space="0" w:color="auto"/>
                  </w:divBdr>
                  <w:divsChild>
                    <w:div w:id="1810898214">
                      <w:marLeft w:val="0"/>
                      <w:marRight w:val="0"/>
                      <w:marTop w:val="0"/>
                      <w:marBottom w:val="0"/>
                      <w:divBdr>
                        <w:top w:val="none" w:sz="0" w:space="0" w:color="auto"/>
                        <w:left w:val="none" w:sz="0" w:space="0" w:color="auto"/>
                        <w:bottom w:val="none" w:sz="0" w:space="0" w:color="auto"/>
                        <w:right w:val="none" w:sz="0" w:space="0" w:color="auto"/>
                      </w:divBdr>
                    </w:div>
                  </w:divsChild>
                </w:div>
                <w:div w:id="990864934">
                  <w:marLeft w:val="0"/>
                  <w:marRight w:val="0"/>
                  <w:marTop w:val="0"/>
                  <w:marBottom w:val="0"/>
                  <w:divBdr>
                    <w:top w:val="none" w:sz="0" w:space="0" w:color="auto"/>
                    <w:left w:val="none" w:sz="0" w:space="0" w:color="auto"/>
                    <w:bottom w:val="none" w:sz="0" w:space="0" w:color="auto"/>
                    <w:right w:val="none" w:sz="0" w:space="0" w:color="auto"/>
                  </w:divBdr>
                  <w:divsChild>
                    <w:div w:id="1060399113">
                      <w:marLeft w:val="0"/>
                      <w:marRight w:val="0"/>
                      <w:marTop w:val="0"/>
                      <w:marBottom w:val="0"/>
                      <w:divBdr>
                        <w:top w:val="none" w:sz="0" w:space="0" w:color="auto"/>
                        <w:left w:val="none" w:sz="0" w:space="0" w:color="auto"/>
                        <w:bottom w:val="none" w:sz="0" w:space="0" w:color="auto"/>
                        <w:right w:val="none" w:sz="0" w:space="0" w:color="auto"/>
                      </w:divBdr>
                    </w:div>
                  </w:divsChild>
                </w:div>
                <w:div w:id="1015183216">
                  <w:marLeft w:val="0"/>
                  <w:marRight w:val="0"/>
                  <w:marTop w:val="0"/>
                  <w:marBottom w:val="0"/>
                  <w:divBdr>
                    <w:top w:val="none" w:sz="0" w:space="0" w:color="auto"/>
                    <w:left w:val="none" w:sz="0" w:space="0" w:color="auto"/>
                    <w:bottom w:val="none" w:sz="0" w:space="0" w:color="auto"/>
                    <w:right w:val="none" w:sz="0" w:space="0" w:color="auto"/>
                  </w:divBdr>
                  <w:divsChild>
                    <w:div w:id="397633985">
                      <w:marLeft w:val="0"/>
                      <w:marRight w:val="0"/>
                      <w:marTop w:val="0"/>
                      <w:marBottom w:val="0"/>
                      <w:divBdr>
                        <w:top w:val="none" w:sz="0" w:space="0" w:color="auto"/>
                        <w:left w:val="none" w:sz="0" w:space="0" w:color="auto"/>
                        <w:bottom w:val="none" w:sz="0" w:space="0" w:color="auto"/>
                        <w:right w:val="none" w:sz="0" w:space="0" w:color="auto"/>
                      </w:divBdr>
                    </w:div>
                  </w:divsChild>
                </w:div>
                <w:div w:id="1122841821">
                  <w:marLeft w:val="0"/>
                  <w:marRight w:val="0"/>
                  <w:marTop w:val="0"/>
                  <w:marBottom w:val="0"/>
                  <w:divBdr>
                    <w:top w:val="none" w:sz="0" w:space="0" w:color="auto"/>
                    <w:left w:val="none" w:sz="0" w:space="0" w:color="auto"/>
                    <w:bottom w:val="none" w:sz="0" w:space="0" w:color="auto"/>
                    <w:right w:val="none" w:sz="0" w:space="0" w:color="auto"/>
                  </w:divBdr>
                  <w:divsChild>
                    <w:div w:id="63576865">
                      <w:marLeft w:val="0"/>
                      <w:marRight w:val="0"/>
                      <w:marTop w:val="0"/>
                      <w:marBottom w:val="0"/>
                      <w:divBdr>
                        <w:top w:val="none" w:sz="0" w:space="0" w:color="auto"/>
                        <w:left w:val="none" w:sz="0" w:space="0" w:color="auto"/>
                        <w:bottom w:val="none" w:sz="0" w:space="0" w:color="auto"/>
                        <w:right w:val="none" w:sz="0" w:space="0" w:color="auto"/>
                      </w:divBdr>
                    </w:div>
                  </w:divsChild>
                </w:div>
                <w:div w:id="1148670935">
                  <w:marLeft w:val="0"/>
                  <w:marRight w:val="0"/>
                  <w:marTop w:val="0"/>
                  <w:marBottom w:val="0"/>
                  <w:divBdr>
                    <w:top w:val="none" w:sz="0" w:space="0" w:color="auto"/>
                    <w:left w:val="none" w:sz="0" w:space="0" w:color="auto"/>
                    <w:bottom w:val="none" w:sz="0" w:space="0" w:color="auto"/>
                    <w:right w:val="none" w:sz="0" w:space="0" w:color="auto"/>
                  </w:divBdr>
                  <w:divsChild>
                    <w:div w:id="1724864877">
                      <w:marLeft w:val="0"/>
                      <w:marRight w:val="0"/>
                      <w:marTop w:val="0"/>
                      <w:marBottom w:val="0"/>
                      <w:divBdr>
                        <w:top w:val="none" w:sz="0" w:space="0" w:color="auto"/>
                        <w:left w:val="none" w:sz="0" w:space="0" w:color="auto"/>
                        <w:bottom w:val="none" w:sz="0" w:space="0" w:color="auto"/>
                        <w:right w:val="none" w:sz="0" w:space="0" w:color="auto"/>
                      </w:divBdr>
                    </w:div>
                  </w:divsChild>
                </w:div>
                <w:div w:id="1158574060">
                  <w:marLeft w:val="0"/>
                  <w:marRight w:val="0"/>
                  <w:marTop w:val="0"/>
                  <w:marBottom w:val="0"/>
                  <w:divBdr>
                    <w:top w:val="none" w:sz="0" w:space="0" w:color="auto"/>
                    <w:left w:val="none" w:sz="0" w:space="0" w:color="auto"/>
                    <w:bottom w:val="none" w:sz="0" w:space="0" w:color="auto"/>
                    <w:right w:val="none" w:sz="0" w:space="0" w:color="auto"/>
                  </w:divBdr>
                  <w:divsChild>
                    <w:div w:id="860053909">
                      <w:marLeft w:val="0"/>
                      <w:marRight w:val="0"/>
                      <w:marTop w:val="0"/>
                      <w:marBottom w:val="0"/>
                      <w:divBdr>
                        <w:top w:val="none" w:sz="0" w:space="0" w:color="auto"/>
                        <w:left w:val="none" w:sz="0" w:space="0" w:color="auto"/>
                        <w:bottom w:val="none" w:sz="0" w:space="0" w:color="auto"/>
                        <w:right w:val="none" w:sz="0" w:space="0" w:color="auto"/>
                      </w:divBdr>
                    </w:div>
                  </w:divsChild>
                </w:div>
                <w:div w:id="1168060229">
                  <w:marLeft w:val="0"/>
                  <w:marRight w:val="0"/>
                  <w:marTop w:val="0"/>
                  <w:marBottom w:val="0"/>
                  <w:divBdr>
                    <w:top w:val="none" w:sz="0" w:space="0" w:color="auto"/>
                    <w:left w:val="none" w:sz="0" w:space="0" w:color="auto"/>
                    <w:bottom w:val="none" w:sz="0" w:space="0" w:color="auto"/>
                    <w:right w:val="none" w:sz="0" w:space="0" w:color="auto"/>
                  </w:divBdr>
                  <w:divsChild>
                    <w:div w:id="1491822341">
                      <w:marLeft w:val="0"/>
                      <w:marRight w:val="0"/>
                      <w:marTop w:val="0"/>
                      <w:marBottom w:val="0"/>
                      <w:divBdr>
                        <w:top w:val="none" w:sz="0" w:space="0" w:color="auto"/>
                        <w:left w:val="none" w:sz="0" w:space="0" w:color="auto"/>
                        <w:bottom w:val="none" w:sz="0" w:space="0" w:color="auto"/>
                        <w:right w:val="none" w:sz="0" w:space="0" w:color="auto"/>
                      </w:divBdr>
                    </w:div>
                  </w:divsChild>
                </w:div>
                <w:div w:id="1174109272">
                  <w:marLeft w:val="0"/>
                  <w:marRight w:val="0"/>
                  <w:marTop w:val="0"/>
                  <w:marBottom w:val="0"/>
                  <w:divBdr>
                    <w:top w:val="none" w:sz="0" w:space="0" w:color="auto"/>
                    <w:left w:val="none" w:sz="0" w:space="0" w:color="auto"/>
                    <w:bottom w:val="none" w:sz="0" w:space="0" w:color="auto"/>
                    <w:right w:val="none" w:sz="0" w:space="0" w:color="auto"/>
                  </w:divBdr>
                  <w:divsChild>
                    <w:div w:id="726534476">
                      <w:marLeft w:val="0"/>
                      <w:marRight w:val="0"/>
                      <w:marTop w:val="0"/>
                      <w:marBottom w:val="0"/>
                      <w:divBdr>
                        <w:top w:val="none" w:sz="0" w:space="0" w:color="auto"/>
                        <w:left w:val="none" w:sz="0" w:space="0" w:color="auto"/>
                        <w:bottom w:val="none" w:sz="0" w:space="0" w:color="auto"/>
                        <w:right w:val="none" w:sz="0" w:space="0" w:color="auto"/>
                      </w:divBdr>
                    </w:div>
                  </w:divsChild>
                </w:div>
                <w:div w:id="1229919101">
                  <w:marLeft w:val="0"/>
                  <w:marRight w:val="0"/>
                  <w:marTop w:val="0"/>
                  <w:marBottom w:val="0"/>
                  <w:divBdr>
                    <w:top w:val="none" w:sz="0" w:space="0" w:color="auto"/>
                    <w:left w:val="none" w:sz="0" w:space="0" w:color="auto"/>
                    <w:bottom w:val="none" w:sz="0" w:space="0" w:color="auto"/>
                    <w:right w:val="none" w:sz="0" w:space="0" w:color="auto"/>
                  </w:divBdr>
                  <w:divsChild>
                    <w:div w:id="896355178">
                      <w:marLeft w:val="0"/>
                      <w:marRight w:val="0"/>
                      <w:marTop w:val="0"/>
                      <w:marBottom w:val="0"/>
                      <w:divBdr>
                        <w:top w:val="none" w:sz="0" w:space="0" w:color="auto"/>
                        <w:left w:val="none" w:sz="0" w:space="0" w:color="auto"/>
                        <w:bottom w:val="none" w:sz="0" w:space="0" w:color="auto"/>
                        <w:right w:val="none" w:sz="0" w:space="0" w:color="auto"/>
                      </w:divBdr>
                    </w:div>
                  </w:divsChild>
                </w:div>
                <w:div w:id="1281961609">
                  <w:marLeft w:val="0"/>
                  <w:marRight w:val="0"/>
                  <w:marTop w:val="0"/>
                  <w:marBottom w:val="0"/>
                  <w:divBdr>
                    <w:top w:val="none" w:sz="0" w:space="0" w:color="auto"/>
                    <w:left w:val="none" w:sz="0" w:space="0" w:color="auto"/>
                    <w:bottom w:val="none" w:sz="0" w:space="0" w:color="auto"/>
                    <w:right w:val="none" w:sz="0" w:space="0" w:color="auto"/>
                  </w:divBdr>
                  <w:divsChild>
                    <w:div w:id="1947496191">
                      <w:marLeft w:val="0"/>
                      <w:marRight w:val="0"/>
                      <w:marTop w:val="0"/>
                      <w:marBottom w:val="0"/>
                      <w:divBdr>
                        <w:top w:val="none" w:sz="0" w:space="0" w:color="auto"/>
                        <w:left w:val="none" w:sz="0" w:space="0" w:color="auto"/>
                        <w:bottom w:val="none" w:sz="0" w:space="0" w:color="auto"/>
                        <w:right w:val="none" w:sz="0" w:space="0" w:color="auto"/>
                      </w:divBdr>
                    </w:div>
                  </w:divsChild>
                </w:div>
                <w:div w:id="1352761211">
                  <w:marLeft w:val="0"/>
                  <w:marRight w:val="0"/>
                  <w:marTop w:val="0"/>
                  <w:marBottom w:val="0"/>
                  <w:divBdr>
                    <w:top w:val="none" w:sz="0" w:space="0" w:color="auto"/>
                    <w:left w:val="none" w:sz="0" w:space="0" w:color="auto"/>
                    <w:bottom w:val="none" w:sz="0" w:space="0" w:color="auto"/>
                    <w:right w:val="none" w:sz="0" w:space="0" w:color="auto"/>
                  </w:divBdr>
                  <w:divsChild>
                    <w:div w:id="1576010961">
                      <w:marLeft w:val="0"/>
                      <w:marRight w:val="0"/>
                      <w:marTop w:val="0"/>
                      <w:marBottom w:val="0"/>
                      <w:divBdr>
                        <w:top w:val="none" w:sz="0" w:space="0" w:color="auto"/>
                        <w:left w:val="none" w:sz="0" w:space="0" w:color="auto"/>
                        <w:bottom w:val="none" w:sz="0" w:space="0" w:color="auto"/>
                        <w:right w:val="none" w:sz="0" w:space="0" w:color="auto"/>
                      </w:divBdr>
                    </w:div>
                  </w:divsChild>
                </w:div>
                <w:div w:id="1361779125">
                  <w:marLeft w:val="0"/>
                  <w:marRight w:val="0"/>
                  <w:marTop w:val="0"/>
                  <w:marBottom w:val="0"/>
                  <w:divBdr>
                    <w:top w:val="none" w:sz="0" w:space="0" w:color="auto"/>
                    <w:left w:val="none" w:sz="0" w:space="0" w:color="auto"/>
                    <w:bottom w:val="none" w:sz="0" w:space="0" w:color="auto"/>
                    <w:right w:val="none" w:sz="0" w:space="0" w:color="auto"/>
                  </w:divBdr>
                  <w:divsChild>
                    <w:div w:id="1235779205">
                      <w:marLeft w:val="0"/>
                      <w:marRight w:val="0"/>
                      <w:marTop w:val="0"/>
                      <w:marBottom w:val="0"/>
                      <w:divBdr>
                        <w:top w:val="none" w:sz="0" w:space="0" w:color="auto"/>
                        <w:left w:val="none" w:sz="0" w:space="0" w:color="auto"/>
                        <w:bottom w:val="none" w:sz="0" w:space="0" w:color="auto"/>
                        <w:right w:val="none" w:sz="0" w:space="0" w:color="auto"/>
                      </w:divBdr>
                    </w:div>
                  </w:divsChild>
                </w:div>
                <w:div w:id="1363555360">
                  <w:marLeft w:val="0"/>
                  <w:marRight w:val="0"/>
                  <w:marTop w:val="0"/>
                  <w:marBottom w:val="0"/>
                  <w:divBdr>
                    <w:top w:val="none" w:sz="0" w:space="0" w:color="auto"/>
                    <w:left w:val="none" w:sz="0" w:space="0" w:color="auto"/>
                    <w:bottom w:val="none" w:sz="0" w:space="0" w:color="auto"/>
                    <w:right w:val="none" w:sz="0" w:space="0" w:color="auto"/>
                  </w:divBdr>
                  <w:divsChild>
                    <w:div w:id="2056001299">
                      <w:marLeft w:val="0"/>
                      <w:marRight w:val="0"/>
                      <w:marTop w:val="0"/>
                      <w:marBottom w:val="0"/>
                      <w:divBdr>
                        <w:top w:val="none" w:sz="0" w:space="0" w:color="auto"/>
                        <w:left w:val="none" w:sz="0" w:space="0" w:color="auto"/>
                        <w:bottom w:val="none" w:sz="0" w:space="0" w:color="auto"/>
                        <w:right w:val="none" w:sz="0" w:space="0" w:color="auto"/>
                      </w:divBdr>
                    </w:div>
                  </w:divsChild>
                </w:div>
                <w:div w:id="1393040095">
                  <w:marLeft w:val="0"/>
                  <w:marRight w:val="0"/>
                  <w:marTop w:val="0"/>
                  <w:marBottom w:val="0"/>
                  <w:divBdr>
                    <w:top w:val="none" w:sz="0" w:space="0" w:color="auto"/>
                    <w:left w:val="none" w:sz="0" w:space="0" w:color="auto"/>
                    <w:bottom w:val="none" w:sz="0" w:space="0" w:color="auto"/>
                    <w:right w:val="none" w:sz="0" w:space="0" w:color="auto"/>
                  </w:divBdr>
                  <w:divsChild>
                    <w:div w:id="829947946">
                      <w:marLeft w:val="0"/>
                      <w:marRight w:val="0"/>
                      <w:marTop w:val="0"/>
                      <w:marBottom w:val="0"/>
                      <w:divBdr>
                        <w:top w:val="none" w:sz="0" w:space="0" w:color="auto"/>
                        <w:left w:val="none" w:sz="0" w:space="0" w:color="auto"/>
                        <w:bottom w:val="none" w:sz="0" w:space="0" w:color="auto"/>
                        <w:right w:val="none" w:sz="0" w:space="0" w:color="auto"/>
                      </w:divBdr>
                    </w:div>
                  </w:divsChild>
                </w:div>
                <w:div w:id="1415205131">
                  <w:marLeft w:val="0"/>
                  <w:marRight w:val="0"/>
                  <w:marTop w:val="0"/>
                  <w:marBottom w:val="0"/>
                  <w:divBdr>
                    <w:top w:val="none" w:sz="0" w:space="0" w:color="auto"/>
                    <w:left w:val="none" w:sz="0" w:space="0" w:color="auto"/>
                    <w:bottom w:val="none" w:sz="0" w:space="0" w:color="auto"/>
                    <w:right w:val="none" w:sz="0" w:space="0" w:color="auto"/>
                  </w:divBdr>
                  <w:divsChild>
                    <w:div w:id="1784566792">
                      <w:marLeft w:val="0"/>
                      <w:marRight w:val="0"/>
                      <w:marTop w:val="0"/>
                      <w:marBottom w:val="0"/>
                      <w:divBdr>
                        <w:top w:val="none" w:sz="0" w:space="0" w:color="auto"/>
                        <w:left w:val="none" w:sz="0" w:space="0" w:color="auto"/>
                        <w:bottom w:val="none" w:sz="0" w:space="0" w:color="auto"/>
                        <w:right w:val="none" w:sz="0" w:space="0" w:color="auto"/>
                      </w:divBdr>
                    </w:div>
                  </w:divsChild>
                </w:div>
                <w:div w:id="1451121963">
                  <w:marLeft w:val="0"/>
                  <w:marRight w:val="0"/>
                  <w:marTop w:val="0"/>
                  <w:marBottom w:val="0"/>
                  <w:divBdr>
                    <w:top w:val="none" w:sz="0" w:space="0" w:color="auto"/>
                    <w:left w:val="none" w:sz="0" w:space="0" w:color="auto"/>
                    <w:bottom w:val="none" w:sz="0" w:space="0" w:color="auto"/>
                    <w:right w:val="none" w:sz="0" w:space="0" w:color="auto"/>
                  </w:divBdr>
                  <w:divsChild>
                    <w:div w:id="2081053758">
                      <w:marLeft w:val="0"/>
                      <w:marRight w:val="0"/>
                      <w:marTop w:val="0"/>
                      <w:marBottom w:val="0"/>
                      <w:divBdr>
                        <w:top w:val="none" w:sz="0" w:space="0" w:color="auto"/>
                        <w:left w:val="none" w:sz="0" w:space="0" w:color="auto"/>
                        <w:bottom w:val="none" w:sz="0" w:space="0" w:color="auto"/>
                        <w:right w:val="none" w:sz="0" w:space="0" w:color="auto"/>
                      </w:divBdr>
                    </w:div>
                  </w:divsChild>
                </w:div>
                <w:div w:id="1467968392">
                  <w:marLeft w:val="0"/>
                  <w:marRight w:val="0"/>
                  <w:marTop w:val="0"/>
                  <w:marBottom w:val="0"/>
                  <w:divBdr>
                    <w:top w:val="none" w:sz="0" w:space="0" w:color="auto"/>
                    <w:left w:val="none" w:sz="0" w:space="0" w:color="auto"/>
                    <w:bottom w:val="none" w:sz="0" w:space="0" w:color="auto"/>
                    <w:right w:val="none" w:sz="0" w:space="0" w:color="auto"/>
                  </w:divBdr>
                  <w:divsChild>
                    <w:div w:id="1309743108">
                      <w:marLeft w:val="0"/>
                      <w:marRight w:val="0"/>
                      <w:marTop w:val="0"/>
                      <w:marBottom w:val="0"/>
                      <w:divBdr>
                        <w:top w:val="none" w:sz="0" w:space="0" w:color="auto"/>
                        <w:left w:val="none" w:sz="0" w:space="0" w:color="auto"/>
                        <w:bottom w:val="none" w:sz="0" w:space="0" w:color="auto"/>
                        <w:right w:val="none" w:sz="0" w:space="0" w:color="auto"/>
                      </w:divBdr>
                    </w:div>
                  </w:divsChild>
                </w:div>
                <w:div w:id="1468277280">
                  <w:marLeft w:val="0"/>
                  <w:marRight w:val="0"/>
                  <w:marTop w:val="0"/>
                  <w:marBottom w:val="0"/>
                  <w:divBdr>
                    <w:top w:val="none" w:sz="0" w:space="0" w:color="auto"/>
                    <w:left w:val="none" w:sz="0" w:space="0" w:color="auto"/>
                    <w:bottom w:val="none" w:sz="0" w:space="0" w:color="auto"/>
                    <w:right w:val="none" w:sz="0" w:space="0" w:color="auto"/>
                  </w:divBdr>
                  <w:divsChild>
                    <w:div w:id="1067608724">
                      <w:marLeft w:val="0"/>
                      <w:marRight w:val="0"/>
                      <w:marTop w:val="0"/>
                      <w:marBottom w:val="0"/>
                      <w:divBdr>
                        <w:top w:val="none" w:sz="0" w:space="0" w:color="auto"/>
                        <w:left w:val="none" w:sz="0" w:space="0" w:color="auto"/>
                        <w:bottom w:val="none" w:sz="0" w:space="0" w:color="auto"/>
                        <w:right w:val="none" w:sz="0" w:space="0" w:color="auto"/>
                      </w:divBdr>
                    </w:div>
                  </w:divsChild>
                </w:div>
                <w:div w:id="1657414114">
                  <w:marLeft w:val="0"/>
                  <w:marRight w:val="0"/>
                  <w:marTop w:val="0"/>
                  <w:marBottom w:val="0"/>
                  <w:divBdr>
                    <w:top w:val="none" w:sz="0" w:space="0" w:color="auto"/>
                    <w:left w:val="none" w:sz="0" w:space="0" w:color="auto"/>
                    <w:bottom w:val="none" w:sz="0" w:space="0" w:color="auto"/>
                    <w:right w:val="none" w:sz="0" w:space="0" w:color="auto"/>
                  </w:divBdr>
                  <w:divsChild>
                    <w:div w:id="599262434">
                      <w:marLeft w:val="0"/>
                      <w:marRight w:val="0"/>
                      <w:marTop w:val="0"/>
                      <w:marBottom w:val="0"/>
                      <w:divBdr>
                        <w:top w:val="none" w:sz="0" w:space="0" w:color="auto"/>
                        <w:left w:val="none" w:sz="0" w:space="0" w:color="auto"/>
                        <w:bottom w:val="none" w:sz="0" w:space="0" w:color="auto"/>
                        <w:right w:val="none" w:sz="0" w:space="0" w:color="auto"/>
                      </w:divBdr>
                    </w:div>
                  </w:divsChild>
                </w:div>
                <w:div w:id="1767143468">
                  <w:marLeft w:val="0"/>
                  <w:marRight w:val="0"/>
                  <w:marTop w:val="0"/>
                  <w:marBottom w:val="0"/>
                  <w:divBdr>
                    <w:top w:val="none" w:sz="0" w:space="0" w:color="auto"/>
                    <w:left w:val="none" w:sz="0" w:space="0" w:color="auto"/>
                    <w:bottom w:val="none" w:sz="0" w:space="0" w:color="auto"/>
                    <w:right w:val="none" w:sz="0" w:space="0" w:color="auto"/>
                  </w:divBdr>
                  <w:divsChild>
                    <w:div w:id="497773395">
                      <w:marLeft w:val="0"/>
                      <w:marRight w:val="0"/>
                      <w:marTop w:val="0"/>
                      <w:marBottom w:val="0"/>
                      <w:divBdr>
                        <w:top w:val="none" w:sz="0" w:space="0" w:color="auto"/>
                        <w:left w:val="none" w:sz="0" w:space="0" w:color="auto"/>
                        <w:bottom w:val="none" w:sz="0" w:space="0" w:color="auto"/>
                        <w:right w:val="none" w:sz="0" w:space="0" w:color="auto"/>
                      </w:divBdr>
                    </w:div>
                  </w:divsChild>
                </w:div>
                <w:div w:id="1804078643">
                  <w:marLeft w:val="0"/>
                  <w:marRight w:val="0"/>
                  <w:marTop w:val="0"/>
                  <w:marBottom w:val="0"/>
                  <w:divBdr>
                    <w:top w:val="none" w:sz="0" w:space="0" w:color="auto"/>
                    <w:left w:val="none" w:sz="0" w:space="0" w:color="auto"/>
                    <w:bottom w:val="none" w:sz="0" w:space="0" w:color="auto"/>
                    <w:right w:val="none" w:sz="0" w:space="0" w:color="auto"/>
                  </w:divBdr>
                  <w:divsChild>
                    <w:div w:id="1622422007">
                      <w:marLeft w:val="0"/>
                      <w:marRight w:val="0"/>
                      <w:marTop w:val="0"/>
                      <w:marBottom w:val="0"/>
                      <w:divBdr>
                        <w:top w:val="none" w:sz="0" w:space="0" w:color="auto"/>
                        <w:left w:val="none" w:sz="0" w:space="0" w:color="auto"/>
                        <w:bottom w:val="none" w:sz="0" w:space="0" w:color="auto"/>
                        <w:right w:val="none" w:sz="0" w:space="0" w:color="auto"/>
                      </w:divBdr>
                    </w:div>
                  </w:divsChild>
                </w:div>
                <w:div w:id="1836189952">
                  <w:marLeft w:val="0"/>
                  <w:marRight w:val="0"/>
                  <w:marTop w:val="0"/>
                  <w:marBottom w:val="0"/>
                  <w:divBdr>
                    <w:top w:val="none" w:sz="0" w:space="0" w:color="auto"/>
                    <w:left w:val="none" w:sz="0" w:space="0" w:color="auto"/>
                    <w:bottom w:val="none" w:sz="0" w:space="0" w:color="auto"/>
                    <w:right w:val="none" w:sz="0" w:space="0" w:color="auto"/>
                  </w:divBdr>
                  <w:divsChild>
                    <w:div w:id="1988974958">
                      <w:marLeft w:val="0"/>
                      <w:marRight w:val="0"/>
                      <w:marTop w:val="0"/>
                      <w:marBottom w:val="0"/>
                      <w:divBdr>
                        <w:top w:val="none" w:sz="0" w:space="0" w:color="auto"/>
                        <w:left w:val="none" w:sz="0" w:space="0" w:color="auto"/>
                        <w:bottom w:val="none" w:sz="0" w:space="0" w:color="auto"/>
                        <w:right w:val="none" w:sz="0" w:space="0" w:color="auto"/>
                      </w:divBdr>
                    </w:div>
                  </w:divsChild>
                </w:div>
                <w:div w:id="1846091458">
                  <w:marLeft w:val="0"/>
                  <w:marRight w:val="0"/>
                  <w:marTop w:val="0"/>
                  <w:marBottom w:val="0"/>
                  <w:divBdr>
                    <w:top w:val="none" w:sz="0" w:space="0" w:color="auto"/>
                    <w:left w:val="none" w:sz="0" w:space="0" w:color="auto"/>
                    <w:bottom w:val="none" w:sz="0" w:space="0" w:color="auto"/>
                    <w:right w:val="none" w:sz="0" w:space="0" w:color="auto"/>
                  </w:divBdr>
                  <w:divsChild>
                    <w:div w:id="1090009745">
                      <w:marLeft w:val="0"/>
                      <w:marRight w:val="0"/>
                      <w:marTop w:val="0"/>
                      <w:marBottom w:val="0"/>
                      <w:divBdr>
                        <w:top w:val="none" w:sz="0" w:space="0" w:color="auto"/>
                        <w:left w:val="none" w:sz="0" w:space="0" w:color="auto"/>
                        <w:bottom w:val="none" w:sz="0" w:space="0" w:color="auto"/>
                        <w:right w:val="none" w:sz="0" w:space="0" w:color="auto"/>
                      </w:divBdr>
                    </w:div>
                  </w:divsChild>
                </w:div>
                <w:div w:id="1872500199">
                  <w:marLeft w:val="0"/>
                  <w:marRight w:val="0"/>
                  <w:marTop w:val="0"/>
                  <w:marBottom w:val="0"/>
                  <w:divBdr>
                    <w:top w:val="none" w:sz="0" w:space="0" w:color="auto"/>
                    <w:left w:val="none" w:sz="0" w:space="0" w:color="auto"/>
                    <w:bottom w:val="none" w:sz="0" w:space="0" w:color="auto"/>
                    <w:right w:val="none" w:sz="0" w:space="0" w:color="auto"/>
                  </w:divBdr>
                  <w:divsChild>
                    <w:div w:id="2086879786">
                      <w:marLeft w:val="0"/>
                      <w:marRight w:val="0"/>
                      <w:marTop w:val="0"/>
                      <w:marBottom w:val="0"/>
                      <w:divBdr>
                        <w:top w:val="none" w:sz="0" w:space="0" w:color="auto"/>
                        <w:left w:val="none" w:sz="0" w:space="0" w:color="auto"/>
                        <w:bottom w:val="none" w:sz="0" w:space="0" w:color="auto"/>
                        <w:right w:val="none" w:sz="0" w:space="0" w:color="auto"/>
                      </w:divBdr>
                    </w:div>
                  </w:divsChild>
                </w:div>
                <w:div w:id="1900556582">
                  <w:marLeft w:val="0"/>
                  <w:marRight w:val="0"/>
                  <w:marTop w:val="0"/>
                  <w:marBottom w:val="0"/>
                  <w:divBdr>
                    <w:top w:val="none" w:sz="0" w:space="0" w:color="auto"/>
                    <w:left w:val="none" w:sz="0" w:space="0" w:color="auto"/>
                    <w:bottom w:val="none" w:sz="0" w:space="0" w:color="auto"/>
                    <w:right w:val="none" w:sz="0" w:space="0" w:color="auto"/>
                  </w:divBdr>
                  <w:divsChild>
                    <w:div w:id="1336611364">
                      <w:marLeft w:val="0"/>
                      <w:marRight w:val="0"/>
                      <w:marTop w:val="0"/>
                      <w:marBottom w:val="0"/>
                      <w:divBdr>
                        <w:top w:val="none" w:sz="0" w:space="0" w:color="auto"/>
                        <w:left w:val="none" w:sz="0" w:space="0" w:color="auto"/>
                        <w:bottom w:val="none" w:sz="0" w:space="0" w:color="auto"/>
                        <w:right w:val="none" w:sz="0" w:space="0" w:color="auto"/>
                      </w:divBdr>
                    </w:div>
                  </w:divsChild>
                </w:div>
                <w:div w:id="1908346612">
                  <w:marLeft w:val="0"/>
                  <w:marRight w:val="0"/>
                  <w:marTop w:val="0"/>
                  <w:marBottom w:val="0"/>
                  <w:divBdr>
                    <w:top w:val="none" w:sz="0" w:space="0" w:color="auto"/>
                    <w:left w:val="none" w:sz="0" w:space="0" w:color="auto"/>
                    <w:bottom w:val="none" w:sz="0" w:space="0" w:color="auto"/>
                    <w:right w:val="none" w:sz="0" w:space="0" w:color="auto"/>
                  </w:divBdr>
                  <w:divsChild>
                    <w:div w:id="968172025">
                      <w:marLeft w:val="0"/>
                      <w:marRight w:val="0"/>
                      <w:marTop w:val="0"/>
                      <w:marBottom w:val="0"/>
                      <w:divBdr>
                        <w:top w:val="none" w:sz="0" w:space="0" w:color="auto"/>
                        <w:left w:val="none" w:sz="0" w:space="0" w:color="auto"/>
                        <w:bottom w:val="none" w:sz="0" w:space="0" w:color="auto"/>
                        <w:right w:val="none" w:sz="0" w:space="0" w:color="auto"/>
                      </w:divBdr>
                    </w:div>
                  </w:divsChild>
                </w:div>
                <w:div w:id="2016177950">
                  <w:marLeft w:val="0"/>
                  <w:marRight w:val="0"/>
                  <w:marTop w:val="0"/>
                  <w:marBottom w:val="0"/>
                  <w:divBdr>
                    <w:top w:val="none" w:sz="0" w:space="0" w:color="auto"/>
                    <w:left w:val="none" w:sz="0" w:space="0" w:color="auto"/>
                    <w:bottom w:val="none" w:sz="0" w:space="0" w:color="auto"/>
                    <w:right w:val="none" w:sz="0" w:space="0" w:color="auto"/>
                  </w:divBdr>
                  <w:divsChild>
                    <w:div w:id="2097509240">
                      <w:marLeft w:val="0"/>
                      <w:marRight w:val="0"/>
                      <w:marTop w:val="0"/>
                      <w:marBottom w:val="0"/>
                      <w:divBdr>
                        <w:top w:val="none" w:sz="0" w:space="0" w:color="auto"/>
                        <w:left w:val="none" w:sz="0" w:space="0" w:color="auto"/>
                        <w:bottom w:val="none" w:sz="0" w:space="0" w:color="auto"/>
                        <w:right w:val="none" w:sz="0" w:space="0" w:color="auto"/>
                      </w:divBdr>
                    </w:div>
                  </w:divsChild>
                </w:div>
                <w:div w:id="2050107031">
                  <w:marLeft w:val="0"/>
                  <w:marRight w:val="0"/>
                  <w:marTop w:val="0"/>
                  <w:marBottom w:val="0"/>
                  <w:divBdr>
                    <w:top w:val="none" w:sz="0" w:space="0" w:color="auto"/>
                    <w:left w:val="none" w:sz="0" w:space="0" w:color="auto"/>
                    <w:bottom w:val="none" w:sz="0" w:space="0" w:color="auto"/>
                    <w:right w:val="none" w:sz="0" w:space="0" w:color="auto"/>
                  </w:divBdr>
                  <w:divsChild>
                    <w:div w:id="1463839087">
                      <w:marLeft w:val="0"/>
                      <w:marRight w:val="0"/>
                      <w:marTop w:val="0"/>
                      <w:marBottom w:val="0"/>
                      <w:divBdr>
                        <w:top w:val="none" w:sz="0" w:space="0" w:color="auto"/>
                        <w:left w:val="none" w:sz="0" w:space="0" w:color="auto"/>
                        <w:bottom w:val="none" w:sz="0" w:space="0" w:color="auto"/>
                        <w:right w:val="none" w:sz="0" w:space="0" w:color="auto"/>
                      </w:divBdr>
                    </w:div>
                  </w:divsChild>
                </w:div>
                <w:div w:id="2068988547">
                  <w:marLeft w:val="0"/>
                  <w:marRight w:val="0"/>
                  <w:marTop w:val="0"/>
                  <w:marBottom w:val="0"/>
                  <w:divBdr>
                    <w:top w:val="none" w:sz="0" w:space="0" w:color="auto"/>
                    <w:left w:val="none" w:sz="0" w:space="0" w:color="auto"/>
                    <w:bottom w:val="none" w:sz="0" w:space="0" w:color="auto"/>
                    <w:right w:val="none" w:sz="0" w:space="0" w:color="auto"/>
                  </w:divBdr>
                  <w:divsChild>
                    <w:div w:id="329064050">
                      <w:marLeft w:val="0"/>
                      <w:marRight w:val="0"/>
                      <w:marTop w:val="0"/>
                      <w:marBottom w:val="0"/>
                      <w:divBdr>
                        <w:top w:val="none" w:sz="0" w:space="0" w:color="auto"/>
                        <w:left w:val="none" w:sz="0" w:space="0" w:color="auto"/>
                        <w:bottom w:val="none" w:sz="0" w:space="0" w:color="auto"/>
                        <w:right w:val="none" w:sz="0" w:space="0" w:color="auto"/>
                      </w:divBdr>
                    </w:div>
                  </w:divsChild>
                </w:div>
                <w:div w:id="2092893756">
                  <w:marLeft w:val="0"/>
                  <w:marRight w:val="0"/>
                  <w:marTop w:val="0"/>
                  <w:marBottom w:val="0"/>
                  <w:divBdr>
                    <w:top w:val="none" w:sz="0" w:space="0" w:color="auto"/>
                    <w:left w:val="none" w:sz="0" w:space="0" w:color="auto"/>
                    <w:bottom w:val="none" w:sz="0" w:space="0" w:color="auto"/>
                    <w:right w:val="none" w:sz="0" w:space="0" w:color="auto"/>
                  </w:divBdr>
                  <w:divsChild>
                    <w:div w:id="1628508218">
                      <w:marLeft w:val="0"/>
                      <w:marRight w:val="0"/>
                      <w:marTop w:val="0"/>
                      <w:marBottom w:val="0"/>
                      <w:divBdr>
                        <w:top w:val="none" w:sz="0" w:space="0" w:color="auto"/>
                        <w:left w:val="none" w:sz="0" w:space="0" w:color="auto"/>
                        <w:bottom w:val="none" w:sz="0" w:space="0" w:color="auto"/>
                        <w:right w:val="none" w:sz="0" w:space="0" w:color="auto"/>
                      </w:divBdr>
                    </w:div>
                  </w:divsChild>
                </w:div>
                <w:div w:id="2100522959">
                  <w:marLeft w:val="0"/>
                  <w:marRight w:val="0"/>
                  <w:marTop w:val="0"/>
                  <w:marBottom w:val="0"/>
                  <w:divBdr>
                    <w:top w:val="none" w:sz="0" w:space="0" w:color="auto"/>
                    <w:left w:val="none" w:sz="0" w:space="0" w:color="auto"/>
                    <w:bottom w:val="none" w:sz="0" w:space="0" w:color="auto"/>
                    <w:right w:val="none" w:sz="0" w:space="0" w:color="auto"/>
                  </w:divBdr>
                  <w:divsChild>
                    <w:div w:id="8882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624348">
      <w:bodyDiv w:val="1"/>
      <w:marLeft w:val="0"/>
      <w:marRight w:val="0"/>
      <w:marTop w:val="0"/>
      <w:marBottom w:val="0"/>
      <w:divBdr>
        <w:top w:val="none" w:sz="0" w:space="0" w:color="auto"/>
        <w:left w:val="none" w:sz="0" w:space="0" w:color="auto"/>
        <w:bottom w:val="none" w:sz="0" w:space="0" w:color="auto"/>
        <w:right w:val="none" w:sz="0" w:space="0" w:color="auto"/>
      </w:divBdr>
    </w:div>
    <w:div w:id="1395157280">
      <w:bodyDiv w:val="1"/>
      <w:marLeft w:val="0"/>
      <w:marRight w:val="0"/>
      <w:marTop w:val="0"/>
      <w:marBottom w:val="0"/>
      <w:divBdr>
        <w:top w:val="none" w:sz="0" w:space="0" w:color="auto"/>
        <w:left w:val="none" w:sz="0" w:space="0" w:color="auto"/>
        <w:bottom w:val="none" w:sz="0" w:space="0" w:color="auto"/>
        <w:right w:val="none" w:sz="0" w:space="0" w:color="auto"/>
      </w:divBdr>
    </w:div>
    <w:div w:id="1402100022">
      <w:bodyDiv w:val="1"/>
      <w:marLeft w:val="0"/>
      <w:marRight w:val="0"/>
      <w:marTop w:val="0"/>
      <w:marBottom w:val="0"/>
      <w:divBdr>
        <w:top w:val="none" w:sz="0" w:space="0" w:color="auto"/>
        <w:left w:val="none" w:sz="0" w:space="0" w:color="auto"/>
        <w:bottom w:val="none" w:sz="0" w:space="0" w:color="auto"/>
        <w:right w:val="none" w:sz="0" w:space="0" w:color="auto"/>
      </w:divBdr>
      <w:divsChild>
        <w:div w:id="1293362835">
          <w:marLeft w:val="0"/>
          <w:marRight w:val="0"/>
          <w:marTop w:val="0"/>
          <w:marBottom w:val="0"/>
          <w:divBdr>
            <w:top w:val="none" w:sz="0" w:space="0" w:color="auto"/>
            <w:left w:val="none" w:sz="0" w:space="0" w:color="auto"/>
            <w:bottom w:val="none" w:sz="0" w:space="0" w:color="auto"/>
            <w:right w:val="none" w:sz="0" w:space="0" w:color="auto"/>
          </w:divBdr>
        </w:div>
        <w:div w:id="1765031782">
          <w:marLeft w:val="0"/>
          <w:marRight w:val="0"/>
          <w:marTop w:val="0"/>
          <w:marBottom w:val="0"/>
          <w:divBdr>
            <w:top w:val="none" w:sz="0" w:space="0" w:color="auto"/>
            <w:left w:val="none" w:sz="0" w:space="0" w:color="auto"/>
            <w:bottom w:val="none" w:sz="0" w:space="0" w:color="auto"/>
            <w:right w:val="none" w:sz="0" w:space="0" w:color="auto"/>
          </w:divBdr>
        </w:div>
        <w:div w:id="2058384574">
          <w:marLeft w:val="0"/>
          <w:marRight w:val="0"/>
          <w:marTop w:val="0"/>
          <w:marBottom w:val="0"/>
          <w:divBdr>
            <w:top w:val="none" w:sz="0" w:space="0" w:color="auto"/>
            <w:left w:val="none" w:sz="0" w:space="0" w:color="auto"/>
            <w:bottom w:val="none" w:sz="0" w:space="0" w:color="auto"/>
            <w:right w:val="none" w:sz="0" w:space="0" w:color="auto"/>
          </w:divBdr>
        </w:div>
      </w:divsChild>
    </w:div>
    <w:div w:id="1403917347">
      <w:bodyDiv w:val="1"/>
      <w:marLeft w:val="0"/>
      <w:marRight w:val="0"/>
      <w:marTop w:val="0"/>
      <w:marBottom w:val="0"/>
      <w:divBdr>
        <w:top w:val="none" w:sz="0" w:space="0" w:color="auto"/>
        <w:left w:val="none" w:sz="0" w:space="0" w:color="auto"/>
        <w:bottom w:val="none" w:sz="0" w:space="0" w:color="auto"/>
        <w:right w:val="none" w:sz="0" w:space="0" w:color="auto"/>
      </w:divBdr>
    </w:div>
    <w:div w:id="1409958487">
      <w:bodyDiv w:val="1"/>
      <w:marLeft w:val="0"/>
      <w:marRight w:val="0"/>
      <w:marTop w:val="0"/>
      <w:marBottom w:val="0"/>
      <w:divBdr>
        <w:top w:val="none" w:sz="0" w:space="0" w:color="auto"/>
        <w:left w:val="none" w:sz="0" w:space="0" w:color="auto"/>
        <w:bottom w:val="none" w:sz="0" w:space="0" w:color="auto"/>
        <w:right w:val="none" w:sz="0" w:space="0" w:color="auto"/>
      </w:divBdr>
    </w:div>
    <w:div w:id="1419209364">
      <w:bodyDiv w:val="1"/>
      <w:marLeft w:val="0"/>
      <w:marRight w:val="0"/>
      <w:marTop w:val="0"/>
      <w:marBottom w:val="0"/>
      <w:divBdr>
        <w:top w:val="none" w:sz="0" w:space="0" w:color="auto"/>
        <w:left w:val="none" w:sz="0" w:space="0" w:color="auto"/>
        <w:bottom w:val="none" w:sz="0" w:space="0" w:color="auto"/>
        <w:right w:val="none" w:sz="0" w:space="0" w:color="auto"/>
      </w:divBdr>
      <w:divsChild>
        <w:div w:id="509031534">
          <w:marLeft w:val="0"/>
          <w:marRight w:val="0"/>
          <w:marTop w:val="0"/>
          <w:marBottom w:val="0"/>
          <w:divBdr>
            <w:top w:val="none" w:sz="0" w:space="0" w:color="auto"/>
            <w:left w:val="none" w:sz="0" w:space="0" w:color="auto"/>
            <w:bottom w:val="none" w:sz="0" w:space="0" w:color="auto"/>
            <w:right w:val="none" w:sz="0" w:space="0" w:color="auto"/>
          </w:divBdr>
        </w:div>
        <w:div w:id="533737220">
          <w:marLeft w:val="0"/>
          <w:marRight w:val="0"/>
          <w:marTop w:val="0"/>
          <w:marBottom w:val="0"/>
          <w:divBdr>
            <w:top w:val="none" w:sz="0" w:space="0" w:color="auto"/>
            <w:left w:val="none" w:sz="0" w:space="0" w:color="auto"/>
            <w:bottom w:val="none" w:sz="0" w:space="0" w:color="auto"/>
            <w:right w:val="none" w:sz="0" w:space="0" w:color="auto"/>
          </w:divBdr>
        </w:div>
        <w:div w:id="1227253829">
          <w:marLeft w:val="0"/>
          <w:marRight w:val="0"/>
          <w:marTop w:val="0"/>
          <w:marBottom w:val="0"/>
          <w:divBdr>
            <w:top w:val="none" w:sz="0" w:space="0" w:color="auto"/>
            <w:left w:val="none" w:sz="0" w:space="0" w:color="auto"/>
            <w:bottom w:val="none" w:sz="0" w:space="0" w:color="auto"/>
            <w:right w:val="none" w:sz="0" w:space="0" w:color="auto"/>
          </w:divBdr>
        </w:div>
        <w:div w:id="1269968745">
          <w:marLeft w:val="0"/>
          <w:marRight w:val="0"/>
          <w:marTop w:val="0"/>
          <w:marBottom w:val="0"/>
          <w:divBdr>
            <w:top w:val="none" w:sz="0" w:space="0" w:color="auto"/>
            <w:left w:val="none" w:sz="0" w:space="0" w:color="auto"/>
            <w:bottom w:val="none" w:sz="0" w:space="0" w:color="auto"/>
            <w:right w:val="none" w:sz="0" w:space="0" w:color="auto"/>
          </w:divBdr>
        </w:div>
        <w:div w:id="1287128800">
          <w:marLeft w:val="0"/>
          <w:marRight w:val="0"/>
          <w:marTop w:val="0"/>
          <w:marBottom w:val="0"/>
          <w:divBdr>
            <w:top w:val="none" w:sz="0" w:space="0" w:color="auto"/>
            <w:left w:val="none" w:sz="0" w:space="0" w:color="auto"/>
            <w:bottom w:val="none" w:sz="0" w:space="0" w:color="auto"/>
            <w:right w:val="none" w:sz="0" w:space="0" w:color="auto"/>
          </w:divBdr>
        </w:div>
      </w:divsChild>
    </w:div>
    <w:div w:id="1428767812">
      <w:bodyDiv w:val="1"/>
      <w:marLeft w:val="0"/>
      <w:marRight w:val="0"/>
      <w:marTop w:val="0"/>
      <w:marBottom w:val="0"/>
      <w:divBdr>
        <w:top w:val="none" w:sz="0" w:space="0" w:color="auto"/>
        <w:left w:val="none" w:sz="0" w:space="0" w:color="auto"/>
        <w:bottom w:val="none" w:sz="0" w:space="0" w:color="auto"/>
        <w:right w:val="none" w:sz="0" w:space="0" w:color="auto"/>
      </w:divBdr>
      <w:divsChild>
        <w:div w:id="357318212">
          <w:marLeft w:val="0"/>
          <w:marRight w:val="0"/>
          <w:marTop w:val="0"/>
          <w:marBottom w:val="0"/>
          <w:divBdr>
            <w:top w:val="none" w:sz="0" w:space="0" w:color="auto"/>
            <w:left w:val="none" w:sz="0" w:space="0" w:color="auto"/>
            <w:bottom w:val="none" w:sz="0" w:space="0" w:color="auto"/>
            <w:right w:val="none" w:sz="0" w:space="0" w:color="auto"/>
          </w:divBdr>
        </w:div>
        <w:div w:id="725028201">
          <w:marLeft w:val="0"/>
          <w:marRight w:val="0"/>
          <w:marTop w:val="0"/>
          <w:marBottom w:val="0"/>
          <w:divBdr>
            <w:top w:val="none" w:sz="0" w:space="0" w:color="auto"/>
            <w:left w:val="none" w:sz="0" w:space="0" w:color="auto"/>
            <w:bottom w:val="none" w:sz="0" w:space="0" w:color="auto"/>
            <w:right w:val="none" w:sz="0" w:space="0" w:color="auto"/>
          </w:divBdr>
        </w:div>
        <w:div w:id="1467428622">
          <w:marLeft w:val="0"/>
          <w:marRight w:val="0"/>
          <w:marTop w:val="0"/>
          <w:marBottom w:val="0"/>
          <w:divBdr>
            <w:top w:val="none" w:sz="0" w:space="0" w:color="auto"/>
            <w:left w:val="none" w:sz="0" w:space="0" w:color="auto"/>
            <w:bottom w:val="none" w:sz="0" w:space="0" w:color="auto"/>
            <w:right w:val="none" w:sz="0" w:space="0" w:color="auto"/>
          </w:divBdr>
        </w:div>
        <w:div w:id="1795519558">
          <w:marLeft w:val="0"/>
          <w:marRight w:val="0"/>
          <w:marTop w:val="0"/>
          <w:marBottom w:val="0"/>
          <w:divBdr>
            <w:top w:val="none" w:sz="0" w:space="0" w:color="auto"/>
            <w:left w:val="none" w:sz="0" w:space="0" w:color="auto"/>
            <w:bottom w:val="none" w:sz="0" w:space="0" w:color="auto"/>
            <w:right w:val="none" w:sz="0" w:space="0" w:color="auto"/>
          </w:divBdr>
        </w:div>
        <w:div w:id="2037776793">
          <w:marLeft w:val="0"/>
          <w:marRight w:val="0"/>
          <w:marTop w:val="0"/>
          <w:marBottom w:val="0"/>
          <w:divBdr>
            <w:top w:val="none" w:sz="0" w:space="0" w:color="auto"/>
            <w:left w:val="none" w:sz="0" w:space="0" w:color="auto"/>
            <w:bottom w:val="none" w:sz="0" w:space="0" w:color="auto"/>
            <w:right w:val="none" w:sz="0" w:space="0" w:color="auto"/>
          </w:divBdr>
        </w:div>
      </w:divsChild>
    </w:div>
    <w:div w:id="1433431939">
      <w:bodyDiv w:val="1"/>
      <w:marLeft w:val="0"/>
      <w:marRight w:val="0"/>
      <w:marTop w:val="0"/>
      <w:marBottom w:val="0"/>
      <w:divBdr>
        <w:top w:val="none" w:sz="0" w:space="0" w:color="auto"/>
        <w:left w:val="none" w:sz="0" w:space="0" w:color="auto"/>
        <w:bottom w:val="none" w:sz="0" w:space="0" w:color="auto"/>
        <w:right w:val="none" w:sz="0" w:space="0" w:color="auto"/>
      </w:divBdr>
    </w:div>
    <w:div w:id="1433550382">
      <w:bodyDiv w:val="1"/>
      <w:marLeft w:val="0"/>
      <w:marRight w:val="0"/>
      <w:marTop w:val="0"/>
      <w:marBottom w:val="0"/>
      <w:divBdr>
        <w:top w:val="none" w:sz="0" w:space="0" w:color="auto"/>
        <w:left w:val="none" w:sz="0" w:space="0" w:color="auto"/>
        <w:bottom w:val="none" w:sz="0" w:space="0" w:color="auto"/>
        <w:right w:val="none" w:sz="0" w:space="0" w:color="auto"/>
      </w:divBdr>
    </w:div>
    <w:div w:id="1450247784">
      <w:bodyDiv w:val="1"/>
      <w:marLeft w:val="0"/>
      <w:marRight w:val="0"/>
      <w:marTop w:val="0"/>
      <w:marBottom w:val="0"/>
      <w:divBdr>
        <w:top w:val="none" w:sz="0" w:space="0" w:color="auto"/>
        <w:left w:val="none" w:sz="0" w:space="0" w:color="auto"/>
        <w:bottom w:val="none" w:sz="0" w:space="0" w:color="auto"/>
        <w:right w:val="none" w:sz="0" w:space="0" w:color="auto"/>
      </w:divBdr>
    </w:div>
    <w:div w:id="1519126601">
      <w:bodyDiv w:val="1"/>
      <w:marLeft w:val="0"/>
      <w:marRight w:val="0"/>
      <w:marTop w:val="0"/>
      <w:marBottom w:val="0"/>
      <w:divBdr>
        <w:top w:val="none" w:sz="0" w:space="0" w:color="auto"/>
        <w:left w:val="none" w:sz="0" w:space="0" w:color="auto"/>
        <w:bottom w:val="none" w:sz="0" w:space="0" w:color="auto"/>
        <w:right w:val="none" w:sz="0" w:space="0" w:color="auto"/>
      </w:divBdr>
    </w:div>
    <w:div w:id="1521965448">
      <w:bodyDiv w:val="1"/>
      <w:marLeft w:val="0"/>
      <w:marRight w:val="0"/>
      <w:marTop w:val="0"/>
      <w:marBottom w:val="0"/>
      <w:divBdr>
        <w:top w:val="none" w:sz="0" w:space="0" w:color="auto"/>
        <w:left w:val="none" w:sz="0" w:space="0" w:color="auto"/>
        <w:bottom w:val="none" w:sz="0" w:space="0" w:color="auto"/>
        <w:right w:val="none" w:sz="0" w:space="0" w:color="auto"/>
      </w:divBdr>
    </w:div>
    <w:div w:id="1544319020">
      <w:bodyDiv w:val="1"/>
      <w:marLeft w:val="0"/>
      <w:marRight w:val="0"/>
      <w:marTop w:val="0"/>
      <w:marBottom w:val="0"/>
      <w:divBdr>
        <w:top w:val="none" w:sz="0" w:space="0" w:color="auto"/>
        <w:left w:val="none" w:sz="0" w:space="0" w:color="auto"/>
        <w:bottom w:val="none" w:sz="0" w:space="0" w:color="auto"/>
        <w:right w:val="none" w:sz="0" w:space="0" w:color="auto"/>
      </w:divBdr>
    </w:div>
    <w:div w:id="1549413066">
      <w:bodyDiv w:val="1"/>
      <w:marLeft w:val="0"/>
      <w:marRight w:val="0"/>
      <w:marTop w:val="0"/>
      <w:marBottom w:val="0"/>
      <w:divBdr>
        <w:top w:val="none" w:sz="0" w:space="0" w:color="auto"/>
        <w:left w:val="none" w:sz="0" w:space="0" w:color="auto"/>
        <w:bottom w:val="none" w:sz="0" w:space="0" w:color="auto"/>
        <w:right w:val="none" w:sz="0" w:space="0" w:color="auto"/>
      </w:divBdr>
    </w:div>
    <w:div w:id="1552502916">
      <w:bodyDiv w:val="1"/>
      <w:marLeft w:val="0"/>
      <w:marRight w:val="0"/>
      <w:marTop w:val="0"/>
      <w:marBottom w:val="0"/>
      <w:divBdr>
        <w:top w:val="none" w:sz="0" w:space="0" w:color="auto"/>
        <w:left w:val="none" w:sz="0" w:space="0" w:color="auto"/>
        <w:bottom w:val="none" w:sz="0" w:space="0" w:color="auto"/>
        <w:right w:val="none" w:sz="0" w:space="0" w:color="auto"/>
      </w:divBdr>
      <w:divsChild>
        <w:div w:id="3753060">
          <w:marLeft w:val="0"/>
          <w:marRight w:val="0"/>
          <w:marTop w:val="0"/>
          <w:marBottom w:val="0"/>
          <w:divBdr>
            <w:top w:val="none" w:sz="0" w:space="0" w:color="auto"/>
            <w:left w:val="none" w:sz="0" w:space="0" w:color="auto"/>
            <w:bottom w:val="none" w:sz="0" w:space="0" w:color="auto"/>
            <w:right w:val="none" w:sz="0" w:space="0" w:color="auto"/>
          </w:divBdr>
        </w:div>
        <w:div w:id="206573307">
          <w:marLeft w:val="0"/>
          <w:marRight w:val="0"/>
          <w:marTop w:val="0"/>
          <w:marBottom w:val="0"/>
          <w:divBdr>
            <w:top w:val="none" w:sz="0" w:space="0" w:color="auto"/>
            <w:left w:val="none" w:sz="0" w:space="0" w:color="auto"/>
            <w:bottom w:val="none" w:sz="0" w:space="0" w:color="auto"/>
            <w:right w:val="none" w:sz="0" w:space="0" w:color="auto"/>
          </w:divBdr>
        </w:div>
        <w:div w:id="1226139070">
          <w:marLeft w:val="0"/>
          <w:marRight w:val="0"/>
          <w:marTop w:val="0"/>
          <w:marBottom w:val="0"/>
          <w:divBdr>
            <w:top w:val="none" w:sz="0" w:space="0" w:color="auto"/>
            <w:left w:val="none" w:sz="0" w:space="0" w:color="auto"/>
            <w:bottom w:val="none" w:sz="0" w:space="0" w:color="auto"/>
            <w:right w:val="none" w:sz="0" w:space="0" w:color="auto"/>
          </w:divBdr>
        </w:div>
        <w:div w:id="1339697647">
          <w:marLeft w:val="0"/>
          <w:marRight w:val="0"/>
          <w:marTop w:val="0"/>
          <w:marBottom w:val="0"/>
          <w:divBdr>
            <w:top w:val="none" w:sz="0" w:space="0" w:color="auto"/>
            <w:left w:val="none" w:sz="0" w:space="0" w:color="auto"/>
            <w:bottom w:val="none" w:sz="0" w:space="0" w:color="auto"/>
            <w:right w:val="none" w:sz="0" w:space="0" w:color="auto"/>
          </w:divBdr>
        </w:div>
        <w:div w:id="1427774139">
          <w:marLeft w:val="0"/>
          <w:marRight w:val="0"/>
          <w:marTop w:val="0"/>
          <w:marBottom w:val="0"/>
          <w:divBdr>
            <w:top w:val="none" w:sz="0" w:space="0" w:color="auto"/>
            <w:left w:val="none" w:sz="0" w:space="0" w:color="auto"/>
            <w:bottom w:val="none" w:sz="0" w:space="0" w:color="auto"/>
            <w:right w:val="none" w:sz="0" w:space="0" w:color="auto"/>
          </w:divBdr>
        </w:div>
      </w:divsChild>
    </w:div>
    <w:div w:id="1554727831">
      <w:bodyDiv w:val="1"/>
      <w:marLeft w:val="0"/>
      <w:marRight w:val="0"/>
      <w:marTop w:val="0"/>
      <w:marBottom w:val="0"/>
      <w:divBdr>
        <w:top w:val="none" w:sz="0" w:space="0" w:color="auto"/>
        <w:left w:val="none" w:sz="0" w:space="0" w:color="auto"/>
        <w:bottom w:val="none" w:sz="0" w:space="0" w:color="auto"/>
        <w:right w:val="none" w:sz="0" w:space="0" w:color="auto"/>
      </w:divBdr>
    </w:div>
    <w:div w:id="1559589284">
      <w:bodyDiv w:val="1"/>
      <w:marLeft w:val="0"/>
      <w:marRight w:val="0"/>
      <w:marTop w:val="0"/>
      <w:marBottom w:val="0"/>
      <w:divBdr>
        <w:top w:val="none" w:sz="0" w:space="0" w:color="auto"/>
        <w:left w:val="none" w:sz="0" w:space="0" w:color="auto"/>
        <w:bottom w:val="none" w:sz="0" w:space="0" w:color="auto"/>
        <w:right w:val="none" w:sz="0" w:space="0" w:color="auto"/>
      </w:divBdr>
      <w:divsChild>
        <w:div w:id="581061813">
          <w:marLeft w:val="0"/>
          <w:marRight w:val="0"/>
          <w:marTop w:val="0"/>
          <w:marBottom w:val="0"/>
          <w:divBdr>
            <w:top w:val="none" w:sz="0" w:space="0" w:color="auto"/>
            <w:left w:val="none" w:sz="0" w:space="0" w:color="auto"/>
            <w:bottom w:val="none" w:sz="0" w:space="0" w:color="auto"/>
            <w:right w:val="none" w:sz="0" w:space="0" w:color="auto"/>
          </w:divBdr>
        </w:div>
        <w:div w:id="593708321">
          <w:marLeft w:val="0"/>
          <w:marRight w:val="0"/>
          <w:marTop w:val="0"/>
          <w:marBottom w:val="0"/>
          <w:divBdr>
            <w:top w:val="none" w:sz="0" w:space="0" w:color="auto"/>
            <w:left w:val="none" w:sz="0" w:space="0" w:color="auto"/>
            <w:bottom w:val="none" w:sz="0" w:space="0" w:color="auto"/>
            <w:right w:val="none" w:sz="0" w:space="0" w:color="auto"/>
          </w:divBdr>
          <w:divsChild>
            <w:div w:id="1863787900">
              <w:marLeft w:val="-75"/>
              <w:marRight w:val="0"/>
              <w:marTop w:val="30"/>
              <w:marBottom w:val="30"/>
              <w:divBdr>
                <w:top w:val="none" w:sz="0" w:space="0" w:color="auto"/>
                <w:left w:val="none" w:sz="0" w:space="0" w:color="auto"/>
                <w:bottom w:val="none" w:sz="0" w:space="0" w:color="auto"/>
                <w:right w:val="none" w:sz="0" w:space="0" w:color="auto"/>
              </w:divBdr>
              <w:divsChild>
                <w:div w:id="41172527">
                  <w:marLeft w:val="0"/>
                  <w:marRight w:val="0"/>
                  <w:marTop w:val="0"/>
                  <w:marBottom w:val="0"/>
                  <w:divBdr>
                    <w:top w:val="none" w:sz="0" w:space="0" w:color="auto"/>
                    <w:left w:val="none" w:sz="0" w:space="0" w:color="auto"/>
                    <w:bottom w:val="none" w:sz="0" w:space="0" w:color="auto"/>
                    <w:right w:val="none" w:sz="0" w:space="0" w:color="auto"/>
                  </w:divBdr>
                  <w:divsChild>
                    <w:div w:id="1146702840">
                      <w:marLeft w:val="0"/>
                      <w:marRight w:val="0"/>
                      <w:marTop w:val="0"/>
                      <w:marBottom w:val="0"/>
                      <w:divBdr>
                        <w:top w:val="none" w:sz="0" w:space="0" w:color="auto"/>
                        <w:left w:val="none" w:sz="0" w:space="0" w:color="auto"/>
                        <w:bottom w:val="none" w:sz="0" w:space="0" w:color="auto"/>
                        <w:right w:val="none" w:sz="0" w:space="0" w:color="auto"/>
                      </w:divBdr>
                    </w:div>
                  </w:divsChild>
                </w:div>
                <w:div w:id="133104444">
                  <w:marLeft w:val="0"/>
                  <w:marRight w:val="0"/>
                  <w:marTop w:val="0"/>
                  <w:marBottom w:val="0"/>
                  <w:divBdr>
                    <w:top w:val="none" w:sz="0" w:space="0" w:color="auto"/>
                    <w:left w:val="none" w:sz="0" w:space="0" w:color="auto"/>
                    <w:bottom w:val="none" w:sz="0" w:space="0" w:color="auto"/>
                    <w:right w:val="none" w:sz="0" w:space="0" w:color="auto"/>
                  </w:divBdr>
                  <w:divsChild>
                    <w:div w:id="517810933">
                      <w:marLeft w:val="0"/>
                      <w:marRight w:val="0"/>
                      <w:marTop w:val="0"/>
                      <w:marBottom w:val="0"/>
                      <w:divBdr>
                        <w:top w:val="none" w:sz="0" w:space="0" w:color="auto"/>
                        <w:left w:val="none" w:sz="0" w:space="0" w:color="auto"/>
                        <w:bottom w:val="none" w:sz="0" w:space="0" w:color="auto"/>
                        <w:right w:val="none" w:sz="0" w:space="0" w:color="auto"/>
                      </w:divBdr>
                    </w:div>
                  </w:divsChild>
                </w:div>
                <w:div w:id="182979759">
                  <w:marLeft w:val="0"/>
                  <w:marRight w:val="0"/>
                  <w:marTop w:val="0"/>
                  <w:marBottom w:val="0"/>
                  <w:divBdr>
                    <w:top w:val="none" w:sz="0" w:space="0" w:color="auto"/>
                    <w:left w:val="none" w:sz="0" w:space="0" w:color="auto"/>
                    <w:bottom w:val="none" w:sz="0" w:space="0" w:color="auto"/>
                    <w:right w:val="none" w:sz="0" w:space="0" w:color="auto"/>
                  </w:divBdr>
                  <w:divsChild>
                    <w:div w:id="881022599">
                      <w:marLeft w:val="0"/>
                      <w:marRight w:val="0"/>
                      <w:marTop w:val="0"/>
                      <w:marBottom w:val="0"/>
                      <w:divBdr>
                        <w:top w:val="none" w:sz="0" w:space="0" w:color="auto"/>
                        <w:left w:val="none" w:sz="0" w:space="0" w:color="auto"/>
                        <w:bottom w:val="none" w:sz="0" w:space="0" w:color="auto"/>
                        <w:right w:val="none" w:sz="0" w:space="0" w:color="auto"/>
                      </w:divBdr>
                    </w:div>
                  </w:divsChild>
                </w:div>
                <w:div w:id="197012087">
                  <w:marLeft w:val="0"/>
                  <w:marRight w:val="0"/>
                  <w:marTop w:val="0"/>
                  <w:marBottom w:val="0"/>
                  <w:divBdr>
                    <w:top w:val="none" w:sz="0" w:space="0" w:color="auto"/>
                    <w:left w:val="none" w:sz="0" w:space="0" w:color="auto"/>
                    <w:bottom w:val="none" w:sz="0" w:space="0" w:color="auto"/>
                    <w:right w:val="none" w:sz="0" w:space="0" w:color="auto"/>
                  </w:divBdr>
                  <w:divsChild>
                    <w:div w:id="262960427">
                      <w:marLeft w:val="0"/>
                      <w:marRight w:val="0"/>
                      <w:marTop w:val="0"/>
                      <w:marBottom w:val="0"/>
                      <w:divBdr>
                        <w:top w:val="none" w:sz="0" w:space="0" w:color="auto"/>
                        <w:left w:val="none" w:sz="0" w:space="0" w:color="auto"/>
                        <w:bottom w:val="none" w:sz="0" w:space="0" w:color="auto"/>
                        <w:right w:val="none" w:sz="0" w:space="0" w:color="auto"/>
                      </w:divBdr>
                    </w:div>
                  </w:divsChild>
                </w:div>
                <w:div w:id="201792644">
                  <w:marLeft w:val="0"/>
                  <w:marRight w:val="0"/>
                  <w:marTop w:val="0"/>
                  <w:marBottom w:val="0"/>
                  <w:divBdr>
                    <w:top w:val="none" w:sz="0" w:space="0" w:color="auto"/>
                    <w:left w:val="none" w:sz="0" w:space="0" w:color="auto"/>
                    <w:bottom w:val="none" w:sz="0" w:space="0" w:color="auto"/>
                    <w:right w:val="none" w:sz="0" w:space="0" w:color="auto"/>
                  </w:divBdr>
                  <w:divsChild>
                    <w:div w:id="230193561">
                      <w:marLeft w:val="0"/>
                      <w:marRight w:val="0"/>
                      <w:marTop w:val="0"/>
                      <w:marBottom w:val="0"/>
                      <w:divBdr>
                        <w:top w:val="none" w:sz="0" w:space="0" w:color="auto"/>
                        <w:left w:val="none" w:sz="0" w:space="0" w:color="auto"/>
                        <w:bottom w:val="none" w:sz="0" w:space="0" w:color="auto"/>
                        <w:right w:val="none" w:sz="0" w:space="0" w:color="auto"/>
                      </w:divBdr>
                    </w:div>
                  </w:divsChild>
                </w:div>
                <w:div w:id="279072315">
                  <w:marLeft w:val="0"/>
                  <w:marRight w:val="0"/>
                  <w:marTop w:val="0"/>
                  <w:marBottom w:val="0"/>
                  <w:divBdr>
                    <w:top w:val="none" w:sz="0" w:space="0" w:color="auto"/>
                    <w:left w:val="none" w:sz="0" w:space="0" w:color="auto"/>
                    <w:bottom w:val="none" w:sz="0" w:space="0" w:color="auto"/>
                    <w:right w:val="none" w:sz="0" w:space="0" w:color="auto"/>
                  </w:divBdr>
                  <w:divsChild>
                    <w:div w:id="2054425234">
                      <w:marLeft w:val="0"/>
                      <w:marRight w:val="0"/>
                      <w:marTop w:val="0"/>
                      <w:marBottom w:val="0"/>
                      <w:divBdr>
                        <w:top w:val="none" w:sz="0" w:space="0" w:color="auto"/>
                        <w:left w:val="none" w:sz="0" w:space="0" w:color="auto"/>
                        <w:bottom w:val="none" w:sz="0" w:space="0" w:color="auto"/>
                        <w:right w:val="none" w:sz="0" w:space="0" w:color="auto"/>
                      </w:divBdr>
                    </w:div>
                  </w:divsChild>
                </w:div>
                <w:div w:id="279917722">
                  <w:marLeft w:val="0"/>
                  <w:marRight w:val="0"/>
                  <w:marTop w:val="0"/>
                  <w:marBottom w:val="0"/>
                  <w:divBdr>
                    <w:top w:val="none" w:sz="0" w:space="0" w:color="auto"/>
                    <w:left w:val="none" w:sz="0" w:space="0" w:color="auto"/>
                    <w:bottom w:val="none" w:sz="0" w:space="0" w:color="auto"/>
                    <w:right w:val="none" w:sz="0" w:space="0" w:color="auto"/>
                  </w:divBdr>
                  <w:divsChild>
                    <w:div w:id="2040036935">
                      <w:marLeft w:val="0"/>
                      <w:marRight w:val="0"/>
                      <w:marTop w:val="0"/>
                      <w:marBottom w:val="0"/>
                      <w:divBdr>
                        <w:top w:val="none" w:sz="0" w:space="0" w:color="auto"/>
                        <w:left w:val="none" w:sz="0" w:space="0" w:color="auto"/>
                        <w:bottom w:val="none" w:sz="0" w:space="0" w:color="auto"/>
                        <w:right w:val="none" w:sz="0" w:space="0" w:color="auto"/>
                      </w:divBdr>
                    </w:div>
                  </w:divsChild>
                </w:div>
                <w:div w:id="299115433">
                  <w:marLeft w:val="0"/>
                  <w:marRight w:val="0"/>
                  <w:marTop w:val="0"/>
                  <w:marBottom w:val="0"/>
                  <w:divBdr>
                    <w:top w:val="none" w:sz="0" w:space="0" w:color="auto"/>
                    <w:left w:val="none" w:sz="0" w:space="0" w:color="auto"/>
                    <w:bottom w:val="none" w:sz="0" w:space="0" w:color="auto"/>
                    <w:right w:val="none" w:sz="0" w:space="0" w:color="auto"/>
                  </w:divBdr>
                  <w:divsChild>
                    <w:div w:id="38357858">
                      <w:marLeft w:val="0"/>
                      <w:marRight w:val="0"/>
                      <w:marTop w:val="0"/>
                      <w:marBottom w:val="0"/>
                      <w:divBdr>
                        <w:top w:val="none" w:sz="0" w:space="0" w:color="auto"/>
                        <w:left w:val="none" w:sz="0" w:space="0" w:color="auto"/>
                        <w:bottom w:val="none" w:sz="0" w:space="0" w:color="auto"/>
                        <w:right w:val="none" w:sz="0" w:space="0" w:color="auto"/>
                      </w:divBdr>
                    </w:div>
                  </w:divsChild>
                </w:div>
                <w:div w:id="341276055">
                  <w:marLeft w:val="0"/>
                  <w:marRight w:val="0"/>
                  <w:marTop w:val="0"/>
                  <w:marBottom w:val="0"/>
                  <w:divBdr>
                    <w:top w:val="none" w:sz="0" w:space="0" w:color="auto"/>
                    <w:left w:val="none" w:sz="0" w:space="0" w:color="auto"/>
                    <w:bottom w:val="none" w:sz="0" w:space="0" w:color="auto"/>
                    <w:right w:val="none" w:sz="0" w:space="0" w:color="auto"/>
                  </w:divBdr>
                  <w:divsChild>
                    <w:div w:id="1581325248">
                      <w:marLeft w:val="0"/>
                      <w:marRight w:val="0"/>
                      <w:marTop w:val="0"/>
                      <w:marBottom w:val="0"/>
                      <w:divBdr>
                        <w:top w:val="none" w:sz="0" w:space="0" w:color="auto"/>
                        <w:left w:val="none" w:sz="0" w:space="0" w:color="auto"/>
                        <w:bottom w:val="none" w:sz="0" w:space="0" w:color="auto"/>
                        <w:right w:val="none" w:sz="0" w:space="0" w:color="auto"/>
                      </w:divBdr>
                    </w:div>
                  </w:divsChild>
                </w:div>
                <w:div w:id="398484924">
                  <w:marLeft w:val="0"/>
                  <w:marRight w:val="0"/>
                  <w:marTop w:val="0"/>
                  <w:marBottom w:val="0"/>
                  <w:divBdr>
                    <w:top w:val="none" w:sz="0" w:space="0" w:color="auto"/>
                    <w:left w:val="none" w:sz="0" w:space="0" w:color="auto"/>
                    <w:bottom w:val="none" w:sz="0" w:space="0" w:color="auto"/>
                    <w:right w:val="none" w:sz="0" w:space="0" w:color="auto"/>
                  </w:divBdr>
                  <w:divsChild>
                    <w:div w:id="105930916">
                      <w:marLeft w:val="0"/>
                      <w:marRight w:val="0"/>
                      <w:marTop w:val="0"/>
                      <w:marBottom w:val="0"/>
                      <w:divBdr>
                        <w:top w:val="none" w:sz="0" w:space="0" w:color="auto"/>
                        <w:left w:val="none" w:sz="0" w:space="0" w:color="auto"/>
                        <w:bottom w:val="none" w:sz="0" w:space="0" w:color="auto"/>
                        <w:right w:val="none" w:sz="0" w:space="0" w:color="auto"/>
                      </w:divBdr>
                    </w:div>
                  </w:divsChild>
                </w:div>
                <w:div w:id="445540091">
                  <w:marLeft w:val="0"/>
                  <w:marRight w:val="0"/>
                  <w:marTop w:val="0"/>
                  <w:marBottom w:val="0"/>
                  <w:divBdr>
                    <w:top w:val="none" w:sz="0" w:space="0" w:color="auto"/>
                    <w:left w:val="none" w:sz="0" w:space="0" w:color="auto"/>
                    <w:bottom w:val="none" w:sz="0" w:space="0" w:color="auto"/>
                    <w:right w:val="none" w:sz="0" w:space="0" w:color="auto"/>
                  </w:divBdr>
                  <w:divsChild>
                    <w:div w:id="581911777">
                      <w:marLeft w:val="0"/>
                      <w:marRight w:val="0"/>
                      <w:marTop w:val="0"/>
                      <w:marBottom w:val="0"/>
                      <w:divBdr>
                        <w:top w:val="none" w:sz="0" w:space="0" w:color="auto"/>
                        <w:left w:val="none" w:sz="0" w:space="0" w:color="auto"/>
                        <w:bottom w:val="none" w:sz="0" w:space="0" w:color="auto"/>
                        <w:right w:val="none" w:sz="0" w:space="0" w:color="auto"/>
                      </w:divBdr>
                    </w:div>
                  </w:divsChild>
                </w:div>
                <w:div w:id="479883099">
                  <w:marLeft w:val="0"/>
                  <w:marRight w:val="0"/>
                  <w:marTop w:val="0"/>
                  <w:marBottom w:val="0"/>
                  <w:divBdr>
                    <w:top w:val="none" w:sz="0" w:space="0" w:color="auto"/>
                    <w:left w:val="none" w:sz="0" w:space="0" w:color="auto"/>
                    <w:bottom w:val="none" w:sz="0" w:space="0" w:color="auto"/>
                    <w:right w:val="none" w:sz="0" w:space="0" w:color="auto"/>
                  </w:divBdr>
                  <w:divsChild>
                    <w:div w:id="147596328">
                      <w:marLeft w:val="0"/>
                      <w:marRight w:val="0"/>
                      <w:marTop w:val="0"/>
                      <w:marBottom w:val="0"/>
                      <w:divBdr>
                        <w:top w:val="none" w:sz="0" w:space="0" w:color="auto"/>
                        <w:left w:val="none" w:sz="0" w:space="0" w:color="auto"/>
                        <w:bottom w:val="none" w:sz="0" w:space="0" w:color="auto"/>
                        <w:right w:val="none" w:sz="0" w:space="0" w:color="auto"/>
                      </w:divBdr>
                    </w:div>
                  </w:divsChild>
                </w:div>
                <w:div w:id="486555106">
                  <w:marLeft w:val="0"/>
                  <w:marRight w:val="0"/>
                  <w:marTop w:val="0"/>
                  <w:marBottom w:val="0"/>
                  <w:divBdr>
                    <w:top w:val="none" w:sz="0" w:space="0" w:color="auto"/>
                    <w:left w:val="none" w:sz="0" w:space="0" w:color="auto"/>
                    <w:bottom w:val="none" w:sz="0" w:space="0" w:color="auto"/>
                    <w:right w:val="none" w:sz="0" w:space="0" w:color="auto"/>
                  </w:divBdr>
                  <w:divsChild>
                    <w:div w:id="2010980915">
                      <w:marLeft w:val="0"/>
                      <w:marRight w:val="0"/>
                      <w:marTop w:val="0"/>
                      <w:marBottom w:val="0"/>
                      <w:divBdr>
                        <w:top w:val="none" w:sz="0" w:space="0" w:color="auto"/>
                        <w:left w:val="none" w:sz="0" w:space="0" w:color="auto"/>
                        <w:bottom w:val="none" w:sz="0" w:space="0" w:color="auto"/>
                        <w:right w:val="none" w:sz="0" w:space="0" w:color="auto"/>
                      </w:divBdr>
                    </w:div>
                  </w:divsChild>
                </w:div>
                <w:div w:id="585461215">
                  <w:marLeft w:val="0"/>
                  <w:marRight w:val="0"/>
                  <w:marTop w:val="0"/>
                  <w:marBottom w:val="0"/>
                  <w:divBdr>
                    <w:top w:val="none" w:sz="0" w:space="0" w:color="auto"/>
                    <w:left w:val="none" w:sz="0" w:space="0" w:color="auto"/>
                    <w:bottom w:val="none" w:sz="0" w:space="0" w:color="auto"/>
                    <w:right w:val="none" w:sz="0" w:space="0" w:color="auto"/>
                  </w:divBdr>
                  <w:divsChild>
                    <w:div w:id="1367294111">
                      <w:marLeft w:val="0"/>
                      <w:marRight w:val="0"/>
                      <w:marTop w:val="0"/>
                      <w:marBottom w:val="0"/>
                      <w:divBdr>
                        <w:top w:val="none" w:sz="0" w:space="0" w:color="auto"/>
                        <w:left w:val="none" w:sz="0" w:space="0" w:color="auto"/>
                        <w:bottom w:val="none" w:sz="0" w:space="0" w:color="auto"/>
                        <w:right w:val="none" w:sz="0" w:space="0" w:color="auto"/>
                      </w:divBdr>
                    </w:div>
                  </w:divsChild>
                </w:div>
                <w:div w:id="599990614">
                  <w:marLeft w:val="0"/>
                  <w:marRight w:val="0"/>
                  <w:marTop w:val="0"/>
                  <w:marBottom w:val="0"/>
                  <w:divBdr>
                    <w:top w:val="none" w:sz="0" w:space="0" w:color="auto"/>
                    <w:left w:val="none" w:sz="0" w:space="0" w:color="auto"/>
                    <w:bottom w:val="none" w:sz="0" w:space="0" w:color="auto"/>
                    <w:right w:val="none" w:sz="0" w:space="0" w:color="auto"/>
                  </w:divBdr>
                  <w:divsChild>
                    <w:div w:id="155145740">
                      <w:marLeft w:val="0"/>
                      <w:marRight w:val="0"/>
                      <w:marTop w:val="0"/>
                      <w:marBottom w:val="0"/>
                      <w:divBdr>
                        <w:top w:val="none" w:sz="0" w:space="0" w:color="auto"/>
                        <w:left w:val="none" w:sz="0" w:space="0" w:color="auto"/>
                        <w:bottom w:val="none" w:sz="0" w:space="0" w:color="auto"/>
                        <w:right w:val="none" w:sz="0" w:space="0" w:color="auto"/>
                      </w:divBdr>
                    </w:div>
                  </w:divsChild>
                </w:div>
                <w:div w:id="611475153">
                  <w:marLeft w:val="0"/>
                  <w:marRight w:val="0"/>
                  <w:marTop w:val="0"/>
                  <w:marBottom w:val="0"/>
                  <w:divBdr>
                    <w:top w:val="none" w:sz="0" w:space="0" w:color="auto"/>
                    <w:left w:val="none" w:sz="0" w:space="0" w:color="auto"/>
                    <w:bottom w:val="none" w:sz="0" w:space="0" w:color="auto"/>
                    <w:right w:val="none" w:sz="0" w:space="0" w:color="auto"/>
                  </w:divBdr>
                  <w:divsChild>
                    <w:div w:id="371731994">
                      <w:marLeft w:val="0"/>
                      <w:marRight w:val="0"/>
                      <w:marTop w:val="0"/>
                      <w:marBottom w:val="0"/>
                      <w:divBdr>
                        <w:top w:val="none" w:sz="0" w:space="0" w:color="auto"/>
                        <w:left w:val="none" w:sz="0" w:space="0" w:color="auto"/>
                        <w:bottom w:val="none" w:sz="0" w:space="0" w:color="auto"/>
                        <w:right w:val="none" w:sz="0" w:space="0" w:color="auto"/>
                      </w:divBdr>
                    </w:div>
                  </w:divsChild>
                </w:div>
                <w:div w:id="631207724">
                  <w:marLeft w:val="0"/>
                  <w:marRight w:val="0"/>
                  <w:marTop w:val="0"/>
                  <w:marBottom w:val="0"/>
                  <w:divBdr>
                    <w:top w:val="none" w:sz="0" w:space="0" w:color="auto"/>
                    <w:left w:val="none" w:sz="0" w:space="0" w:color="auto"/>
                    <w:bottom w:val="none" w:sz="0" w:space="0" w:color="auto"/>
                    <w:right w:val="none" w:sz="0" w:space="0" w:color="auto"/>
                  </w:divBdr>
                  <w:divsChild>
                    <w:div w:id="1368335070">
                      <w:marLeft w:val="0"/>
                      <w:marRight w:val="0"/>
                      <w:marTop w:val="0"/>
                      <w:marBottom w:val="0"/>
                      <w:divBdr>
                        <w:top w:val="none" w:sz="0" w:space="0" w:color="auto"/>
                        <w:left w:val="none" w:sz="0" w:space="0" w:color="auto"/>
                        <w:bottom w:val="none" w:sz="0" w:space="0" w:color="auto"/>
                        <w:right w:val="none" w:sz="0" w:space="0" w:color="auto"/>
                      </w:divBdr>
                    </w:div>
                  </w:divsChild>
                </w:div>
                <w:div w:id="782110853">
                  <w:marLeft w:val="0"/>
                  <w:marRight w:val="0"/>
                  <w:marTop w:val="0"/>
                  <w:marBottom w:val="0"/>
                  <w:divBdr>
                    <w:top w:val="none" w:sz="0" w:space="0" w:color="auto"/>
                    <w:left w:val="none" w:sz="0" w:space="0" w:color="auto"/>
                    <w:bottom w:val="none" w:sz="0" w:space="0" w:color="auto"/>
                    <w:right w:val="none" w:sz="0" w:space="0" w:color="auto"/>
                  </w:divBdr>
                  <w:divsChild>
                    <w:div w:id="287978080">
                      <w:marLeft w:val="0"/>
                      <w:marRight w:val="0"/>
                      <w:marTop w:val="0"/>
                      <w:marBottom w:val="0"/>
                      <w:divBdr>
                        <w:top w:val="none" w:sz="0" w:space="0" w:color="auto"/>
                        <w:left w:val="none" w:sz="0" w:space="0" w:color="auto"/>
                        <w:bottom w:val="none" w:sz="0" w:space="0" w:color="auto"/>
                        <w:right w:val="none" w:sz="0" w:space="0" w:color="auto"/>
                      </w:divBdr>
                    </w:div>
                  </w:divsChild>
                </w:div>
                <w:div w:id="798693068">
                  <w:marLeft w:val="0"/>
                  <w:marRight w:val="0"/>
                  <w:marTop w:val="0"/>
                  <w:marBottom w:val="0"/>
                  <w:divBdr>
                    <w:top w:val="none" w:sz="0" w:space="0" w:color="auto"/>
                    <w:left w:val="none" w:sz="0" w:space="0" w:color="auto"/>
                    <w:bottom w:val="none" w:sz="0" w:space="0" w:color="auto"/>
                    <w:right w:val="none" w:sz="0" w:space="0" w:color="auto"/>
                  </w:divBdr>
                  <w:divsChild>
                    <w:div w:id="122966156">
                      <w:marLeft w:val="0"/>
                      <w:marRight w:val="0"/>
                      <w:marTop w:val="0"/>
                      <w:marBottom w:val="0"/>
                      <w:divBdr>
                        <w:top w:val="none" w:sz="0" w:space="0" w:color="auto"/>
                        <w:left w:val="none" w:sz="0" w:space="0" w:color="auto"/>
                        <w:bottom w:val="none" w:sz="0" w:space="0" w:color="auto"/>
                        <w:right w:val="none" w:sz="0" w:space="0" w:color="auto"/>
                      </w:divBdr>
                    </w:div>
                  </w:divsChild>
                </w:div>
                <w:div w:id="916477067">
                  <w:marLeft w:val="0"/>
                  <w:marRight w:val="0"/>
                  <w:marTop w:val="0"/>
                  <w:marBottom w:val="0"/>
                  <w:divBdr>
                    <w:top w:val="none" w:sz="0" w:space="0" w:color="auto"/>
                    <w:left w:val="none" w:sz="0" w:space="0" w:color="auto"/>
                    <w:bottom w:val="none" w:sz="0" w:space="0" w:color="auto"/>
                    <w:right w:val="none" w:sz="0" w:space="0" w:color="auto"/>
                  </w:divBdr>
                  <w:divsChild>
                    <w:div w:id="1960452860">
                      <w:marLeft w:val="0"/>
                      <w:marRight w:val="0"/>
                      <w:marTop w:val="0"/>
                      <w:marBottom w:val="0"/>
                      <w:divBdr>
                        <w:top w:val="none" w:sz="0" w:space="0" w:color="auto"/>
                        <w:left w:val="none" w:sz="0" w:space="0" w:color="auto"/>
                        <w:bottom w:val="none" w:sz="0" w:space="0" w:color="auto"/>
                        <w:right w:val="none" w:sz="0" w:space="0" w:color="auto"/>
                      </w:divBdr>
                    </w:div>
                  </w:divsChild>
                </w:div>
                <w:div w:id="922763719">
                  <w:marLeft w:val="0"/>
                  <w:marRight w:val="0"/>
                  <w:marTop w:val="0"/>
                  <w:marBottom w:val="0"/>
                  <w:divBdr>
                    <w:top w:val="none" w:sz="0" w:space="0" w:color="auto"/>
                    <w:left w:val="none" w:sz="0" w:space="0" w:color="auto"/>
                    <w:bottom w:val="none" w:sz="0" w:space="0" w:color="auto"/>
                    <w:right w:val="none" w:sz="0" w:space="0" w:color="auto"/>
                  </w:divBdr>
                  <w:divsChild>
                    <w:div w:id="142086452">
                      <w:marLeft w:val="0"/>
                      <w:marRight w:val="0"/>
                      <w:marTop w:val="0"/>
                      <w:marBottom w:val="0"/>
                      <w:divBdr>
                        <w:top w:val="none" w:sz="0" w:space="0" w:color="auto"/>
                        <w:left w:val="none" w:sz="0" w:space="0" w:color="auto"/>
                        <w:bottom w:val="none" w:sz="0" w:space="0" w:color="auto"/>
                        <w:right w:val="none" w:sz="0" w:space="0" w:color="auto"/>
                      </w:divBdr>
                    </w:div>
                    <w:div w:id="177280480">
                      <w:marLeft w:val="0"/>
                      <w:marRight w:val="0"/>
                      <w:marTop w:val="0"/>
                      <w:marBottom w:val="0"/>
                      <w:divBdr>
                        <w:top w:val="none" w:sz="0" w:space="0" w:color="auto"/>
                        <w:left w:val="none" w:sz="0" w:space="0" w:color="auto"/>
                        <w:bottom w:val="none" w:sz="0" w:space="0" w:color="auto"/>
                        <w:right w:val="none" w:sz="0" w:space="0" w:color="auto"/>
                      </w:divBdr>
                    </w:div>
                    <w:div w:id="343096999">
                      <w:marLeft w:val="0"/>
                      <w:marRight w:val="0"/>
                      <w:marTop w:val="0"/>
                      <w:marBottom w:val="0"/>
                      <w:divBdr>
                        <w:top w:val="none" w:sz="0" w:space="0" w:color="auto"/>
                        <w:left w:val="none" w:sz="0" w:space="0" w:color="auto"/>
                        <w:bottom w:val="none" w:sz="0" w:space="0" w:color="auto"/>
                        <w:right w:val="none" w:sz="0" w:space="0" w:color="auto"/>
                      </w:divBdr>
                    </w:div>
                    <w:div w:id="499660667">
                      <w:marLeft w:val="0"/>
                      <w:marRight w:val="0"/>
                      <w:marTop w:val="0"/>
                      <w:marBottom w:val="0"/>
                      <w:divBdr>
                        <w:top w:val="none" w:sz="0" w:space="0" w:color="auto"/>
                        <w:left w:val="none" w:sz="0" w:space="0" w:color="auto"/>
                        <w:bottom w:val="none" w:sz="0" w:space="0" w:color="auto"/>
                        <w:right w:val="none" w:sz="0" w:space="0" w:color="auto"/>
                      </w:divBdr>
                    </w:div>
                    <w:div w:id="632247066">
                      <w:marLeft w:val="0"/>
                      <w:marRight w:val="0"/>
                      <w:marTop w:val="0"/>
                      <w:marBottom w:val="0"/>
                      <w:divBdr>
                        <w:top w:val="none" w:sz="0" w:space="0" w:color="auto"/>
                        <w:left w:val="none" w:sz="0" w:space="0" w:color="auto"/>
                        <w:bottom w:val="none" w:sz="0" w:space="0" w:color="auto"/>
                        <w:right w:val="none" w:sz="0" w:space="0" w:color="auto"/>
                      </w:divBdr>
                    </w:div>
                    <w:div w:id="1064840562">
                      <w:marLeft w:val="0"/>
                      <w:marRight w:val="0"/>
                      <w:marTop w:val="0"/>
                      <w:marBottom w:val="0"/>
                      <w:divBdr>
                        <w:top w:val="none" w:sz="0" w:space="0" w:color="auto"/>
                        <w:left w:val="none" w:sz="0" w:space="0" w:color="auto"/>
                        <w:bottom w:val="none" w:sz="0" w:space="0" w:color="auto"/>
                        <w:right w:val="none" w:sz="0" w:space="0" w:color="auto"/>
                      </w:divBdr>
                    </w:div>
                  </w:divsChild>
                </w:div>
                <w:div w:id="932011883">
                  <w:marLeft w:val="0"/>
                  <w:marRight w:val="0"/>
                  <w:marTop w:val="0"/>
                  <w:marBottom w:val="0"/>
                  <w:divBdr>
                    <w:top w:val="none" w:sz="0" w:space="0" w:color="auto"/>
                    <w:left w:val="none" w:sz="0" w:space="0" w:color="auto"/>
                    <w:bottom w:val="none" w:sz="0" w:space="0" w:color="auto"/>
                    <w:right w:val="none" w:sz="0" w:space="0" w:color="auto"/>
                  </w:divBdr>
                  <w:divsChild>
                    <w:div w:id="319427026">
                      <w:marLeft w:val="0"/>
                      <w:marRight w:val="0"/>
                      <w:marTop w:val="0"/>
                      <w:marBottom w:val="0"/>
                      <w:divBdr>
                        <w:top w:val="none" w:sz="0" w:space="0" w:color="auto"/>
                        <w:left w:val="none" w:sz="0" w:space="0" w:color="auto"/>
                        <w:bottom w:val="none" w:sz="0" w:space="0" w:color="auto"/>
                        <w:right w:val="none" w:sz="0" w:space="0" w:color="auto"/>
                      </w:divBdr>
                    </w:div>
                  </w:divsChild>
                </w:div>
                <w:div w:id="956371719">
                  <w:marLeft w:val="0"/>
                  <w:marRight w:val="0"/>
                  <w:marTop w:val="0"/>
                  <w:marBottom w:val="0"/>
                  <w:divBdr>
                    <w:top w:val="none" w:sz="0" w:space="0" w:color="auto"/>
                    <w:left w:val="none" w:sz="0" w:space="0" w:color="auto"/>
                    <w:bottom w:val="none" w:sz="0" w:space="0" w:color="auto"/>
                    <w:right w:val="none" w:sz="0" w:space="0" w:color="auto"/>
                  </w:divBdr>
                  <w:divsChild>
                    <w:div w:id="1240287802">
                      <w:marLeft w:val="0"/>
                      <w:marRight w:val="0"/>
                      <w:marTop w:val="0"/>
                      <w:marBottom w:val="0"/>
                      <w:divBdr>
                        <w:top w:val="none" w:sz="0" w:space="0" w:color="auto"/>
                        <w:left w:val="none" w:sz="0" w:space="0" w:color="auto"/>
                        <w:bottom w:val="none" w:sz="0" w:space="0" w:color="auto"/>
                        <w:right w:val="none" w:sz="0" w:space="0" w:color="auto"/>
                      </w:divBdr>
                    </w:div>
                  </w:divsChild>
                </w:div>
                <w:div w:id="1080492866">
                  <w:marLeft w:val="0"/>
                  <w:marRight w:val="0"/>
                  <w:marTop w:val="0"/>
                  <w:marBottom w:val="0"/>
                  <w:divBdr>
                    <w:top w:val="none" w:sz="0" w:space="0" w:color="auto"/>
                    <w:left w:val="none" w:sz="0" w:space="0" w:color="auto"/>
                    <w:bottom w:val="none" w:sz="0" w:space="0" w:color="auto"/>
                    <w:right w:val="none" w:sz="0" w:space="0" w:color="auto"/>
                  </w:divBdr>
                  <w:divsChild>
                    <w:div w:id="2131581930">
                      <w:marLeft w:val="0"/>
                      <w:marRight w:val="0"/>
                      <w:marTop w:val="0"/>
                      <w:marBottom w:val="0"/>
                      <w:divBdr>
                        <w:top w:val="none" w:sz="0" w:space="0" w:color="auto"/>
                        <w:left w:val="none" w:sz="0" w:space="0" w:color="auto"/>
                        <w:bottom w:val="none" w:sz="0" w:space="0" w:color="auto"/>
                        <w:right w:val="none" w:sz="0" w:space="0" w:color="auto"/>
                      </w:divBdr>
                    </w:div>
                  </w:divsChild>
                </w:div>
                <w:div w:id="1085764516">
                  <w:marLeft w:val="0"/>
                  <w:marRight w:val="0"/>
                  <w:marTop w:val="0"/>
                  <w:marBottom w:val="0"/>
                  <w:divBdr>
                    <w:top w:val="none" w:sz="0" w:space="0" w:color="auto"/>
                    <w:left w:val="none" w:sz="0" w:space="0" w:color="auto"/>
                    <w:bottom w:val="none" w:sz="0" w:space="0" w:color="auto"/>
                    <w:right w:val="none" w:sz="0" w:space="0" w:color="auto"/>
                  </w:divBdr>
                  <w:divsChild>
                    <w:div w:id="1004472299">
                      <w:marLeft w:val="0"/>
                      <w:marRight w:val="0"/>
                      <w:marTop w:val="0"/>
                      <w:marBottom w:val="0"/>
                      <w:divBdr>
                        <w:top w:val="none" w:sz="0" w:space="0" w:color="auto"/>
                        <w:left w:val="none" w:sz="0" w:space="0" w:color="auto"/>
                        <w:bottom w:val="none" w:sz="0" w:space="0" w:color="auto"/>
                        <w:right w:val="none" w:sz="0" w:space="0" w:color="auto"/>
                      </w:divBdr>
                    </w:div>
                  </w:divsChild>
                </w:div>
                <w:div w:id="1117287318">
                  <w:marLeft w:val="0"/>
                  <w:marRight w:val="0"/>
                  <w:marTop w:val="0"/>
                  <w:marBottom w:val="0"/>
                  <w:divBdr>
                    <w:top w:val="none" w:sz="0" w:space="0" w:color="auto"/>
                    <w:left w:val="none" w:sz="0" w:space="0" w:color="auto"/>
                    <w:bottom w:val="none" w:sz="0" w:space="0" w:color="auto"/>
                    <w:right w:val="none" w:sz="0" w:space="0" w:color="auto"/>
                  </w:divBdr>
                  <w:divsChild>
                    <w:div w:id="1114906177">
                      <w:marLeft w:val="0"/>
                      <w:marRight w:val="0"/>
                      <w:marTop w:val="0"/>
                      <w:marBottom w:val="0"/>
                      <w:divBdr>
                        <w:top w:val="none" w:sz="0" w:space="0" w:color="auto"/>
                        <w:left w:val="none" w:sz="0" w:space="0" w:color="auto"/>
                        <w:bottom w:val="none" w:sz="0" w:space="0" w:color="auto"/>
                        <w:right w:val="none" w:sz="0" w:space="0" w:color="auto"/>
                      </w:divBdr>
                    </w:div>
                  </w:divsChild>
                </w:div>
                <w:div w:id="1174540058">
                  <w:marLeft w:val="0"/>
                  <w:marRight w:val="0"/>
                  <w:marTop w:val="0"/>
                  <w:marBottom w:val="0"/>
                  <w:divBdr>
                    <w:top w:val="none" w:sz="0" w:space="0" w:color="auto"/>
                    <w:left w:val="none" w:sz="0" w:space="0" w:color="auto"/>
                    <w:bottom w:val="none" w:sz="0" w:space="0" w:color="auto"/>
                    <w:right w:val="none" w:sz="0" w:space="0" w:color="auto"/>
                  </w:divBdr>
                  <w:divsChild>
                    <w:div w:id="250479648">
                      <w:marLeft w:val="0"/>
                      <w:marRight w:val="0"/>
                      <w:marTop w:val="0"/>
                      <w:marBottom w:val="0"/>
                      <w:divBdr>
                        <w:top w:val="none" w:sz="0" w:space="0" w:color="auto"/>
                        <w:left w:val="none" w:sz="0" w:space="0" w:color="auto"/>
                        <w:bottom w:val="none" w:sz="0" w:space="0" w:color="auto"/>
                        <w:right w:val="none" w:sz="0" w:space="0" w:color="auto"/>
                      </w:divBdr>
                    </w:div>
                  </w:divsChild>
                </w:div>
                <w:div w:id="1189418159">
                  <w:marLeft w:val="0"/>
                  <w:marRight w:val="0"/>
                  <w:marTop w:val="0"/>
                  <w:marBottom w:val="0"/>
                  <w:divBdr>
                    <w:top w:val="none" w:sz="0" w:space="0" w:color="auto"/>
                    <w:left w:val="none" w:sz="0" w:space="0" w:color="auto"/>
                    <w:bottom w:val="none" w:sz="0" w:space="0" w:color="auto"/>
                    <w:right w:val="none" w:sz="0" w:space="0" w:color="auto"/>
                  </w:divBdr>
                  <w:divsChild>
                    <w:div w:id="973868218">
                      <w:marLeft w:val="0"/>
                      <w:marRight w:val="0"/>
                      <w:marTop w:val="0"/>
                      <w:marBottom w:val="0"/>
                      <w:divBdr>
                        <w:top w:val="none" w:sz="0" w:space="0" w:color="auto"/>
                        <w:left w:val="none" w:sz="0" w:space="0" w:color="auto"/>
                        <w:bottom w:val="none" w:sz="0" w:space="0" w:color="auto"/>
                        <w:right w:val="none" w:sz="0" w:space="0" w:color="auto"/>
                      </w:divBdr>
                    </w:div>
                  </w:divsChild>
                </w:div>
                <w:div w:id="1195924363">
                  <w:marLeft w:val="0"/>
                  <w:marRight w:val="0"/>
                  <w:marTop w:val="0"/>
                  <w:marBottom w:val="0"/>
                  <w:divBdr>
                    <w:top w:val="none" w:sz="0" w:space="0" w:color="auto"/>
                    <w:left w:val="none" w:sz="0" w:space="0" w:color="auto"/>
                    <w:bottom w:val="none" w:sz="0" w:space="0" w:color="auto"/>
                    <w:right w:val="none" w:sz="0" w:space="0" w:color="auto"/>
                  </w:divBdr>
                  <w:divsChild>
                    <w:div w:id="2124952671">
                      <w:marLeft w:val="0"/>
                      <w:marRight w:val="0"/>
                      <w:marTop w:val="0"/>
                      <w:marBottom w:val="0"/>
                      <w:divBdr>
                        <w:top w:val="none" w:sz="0" w:space="0" w:color="auto"/>
                        <w:left w:val="none" w:sz="0" w:space="0" w:color="auto"/>
                        <w:bottom w:val="none" w:sz="0" w:space="0" w:color="auto"/>
                        <w:right w:val="none" w:sz="0" w:space="0" w:color="auto"/>
                      </w:divBdr>
                    </w:div>
                  </w:divsChild>
                </w:div>
                <w:div w:id="1197236287">
                  <w:marLeft w:val="0"/>
                  <w:marRight w:val="0"/>
                  <w:marTop w:val="0"/>
                  <w:marBottom w:val="0"/>
                  <w:divBdr>
                    <w:top w:val="none" w:sz="0" w:space="0" w:color="auto"/>
                    <w:left w:val="none" w:sz="0" w:space="0" w:color="auto"/>
                    <w:bottom w:val="none" w:sz="0" w:space="0" w:color="auto"/>
                    <w:right w:val="none" w:sz="0" w:space="0" w:color="auto"/>
                  </w:divBdr>
                  <w:divsChild>
                    <w:div w:id="264385208">
                      <w:marLeft w:val="0"/>
                      <w:marRight w:val="0"/>
                      <w:marTop w:val="0"/>
                      <w:marBottom w:val="0"/>
                      <w:divBdr>
                        <w:top w:val="none" w:sz="0" w:space="0" w:color="auto"/>
                        <w:left w:val="none" w:sz="0" w:space="0" w:color="auto"/>
                        <w:bottom w:val="none" w:sz="0" w:space="0" w:color="auto"/>
                        <w:right w:val="none" w:sz="0" w:space="0" w:color="auto"/>
                      </w:divBdr>
                    </w:div>
                  </w:divsChild>
                </w:div>
                <w:div w:id="1220288828">
                  <w:marLeft w:val="0"/>
                  <w:marRight w:val="0"/>
                  <w:marTop w:val="0"/>
                  <w:marBottom w:val="0"/>
                  <w:divBdr>
                    <w:top w:val="none" w:sz="0" w:space="0" w:color="auto"/>
                    <w:left w:val="none" w:sz="0" w:space="0" w:color="auto"/>
                    <w:bottom w:val="none" w:sz="0" w:space="0" w:color="auto"/>
                    <w:right w:val="none" w:sz="0" w:space="0" w:color="auto"/>
                  </w:divBdr>
                  <w:divsChild>
                    <w:div w:id="445806716">
                      <w:marLeft w:val="0"/>
                      <w:marRight w:val="0"/>
                      <w:marTop w:val="0"/>
                      <w:marBottom w:val="0"/>
                      <w:divBdr>
                        <w:top w:val="none" w:sz="0" w:space="0" w:color="auto"/>
                        <w:left w:val="none" w:sz="0" w:space="0" w:color="auto"/>
                        <w:bottom w:val="none" w:sz="0" w:space="0" w:color="auto"/>
                        <w:right w:val="none" w:sz="0" w:space="0" w:color="auto"/>
                      </w:divBdr>
                    </w:div>
                  </w:divsChild>
                </w:div>
                <w:div w:id="1234850050">
                  <w:marLeft w:val="0"/>
                  <w:marRight w:val="0"/>
                  <w:marTop w:val="0"/>
                  <w:marBottom w:val="0"/>
                  <w:divBdr>
                    <w:top w:val="none" w:sz="0" w:space="0" w:color="auto"/>
                    <w:left w:val="none" w:sz="0" w:space="0" w:color="auto"/>
                    <w:bottom w:val="none" w:sz="0" w:space="0" w:color="auto"/>
                    <w:right w:val="none" w:sz="0" w:space="0" w:color="auto"/>
                  </w:divBdr>
                  <w:divsChild>
                    <w:div w:id="225918599">
                      <w:marLeft w:val="0"/>
                      <w:marRight w:val="0"/>
                      <w:marTop w:val="0"/>
                      <w:marBottom w:val="0"/>
                      <w:divBdr>
                        <w:top w:val="none" w:sz="0" w:space="0" w:color="auto"/>
                        <w:left w:val="none" w:sz="0" w:space="0" w:color="auto"/>
                        <w:bottom w:val="none" w:sz="0" w:space="0" w:color="auto"/>
                        <w:right w:val="none" w:sz="0" w:space="0" w:color="auto"/>
                      </w:divBdr>
                    </w:div>
                  </w:divsChild>
                </w:div>
                <w:div w:id="1323660426">
                  <w:marLeft w:val="0"/>
                  <w:marRight w:val="0"/>
                  <w:marTop w:val="0"/>
                  <w:marBottom w:val="0"/>
                  <w:divBdr>
                    <w:top w:val="none" w:sz="0" w:space="0" w:color="auto"/>
                    <w:left w:val="none" w:sz="0" w:space="0" w:color="auto"/>
                    <w:bottom w:val="none" w:sz="0" w:space="0" w:color="auto"/>
                    <w:right w:val="none" w:sz="0" w:space="0" w:color="auto"/>
                  </w:divBdr>
                  <w:divsChild>
                    <w:div w:id="577716601">
                      <w:marLeft w:val="0"/>
                      <w:marRight w:val="0"/>
                      <w:marTop w:val="0"/>
                      <w:marBottom w:val="0"/>
                      <w:divBdr>
                        <w:top w:val="none" w:sz="0" w:space="0" w:color="auto"/>
                        <w:left w:val="none" w:sz="0" w:space="0" w:color="auto"/>
                        <w:bottom w:val="none" w:sz="0" w:space="0" w:color="auto"/>
                        <w:right w:val="none" w:sz="0" w:space="0" w:color="auto"/>
                      </w:divBdr>
                    </w:div>
                  </w:divsChild>
                </w:div>
                <w:div w:id="1342122669">
                  <w:marLeft w:val="0"/>
                  <w:marRight w:val="0"/>
                  <w:marTop w:val="0"/>
                  <w:marBottom w:val="0"/>
                  <w:divBdr>
                    <w:top w:val="none" w:sz="0" w:space="0" w:color="auto"/>
                    <w:left w:val="none" w:sz="0" w:space="0" w:color="auto"/>
                    <w:bottom w:val="none" w:sz="0" w:space="0" w:color="auto"/>
                    <w:right w:val="none" w:sz="0" w:space="0" w:color="auto"/>
                  </w:divBdr>
                  <w:divsChild>
                    <w:div w:id="1631979613">
                      <w:marLeft w:val="0"/>
                      <w:marRight w:val="0"/>
                      <w:marTop w:val="0"/>
                      <w:marBottom w:val="0"/>
                      <w:divBdr>
                        <w:top w:val="none" w:sz="0" w:space="0" w:color="auto"/>
                        <w:left w:val="none" w:sz="0" w:space="0" w:color="auto"/>
                        <w:bottom w:val="none" w:sz="0" w:space="0" w:color="auto"/>
                        <w:right w:val="none" w:sz="0" w:space="0" w:color="auto"/>
                      </w:divBdr>
                    </w:div>
                  </w:divsChild>
                </w:div>
                <w:div w:id="1412122317">
                  <w:marLeft w:val="0"/>
                  <w:marRight w:val="0"/>
                  <w:marTop w:val="0"/>
                  <w:marBottom w:val="0"/>
                  <w:divBdr>
                    <w:top w:val="none" w:sz="0" w:space="0" w:color="auto"/>
                    <w:left w:val="none" w:sz="0" w:space="0" w:color="auto"/>
                    <w:bottom w:val="none" w:sz="0" w:space="0" w:color="auto"/>
                    <w:right w:val="none" w:sz="0" w:space="0" w:color="auto"/>
                  </w:divBdr>
                  <w:divsChild>
                    <w:div w:id="1358388963">
                      <w:marLeft w:val="0"/>
                      <w:marRight w:val="0"/>
                      <w:marTop w:val="0"/>
                      <w:marBottom w:val="0"/>
                      <w:divBdr>
                        <w:top w:val="none" w:sz="0" w:space="0" w:color="auto"/>
                        <w:left w:val="none" w:sz="0" w:space="0" w:color="auto"/>
                        <w:bottom w:val="none" w:sz="0" w:space="0" w:color="auto"/>
                        <w:right w:val="none" w:sz="0" w:space="0" w:color="auto"/>
                      </w:divBdr>
                    </w:div>
                  </w:divsChild>
                </w:div>
                <w:div w:id="1508977767">
                  <w:marLeft w:val="0"/>
                  <w:marRight w:val="0"/>
                  <w:marTop w:val="0"/>
                  <w:marBottom w:val="0"/>
                  <w:divBdr>
                    <w:top w:val="none" w:sz="0" w:space="0" w:color="auto"/>
                    <w:left w:val="none" w:sz="0" w:space="0" w:color="auto"/>
                    <w:bottom w:val="none" w:sz="0" w:space="0" w:color="auto"/>
                    <w:right w:val="none" w:sz="0" w:space="0" w:color="auto"/>
                  </w:divBdr>
                  <w:divsChild>
                    <w:div w:id="1187865316">
                      <w:marLeft w:val="0"/>
                      <w:marRight w:val="0"/>
                      <w:marTop w:val="0"/>
                      <w:marBottom w:val="0"/>
                      <w:divBdr>
                        <w:top w:val="none" w:sz="0" w:space="0" w:color="auto"/>
                        <w:left w:val="none" w:sz="0" w:space="0" w:color="auto"/>
                        <w:bottom w:val="none" w:sz="0" w:space="0" w:color="auto"/>
                        <w:right w:val="none" w:sz="0" w:space="0" w:color="auto"/>
                      </w:divBdr>
                    </w:div>
                  </w:divsChild>
                </w:div>
                <w:div w:id="1517698110">
                  <w:marLeft w:val="0"/>
                  <w:marRight w:val="0"/>
                  <w:marTop w:val="0"/>
                  <w:marBottom w:val="0"/>
                  <w:divBdr>
                    <w:top w:val="none" w:sz="0" w:space="0" w:color="auto"/>
                    <w:left w:val="none" w:sz="0" w:space="0" w:color="auto"/>
                    <w:bottom w:val="none" w:sz="0" w:space="0" w:color="auto"/>
                    <w:right w:val="none" w:sz="0" w:space="0" w:color="auto"/>
                  </w:divBdr>
                  <w:divsChild>
                    <w:div w:id="331416098">
                      <w:marLeft w:val="0"/>
                      <w:marRight w:val="0"/>
                      <w:marTop w:val="0"/>
                      <w:marBottom w:val="0"/>
                      <w:divBdr>
                        <w:top w:val="none" w:sz="0" w:space="0" w:color="auto"/>
                        <w:left w:val="none" w:sz="0" w:space="0" w:color="auto"/>
                        <w:bottom w:val="none" w:sz="0" w:space="0" w:color="auto"/>
                        <w:right w:val="none" w:sz="0" w:space="0" w:color="auto"/>
                      </w:divBdr>
                    </w:div>
                  </w:divsChild>
                </w:div>
                <w:div w:id="1551922378">
                  <w:marLeft w:val="0"/>
                  <w:marRight w:val="0"/>
                  <w:marTop w:val="0"/>
                  <w:marBottom w:val="0"/>
                  <w:divBdr>
                    <w:top w:val="none" w:sz="0" w:space="0" w:color="auto"/>
                    <w:left w:val="none" w:sz="0" w:space="0" w:color="auto"/>
                    <w:bottom w:val="none" w:sz="0" w:space="0" w:color="auto"/>
                    <w:right w:val="none" w:sz="0" w:space="0" w:color="auto"/>
                  </w:divBdr>
                  <w:divsChild>
                    <w:div w:id="477234956">
                      <w:marLeft w:val="0"/>
                      <w:marRight w:val="0"/>
                      <w:marTop w:val="0"/>
                      <w:marBottom w:val="0"/>
                      <w:divBdr>
                        <w:top w:val="none" w:sz="0" w:space="0" w:color="auto"/>
                        <w:left w:val="none" w:sz="0" w:space="0" w:color="auto"/>
                        <w:bottom w:val="none" w:sz="0" w:space="0" w:color="auto"/>
                        <w:right w:val="none" w:sz="0" w:space="0" w:color="auto"/>
                      </w:divBdr>
                    </w:div>
                  </w:divsChild>
                </w:div>
                <w:div w:id="1588225190">
                  <w:marLeft w:val="0"/>
                  <w:marRight w:val="0"/>
                  <w:marTop w:val="0"/>
                  <w:marBottom w:val="0"/>
                  <w:divBdr>
                    <w:top w:val="none" w:sz="0" w:space="0" w:color="auto"/>
                    <w:left w:val="none" w:sz="0" w:space="0" w:color="auto"/>
                    <w:bottom w:val="none" w:sz="0" w:space="0" w:color="auto"/>
                    <w:right w:val="none" w:sz="0" w:space="0" w:color="auto"/>
                  </w:divBdr>
                  <w:divsChild>
                    <w:div w:id="549192239">
                      <w:marLeft w:val="0"/>
                      <w:marRight w:val="0"/>
                      <w:marTop w:val="0"/>
                      <w:marBottom w:val="0"/>
                      <w:divBdr>
                        <w:top w:val="none" w:sz="0" w:space="0" w:color="auto"/>
                        <w:left w:val="none" w:sz="0" w:space="0" w:color="auto"/>
                        <w:bottom w:val="none" w:sz="0" w:space="0" w:color="auto"/>
                        <w:right w:val="none" w:sz="0" w:space="0" w:color="auto"/>
                      </w:divBdr>
                    </w:div>
                  </w:divsChild>
                </w:div>
                <w:div w:id="1589774701">
                  <w:marLeft w:val="0"/>
                  <w:marRight w:val="0"/>
                  <w:marTop w:val="0"/>
                  <w:marBottom w:val="0"/>
                  <w:divBdr>
                    <w:top w:val="none" w:sz="0" w:space="0" w:color="auto"/>
                    <w:left w:val="none" w:sz="0" w:space="0" w:color="auto"/>
                    <w:bottom w:val="none" w:sz="0" w:space="0" w:color="auto"/>
                    <w:right w:val="none" w:sz="0" w:space="0" w:color="auto"/>
                  </w:divBdr>
                  <w:divsChild>
                    <w:div w:id="1442064419">
                      <w:marLeft w:val="0"/>
                      <w:marRight w:val="0"/>
                      <w:marTop w:val="0"/>
                      <w:marBottom w:val="0"/>
                      <w:divBdr>
                        <w:top w:val="none" w:sz="0" w:space="0" w:color="auto"/>
                        <w:left w:val="none" w:sz="0" w:space="0" w:color="auto"/>
                        <w:bottom w:val="none" w:sz="0" w:space="0" w:color="auto"/>
                        <w:right w:val="none" w:sz="0" w:space="0" w:color="auto"/>
                      </w:divBdr>
                    </w:div>
                  </w:divsChild>
                </w:div>
                <w:div w:id="1653408517">
                  <w:marLeft w:val="0"/>
                  <w:marRight w:val="0"/>
                  <w:marTop w:val="0"/>
                  <w:marBottom w:val="0"/>
                  <w:divBdr>
                    <w:top w:val="none" w:sz="0" w:space="0" w:color="auto"/>
                    <w:left w:val="none" w:sz="0" w:space="0" w:color="auto"/>
                    <w:bottom w:val="none" w:sz="0" w:space="0" w:color="auto"/>
                    <w:right w:val="none" w:sz="0" w:space="0" w:color="auto"/>
                  </w:divBdr>
                  <w:divsChild>
                    <w:div w:id="21635610">
                      <w:marLeft w:val="0"/>
                      <w:marRight w:val="0"/>
                      <w:marTop w:val="0"/>
                      <w:marBottom w:val="0"/>
                      <w:divBdr>
                        <w:top w:val="none" w:sz="0" w:space="0" w:color="auto"/>
                        <w:left w:val="none" w:sz="0" w:space="0" w:color="auto"/>
                        <w:bottom w:val="none" w:sz="0" w:space="0" w:color="auto"/>
                        <w:right w:val="none" w:sz="0" w:space="0" w:color="auto"/>
                      </w:divBdr>
                    </w:div>
                  </w:divsChild>
                </w:div>
                <w:div w:id="1703091585">
                  <w:marLeft w:val="0"/>
                  <w:marRight w:val="0"/>
                  <w:marTop w:val="0"/>
                  <w:marBottom w:val="0"/>
                  <w:divBdr>
                    <w:top w:val="none" w:sz="0" w:space="0" w:color="auto"/>
                    <w:left w:val="none" w:sz="0" w:space="0" w:color="auto"/>
                    <w:bottom w:val="none" w:sz="0" w:space="0" w:color="auto"/>
                    <w:right w:val="none" w:sz="0" w:space="0" w:color="auto"/>
                  </w:divBdr>
                  <w:divsChild>
                    <w:div w:id="1850214950">
                      <w:marLeft w:val="0"/>
                      <w:marRight w:val="0"/>
                      <w:marTop w:val="0"/>
                      <w:marBottom w:val="0"/>
                      <w:divBdr>
                        <w:top w:val="none" w:sz="0" w:space="0" w:color="auto"/>
                        <w:left w:val="none" w:sz="0" w:space="0" w:color="auto"/>
                        <w:bottom w:val="none" w:sz="0" w:space="0" w:color="auto"/>
                        <w:right w:val="none" w:sz="0" w:space="0" w:color="auto"/>
                      </w:divBdr>
                    </w:div>
                  </w:divsChild>
                </w:div>
                <w:div w:id="1771046689">
                  <w:marLeft w:val="0"/>
                  <w:marRight w:val="0"/>
                  <w:marTop w:val="0"/>
                  <w:marBottom w:val="0"/>
                  <w:divBdr>
                    <w:top w:val="none" w:sz="0" w:space="0" w:color="auto"/>
                    <w:left w:val="none" w:sz="0" w:space="0" w:color="auto"/>
                    <w:bottom w:val="none" w:sz="0" w:space="0" w:color="auto"/>
                    <w:right w:val="none" w:sz="0" w:space="0" w:color="auto"/>
                  </w:divBdr>
                  <w:divsChild>
                    <w:div w:id="664239879">
                      <w:marLeft w:val="0"/>
                      <w:marRight w:val="0"/>
                      <w:marTop w:val="0"/>
                      <w:marBottom w:val="0"/>
                      <w:divBdr>
                        <w:top w:val="none" w:sz="0" w:space="0" w:color="auto"/>
                        <w:left w:val="none" w:sz="0" w:space="0" w:color="auto"/>
                        <w:bottom w:val="none" w:sz="0" w:space="0" w:color="auto"/>
                        <w:right w:val="none" w:sz="0" w:space="0" w:color="auto"/>
                      </w:divBdr>
                    </w:div>
                  </w:divsChild>
                </w:div>
                <w:div w:id="1778255034">
                  <w:marLeft w:val="0"/>
                  <w:marRight w:val="0"/>
                  <w:marTop w:val="0"/>
                  <w:marBottom w:val="0"/>
                  <w:divBdr>
                    <w:top w:val="none" w:sz="0" w:space="0" w:color="auto"/>
                    <w:left w:val="none" w:sz="0" w:space="0" w:color="auto"/>
                    <w:bottom w:val="none" w:sz="0" w:space="0" w:color="auto"/>
                    <w:right w:val="none" w:sz="0" w:space="0" w:color="auto"/>
                  </w:divBdr>
                  <w:divsChild>
                    <w:div w:id="2128500231">
                      <w:marLeft w:val="0"/>
                      <w:marRight w:val="0"/>
                      <w:marTop w:val="0"/>
                      <w:marBottom w:val="0"/>
                      <w:divBdr>
                        <w:top w:val="none" w:sz="0" w:space="0" w:color="auto"/>
                        <w:left w:val="none" w:sz="0" w:space="0" w:color="auto"/>
                        <w:bottom w:val="none" w:sz="0" w:space="0" w:color="auto"/>
                        <w:right w:val="none" w:sz="0" w:space="0" w:color="auto"/>
                      </w:divBdr>
                    </w:div>
                  </w:divsChild>
                </w:div>
                <w:div w:id="1789817747">
                  <w:marLeft w:val="0"/>
                  <w:marRight w:val="0"/>
                  <w:marTop w:val="0"/>
                  <w:marBottom w:val="0"/>
                  <w:divBdr>
                    <w:top w:val="none" w:sz="0" w:space="0" w:color="auto"/>
                    <w:left w:val="none" w:sz="0" w:space="0" w:color="auto"/>
                    <w:bottom w:val="none" w:sz="0" w:space="0" w:color="auto"/>
                    <w:right w:val="none" w:sz="0" w:space="0" w:color="auto"/>
                  </w:divBdr>
                  <w:divsChild>
                    <w:div w:id="957294714">
                      <w:marLeft w:val="0"/>
                      <w:marRight w:val="0"/>
                      <w:marTop w:val="0"/>
                      <w:marBottom w:val="0"/>
                      <w:divBdr>
                        <w:top w:val="none" w:sz="0" w:space="0" w:color="auto"/>
                        <w:left w:val="none" w:sz="0" w:space="0" w:color="auto"/>
                        <w:bottom w:val="none" w:sz="0" w:space="0" w:color="auto"/>
                        <w:right w:val="none" w:sz="0" w:space="0" w:color="auto"/>
                      </w:divBdr>
                    </w:div>
                  </w:divsChild>
                </w:div>
                <w:div w:id="1830634350">
                  <w:marLeft w:val="0"/>
                  <w:marRight w:val="0"/>
                  <w:marTop w:val="0"/>
                  <w:marBottom w:val="0"/>
                  <w:divBdr>
                    <w:top w:val="none" w:sz="0" w:space="0" w:color="auto"/>
                    <w:left w:val="none" w:sz="0" w:space="0" w:color="auto"/>
                    <w:bottom w:val="none" w:sz="0" w:space="0" w:color="auto"/>
                    <w:right w:val="none" w:sz="0" w:space="0" w:color="auto"/>
                  </w:divBdr>
                  <w:divsChild>
                    <w:div w:id="1290043050">
                      <w:marLeft w:val="0"/>
                      <w:marRight w:val="0"/>
                      <w:marTop w:val="0"/>
                      <w:marBottom w:val="0"/>
                      <w:divBdr>
                        <w:top w:val="none" w:sz="0" w:space="0" w:color="auto"/>
                        <w:left w:val="none" w:sz="0" w:space="0" w:color="auto"/>
                        <w:bottom w:val="none" w:sz="0" w:space="0" w:color="auto"/>
                        <w:right w:val="none" w:sz="0" w:space="0" w:color="auto"/>
                      </w:divBdr>
                    </w:div>
                  </w:divsChild>
                </w:div>
                <w:div w:id="1837500661">
                  <w:marLeft w:val="0"/>
                  <w:marRight w:val="0"/>
                  <w:marTop w:val="0"/>
                  <w:marBottom w:val="0"/>
                  <w:divBdr>
                    <w:top w:val="none" w:sz="0" w:space="0" w:color="auto"/>
                    <w:left w:val="none" w:sz="0" w:space="0" w:color="auto"/>
                    <w:bottom w:val="none" w:sz="0" w:space="0" w:color="auto"/>
                    <w:right w:val="none" w:sz="0" w:space="0" w:color="auto"/>
                  </w:divBdr>
                  <w:divsChild>
                    <w:div w:id="1135223313">
                      <w:marLeft w:val="0"/>
                      <w:marRight w:val="0"/>
                      <w:marTop w:val="0"/>
                      <w:marBottom w:val="0"/>
                      <w:divBdr>
                        <w:top w:val="none" w:sz="0" w:space="0" w:color="auto"/>
                        <w:left w:val="none" w:sz="0" w:space="0" w:color="auto"/>
                        <w:bottom w:val="none" w:sz="0" w:space="0" w:color="auto"/>
                        <w:right w:val="none" w:sz="0" w:space="0" w:color="auto"/>
                      </w:divBdr>
                    </w:div>
                  </w:divsChild>
                </w:div>
                <w:div w:id="1855338486">
                  <w:marLeft w:val="0"/>
                  <w:marRight w:val="0"/>
                  <w:marTop w:val="0"/>
                  <w:marBottom w:val="0"/>
                  <w:divBdr>
                    <w:top w:val="none" w:sz="0" w:space="0" w:color="auto"/>
                    <w:left w:val="none" w:sz="0" w:space="0" w:color="auto"/>
                    <w:bottom w:val="none" w:sz="0" w:space="0" w:color="auto"/>
                    <w:right w:val="none" w:sz="0" w:space="0" w:color="auto"/>
                  </w:divBdr>
                  <w:divsChild>
                    <w:div w:id="1985117846">
                      <w:marLeft w:val="0"/>
                      <w:marRight w:val="0"/>
                      <w:marTop w:val="0"/>
                      <w:marBottom w:val="0"/>
                      <w:divBdr>
                        <w:top w:val="none" w:sz="0" w:space="0" w:color="auto"/>
                        <w:left w:val="none" w:sz="0" w:space="0" w:color="auto"/>
                        <w:bottom w:val="none" w:sz="0" w:space="0" w:color="auto"/>
                        <w:right w:val="none" w:sz="0" w:space="0" w:color="auto"/>
                      </w:divBdr>
                    </w:div>
                  </w:divsChild>
                </w:div>
                <w:div w:id="1901866758">
                  <w:marLeft w:val="0"/>
                  <w:marRight w:val="0"/>
                  <w:marTop w:val="0"/>
                  <w:marBottom w:val="0"/>
                  <w:divBdr>
                    <w:top w:val="none" w:sz="0" w:space="0" w:color="auto"/>
                    <w:left w:val="none" w:sz="0" w:space="0" w:color="auto"/>
                    <w:bottom w:val="none" w:sz="0" w:space="0" w:color="auto"/>
                    <w:right w:val="none" w:sz="0" w:space="0" w:color="auto"/>
                  </w:divBdr>
                  <w:divsChild>
                    <w:div w:id="1252592400">
                      <w:marLeft w:val="0"/>
                      <w:marRight w:val="0"/>
                      <w:marTop w:val="0"/>
                      <w:marBottom w:val="0"/>
                      <w:divBdr>
                        <w:top w:val="none" w:sz="0" w:space="0" w:color="auto"/>
                        <w:left w:val="none" w:sz="0" w:space="0" w:color="auto"/>
                        <w:bottom w:val="none" w:sz="0" w:space="0" w:color="auto"/>
                        <w:right w:val="none" w:sz="0" w:space="0" w:color="auto"/>
                      </w:divBdr>
                    </w:div>
                  </w:divsChild>
                </w:div>
                <w:div w:id="2040157058">
                  <w:marLeft w:val="0"/>
                  <w:marRight w:val="0"/>
                  <w:marTop w:val="0"/>
                  <w:marBottom w:val="0"/>
                  <w:divBdr>
                    <w:top w:val="none" w:sz="0" w:space="0" w:color="auto"/>
                    <w:left w:val="none" w:sz="0" w:space="0" w:color="auto"/>
                    <w:bottom w:val="none" w:sz="0" w:space="0" w:color="auto"/>
                    <w:right w:val="none" w:sz="0" w:space="0" w:color="auto"/>
                  </w:divBdr>
                  <w:divsChild>
                    <w:div w:id="468476941">
                      <w:marLeft w:val="0"/>
                      <w:marRight w:val="0"/>
                      <w:marTop w:val="0"/>
                      <w:marBottom w:val="0"/>
                      <w:divBdr>
                        <w:top w:val="none" w:sz="0" w:space="0" w:color="auto"/>
                        <w:left w:val="none" w:sz="0" w:space="0" w:color="auto"/>
                        <w:bottom w:val="none" w:sz="0" w:space="0" w:color="auto"/>
                        <w:right w:val="none" w:sz="0" w:space="0" w:color="auto"/>
                      </w:divBdr>
                    </w:div>
                  </w:divsChild>
                </w:div>
                <w:div w:id="2123843230">
                  <w:marLeft w:val="0"/>
                  <w:marRight w:val="0"/>
                  <w:marTop w:val="0"/>
                  <w:marBottom w:val="0"/>
                  <w:divBdr>
                    <w:top w:val="none" w:sz="0" w:space="0" w:color="auto"/>
                    <w:left w:val="none" w:sz="0" w:space="0" w:color="auto"/>
                    <w:bottom w:val="none" w:sz="0" w:space="0" w:color="auto"/>
                    <w:right w:val="none" w:sz="0" w:space="0" w:color="auto"/>
                  </w:divBdr>
                  <w:divsChild>
                    <w:div w:id="5917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868023">
          <w:marLeft w:val="0"/>
          <w:marRight w:val="0"/>
          <w:marTop w:val="0"/>
          <w:marBottom w:val="0"/>
          <w:divBdr>
            <w:top w:val="none" w:sz="0" w:space="0" w:color="auto"/>
            <w:left w:val="none" w:sz="0" w:space="0" w:color="auto"/>
            <w:bottom w:val="none" w:sz="0" w:space="0" w:color="auto"/>
            <w:right w:val="none" w:sz="0" w:space="0" w:color="auto"/>
          </w:divBdr>
        </w:div>
      </w:divsChild>
    </w:div>
    <w:div w:id="1562908788">
      <w:bodyDiv w:val="1"/>
      <w:marLeft w:val="0"/>
      <w:marRight w:val="0"/>
      <w:marTop w:val="0"/>
      <w:marBottom w:val="0"/>
      <w:divBdr>
        <w:top w:val="none" w:sz="0" w:space="0" w:color="auto"/>
        <w:left w:val="none" w:sz="0" w:space="0" w:color="auto"/>
        <w:bottom w:val="none" w:sz="0" w:space="0" w:color="auto"/>
        <w:right w:val="none" w:sz="0" w:space="0" w:color="auto"/>
      </w:divBdr>
    </w:div>
    <w:div w:id="1571884933">
      <w:bodyDiv w:val="1"/>
      <w:marLeft w:val="0"/>
      <w:marRight w:val="0"/>
      <w:marTop w:val="0"/>
      <w:marBottom w:val="0"/>
      <w:divBdr>
        <w:top w:val="none" w:sz="0" w:space="0" w:color="auto"/>
        <w:left w:val="none" w:sz="0" w:space="0" w:color="auto"/>
        <w:bottom w:val="none" w:sz="0" w:space="0" w:color="auto"/>
        <w:right w:val="none" w:sz="0" w:space="0" w:color="auto"/>
      </w:divBdr>
    </w:div>
    <w:div w:id="1579292878">
      <w:bodyDiv w:val="1"/>
      <w:marLeft w:val="0"/>
      <w:marRight w:val="0"/>
      <w:marTop w:val="0"/>
      <w:marBottom w:val="0"/>
      <w:divBdr>
        <w:top w:val="none" w:sz="0" w:space="0" w:color="auto"/>
        <w:left w:val="none" w:sz="0" w:space="0" w:color="auto"/>
        <w:bottom w:val="none" w:sz="0" w:space="0" w:color="auto"/>
        <w:right w:val="none" w:sz="0" w:space="0" w:color="auto"/>
      </w:divBdr>
    </w:div>
    <w:div w:id="1584991444">
      <w:bodyDiv w:val="1"/>
      <w:marLeft w:val="0"/>
      <w:marRight w:val="0"/>
      <w:marTop w:val="0"/>
      <w:marBottom w:val="0"/>
      <w:divBdr>
        <w:top w:val="none" w:sz="0" w:space="0" w:color="auto"/>
        <w:left w:val="none" w:sz="0" w:space="0" w:color="auto"/>
        <w:bottom w:val="none" w:sz="0" w:space="0" w:color="auto"/>
        <w:right w:val="none" w:sz="0" w:space="0" w:color="auto"/>
      </w:divBdr>
    </w:div>
    <w:div w:id="1616404805">
      <w:bodyDiv w:val="1"/>
      <w:marLeft w:val="0"/>
      <w:marRight w:val="0"/>
      <w:marTop w:val="0"/>
      <w:marBottom w:val="0"/>
      <w:divBdr>
        <w:top w:val="none" w:sz="0" w:space="0" w:color="auto"/>
        <w:left w:val="none" w:sz="0" w:space="0" w:color="auto"/>
        <w:bottom w:val="none" w:sz="0" w:space="0" w:color="auto"/>
        <w:right w:val="none" w:sz="0" w:space="0" w:color="auto"/>
      </w:divBdr>
    </w:div>
    <w:div w:id="1625037572">
      <w:bodyDiv w:val="1"/>
      <w:marLeft w:val="0"/>
      <w:marRight w:val="0"/>
      <w:marTop w:val="0"/>
      <w:marBottom w:val="0"/>
      <w:divBdr>
        <w:top w:val="none" w:sz="0" w:space="0" w:color="auto"/>
        <w:left w:val="none" w:sz="0" w:space="0" w:color="auto"/>
        <w:bottom w:val="none" w:sz="0" w:space="0" w:color="auto"/>
        <w:right w:val="none" w:sz="0" w:space="0" w:color="auto"/>
      </w:divBdr>
      <w:divsChild>
        <w:div w:id="91437201">
          <w:marLeft w:val="0"/>
          <w:marRight w:val="0"/>
          <w:marTop w:val="0"/>
          <w:marBottom w:val="0"/>
          <w:divBdr>
            <w:top w:val="none" w:sz="0" w:space="0" w:color="auto"/>
            <w:left w:val="none" w:sz="0" w:space="0" w:color="auto"/>
            <w:bottom w:val="none" w:sz="0" w:space="0" w:color="auto"/>
            <w:right w:val="none" w:sz="0" w:space="0" w:color="auto"/>
          </w:divBdr>
        </w:div>
        <w:div w:id="145436831">
          <w:marLeft w:val="0"/>
          <w:marRight w:val="0"/>
          <w:marTop w:val="0"/>
          <w:marBottom w:val="0"/>
          <w:divBdr>
            <w:top w:val="none" w:sz="0" w:space="0" w:color="auto"/>
            <w:left w:val="none" w:sz="0" w:space="0" w:color="auto"/>
            <w:bottom w:val="none" w:sz="0" w:space="0" w:color="auto"/>
            <w:right w:val="none" w:sz="0" w:space="0" w:color="auto"/>
          </w:divBdr>
        </w:div>
        <w:div w:id="504441918">
          <w:marLeft w:val="0"/>
          <w:marRight w:val="0"/>
          <w:marTop w:val="0"/>
          <w:marBottom w:val="0"/>
          <w:divBdr>
            <w:top w:val="none" w:sz="0" w:space="0" w:color="auto"/>
            <w:left w:val="none" w:sz="0" w:space="0" w:color="auto"/>
            <w:bottom w:val="none" w:sz="0" w:space="0" w:color="auto"/>
            <w:right w:val="none" w:sz="0" w:space="0" w:color="auto"/>
          </w:divBdr>
        </w:div>
        <w:div w:id="642082050">
          <w:marLeft w:val="0"/>
          <w:marRight w:val="0"/>
          <w:marTop w:val="0"/>
          <w:marBottom w:val="0"/>
          <w:divBdr>
            <w:top w:val="none" w:sz="0" w:space="0" w:color="auto"/>
            <w:left w:val="none" w:sz="0" w:space="0" w:color="auto"/>
            <w:bottom w:val="none" w:sz="0" w:space="0" w:color="auto"/>
            <w:right w:val="none" w:sz="0" w:space="0" w:color="auto"/>
          </w:divBdr>
        </w:div>
        <w:div w:id="692415750">
          <w:marLeft w:val="0"/>
          <w:marRight w:val="0"/>
          <w:marTop w:val="0"/>
          <w:marBottom w:val="0"/>
          <w:divBdr>
            <w:top w:val="none" w:sz="0" w:space="0" w:color="auto"/>
            <w:left w:val="none" w:sz="0" w:space="0" w:color="auto"/>
            <w:bottom w:val="none" w:sz="0" w:space="0" w:color="auto"/>
            <w:right w:val="none" w:sz="0" w:space="0" w:color="auto"/>
          </w:divBdr>
        </w:div>
        <w:div w:id="1293052349">
          <w:marLeft w:val="0"/>
          <w:marRight w:val="0"/>
          <w:marTop w:val="0"/>
          <w:marBottom w:val="0"/>
          <w:divBdr>
            <w:top w:val="none" w:sz="0" w:space="0" w:color="auto"/>
            <w:left w:val="none" w:sz="0" w:space="0" w:color="auto"/>
            <w:bottom w:val="none" w:sz="0" w:space="0" w:color="auto"/>
            <w:right w:val="none" w:sz="0" w:space="0" w:color="auto"/>
          </w:divBdr>
        </w:div>
        <w:div w:id="1421412780">
          <w:marLeft w:val="0"/>
          <w:marRight w:val="0"/>
          <w:marTop w:val="0"/>
          <w:marBottom w:val="0"/>
          <w:divBdr>
            <w:top w:val="none" w:sz="0" w:space="0" w:color="auto"/>
            <w:left w:val="none" w:sz="0" w:space="0" w:color="auto"/>
            <w:bottom w:val="none" w:sz="0" w:space="0" w:color="auto"/>
            <w:right w:val="none" w:sz="0" w:space="0" w:color="auto"/>
          </w:divBdr>
        </w:div>
        <w:div w:id="1422991135">
          <w:marLeft w:val="0"/>
          <w:marRight w:val="0"/>
          <w:marTop w:val="0"/>
          <w:marBottom w:val="0"/>
          <w:divBdr>
            <w:top w:val="none" w:sz="0" w:space="0" w:color="auto"/>
            <w:left w:val="none" w:sz="0" w:space="0" w:color="auto"/>
            <w:bottom w:val="none" w:sz="0" w:space="0" w:color="auto"/>
            <w:right w:val="none" w:sz="0" w:space="0" w:color="auto"/>
          </w:divBdr>
        </w:div>
      </w:divsChild>
    </w:div>
    <w:div w:id="1629045995">
      <w:bodyDiv w:val="1"/>
      <w:marLeft w:val="0"/>
      <w:marRight w:val="0"/>
      <w:marTop w:val="0"/>
      <w:marBottom w:val="0"/>
      <w:divBdr>
        <w:top w:val="none" w:sz="0" w:space="0" w:color="auto"/>
        <w:left w:val="none" w:sz="0" w:space="0" w:color="auto"/>
        <w:bottom w:val="none" w:sz="0" w:space="0" w:color="auto"/>
        <w:right w:val="none" w:sz="0" w:space="0" w:color="auto"/>
      </w:divBdr>
    </w:div>
    <w:div w:id="1660842755">
      <w:bodyDiv w:val="1"/>
      <w:marLeft w:val="0"/>
      <w:marRight w:val="0"/>
      <w:marTop w:val="0"/>
      <w:marBottom w:val="0"/>
      <w:divBdr>
        <w:top w:val="none" w:sz="0" w:space="0" w:color="auto"/>
        <w:left w:val="none" w:sz="0" w:space="0" w:color="auto"/>
        <w:bottom w:val="none" w:sz="0" w:space="0" w:color="auto"/>
        <w:right w:val="none" w:sz="0" w:space="0" w:color="auto"/>
      </w:divBdr>
    </w:div>
    <w:div w:id="1691947981">
      <w:bodyDiv w:val="1"/>
      <w:marLeft w:val="0"/>
      <w:marRight w:val="0"/>
      <w:marTop w:val="0"/>
      <w:marBottom w:val="0"/>
      <w:divBdr>
        <w:top w:val="none" w:sz="0" w:space="0" w:color="auto"/>
        <w:left w:val="none" w:sz="0" w:space="0" w:color="auto"/>
        <w:bottom w:val="none" w:sz="0" w:space="0" w:color="auto"/>
        <w:right w:val="none" w:sz="0" w:space="0" w:color="auto"/>
      </w:divBdr>
    </w:div>
    <w:div w:id="1700667712">
      <w:bodyDiv w:val="1"/>
      <w:marLeft w:val="0"/>
      <w:marRight w:val="0"/>
      <w:marTop w:val="0"/>
      <w:marBottom w:val="0"/>
      <w:divBdr>
        <w:top w:val="none" w:sz="0" w:space="0" w:color="auto"/>
        <w:left w:val="none" w:sz="0" w:space="0" w:color="auto"/>
        <w:bottom w:val="none" w:sz="0" w:space="0" w:color="auto"/>
        <w:right w:val="none" w:sz="0" w:space="0" w:color="auto"/>
      </w:divBdr>
    </w:div>
    <w:div w:id="1701543236">
      <w:bodyDiv w:val="1"/>
      <w:marLeft w:val="0"/>
      <w:marRight w:val="0"/>
      <w:marTop w:val="0"/>
      <w:marBottom w:val="0"/>
      <w:divBdr>
        <w:top w:val="none" w:sz="0" w:space="0" w:color="auto"/>
        <w:left w:val="none" w:sz="0" w:space="0" w:color="auto"/>
        <w:bottom w:val="none" w:sz="0" w:space="0" w:color="auto"/>
        <w:right w:val="none" w:sz="0" w:space="0" w:color="auto"/>
      </w:divBdr>
      <w:divsChild>
        <w:div w:id="123813288">
          <w:marLeft w:val="0"/>
          <w:marRight w:val="0"/>
          <w:marTop w:val="0"/>
          <w:marBottom w:val="0"/>
          <w:divBdr>
            <w:top w:val="none" w:sz="0" w:space="0" w:color="auto"/>
            <w:left w:val="none" w:sz="0" w:space="0" w:color="auto"/>
            <w:bottom w:val="none" w:sz="0" w:space="0" w:color="auto"/>
            <w:right w:val="none" w:sz="0" w:space="0" w:color="auto"/>
          </w:divBdr>
        </w:div>
        <w:div w:id="693111989">
          <w:marLeft w:val="0"/>
          <w:marRight w:val="0"/>
          <w:marTop w:val="0"/>
          <w:marBottom w:val="0"/>
          <w:divBdr>
            <w:top w:val="none" w:sz="0" w:space="0" w:color="auto"/>
            <w:left w:val="none" w:sz="0" w:space="0" w:color="auto"/>
            <w:bottom w:val="none" w:sz="0" w:space="0" w:color="auto"/>
            <w:right w:val="none" w:sz="0" w:space="0" w:color="auto"/>
          </w:divBdr>
        </w:div>
        <w:div w:id="2108772388">
          <w:marLeft w:val="0"/>
          <w:marRight w:val="0"/>
          <w:marTop w:val="0"/>
          <w:marBottom w:val="0"/>
          <w:divBdr>
            <w:top w:val="none" w:sz="0" w:space="0" w:color="auto"/>
            <w:left w:val="none" w:sz="0" w:space="0" w:color="auto"/>
            <w:bottom w:val="none" w:sz="0" w:space="0" w:color="auto"/>
            <w:right w:val="none" w:sz="0" w:space="0" w:color="auto"/>
          </w:divBdr>
        </w:div>
      </w:divsChild>
    </w:div>
    <w:div w:id="1729063866">
      <w:bodyDiv w:val="1"/>
      <w:marLeft w:val="0"/>
      <w:marRight w:val="0"/>
      <w:marTop w:val="0"/>
      <w:marBottom w:val="0"/>
      <w:divBdr>
        <w:top w:val="none" w:sz="0" w:space="0" w:color="auto"/>
        <w:left w:val="none" w:sz="0" w:space="0" w:color="auto"/>
        <w:bottom w:val="none" w:sz="0" w:space="0" w:color="auto"/>
        <w:right w:val="none" w:sz="0" w:space="0" w:color="auto"/>
      </w:divBdr>
    </w:div>
    <w:div w:id="1747998975">
      <w:bodyDiv w:val="1"/>
      <w:marLeft w:val="0"/>
      <w:marRight w:val="0"/>
      <w:marTop w:val="0"/>
      <w:marBottom w:val="0"/>
      <w:divBdr>
        <w:top w:val="none" w:sz="0" w:space="0" w:color="auto"/>
        <w:left w:val="none" w:sz="0" w:space="0" w:color="auto"/>
        <w:bottom w:val="none" w:sz="0" w:space="0" w:color="auto"/>
        <w:right w:val="none" w:sz="0" w:space="0" w:color="auto"/>
      </w:divBdr>
    </w:div>
    <w:div w:id="1793473924">
      <w:bodyDiv w:val="1"/>
      <w:marLeft w:val="0"/>
      <w:marRight w:val="0"/>
      <w:marTop w:val="0"/>
      <w:marBottom w:val="0"/>
      <w:divBdr>
        <w:top w:val="none" w:sz="0" w:space="0" w:color="auto"/>
        <w:left w:val="none" w:sz="0" w:space="0" w:color="auto"/>
        <w:bottom w:val="none" w:sz="0" w:space="0" w:color="auto"/>
        <w:right w:val="none" w:sz="0" w:space="0" w:color="auto"/>
      </w:divBdr>
    </w:div>
    <w:div w:id="1796370661">
      <w:bodyDiv w:val="1"/>
      <w:marLeft w:val="0"/>
      <w:marRight w:val="0"/>
      <w:marTop w:val="0"/>
      <w:marBottom w:val="0"/>
      <w:divBdr>
        <w:top w:val="none" w:sz="0" w:space="0" w:color="auto"/>
        <w:left w:val="none" w:sz="0" w:space="0" w:color="auto"/>
        <w:bottom w:val="none" w:sz="0" w:space="0" w:color="auto"/>
        <w:right w:val="none" w:sz="0" w:space="0" w:color="auto"/>
      </w:divBdr>
    </w:div>
    <w:div w:id="1851017953">
      <w:bodyDiv w:val="1"/>
      <w:marLeft w:val="0"/>
      <w:marRight w:val="0"/>
      <w:marTop w:val="0"/>
      <w:marBottom w:val="0"/>
      <w:divBdr>
        <w:top w:val="none" w:sz="0" w:space="0" w:color="auto"/>
        <w:left w:val="none" w:sz="0" w:space="0" w:color="auto"/>
        <w:bottom w:val="none" w:sz="0" w:space="0" w:color="auto"/>
        <w:right w:val="none" w:sz="0" w:space="0" w:color="auto"/>
      </w:divBdr>
    </w:div>
    <w:div w:id="1915970566">
      <w:bodyDiv w:val="1"/>
      <w:marLeft w:val="0"/>
      <w:marRight w:val="0"/>
      <w:marTop w:val="0"/>
      <w:marBottom w:val="0"/>
      <w:divBdr>
        <w:top w:val="none" w:sz="0" w:space="0" w:color="auto"/>
        <w:left w:val="none" w:sz="0" w:space="0" w:color="auto"/>
        <w:bottom w:val="none" w:sz="0" w:space="0" w:color="auto"/>
        <w:right w:val="none" w:sz="0" w:space="0" w:color="auto"/>
      </w:divBdr>
      <w:divsChild>
        <w:div w:id="508178658">
          <w:marLeft w:val="0"/>
          <w:marRight w:val="0"/>
          <w:marTop w:val="0"/>
          <w:marBottom w:val="0"/>
          <w:divBdr>
            <w:top w:val="none" w:sz="0" w:space="0" w:color="auto"/>
            <w:left w:val="none" w:sz="0" w:space="0" w:color="auto"/>
            <w:bottom w:val="none" w:sz="0" w:space="0" w:color="auto"/>
            <w:right w:val="none" w:sz="0" w:space="0" w:color="auto"/>
          </w:divBdr>
        </w:div>
        <w:div w:id="956521190">
          <w:marLeft w:val="0"/>
          <w:marRight w:val="0"/>
          <w:marTop w:val="0"/>
          <w:marBottom w:val="0"/>
          <w:divBdr>
            <w:top w:val="none" w:sz="0" w:space="0" w:color="auto"/>
            <w:left w:val="none" w:sz="0" w:space="0" w:color="auto"/>
            <w:bottom w:val="none" w:sz="0" w:space="0" w:color="auto"/>
            <w:right w:val="none" w:sz="0" w:space="0" w:color="auto"/>
          </w:divBdr>
        </w:div>
        <w:div w:id="1325821533">
          <w:marLeft w:val="0"/>
          <w:marRight w:val="0"/>
          <w:marTop w:val="0"/>
          <w:marBottom w:val="0"/>
          <w:divBdr>
            <w:top w:val="none" w:sz="0" w:space="0" w:color="auto"/>
            <w:left w:val="none" w:sz="0" w:space="0" w:color="auto"/>
            <w:bottom w:val="none" w:sz="0" w:space="0" w:color="auto"/>
            <w:right w:val="none" w:sz="0" w:space="0" w:color="auto"/>
          </w:divBdr>
        </w:div>
        <w:div w:id="1504324269">
          <w:marLeft w:val="0"/>
          <w:marRight w:val="0"/>
          <w:marTop w:val="0"/>
          <w:marBottom w:val="0"/>
          <w:divBdr>
            <w:top w:val="none" w:sz="0" w:space="0" w:color="auto"/>
            <w:left w:val="none" w:sz="0" w:space="0" w:color="auto"/>
            <w:bottom w:val="none" w:sz="0" w:space="0" w:color="auto"/>
            <w:right w:val="none" w:sz="0" w:space="0" w:color="auto"/>
          </w:divBdr>
        </w:div>
      </w:divsChild>
    </w:div>
    <w:div w:id="1942491741">
      <w:bodyDiv w:val="1"/>
      <w:marLeft w:val="0"/>
      <w:marRight w:val="0"/>
      <w:marTop w:val="0"/>
      <w:marBottom w:val="0"/>
      <w:divBdr>
        <w:top w:val="none" w:sz="0" w:space="0" w:color="auto"/>
        <w:left w:val="none" w:sz="0" w:space="0" w:color="auto"/>
        <w:bottom w:val="none" w:sz="0" w:space="0" w:color="auto"/>
        <w:right w:val="none" w:sz="0" w:space="0" w:color="auto"/>
      </w:divBdr>
    </w:div>
    <w:div w:id="1948540201">
      <w:bodyDiv w:val="1"/>
      <w:marLeft w:val="0"/>
      <w:marRight w:val="0"/>
      <w:marTop w:val="0"/>
      <w:marBottom w:val="0"/>
      <w:divBdr>
        <w:top w:val="none" w:sz="0" w:space="0" w:color="auto"/>
        <w:left w:val="none" w:sz="0" w:space="0" w:color="auto"/>
        <w:bottom w:val="none" w:sz="0" w:space="0" w:color="auto"/>
        <w:right w:val="none" w:sz="0" w:space="0" w:color="auto"/>
      </w:divBdr>
    </w:div>
    <w:div w:id="1955208322">
      <w:bodyDiv w:val="1"/>
      <w:marLeft w:val="0"/>
      <w:marRight w:val="0"/>
      <w:marTop w:val="0"/>
      <w:marBottom w:val="0"/>
      <w:divBdr>
        <w:top w:val="none" w:sz="0" w:space="0" w:color="auto"/>
        <w:left w:val="none" w:sz="0" w:space="0" w:color="auto"/>
        <w:bottom w:val="none" w:sz="0" w:space="0" w:color="auto"/>
        <w:right w:val="none" w:sz="0" w:space="0" w:color="auto"/>
      </w:divBdr>
    </w:div>
    <w:div w:id="2018339859">
      <w:bodyDiv w:val="1"/>
      <w:marLeft w:val="0"/>
      <w:marRight w:val="0"/>
      <w:marTop w:val="0"/>
      <w:marBottom w:val="0"/>
      <w:divBdr>
        <w:top w:val="none" w:sz="0" w:space="0" w:color="auto"/>
        <w:left w:val="none" w:sz="0" w:space="0" w:color="auto"/>
        <w:bottom w:val="none" w:sz="0" w:space="0" w:color="auto"/>
        <w:right w:val="none" w:sz="0" w:space="0" w:color="auto"/>
      </w:divBdr>
    </w:div>
    <w:div w:id="2024018181">
      <w:bodyDiv w:val="1"/>
      <w:marLeft w:val="0"/>
      <w:marRight w:val="0"/>
      <w:marTop w:val="0"/>
      <w:marBottom w:val="0"/>
      <w:divBdr>
        <w:top w:val="none" w:sz="0" w:space="0" w:color="auto"/>
        <w:left w:val="none" w:sz="0" w:space="0" w:color="auto"/>
        <w:bottom w:val="none" w:sz="0" w:space="0" w:color="auto"/>
        <w:right w:val="none" w:sz="0" w:space="0" w:color="auto"/>
      </w:divBdr>
      <w:divsChild>
        <w:div w:id="121119888">
          <w:marLeft w:val="0"/>
          <w:marRight w:val="0"/>
          <w:marTop w:val="0"/>
          <w:marBottom w:val="0"/>
          <w:divBdr>
            <w:top w:val="none" w:sz="0" w:space="0" w:color="auto"/>
            <w:left w:val="none" w:sz="0" w:space="0" w:color="auto"/>
            <w:bottom w:val="none" w:sz="0" w:space="0" w:color="auto"/>
            <w:right w:val="none" w:sz="0" w:space="0" w:color="auto"/>
          </w:divBdr>
        </w:div>
        <w:div w:id="197474186">
          <w:marLeft w:val="0"/>
          <w:marRight w:val="0"/>
          <w:marTop w:val="0"/>
          <w:marBottom w:val="0"/>
          <w:divBdr>
            <w:top w:val="none" w:sz="0" w:space="0" w:color="auto"/>
            <w:left w:val="none" w:sz="0" w:space="0" w:color="auto"/>
            <w:bottom w:val="none" w:sz="0" w:space="0" w:color="auto"/>
            <w:right w:val="none" w:sz="0" w:space="0" w:color="auto"/>
          </w:divBdr>
        </w:div>
        <w:div w:id="293567239">
          <w:marLeft w:val="0"/>
          <w:marRight w:val="0"/>
          <w:marTop w:val="0"/>
          <w:marBottom w:val="0"/>
          <w:divBdr>
            <w:top w:val="none" w:sz="0" w:space="0" w:color="auto"/>
            <w:left w:val="none" w:sz="0" w:space="0" w:color="auto"/>
            <w:bottom w:val="none" w:sz="0" w:space="0" w:color="auto"/>
            <w:right w:val="none" w:sz="0" w:space="0" w:color="auto"/>
          </w:divBdr>
        </w:div>
        <w:div w:id="550308506">
          <w:marLeft w:val="0"/>
          <w:marRight w:val="0"/>
          <w:marTop w:val="0"/>
          <w:marBottom w:val="0"/>
          <w:divBdr>
            <w:top w:val="none" w:sz="0" w:space="0" w:color="auto"/>
            <w:left w:val="none" w:sz="0" w:space="0" w:color="auto"/>
            <w:bottom w:val="none" w:sz="0" w:space="0" w:color="auto"/>
            <w:right w:val="none" w:sz="0" w:space="0" w:color="auto"/>
          </w:divBdr>
        </w:div>
        <w:div w:id="564145294">
          <w:marLeft w:val="0"/>
          <w:marRight w:val="0"/>
          <w:marTop w:val="0"/>
          <w:marBottom w:val="0"/>
          <w:divBdr>
            <w:top w:val="none" w:sz="0" w:space="0" w:color="auto"/>
            <w:left w:val="none" w:sz="0" w:space="0" w:color="auto"/>
            <w:bottom w:val="none" w:sz="0" w:space="0" w:color="auto"/>
            <w:right w:val="none" w:sz="0" w:space="0" w:color="auto"/>
          </w:divBdr>
        </w:div>
        <w:div w:id="874848552">
          <w:marLeft w:val="0"/>
          <w:marRight w:val="0"/>
          <w:marTop w:val="0"/>
          <w:marBottom w:val="0"/>
          <w:divBdr>
            <w:top w:val="none" w:sz="0" w:space="0" w:color="auto"/>
            <w:left w:val="none" w:sz="0" w:space="0" w:color="auto"/>
            <w:bottom w:val="none" w:sz="0" w:space="0" w:color="auto"/>
            <w:right w:val="none" w:sz="0" w:space="0" w:color="auto"/>
          </w:divBdr>
        </w:div>
        <w:div w:id="884215439">
          <w:marLeft w:val="0"/>
          <w:marRight w:val="0"/>
          <w:marTop w:val="0"/>
          <w:marBottom w:val="0"/>
          <w:divBdr>
            <w:top w:val="none" w:sz="0" w:space="0" w:color="auto"/>
            <w:left w:val="none" w:sz="0" w:space="0" w:color="auto"/>
            <w:bottom w:val="none" w:sz="0" w:space="0" w:color="auto"/>
            <w:right w:val="none" w:sz="0" w:space="0" w:color="auto"/>
          </w:divBdr>
        </w:div>
        <w:div w:id="1314214111">
          <w:marLeft w:val="0"/>
          <w:marRight w:val="0"/>
          <w:marTop w:val="0"/>
          <w:marBottom w:val="0"/>
          <w:divBdr>
            <w:top w:val="none" w:sz="0" w:space="0" w:color="auto"/>
            <w:left w:val="none" w:sz="0" w:space="0" w:color="auto"/>
            <w:bottom w:val="none" w:sz="0" w:space="0" w:color="auto"/>
            <w:right w:val="none" w:sz="0" w:space="0" w:color="auto"/>
          </w:divBdr>
        </w:div>
        <w:div w:id="1489050853">
          <w:marLeft w:val="0"/>
          <w:marRight w:val="0"/>
          <w:marTop w:val="0"/>
          <w:marBottom w:val="0"/>
          <w:divBdr>
            <w:top w:val="none" w:sz="0" w:space="0" w:color="auto"/>
            <w:left w:val="none" w:sz="0" w:space="0" w:color="auto"/>
            <w:bottom w:val="none" w:sz="0" w:space="0" w:color="auto"/>
            <w:right w:val="none" w:sz="0" w:space="0" w:color="auto"/>
          </w:divBdr>
        </w:div>
        <w:div w:id="1627732180">
          <w:marLeft w:val="0"/>
          <w:marRight w:val="0"/>
          <w:marTop w:val="0"/>
          <w:marBottom w:val="0"/>
          <w:divBdr>
            <w:top w:val="none" w:sz="0" w:space="0" w:color="auto"/>
            <w:left w:val="none" w:sz="0" w:space="0" w:color="auto"/>
            <w:bottom w:val="none" w:sz="0" w:space="0" w:color="auto"/>
            <w:right w:val="none" w:sz="0" w:space="0" w:color="auto"/>
          </w:divBdr>
        </w:div>
        <w:div w:id="1746368987">
          <w:marLeft w:val="0"/>
          <w:marRight w:val="0"/>
          <w:marTop w:val="0"/>
          <w:marBottom w:val="0"/>
          <w:divBdr>
            <w:top w:val="none" w:sz="0" w:space="0" w:color="auto"/>
            <w:left w:val="none" w:sz="0" w:space="0" w:color="auto"/>
            <w:bottom w:val="none" w:sz="0" w:space="0" w:color="auto"/>
            <w:right w:val="none" w:sz="0" w:space="0" w:color="auto"/>
          </w:divBdr>
        </w:div>
        <w:div w:id="2030836677">
          <w:marLeft w:val="0"/>
          <w:marRight w:val="0"/>
          <w:marTop w:val="0"/>
          <w:marBottom w:val="0"/>
          <w:divBdr>
            <w:top w:val="none" w:sz="0" w:space="0" w:color="auto"/>
            <w:left w:val="none" w:sz="0" w:space="0" w:color="auto"/>
            <w:bottom w:val="none" w:sz="0" w:space="0" w:color="auto"/>
            <w:right w:val="none" w:sz="0" w:space="0" w:color="auto"/>
          </w:divBdr>
        </w:div>
      </w:divsChild>
    </w:div>
    <w:div w:id="2026789217">
      <w:bodyDiv w:val="1"/>
      <w:marLeft w:val="0"/>
      <w:marRight w:val="0"/>
      <w:marTop w:val="0"/>
      <w:marBottom w:val="0"/>
      <w:divBdr>
        <w:top w:val="none" w:sz="0" w:space="0" w:color="auto"/>
        <w:left w:val="none" w:sz="0" w:space="0" w:color="auto"/>
        <w:bottom w:val="none" w:sz="0" w:space="0" w:color="auto"/>
        <w:right w:val="none" w:sz="0" w:space="0" w:color="auto"/>
      </w:divBdr>
    </w:div>
    <w:div w:id="2027318847">
      <w:bodyDiv w:val="1"/>
      <w:marLeft w:val="0"/>
      <w:marRight w:val="0"/>
      <w:marTop w:val="0"/>
      <w:marBottom w:val="0"/>
      <w:divBdr>
        <w:top w:val="none" w:sz="0" w:space="0" w:color="auto"/>
        <w:left w:val="none" w:sz="0" w:space="0" w:color="auto"/>
        <w:bottom w:val="none" w:sz="0" w:space="0" w:color="auto"/>
        <w:right w:val="none" w:sz="0" w:space="0" w:color="auto"/>
      </w:divBdr>
    </w:div>
    <w:div w:id="2042583663">
      <w:bodyDiv w:val="1"/>
      <w:marLeft w:val="0"/>
      <w:marRight w:val="0"/>
      <w:marTop w:val="0"/>
      <w:marBottom w:val="0"/>
      <w:divBdr>
        <w:top w:val="none" w:sz="0" w:space="0" w:color="auto"/>
        <w:left w:val="none" w:sz="0" w:space="0" w:color="auto"/>
        <w:bottom w:val="none" w:sz="0" w:space="0" w:color="auto"/>
        <w:right w:val="none" w:sz="0" w:space="0" w:color="auto"/>
      </w:divBdr>
    </w:div>
    <w:div w:id="2046711397">
      <w:bodyDiv w:val="1"/>
      <w:marLeft w:val="0"/>
      <w:marRight w:val="0"/>
      <w:marTop w:val="0"/>
      <w:marBottom w:val="0"/>
      <w:divBdr>
        <w:top w:val="none" w:sz="0" w:space="0" w:color="auto"/>
        <w:left w:val="none" w:sz="0" w:space="0" w:color="auto"/>
        <w:bottom w:val="none" w:sz="0" w:space="0" w:color="auto"/>
        <w:right w:val="none" w:sz="0" w:space="0" w:color="auto"/>
      </w:divBdr>
    </w:div>
    <w:div w:id="2055807127">
      <w:bodyDiv w:val="1"/>
      <w:marLeft w:val="0"/>
      <w:marRight w:val="0"/>
      <w:marTop w:val="0"/>
      <w:marBottom w:val="0"/>
      <w:divBdr>
        <w:top w:val="none" w:sz="0" w:space="0" w:color="auto"/>
        <w:left w:val="none" w:sz="0" w:space="0" w:color="auto"/>
        <w:bottom w:val="none" w:sz="0" w:space="0" w:color="auto"/>
        <w:right w:val="none" w:sz="0" w:space="0" w:color="auto"/>
      </w:divBdr>
      <w:divsChild>
        <w:div w:id="74014944">
          <w:marLeft w:val="0"/>
          <w:marRight w:val="0"/>
          <w:marTop w:val="0"/>
          <w:marBottom w:val="0"/>
          <w:divBdr>
            <w:top w:val="none" w:sz="0" w:space="0" w:color="auto"/>
            <w:left w:val="none" w:sz="0" w:space="0" w:color="auto"/>
            <w:bottom w:val="none" w:sz="0" w:space="0" w:color="auto"/>
            <w:right w:val="none" w:sz="0" w:space="0" w:color="auto"/>
          </w:divBdr>
        </w:div>
        <w:div w:id="122433247">
          <w:marLeft w:val="0"/>
          <w:marRight w:val="0"/>
          <w:marTop w:val="0"/>
          <w:marBottom w:val="0"/>
          <w:divBdr>
            <w:top w:val="none" w:sz="0" w:space="0" w:color="auto"/>
            <w:left w:val="none" w:sz="0" w:space="0" w:color="auto"/>
            <w:bottom w:val="none" w:sz="0" w:space="0" w:color="auto"/>
            <w:right w:val="none" w:sz="0" w:space="0" w:color="auto"/>
          </w:divBdr>
          <w:divsChild>
            <w:div w:id="588391784">
              <w:marLeft w:val="0"/>
              <w:marRight w:val="0"/>
              <w:marTop w:val="0"/>
              <w:marBottom w:val="0"/>
              <w:divBdr>
                <w:top w:val="none" w:sz="0" w:space="0" w:color="auto"/>
                <w:left w:val="none" w:sz="0" w:space="0" w:color="auto"/>
                <w:bottom w:val="none" w:sz="0" w:space="0" w:color="auto"/>
                <w:right w:val="none" w:sz="0" w:space="0" w:color="auto"/>
              </w:divBdr>
            </w:div>
          </w:divsChild>
        </w:div>
        <w:div w:id="319575239">
          <w:marLeft w:val="0"/>
          <w:marRight w:val="0"/>
          <w:marTop w:val="0"/>
          <w:marBottom w:val="0"/>
          <w:divBdr>
            <w:top w:val="none" w:sz="0" w:space="0" w:color="auto"/>
            <w:left w:val="none" w:sz="0" w:space="0" w:color="auto"/>
            <w:bottom w:val="none" w:sz="0" w:space="0" w:color="auto"/>
            <w:right w:val="none" w:sz="0" w:space="0" w:color="auto"/>
          </w:divBdr>
        </w:div>
        <w:div w:id="375471351">
          <w:marLeft w:val="0"/>
          <w:marRight w:val="0"/>
          <w:marTop w:val="0"/>
          <w:marBottom w:val="0"/>
          <w:divBdr>
            <w:top w:val="none" w:sz="0" w:space="0" w:color="auto"/>
            <w:left w:val="none" w:sz="0" w:space="0" w:color="auto"/>
            <w:bottom w:val="none" w:sz="0" w:space="0" w:color="auto"/>
            <w:right w:val="none" w:sz="0" w:space="0" w:color="auto"/>
          </w:divBdr>
        </w:div>
        <w:div w:id="685863811">
          <w:marLeft w:val="0"/>
          <w:marRight w:val="0"/>
          <w:marTop w:val="0"/>
          <w:marBottom w:val="0"/>
          <w:divBdr>
            <w:top w:val="none" w:sz="0" w:space="0" w:color="auto"/>
            <w:left w:val="none" w:sz="0" w:space="0" w:color="auto"/>
            <w:bottom w:val="none" w:sz="0" w:space="0" w:color="auto"/>
            <w:right w:val="none" w:sz="0" w:space="0" w:color="auto"/>
          </w:divBdr>
        </w:div>
        <w:div w:id="785272349">
          <w:marLeft w:val="0"/>
          <w:marRight w:val="0"/>
          <w:marTop w:val="0"/>
          <w:marBottom w:val="0"/>
          <w:divBdr>
            <w:top w:val="none" w:sz="0" w:space="0" w:color="auto"/>
            <w:left w:val="none" w:sz="0" w:space="0" w:color="auto"/>
            <w:bottom w:val="none" w:sz="0" w:space="0" w:color="auto"/>
            <w:right w:val="none" w:sz="0" w:space="0" w:color="auto"/>
          </w:divBdr>
        </w:div>
        <w:div w:id="1034115208">
          <w:marLeft w:val="0"/>
          <w:marRight w:val="0"/>
          <w:marTop w:val="0"/>
          <w:marBottom w:val="0"/>
          <w:divBdr>
            <w:top w:val="none" w:sz="0" w:space="0" w:color="auto"/>
            <w:left w:val="none" w:sz="0" w:space="0" w:color="auto"/>
            <w:bottom w:val="none" w:sz="0" w:space="0" w:color="auto"/>
            <w:right w:val="none" w:sz="0" w:space="0" w:color="auto"/>
          </w:divBdr>
        </w:div>
        <w:div w:id="1673411037">
          <w:marLeft w:val="0"/>
          <w:marRight w:val="0"/>
          <w:marTop w:val="0"/>
          <w:marBottom w:val="0"/>
          <w:divBdr>
            <w:top w:val="none" w:sz="0" w:space="0" w:color="auto"/>
            <w:left w:val="none" w:sz="0" w:space="0" w:color="auto"/>
            <w:bottom w:val="none" w:sz="0" w:space="0" w:color="auto"/>
            <w:right w:val="none" w:sz="0" w:space="0" w:color="auto"/>
          </w:divBdr>
        </w:div>
        <w:div w:id="1854803827">
          <w:marLeft w:val="0"/>
          <w:marRight w:val="0"/>
          <w:marTop w:val="0"/>
          <w:marBottom w:val="0"/>
          <w:divBdr>
            <w:top w:val="none" w:sz="0" w:space="0" w:color="auto"/>
            <w:left w:val="none" w:sz="0" w:space="0" w:color="auto"/>
            <w:bottom w:val="none" w:sz="0" w:space="0" w:color="auto"/>
            <w:right w:val="none" w:sz="0" w:space="0" w:color="auto"/>
          </w:divBdr>
        </w:div>
        <w:div w:id="1910799545">
          <w:marLeft w:val="0"/>
          <w:marRight w:val="0"/>
          <w:marTop w:val="0"/>
          <w:marBottom w:val="0"/>
          <w:divBdr>
            <w:top w:val="none" w:sz="0" w:space="0" w:color="auto"/>
            <w:left w:val="none" w:sz="0" w:space="0" w:color="auto"/>
            <w:bottom w:val="none" w:sz="0" w:space="0" w:color="auto"/>
            <w:right w:val="none" w:sz="0" w:space="0" w:color="auto"/>
          </w:divBdr>
        </w:div>
        <w:div w:id="1912538049">
          <w:marLeft w:val="0"/>
          <w:marRight w:val="0"/>
          <w:marTop w:val="0"/>
          <w:marBottom w:val="0"/>
          <w:divBdr>
            <w:top w:val="none" w:sz="0" w:space="0" w:color="auto"/>
            <w:left w:val="none" w:sz="0" w:space="0" w:color="auto"/>
            <w:bottom w:val="none" w:sz="0" w:space="0" w:color="auto"/>
            <w:right w:val="none" w:sz="0" w:space="0" w:color="auto"/>
          </w:divBdr>
        </w:div>
        <w:div w:id="2110926867">
          <w:marLeft w:val="0"/>
          <w:marRight w:val="0"/>
          <w:marTop w:val="0"/>
          <w:marBottom w:val="0"/>
          <w:divBdr>
            <w:top w:val="none" w:sz="0" w:space="0" w:color="auto"/>
            <w:left w:val="none" w:sz="0" w:space="0" w:color="auto"/>
            <w:bottom w:val="none" w:sz="0" w:space="0" w:color="auto"/>
            <w:right w:val="none" w:sz="0" w:space="0" w:color="auto"/>
          </w:divBdr>
        </w:div>
        <w:div w:id="2121492050">
          <w:marLeft w:val="0"/>
          <w:marRight w:val="0"/>
          <w:marTop w:val="0"/>
          <w:marBottom w:val="0"/>
          <w:divBdr>
            <w:top w:val="none" w:sz="0" w:space="0" w:color="auto"/>
            <w:left w:val="none" w:sz="0" w:space="0" w:color="auto"/>
            <w:bottom w:val="none" w:sz="0" w:space="0" w:color="auto"/>
            <w:right w:val="none" w:sz="0" w:space="0" w:color="auto"/>
          </w:divBdr>
        </w:div>
      </w:divsChild>
    </w:div>
    <w:div w:id="2058817958">
      <w:bodyDiv w:val="1"/>
      <w:marLeft w:val="0"/>
      <w:marRight w:val="0"/>
      <w:marTop w:val="0"/>
      <w:marBottom w:val="0"/>
      <w:divBdr>
        <w:top w:val="none" w:sz="0" w:space="0" w:color="auto"/>
        <w:left w:val="none" w:sz="0" w:space="0" w:color="auto"/>
        <w:bottom w:val="none" w:sz="0" w:space="0" w:color="auto"/>
        <w:right w:val="none" w:sz="0" w:space="0" w:color="auto"/>
      </w:divBdr>
      <w:divsChild>
        <w:div w:id="470055359">
          <w:marLeft w:val="0"/>
          <w:marRight w:val="0"/>
          <w:marTop w:val="0"/>
          <w:marBottom w:val="0"/>
          <w:divBdr>
            <w:top w:val="none" w:sz="0" w:space="0" w:color="auto"/>
            <w:left w:val="none" w:sz="0" w:space="0" w:color="auto"/>
            <w:bottom w:val="none" w:sz="0" w:space="0" w:color="auto"/>
            <w:right w:val="none" w:sz="0" w:space="0" w:color="auto"/>
          </w:divBdr>
        </w:div>
        <w:div w:id="1055082614">
          <w:marLeft w:val="0"/>
          <w:marRight w:val="0"/>
          <w:marTop w:val="0"/>
          <w:marBottom w:val="0"/>
          <w:divBdr>
            <w:top w:val="none" w:sz="0" w:space="0" w:color="auto"/>
            <w:left w:val="none" w:sz="0" w:space="0" w:color="auto"/>
            <w:bottom w:val="none" w:sz="0" w:space="0" w:color="auto"/>
            <w:right w:val="none" w:sz="0" w:space="0" w:color="auto"/>
          </w:divBdr>
        </w:div>
        <w:div w:id="1373191733">
          <w:marLeft w:val="0"/>
          <w:marRight w:val="0"/>
          <w:marTop w:val="0"/>
          <w:marBottom w:val="0"/>
          <w:divBdr>
            <w:top w:val="none" w:sz="0" w:space="0" w:color="auto"/>
            <w:left w:val="none" w:sz="0" w:space="0" w:color="auto"/>
            <w:bottom w:val="none" w:sz="0" w:space="0" w:color="auto"/>
            <w:right w:val="none" w:sz="0" w:space="0" w:color="auto"/>
          </w:divBdr>
        </w:div>
      </w:divsChild>
    </w:div>
    <w:div w:id="2080856288">
      <w:bodyDiv w:val="1"/>
      <w:marLeft w:val="0"/>
      <w:marRight w:val="0"/>
      <w:marTop w:val="0"/>
      <w:marBottom w:val="0"/>
      <w:divBdr>
        <w:top w:val="none" w:sz="0" w:space="0" w:color="auto"/>
        <w:left w:val="none" w:sz="0" w:space="0" w:color="auto"/>
        <w:bottom w:val="none" w:sz="0" w:space="0" w:color="auto"/>
        <w:right w:val="none" w:sz="0" w:space="0" w:color="auto"/>
      </w:divBdr>
    </w:div>
    <w:div w:id="2090687107">
      <w:bodyDiv w:val="1"/>
      <w:marLeft w:val="0"/>
      <w:marRight w:val="0"/>
      <w:marTop w:val="0"/>
      <w:marBottom w:val="0"/>
      <w:divBdr>
        <w:top w:val="none" w:sz="0" w:space="0" w:color="auto"/>
        <w:left w:val="none" w:sz="0" w:space="0" w:color="auto"/>
        <w:bottom w:val="none" w:sz="0" w:space="0" w:color="auto"/>
        <w:right w:val="none" w:sz="0" w:space="0" w:color="auto"/>
      </w:divBdr>
    </w:div>
    <w:div w:id="2094280527">
      <w:bodyDiv w:val="1"/>
      <w:marLeft w:val="0"/>
      <w:marRight w:val="0"/>
      <w:marTop w:val="0"/>
      <w:marBottom w:val="0"/>
      <w:divBdr>
        <w:top w:val="none" w:sz="0" w:space="0" w:color="auto"/>
        <w:left w:val="none" w:sz="0" w:space="0" w:color="auto"/>
        <w:bottom w:val="none" w:sz="0" w:space="0" w:color="auto"/>
        <w:right w:val="none" w:sz="0" w:space="0" w:color="auto"/>
      </w:divBdr>
    </w:div>
    <w:div w:id="2127773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3.xml"/><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image" Target="media/image5.png"/><Relationship Id="rId30"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https://ceirdom-my.sharepoint.com/personal/nicoletejada_prodominicana_gob_do/Documents/graficos%20del%20sistem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eirdom-my.sharepoint.com/personal/nicoletejada_prodominicana_gob_do/Documents/graficos%20del%20sistem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eirdom-my.sharepoint.com/personal/nicoletejada_prodominicana_gob_do/Documents/graficos%20del%20sistem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c:f>
              <c:strCache>
                <c:ptCount val="1"/>
                <c:pt idx="0">
                  <c:v>T1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Sheet1!$A$4:$A$9</c:f>
              <c:strCache>
                <c:ptCount val="6"/>
                <c:pt idx="0">
                  <c:v>ITCGE</c:v>
                </c:pt>
                <c:pt idx="1">
                  <c:v>NOBACI</c:v>
                </c:pt>
                <c:pt idx="2">
                  <c:v>Cumplimiento a la Ley no.200-04</c:v>
                </c:pt>
                <c:pt idx="3">
                  <c:v>IGP</c:v>
                </c:pt>
                <c:pt idx="4">
                  <c:v>SISCOMPRAS </c:v>
                </c:pt>
                <c:pt idx="5">
                  <c:v>Transparencia Gubernamental</c:v>
                </c:pt>
              </c:strCache>
            </c:strRef>
          </c:cat>
          <c:val>
            <c:numRef>
              <c:f>Sheet1!$B$4:$B$9</c:f>
              <c:numCache>
                <c:formatCode>0%</c:formatCode>
                <c:ptCount val="6"/>
                <c:pt idx="0">
                  <c:v>0.94</c:v>
                </c:pt>
                <c:pt idx="1">
                  <c:v>0.91</c:v>
                </c:pt>
                <c:pt idx="2">
                  <c:v>0.99</c:v>
                </c:pt>
                <c:pt idx="3">
                  <c:v>1</c:v>
                </c:pt>
                <c:pt idx="4">
                  <c:v>0.91</c:v>
                </c:pt>
                <c:pt idx="5">
                  <c:v>0.96</c:v>
                </c:pt>
              </c:numCache>
            </c:numRef>
          </c:val>
          <c:extLst>
            <c:ext xmlns:c16="http://schemas.microsoft.com/office/drawing/2014/chart" uri="{C3380CC4-5D6E-409C-BE32-E72D297353CC}">
              <c16:uniqueId val="{00000000-EC0C-434B-9BA4-BEB13EA7F82C}"/>
            </c:ext>
          </c:extLst>
        </c:ser>
        <c:ser>
          <c:idx val="1"/>
          <c:order val="1"/>
          <c:tx>
            <c:strRef>
              <c:f>Sheet1!$C$3</c:f>
              <c:strCache>
                <c:ptCount val="1"/>
                <c:pt idx="0">
                  <c:v>T2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Sheet1!$A$4:$A$9</c:f>
              <c:strCache>
                <c:ptCount val="6"/>
                <c:pt idx="0">
                  <c:v>ITCGE</c:v>
                </c:pt>
                <c:pt idx="1">
                  <c:v>NOBACI</c:v>
                </c:pt>
                <c:pt idx="2">
                  <c:v>Cumplimiento a la Ley no.200-04</c:v>
                </c:pt>
                <c:pt idx="3">
                  <c:v>IGP</c:v>
                </c:pt>
                <c:pt idx="4">
                  <c:v>SISCOMPRAS </c:v>
                </c:pt>
                <c:pt idx="5">
                  <c:v>Transparencia Gubernamental</c:v>
                </c:pt>
              </c:strCache>
            </c:strRef>
          </c:cat>
          <c:val>
            <c:numRef>
              <c:f>Sheet1!$C$4:$C$9</c:f>
              <c:numCache>
                <c:formatCode>0%</c:formatCode>
                <c:ptCount val="6"/>
                <c:pt idx="0">
                  <c:v>0.94</c:v>
                </c:pt>
                <c:pt idx="1">
                  <c:v>0.92</c:v>
                </c:pt>
                <c:pt idx="2">
                  <c:v>1</c:v>
                </c:pt>
                <c:pt idx="3">
                  <c:v>1</c:v>
                </c:pt>
                <c:pt idx="4">
                  <c:v>0.96</c:v>
                </c:pt>
                <c:pt idx="5">
                  <c:v>0.98</c:v>
                </c:pt>
              </c:numCache>
            </c:numRef>
          </c:val>
          <c:extLst>
            <c:ext xmlns:c16="http://schemas.microsoft.com/office/drawing/2014/chart" uri="{C3380CC4-5D6E-409C-BE32-E72D297353CC}">
              <c16:uniqueId val="{00000001-EC0C-434B-9BA4-BEB13EA7F82C}"/>
            </c:ext>
          </c:extLst>
        </c:ser>
        <c:ser>
          <c:idx val="2"/>
          <c:order val="2"/>
          <c:tx>
            <c:strRef>
              <c:f>Sheet1!$D$3</c:f>
              <c:strCache>
                <c:ptCount val="1"/>
                <c:pt idx="0">
                  <c:v>T3</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Sheet1!$A$4:$A$9</c:f>
              <c:strCache>
                <c:ptCount val="6"/>
                <c:pt idx="0">
                  <c:v>ITCGE</c:v>
                </c:pt>
                <c:pt idx="1">
                  <c:v>NOBACI</c:v>
                </c:pt>
                <c:pt idx="2">
                  <c:v>Cumplimiento a la Ley no.200-04</c:v>
                </c:pt>
                <c:pt idx="3">
                  <c:v>IGP</c:v>
                </c:pt>
                <c:pt idx="4">
                  <c:v>SISCOMPRAS </c:v>
                </c:pt>
                <c:pt idx="5">
                  <c:v>Transparencia Gubernamental</c:v>
                </c:pt>
              </c:strCache>
            </c:strRef>
          </c:cat>
          <c:val>
            <c:numRef>
              <c:f>Sheet1!$D$4:$D$9</c:f>
              <c:numCache>
                <c:formatCode>0%</c:formatCode>
                <c:ptCount val="6"/>
                <c:pt idx="0">
                  <c:v>0.94</c:v>
                </c:pt>
                <c:pt idx="1">
                  <c:v>0.92</c:v>
                </c:pt>
                <c:pt idx="2">
                  <c:v>0.98</c:v>
                </c:pt>
                <c:pt idx="3">
                  <c:v>0.84</c:v>
                </c:pt>
                <c:pt idx="4">
                  <c:v>0.96</c:v>
                </c:pt>
                <c:pt idx="5">
                  <c:v>0.94</c:v>
                </c:pt>
              </c:numCache>
            </c:numRef>
          </c:val>
          <c:extLst>
            <c:ext xmlns:c16="http://schemas.microsoft.com/office/drawing/2014/chart" uri="{C3380CC4-5D6E-409C-BE32-E72D297353CC}">
              <c16:uniqueId val="{00000002-EC0C-434B-9BA4-BEB13EA7F82C}"/>
            </c:ext>
          </c:extLst>
        </c:ser>
        <c:ser>
          <c:idx val="3"/>
          <c:order val="3"/>
          <c:tx>
            <c:strRef>
              <c:f>Sheet1!$E$3</c:f>
              <c:strCache>
                <c:ptCount val="1"/>
                <c:pt idx="0">
                  <c:v>T4</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Sheet1!$A$4:$A$9</c:f>
              <c:strCache>
                <c:ptCount val="6"/>
                <c:pt idx="0">
                  <c:v>ITCGE</c:v>
                </c:pt>
                <c:pt idx="1">
                  <c:v>NOBACI</c:v>
                </c:pt>
                <c:pt idx="2">
                  <c:v>Cumplimiento a la Ley no.200-04</c:v>
                </c:pt>
                <c:pt idx="3">
                  <c:v>IGP</c:v>
                </c:pt>
                <c:pt idx="4">
                  <c:v>SISCOMPRAS </c:v>
                </c:pt>
                <c:pt idx="5">
                  <c:v>Transparencia Gubernamental</c:v>
                </c:pt>
              </c:strCache>
            </c:strRef>
          </c:cat>
          <c:val>
            <c:numRef>
              <c:f>Sheet1!$E$4:$E$9</c:f>
              <c:numCache>
                <c:formatCode>0%</c:formatCode>
                <c:ptCount val="6"/>
                <c:pt idx="0">
                  <c:v>0.94</c:v>
                </c:pt>
                <c:pt idx="1">
                  <c:v>0.92666666666666697</c:v>
                </c:pt>
                <c:pt idx="2">
                  <c:v>0.98</c:v>
                </c:pt>
                <c:pt idx="3">
                  <c:v>0.85</c:v>
                </c:pt>
                <c:pt idx="4">
                  <c:v>0.93</c:v>
                </c:pt>
                <c:pt idx="5">
                  <c:v>0.94</c:v>
                </c:pt>
              </c:numCache>
            </c:numRef>
          </c:val>
          <c:extLst>
            <c:ext xmlns:c16="http://schemas.microsoft.com/office/drawing/2014/chart" uri="{C3380CC4-5D6E-409C-BE32-E72D297353CC}">
              <c16:uniqueId val="{00000003-EC0C-434B-9BA4-BEB13EA7F82C}"/>
            </c:ext>
          </c:extLst>
        </c:ser>
        <c:dLbls>
          <c:showLegendKey val="0"/>
          <c:showVal val="1"/>
          <c:showCatName val="0"/>
          <c:showSerName val="0"/>
          <c:showPercent val="0"/>
          <c:showBubbleSize val="0"/>
        </c:dLbls>
        <c:gapWidth val="150"/>
        <c:overlap val="-25"/>
        <c:axId val="568893864"/>
        <c:axId val="568893536"/>
      </c:barChart>
      <c:catAx>
        <c:axId val="56889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ES"/>
          </a:p>
        </c:txPr>
        <c:crossAx val="568893536"/>
        <c:crosses val="autoZero"/>
        <c:auto val="1"/>
        <c:lblAlgn val="ctr"/>
        <c:lblOffset val="100"/>
        <c:noMultiLvlLbl val="0"/>
      </c:catAx>
      <c:valAx>
        <c:axId val="568893536"/>
        <c:scaling>
          <c:orientation val="minMax"/>
        </c:scaling>
        <c:delete val="1"/>
        <c:axPos val="l"/>
        <c:numFmt formatCode="0%" sourceLinked="1"/>
        <c:majorTickMark val="none"/>
        <c:minorTickMark val="none"/>
        <c:tickLblPos val="nextTo"/>
        <c:crossAx val="568893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1"/>
      </a:solidFill>
      <a:round/>
    </a:ln>
    <a:effectLst/>
  </c:spPr>
  <c:txPr>
    <a:bodyPr/>
    <a:lstStyle/>
    <a:p>
      <a:pPr>
        <a:defRPr>
          <a:solidFill>
            <a:sysClr val="windowText" lastClr="000000"/>
          </a:solidFill>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Calificación</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General</c:formatCode>
                <c:ptCount val="12"/>
                <c:pt idx="0">
                  <c:v>99</c:v>
                </c:pt>
                <c:pt idx="1">
                  <c:v>98</c:v>
                </c:pt>
                <c:pt idx="2">
                  <c:v>100</c:v>
                </c:pt>
                <c:pt idx="3">
                  <c:v>100</c:v>
                </c:pt>
                <c:pt idx="4">
                  <c:v>100</c:v>
                </c:pt>
                <c:pt idx="5">
                  <c:v>100</c:v>
                </c:pt>
                <c:pt idx="6">
                  <c:v>97</c:v>
                </c:pt>
                <c:pt idx="7">
                  <c:v>94</c:v>
                </c:pt>
              </c:numCache>
            </c:numRef>
          </c:val>
          <c:extLst>
            <c:ext xmlns:c16="http://schemas.microsoft.com/office/drawing/2014/chart" uri="{C3380CC4-5D6E-409C-BE32-E72D297353CC}">
              <c16:uniqueId val="{00000000-F17C-43A4-AF3E-6271B620B19D}"/>
            </c:ext>
          </c:extLst>
        </c:ser>
        <c:dLbls>
          <c:showLegendKey val="0"/>
          <c:showVal val="1"/>
          <c:showCatName val="0"/>
          <c:showSerName val="0"/>
          <c:showPercent val="0"/>
          <c:showBubbleSize val="0"/>
        </c:dLbls>
        <c:gapWidth val="95"/>
        <c:overlap val="100"/>
        <c:axId val="248512191"/>
        <c:axId val="248488479"/>
      </c:barChart>
      <c:catAx>
        <c:axId val="2485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120" normalizeH="0" baseline="0">
                <a:solidFill>
                  <a:sysClr val="windowText" lastClr="000000"/>
                </a:solidFill>
                <a:latin typeface="+mn-lt"/>
                <a:ea typeface="+mn-ea"/>
                <a:cs typeface="+mn-cs"/>
              </a:defRPr>
            </a:pPr>
            <a:endParaRPr lang="es-ES"/>
          </a:p>
        </c:txPr>
        <c:crossAx val="248488479"/>
        <c:crosses val="autoZero"/>
        <c:auto val="1"/>
        <c:lblAlgn val="ctr"/>
        <c:lblOffset val="100"/>
        <c:noMultiLvlLbl val="0"/>
      </c:catAx>
      <c:valAx>
        <c:axId val="248488479"/>
        <c:scaling>
          <c:orientation val="minMax"/>
        </c:scaling>
        <c:delete val="1"/>
        <c:axPos val="l"/>
        <c:numFmt formatCode="0%" sourceLinked="1"/>
        <c:majorTickMark val="none"/>
        <c:minorTickMark val="none"/>
        <c:tickLblPos val="nextTo"/>
        <c:crossAx val="2485121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bg1"/>
      </a:solidFill>
      <a:round/>
    </a:ln>
    <a:effectLst/>
  </c:spPr>
  <c:txPr>
    <a:bodyPr/>
    <a:lstStyle/>
    <a:p>
      <a:pPr>
        <a:defRPr>
          <a:solidFill>
            <a:sysClr val="windowText" lastClr="000000"/>
          </a:solidFill>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Físico</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0B9D-47F0-BFB9-BFFC273ABDED}"/>
            </c:ext>
          </c:extLst>
        </c:ser>
        <c:ser>
          <c:idx val="1"/>
          <c:order val="1"/>
          <c:tx>
            <c:strRef>
              <c:f>Sheet1!$C$1</c:f>
              <c:strCache>
                <c:ptCount val="1"/>
                <c:pt idx="0">
                  <c:v>Electrónico</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0B9D-47F0-BFB9-BFFC273ABDED}"/>
            </c:ext>
          </c:extLst>
        </c:ser>
        <c:ser>
          <c:idx val="2"/>
          <c:order val="2"/>
          <c:tx>
            <c:strRef>
              <c:f>Sheet1!$D$1</c:f>
              <c:strCache>
                <c:ptCount val="1"/>
                <c:pt idx="0">
                  <c:v>SAIP</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Sheet1!$D$2:$D$13</c:f>
              <c:numCache>
                <c:formatCode>General</c:formatCode>
                <c:ptCount val="12"/>
                <c:pt idx="0">
                  <c:v>6</c:v>
                </c:pt>
                <c:pt idx="1">
                  <c:v>2</c:v>
                </c:pt>
                <c:pt idx="2">
                  <c:v>2</c:v>
                </c:pt>
                <c:pt idx="3">
                  <c:v>4</c:v>
                </c:pt>
                <c:pt idx="4">
                  <c:v>2</c:v>
                </c:pt>
                <c:pt idx="5">
                  <c:v>3</c:v>
                </c:pt>
                <c:pt idx="6">
                  <c:v>3</c:v>
                </c:pt>
                <c:pt idx="7">
                  <c:v>6</c:v>
                </c:pt>
                <c:pt idx="8">
                  <c:v>6</c:v>
                </c:pt>
                <c:pt idx="9">
                  <c:v>10</c:v>
                </c:pt>
                <c:pt idx="10">
                  <c:v>7</c:v>
                </c:pt>
                <c:pt idx="11">
                  <c:v>0</c:v>
                </c:pt>
              </c:numCache>
            </c:numRef>
          </c:val>
          <c:extLst>
            <c:ext xmlns:c16="http://schemas.microsoft.com/office/drawing/2014/chart" uri="{C3380CC4-5D6E-409C-BE32-E72D297353CC}">
              <c16:uniqueId val="{00000002-0B9D-47F0-BFB9-BFFC273ABDED}"/>
            </c:ext>
          </c:extLst>
        </c:ser>
        <c:dLbls>
          <c:showLegendKey val="0"/>
          <c:showVal val="1"/>
          <c:showCatName val="0"/>
          <c:showSerName val="0"/>
          <c:showPercent val="0"/>
          <c:showBubbleSize val="0"/>
        </c:dLbls>
        <c:gapWidth val="150"/>
        <c:shape val="box"/>
        <c:axId val="191277407"/>
        <c:axId val="191277823"/>
        <c:axId val="0"/>
      </c:bar3DChart>
      <c:catAx>
        <c:axId val="1912774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91277823"/>
        <c:crosses val="autoZero"/>
        <c:auto val="1"/>
        <c:lblAlgn val="ctr"/>
        <c:lblOffset val="100"/>
        <c:noMultiLvlLbl val="0"/>
      </c:catAx>
      <c:valAx>
        <c:axId val="191277823"/>
        <c:scaling>
          <c:orientation val="minMax"/>
        </c:scaling>
        <c:delete val="1"/>
        <c:axPos val="l"/>
        <c:numFmt formatCode="General" sourceLinked="1"/>
        <c:majorTickMark val="none"/>
        <c:minorTickMark val="none"/>
        <c:tickLblPos val="nextTo"/>
        <c:crossAx val="1912774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c:f>
              <c:strCache>
                <c:ptCount val="1"/>
                <c:pt idx="0">
                  <c:v>Índice de Uso de la TIC e Implementación de un Gobierno Electrónico (ITGE)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Sheet1!$B$3:$E$3</c:f>
              <c:strCache>
                <c:ptCount val="4"/>
                <c:pt idx="0">
                  <c:v>T1</c:v>
                </c:pt>
                <c:pt idx="1">
                  <c:v>T2</c:v>
                </c:pt>
                <c:pt idx="2">
                  <c:v>T3</c:v>
                </c:pt>
                <c:pt idx="3">
                  <c:v>T4</c:v>
                </c:pt>
              </c:strCache>
            </c:strRef>
          </c:cat>
          <c:val>
            <c:numRef>
              <c:f>Sheet1!$B$4:$E$4</c:f>
              <c:numCache>
                <c:formatCode>0%</c:formatCode>
                <c:ptCount val="4"/>
                <c:pt idx="0">
                  <c:v>0.94</c:v>
                </c:pt>
                <c:pt idx="1">
                  <c:v>0.94</c:v>
                </c:pt>
                <c:pt idx="2">
                  <c:v>0.94</c:v>
                </c:pt>
                <c:pt idx="3">
                  <c:v>0.94</c:v>
                </c:pt>
              </c:numCache>
            </c:numRef>
          </c:val>
          <c:extLst>
            <c:ext xmlns:c16="http://schemas.microsoft.com/office/drawing/2014/chart" uri="{C3380CC4-5D6E-409C-BE32-E72D297353CC}">
              <c16:uniqueId val="{00000000-B042-45A0-9BDB-F4E7F42B1BB9}"/>
            </c:ext>
          </c:extLst>
        </c:ser>
        <c:dLbls>
          <c:showLegendKey val="0"/>
          <c:showVal val="1"/>
          <c:showCatName val="0"/>
          <c:showSerName val="0"/>
          <c:showPercent val="0"/>
          <c:showBubbleSize val="0"/>
        </c:dLbls>
        <c:gapWidth val="150"/>
        <c:overlap val="-25"/>
        <c:axId val="271788384"/>
        <c:axId val="327035056"/>
      </c:barChart>
      <c:catAx>
        <c:axId val="2717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ES"/>
          </a:p>
        </c:txPr>
        <c:crossAx val="327035056"/>
        <c:crosses val="autoZero"/>
        <c:auto val="1"/>
        <c:lblAlgn val="ctr"/>
        <c:lblOffset val="100"/>
        <c:noMultiLvlLbl val="0"/>
      </c:catAx>
      <c:valAx>
        <c:axId val="327035056"/>
        <c:scaling>
          <c:orientation val="minMax"/>
        </c:scaling>
        <c:delete val="1"/>
        <c:axPos val="l"/>
        <c:numFmt formatCode="0%" sourceLinked="1"/>
        <c:majorTickMark val="none"/>
        <c:minorTickMark val="none"/>
        <c:tickLblPos val="nextTo"/>
        <c:crossAx val="271788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1"/>
      </a:solidFill>
      <a:round/>
    </a:ln>
    <a:effectLst/>
  </c:spPr>
  <c:txPr>
    <a:bodyPr/>
    <a:lstStyle/>
    <a:p>
      <a:pPr>
        <a:defRPr>
          <a:solidFill>
            <a:sysClr val="windowText" lastClr="000000"/>
          </a:solidFill>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c:f>
              <c:strCache>
                <c:ptCount val="1"/>
                <c:pt idx="0">
                  <c:v>Normas Básicas de Control Internos (NOBACI)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Sheet1!$B$3:$E$3</c:f>
              <c:strCache>
                <c:ptCount val="4"/>
                <c:pt idx="0">
                  <c:v>T1</c:v>
                </c:pt>
                <c:pt idx="1">
                  <c:v>T2</c:v>
                </c:pt>
                <c:pt idx="2">
                  <c:v>T3</c:v>
                </c:pt>
                <c:pt idx="3">
                  <c:v>T4</c:v>
                </c:pt>
              </c:strCache>
            </c:strRef>
          </c:cat>
          <c:val>
            <c:numRef>
              <c:f>Sheet1!$B$5:$E$5</c:f>
              <c:numCache>
                <c:formatCode>0%</c:formatCode>
                <c:ptCount val="4"/>
                <c:pt idx="0">
                  <c:v>0.91</c:v>
                </c:pt>
                <c:pt idx="1">
                  <c:v>0.92</c:v>
                </c:pt>
                <c:pt idx="2">
                  <c:v>0.92</c:v>
                </c:pt>
                <c:pt idx="3">
                  <c:v>0.92666666666666697</c:v>
                </c:pt>
              </c:numCache>
            </c:numRef>
          </c:val>
          <c:extLst>
            <c:ext xmlns:c16="http://schemas.microsoft.com/office/drawing/2014/chart" uri="{C3380CC4-5D6E-409C-BE32-E72D297353CC}">
              <c16:uniqueId val="{00000000-F5B2-4963-A99E-E5A97928227C}"/>
            </c:ext>
          </c:extLst>
        </c:ser>
        <c:dLbls>
          <c:showLegendKey val="0"/>
          <c:showVal val="1"/>
          <c:showCatName val="0"/>
          <c:showSerName val="0"/>
          <c:showPercent val="0"/>
          <c:showBubbleSize val="0"/>
        </c:dLbls>
        <c:gapWidth val="150"/>
        <c:overlap val="-25"/>
        <c:axId val="271788384"/>
        <c:axId val="327035056"/>
      </c:barChart>
      <c:catAx>
        <c:axId val="2717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ES"/>
          </a:p>
        </c:txPr>
        <c:crossAx val="327035056"/>
        <c:crosses val="autoZero"/>
        <c:auto val="1"/>
        <c:lblAlgn val="ctr"/>
        <c:lblOffset val="100"/>
        <c:noMultiLvlLbl val="0"/>
      </c:catAx>
      <c:valAx>
        <c:axId val="327035056"/>
        <c:scaling>
          <c:orientation val="minMax"/>
        </c:scaling>
        <c:delete val="1"/>
        <c:axPos val="l"/>
        <c:numFmt formatCode="0%" sourceLinked="1"/>
        <c:majorTickMark val="none"/>
        <c:minorTickMark val="none"/>
        <c:tickLblPos val="nextTo"/>
        <c:crossAx val="271788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1"/>
      </a:solidFill>
      <a:round/>
    </a:ln>
    <a:effectLst/>
  </c:spPr>
  <c:txPr>
    <a:bodyPr/>
    <a:lstStyle/>
    <a:p>
      <a:pPr>
        <a:defRPr>
          <a:solidFill>
            <a:sysClr val="windowText" lastClr="000000"/>
          </a:solidFill>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Sheet1!$A$7</c:f>
              <c:strCache>
                <c:ptCount val="1"/>
                <c:pt idx="0">
                  <c:v>IGP</c:v>
                </c:pt>
              </c:strCache>
            </c:strRef>
          </c:tx>
          <c:spPr>
            <a:solidFill>
              <a:schemeClr val="accent1"/>
            </a:solidFill>
            <a:ln>
              <a:solidFill>
                <a:schemeClr val="bg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Sheet1!$B$3:$E$3</c:f>
              <c:strCache>
                <c:ptCount val="4"/>
                <c:pt idx="0">
                  <c:v>T1</c:v>
                </c:pt>
                <c:pt idx="1">
                  <c:v>T2</c:v>
                </c:pt>
                <c:pt idx="2">
                  <c:v>T3</c:v>
                </c:pt>
                <c:pt idx="3">
                  <c:v>T4</c:v>
                </c:pt>
              </c:strCache>
            </c:strRef>
          </c:cat>
          <c:val>
            <c:numRef>
              <c:f>Sheet1!$B$7:$E$7</c:f>
              <c:numCache>
                <c:formatCode>0%</c:formatCode>
                <c:ptCount val="4"/>
                <c:pt idx="0">
                  <c:v>1</c:v>
                </c:pt>
                <c:pt idx="1">
                  <c:v>1</c:v>
                </c:pt>
                <c:pt idx="2">
                  <c:v>0.84</c:v>
                </c:pt>
                <c:pt idx="3">
                  <c:v>0.85</c:v>
                </c:pt>
              </c:numCache>
            </c:numRef>
          </c:val>
          <c:extLst>
            <c:ext xmlns:c16="http://schemas.microsoft.com/office/drawing/2014/chart" uri="{C3380CC4-5D6E-409C-BE32-E72D297353CC}">
              <c16:uniqueId val="{00000000-2638-43B2-8F9F-B8357CC7D3AA}"/>
            </c:ext>
          </c:extLst>
        </c:ser>
        <c:dLbls>
          <c:showLegendKey val="0"/>
          <c:showVal val="1"/>
          <c:showCatName val="0"/>
          <c:showSerName val="0"/>
          <c:showPercent val="0"/>
          <c:showBubbleSize val="0"/>
        </c:dLbls>
        <c:gapWidth val="150"/>
        <c:overlap val="-25"/>
        <c:axId val="271788384"/>
        <c:axId val="327035056"/>
      </c:barChart>
      <c:catAx>
        <c:axId val="2717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ES"/>
          </a:p>
        </c:txPr>
        <c:crossAx val="327035056"/>
        <c:crosses val="autoZero"/>
        <c:auto val="1"/>
        <c:lblAlgn val="ctr"/>
        <c:lblOffset val="100"/>
        <c:noMultiLvlLbl val="0"/>
      </c:catAx>
      <c:valAx>
        <c:axId val="327035056"/>
        <c:scaling>
          <c:orientation val="minMax"/>
        </c:scaling>
        <c:delete val="1"/>
        <c:axPos val="l"/>
        <c:numFmt formatCode="0%" sourceLinked="1"/>
        <c:majorTickMark val="none"/>
        <c:minorTickMark val="none"/>
        <c:tickLblPos val="nextTo"/>
        <c:crossAx val="271788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solidFill>
            <a:sysClr val="windowText" lastClr="000000"/>
          </a:solidFill>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Sheet1!$A$8</c:f>
              <c:strCache>
                <c:ptCount val="1"/>
                <c:pt idx="0">
                  <c:v>SISCOMPRAS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Sheet1!$B$3:$E$3</c:f>
              <c:strCache>
                <c:ptCount val="4"/>
                <c:pt idx="0">
                  <c:v>T1</c:v>
                </c:pt>
                <c:pt idx="1">
                  <c:v>T2</c:v>
                </c:pt>
                <c:pt idx="2">
                  <c:v>T3</c:v>
                </c:pt>
                <c:pt idx="3">
                  <c:v>T4</c:v>
                </c:pt>
              </c:strCache>
            </c:strRef>
          </c:cat>
          <c:val>
            <c:numRef>
              <c:f>Sheet1!$B$8:$E$8</c:f>
              <c:numCache>
                <c:formatCode>0%</c:formatCode>
                <c:ptCount val="4"/>
                <c:pt idx="0">
                  <c:v>0.91</c:v>
                </c:pt>
                <c:pt idx="1">
                  <c:v>0.96</c:v>
                </c:pt>
                <c:pt idx="2">
                  <c:v>0.96</c:v>
                </c:pt>
                <c:pt idx="3">
                  <c:v>0.93</c:v>
                </c:pt>
              </c:numCache>
            </c:numRef>
          </c:val>
          <c:extLst>
            <c:ext xmlns:c16="http://schemas.microsoft.com/office/drawing/2014/chart" uri="{C3380CC4-5D6E-409C-BE32-E72D297353CC}">
              <c16:uniqueId val="{00000000-3D7B-4686-8ED4-7D3CA858DCB9}"/>
            </c:ext>
          </c:extLst>
        </c:ser>
        <c:dLbls>
          <c:showLegendKey val="0"/>
          <c:showVal val="1"/>
          <c:showCatName val="0"/>
          <c:showSerName val="0"/>
          <c:showPercent val="0"/>
          <c:showBubbleSize val="0"/>
        </c:dLbls>
        <c:gapWidth val="150"/>
        <c:overlap val="-25"/>
        <c:axId val="271788384"/>
        <c:axId val="327035056"/>
      </c:barChart>
      <c:catAx>
        <c:axId val="27178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s-ES"/>
          </a:p>
        </c:txPr>
        <c:crossAx val="327035056"/>
        <c:crosses val="autoZero"/>
        <c:auto val="1"/>
        <c:lblAlgn val="ctr"/>
        <c:lblOffset val="100"/>
        <c:noMultiLvlLbl val="0"/>
      </c:catAx>
      <c:valAx>
        <c:axId val="327035056"/>
        <c:scaling>
          <c:orientation val="minMax"/>
        </c:scaling>
        <c:delete val="1"/>
        <c:axPos val="l"/>
        <c:numFmt formatCode="0%" sourceLinked="1"/>
        <c:majorTickMark val="none"/>
        <c:minorTickMark val="none"/>
        <c:tickLblPos val="nextTo"/>
        <c:crossAx val="271788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1"/>
      </a:solidFill>
      <a:round/>
    </a:ln>
    <a:effectLst/>
  </c:spPr>
  <c:txPr>
    <a:bodyPr/>
    <a:lstStyle/>
    <a:p>
      <a:pPr>
        <a:defRPr>
          <a:solidFill>
            <a:sysClr val="windowText" lastClr="000000"/>
          </a:solidFill>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27670992479264E-2"/>
          <c:y val="0.24389060268343055"/>
          <c:w val="0.85704216563273405"/>
          <c:h val="0.48939494498454045"/>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0-5369-4FF1-AA74-B872E151ACC2}"/>
                </c:ext>
              </c:extLst>
            </c:dLbl>
            <c:dLbl>
              <c:idx val="1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5369-4FF1-AA74-B872E151ACC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'Comportamiento nominal'!$B$8:$Y$8</c:f>
              <c:strCache>
                <c:ptCount val="11"/>
                <c:pt idx="0">
                  <c:v>Enero 2020</c:v>
                </c:pt>
                <c:pt idx="1">
                  <c:v>Febrero 2020</c:v>
                </c:pt>
                <c:pt idx="2">
                  <c:v>Marzo 2020</c:v>
                </c:pt>
                <c:pt idx="3">
                  <c:v>Abril 2020</c:v>
                </c:pt>
                <c:pt idx="4">
                  <c:v>Mayo 2020</c:v>
                </c:pt>
                <c:pt idx="5">
                  <c:v>Junio 2020</c:v>
                </c:pt>
                <c:pt idx="6">
                  <c:v>Julio 2020</c:v>
                </c:pt>
                <c:pt idx="7">
                  <c:v>Agosto 2020</c:v>
                </c:pt>
                <c:pt idx="8">
                  <c:v>Septiembre 2020</c:v>
                </c:pt>
                <c:pt idx="9">
                  <c:v>Octubre 2020</c:v>
                </c:pt>
                <c:pt idx="10">
                  <c:v>Noviembre 2020</c:v>
                </c:pt>
              </c:strCache>
              <c:extLst/>
            </c:strRef>
          </c:cat>
          <c:val>
            <c:numRef>
              <c:f>'Comportamiento nominal'!$B$17:$X$17</c:f>
              <c:numCache>
                <c:formatCode>_("$"* #,##0.00_);_("$"* \(#,##0.00\);_("$"* "-"??_);_(@_)</c:formatCode>
                <c:ptCount val="11"/>
                <c:pt idx="0">
                  <c:v>16539987.600000001</c:v>
                </c:pt>
                <c:pt idx="1">
                  <c:v>16793081.530000001</c:v>
                </c:pt>
                <c:pt idx="2">
                  <c:v>16887543.710000001</c:v>
                </c:pt>
                <c:pt idx="3">
                  <c:v>17076553.02</c:v>
                </c:pt>
                <c:pt idx="4">
                  <c:v>17336912.800000001</c:v>
                </c:pt>
                <c:pt idx="5">
                  <c:v>17247331</c:v>
                </c:pt>
                <c:pt idx="6">
                  <c:v>16409861.18</c:v>
                </c:pt>
                <c:pt idx="7">
                  <c:v>15274231.369999997</c:v>
                </c:pt>
                <c:pt idx="8">
                  <c:v>14876648.680000002</c:v>
                </c:pt>
                <c:pt idx="9">
                  <c:v>15327679.640000002</c:v>
                </c:pt>
                <c:pt idx="10">
                  <c:v>15254794.180000002</c:v>
                </c:pt>
              </c:numCache>
              <c:extLst/>
            </c:numRef>
          </c:val>
          <c:smooth val="0"/>
          <c:extLst>
            <c:ext xmlns:c16="http://schemas.microsoft.com/office/drawing/2014/chart" uri="{C3380CC4-5D6E-409C-BE32-E72D297353CC}">
              <c16:uniqueId val="{00000002-5369-4FF1-AA74-B872E151ACC2}"/>
            </c:ext>
          </c:extLst>
        </c:ser>
        <c:dLbls>
          <c:showLegendKey val="0"/>
          <c:showVal val="0"/>
          <c:showCatName val="0"/>
          <c:showSerName val="0"/>
          <c:showPercent val="0"/>
          <c:showBubbleSize val="0"/>
        </c:dLbls>
        <c:marker val="1"/>
        <c:smooth val="0"/>
        <c:axId val="-1194030496"/>
        <c:axId val="-1194038112"/>
      </c:lineChart>
      <c:catAx>
        <c:axId val="-119403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194038112"/>
        <c:crosses val="autoZero"/>
        <c:auto val="1"/>
        <c:lblAlgn val="ctr"/>
        <c:lblOffset val="100"/>
        <c:noMultiLvlLbl val="0"/>
      </c:catAx>
      <c:valAx>
        <c:axId val="-119403811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Montos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ES"/>
            </a:p>
          </c:txPr>
        </c:title>
        <c:numFmt formatCode="_(&quot;$&quot;* #,##0.00_);_(&quot;$&quot;* \(#,##0.00\);_(&quot;$&quot;* &quot;-&quot;??_);_(@_)" sourceLinked="1"/>
        <c:majorTickMark val="out"/>
        <c:minorTickMark val="none"/>
        <c:tickLblPos val="nextTo"/>
        <c:crossAx val="-1194030496"/>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t:Task id="{44C91741-4A12-4AC3-866E-58FC54B36B82}">
    <t:Anchor>
      <t:Comment id="1139127117"/>
    </t:Anchor>
    <t:History>
      <t:Event id="{217AA978-79E3-4E9F-8576-8214CA5C33BF}" time="2020-12-15T17:19:23Z">
        <t:Attribution userId="S::jorgelopez@prodominicana.gob.do::0edaa39c-3e19-45df-a83a-76b22d4eabc4" userProvider="AD" userName="Jorge López"/>
        <t:Anchor>
          <t:Comment id="1139127117"/>
        </t:Anchor>
        <t:Create/>
      </t:Event>
      <t:Event id="{251EE136-9B78-484D-8F22-56446E2431CD}" time="2020-12-15T17:19:23Z">
        <t:Attribution userId="S::jorgelopez@prodominicana.gob.do::0edaa39c-3e19-45df-a83a-76b22d4eabc4" userProvider="AD" userName="Jorge López"/>
        <t:Anchor>
          <t:Comment id="1139127117"/>
        </t:Anchor>
        <t:Assign userId="S::nicoletejada@prodominicana.gob.do::0c727093-1a97-4564-bc28-1162362826c4" userProvider="AD" userName="Nicole Tejada"/>
      </t:Event>
      <t:Event id="{5F230CF0-13BB-4BBF-9D49-8A7942CB966A}" time="2020-12-15T17:19:23Z">
        <t:Attribution userId="S::jorgelopez@prodominicana.gob.do::0edaa39c-3e19-45df-a83a-76b22d4eabc4" userProvider="AD" userName="Jorge López"/>
        <t:Anchor>
          <t:Comment id="1139127117"/>
        </t:Anchor>
        <t:SetTitle title="@Nicole Tejada"/>
      </t:Event>
    </t:History>
  </t:Task>
  <t:Task id="{E953B115-D5D9-4F53-BF55-73A714206E06}">
    <t:Anchor>
      <t:Comment id="942197976"/>
    </t:Anchor>
    <t:History>
      <t:Event id="{9F6027C9-4215-4447-A871-18D98103E4CA}" time="2020-12-15T17:19:05Z">
        <t:Attribution userId="S::jorgelopez@prodominicana.gob.do::0edaa39c-3e19-45df-a83a-76b22d4eabc4" userProvider="AD" userName="Jorge López"/>
        <t:Anchor>
          <t:Comment id="942197976"/>
        </t:Anchor>
        <t:Create/>
      </t:Event>
      <t:Event id="{81565AB1-B0BE-4F02-9291-8D2E86A3C68B}" time="2020-12-15T17:19:05Z">
        <t:Attribution userId="S::jorgelopez@prodominicana.gob.do::0edaa39c-3e19-45df-a83a-76b22d4eabc4" userProvider="AD" userName="Jorge López"/>
        <t:Anchor>
          <t:Comment id="942197976"/>
        </t:Anchor>
        <t:Assign userId="S::nicoletejada@prodominicana.gob.do::0c727093-1a97-4564-bc28-1162362826c4" userProvider="AD" userName="Nicole Tejada"/>
      </t:Event>
      <t:Event id="{AEEA399E-476F-41E9-AE5F-FE900AF4F21C}" time="2020-12-15T17:19:05Z">
        <t:Attribution userId="S::jorgelopez@prodominicana.gob.do::0edaa39c-3e19-45df-a83a-76b22d4eabc4" userProvider="AD" userName="Jorge López"/>
        <t:Anchor>
          <t:Comment id="942197976"/>
        </t:Anchor>
        <t:SetTitle title="@Nicole Tejada nicole"/>
      </t:Event>
    </t:History>
  </t:Task>
  <t:Task id="{A336D885-2FF9-4413-99BF-362BF58A03D6}">
    <t:Anchor>
      <t:Comment id="494373634"/>
    </t:Anchor>
    <t:History>
      <t:Event id="{ABEDDE3F-2BE8-45F8-B0E7-E594A2B81FC1}" time="2020-12-15T18:47:40Z">
        <t:Attribution userId="S::jorgelopez@prodominicana.gob.do::0edaa39c-3e19-45df-a83a-76b22d4eabc4" userProvider="AD" userName="Jorge López"/>
        <t:Anchor>
          <t:Comment id="494373634"/>
        </t:Anchor>
        <t:Create/>
      </t:Event>
      <t:Event id="{01FA53FD-B6F8-44AF-917C-A1DF71AE5149}" time="2020-12-15T18:47:40Z">
        <t:Attribution userId="S::jorgelopez@prodominicana.gob.do::0edaa39c-3e19-45df-a83a-76b22d4eabc4" userProvider="AD" userName="Jorge López"/>
        <t:Anchor>
          <t:Comment id="494373634"/>
        </t:Anchor>
        <t:Assign userId="S::nicoletejada@prodominicana.gob.do::0c727093-1a97-4564-bc28-1162362826c4" userProvider="AD" userName="Nicole Tejada"/>
      </t:Event>
      <t:Event id="{715C755D-8D93-4419-9844-434BB7D6BA7F}" time="2020-12-15T18:47:40Z">
        <t:Attribution userId="S::jorgelopez@prodominicana.gob.do::0edaa39c-3e19-45df-a83a-76b22d4eabc4" userProvider="AD" userName="Jorge López"/>
        <t:Anchor>
          <t:Comment id="494373634"/>
        </t:Anchor>
        <t:SetTitle title="@Nicole Tejada a melissa que te pase los datos actualizados."/>
      </t:Event>
    </t:History>
  </t:Task>
  <t:Task id="{250FCB69-9C97-4F9D-AA22-0B883E2219BC}">
    <t:Anchor>
      <t:Comment id="810746554"/>
    </t:Anchor>
    <t:History>
      <t:Event id="{9B122183-D21B-4A69-8122-E8F8D524CDB8}" time="2020-12-15T17:03:22Z">
        <t:Attribution userId="S::jorgelopez@prodominicana.gob.do::0edaa39c-3e19-45df-a83a-76b22d4eabc4" userProvider="AD" userName="Jorge López"/>
        <t:Anchor>
          <t:Comment id="810746554"/>
        </t:Anchor>
        <t:Create/>
      </t:Event>
      <t:Event id="{507E8B85-C863-42B0-AD6C-982B05D35A7C}" time="2020-12-15T17:03:22Z">
        <t:Attribution userId="S::jorgelopez@prodominicana.gob.do::0edaa39c-3e19-45df-a83a-76b22d4eabc4" userProvider="AD" userName="Jorge López"/>
        <t:Anchor>
          <t:Comment id="810746554"/>
        </t:Anchor>
        <t:Assign userId="S::nicoletejada@prodominicana.gob.do::0c727093-1a97-4564-bc28-1162362826c4" userProvider="AD" userName="Nicole Tejada"/>
      </t:Event>
      <t:Event id="{3AF265B9-12D2-42F9-B83B-C22CA5621363}" time="2020-12-15T17:03:22Z">
        <t:Attribution userId="S::jorgelopez@prodominicana.gob.do::0edaa39c-3e19-45df-a83a-76b22d4eabc4" userProvider="AD" userName="Jorge López"/>
        <t:Anchor>
          <t:Comment id="810746554"/>
        </t:Anchor>
        <t:SetTitle title="@Nicole Tejada coloca por favor todos los titulos a la izquierda."/>
      </t:Event>
    </t:History>
  </t:Task>
  <t:Task id="{7F955681-3EB6-42C2-9836-277A9886C51A}">
    <t:Anchor>
      <t:Comment id="947574805"/>
    </t:Anchor>
    <t:History>
      <t:Event id="{B22267CA-3034-45A7-AD14-0E3500C0A998}" time="2020-12-15T17:18:40Z">
        <t:Attribution userId="S::jorgelopez@prodominicana.gob.do::0edaa39c-3e19-45df-a83a-76b22d4eabc4" userProvider="AD" userName="Jorge López"/>
        <t:Anchor>
          <t:Comment id="947574805"/>
        </t:Anchor>
        <t:Create/>
      </t:Event>
      <t:Event id="{35722423-ACFB-4F7E-9095-9FECB470715F}" time="2020-12-15T17:18:40Z">
        <t:Attribution userId="S::jorgelopez@prodominicana.gob.do::0edaa39c-3e19-45df-a83a-76b22d4eabc4" userProvider="AD" userName="Jorge López"/>
        <t:Anchor>
          <t:Comment id="947574805"/>
        </t:Anchor>
        <t:Assign userId="S::nicoletejada@prodominicana.gob.do::0c727093-1a97-4564-bc28-1162362826c4" userProvider="AD" userName="Nicole Tejada"/>
      </t:Event>
      <t:Event id="{187711FE-9712-4109-B77D-3BD19A33AD3E}" time="2020-12-15T17:18:40Z">
        <t:Attribution userId="S::jorgelopez@prodominicana.gob.do::0edaa39c-3e19-45df-a83a-76b22d4eabc4" userProvider="AD" userName="Jorge López"/>
        <t:Anchor>
          <t:Comment id="947574805"/>
        </t:Anchor>
        <t:SetTitle title="@Nicole Tejada"/>
      </t:Event>
    </t:History>
  </t:Task>
  <t:Task id="{B466D415-9DAA-4C69-94B4-FE83E9A8A4ED}">
    <t:Anchor>
      <t:Comment id="1579789431"/>
    </t:Anchor>
    <t:History>
      <t:Event id="{9D58F687-2F58-431C-81DD-DD031386B4E7}" time="2020-12-15T21:13:29Z">
        <t:Attribution userId="S::jorgelopez@prodominicana.gob.do::0edaa39c-3e19-45df-a83a-76b22d4eabc4" userProvider="AD" userName="Jorge López"/>
        <t:Anchor>
          <t:Comment id="1579789431"/>
        </t:Anchor>
        <t:Create/>
      </t:Event>
      <t:Event id="{C2F9E404-C419-4883-87F1-85C4413C9191}" time="2020-12-15T21:13:29Z">
        <t:Attribution userId="S::jorgelopez@prodominicana.gob.do::0edaa39c-3e19-45df-a83a-76b22d4eabc4" userProvider="AD" userName="Jorge López"/>
        <t:Anchor>
          <t:Comment id="1579789431"/>
        </t:Anchor>
        <t:Assign userId="S::nicoletejada@prodominicana.gob.do::0c727093-1a97-4564-bc28-1162362826c4" userProvider="AD" userName="Nicole Tejada"/>
      </t:Event>
      <t:Event id="{E0F432DA-49DA-4109-BF0B-4CBD7E0D98AA}" time="2020-12-15T21:13:29Z">
        <t:Attribution userId="S::jorgelopez@prodominicana.gob.do::0edaa39c-3e19-45df-a83a-76b22d4eabc4" userProvider="AD" userName="Jorge López"/>
        <t:Anchor>
          <t:Comment id="1579789431"/>
        </t:Anchor>
        <t:SetTitle title="@Nicole Tejada colocar cuantos pasantes realizaron su pasantia."/>
      </t:Event>
    </t:History>
  </t:Task>
  <t:Task id="{2B155231-6BE1-4450-8407-30183FE3D77B}">
    <t:Anchor>
      <t:Comment id="324038682"/>
    </t:Anchor>
    <t:History>
      <t:Event id="{357D298C-3CC1-48C8-A091-91399A0EE54F}" time="2020-12-15T19:59:55Z">
        <t:Attribution userId="S::jorgelopez@prodominicana.gob.do::0edaa39c-3e19-45df-a83a-76b22d4eabc4" userProvider="AD" userName="Jorge López"/>
        <t:Anchor>
          <t:Comment id="324038682"/>
        </t:Anchor>
        <t:Create/>
      </t:Event>
      <t:Event id="{9027DBAB-4DEE-4986-8D4C-6AB7A18F4845}" time="2020-12-15T19:59:55Z">
        <t:Attribution userId="S::jorgelopez@prodominicana.gob.do::0edaa39c-3e19-45df-a83a-76b22d4eabc4" userProvider="AD" userName="Jorge López"/>
        <t:Anchor>
          <t:Comment id="324038682"/>
        </t:Anchor>
        <t:Assign userId="S::nicoletejada@prodominicana.gob.do::0c727093-1a97-4564-bc28-1162362826c4" userProvider="AD" userName="Nicole Tejada"/>
      </t:Event>
      <t:Event id="{13849E35-1757-4659-BDC0-10958443836D}" time="2020-12-15T19:59:55Z">
        <t:Attribution userId="S::jorgelopez@prodominicana.gob.do::0edaa39c-3e19-45df-a83a-76b22d4eabc4" userProvider="AD" userName="Jorge López"/>
        <t:Anchor>
          <t:Comment id="324038682"/>
        </t:Anchor>
        <t:SetTitle title="@Nicole Tejada"/>
      </t:Event>
    </t:History>
  </t:Task>
  <t:Task id="{D7050514-F9CB-478D-ADD5-8DB1061E6C0A}">
    <t:Anchor>
      <t:Comment id="1280793851"/>
    </t:Anchor>
    <t:History>
      <t:Event id="{453B197B-BE96-47CF-94CA-253EE43ABCFB}" time="2020-12-15T20:04:32Z">
        <t:Attribution userId="S::jorgelopez@prodominicana.gob.do::0edaa39c-3e19-45df-a83a-76b22d4eabc4" userProvider="AD" userName="Jorge López"/>
        <t:Anchor>
          <t:Comment id="1280793851"/>
        </t:Anchor>
        <t:Create/>
      </t:Event>
      <t:Event id="{0AC85C5D-46F2-43E6-BED3-D089B7AD10B1}" time="2020-12-15T20:04:32Z">
        <t:Attribution userId="S::jorgelopez@prodominicana.gob.do::0edaa39c-3e19-45df-a83a-76b22d4eabc4" userProvider="AD" userName="Jorge López"/>
        <t:Anchor>
          <t:Comment id="1280793851"/>
        </t:Anchor>
        <t:Assign userId="S::nicoletejada@prodominicana.gob.do::0c727093-1a97-4564-bc28-1162362826c4" userProvider="AD" userName="Nicole Tejada"/>
      </t:Event>
      <t:Event id="{E856CCDB-94A3-478A-85E7-D03E1194382F}" time="2020-12-15T20:04:32Z">
        <t:Attribution userId="S::jorgelopez@prodominicana.gob.do::0edaa39c-3e19-45df-a83a-76b22d4eabc4" userProvider="AD" userName="Jorge López"/>
        <t:Anchor>
          <t:Comment id="1280793851"/>
        </t:Anchor>
        <t:SetTitle title="@Nicole Tejada consultar con Alberto (TIC) si tiene los datos analiticos de cantidad de visitas a la pagina y tipos de consulta"/>
      </t:Event>
    </t:History>
  </t:Task>
  <t:Task id="{0DD74C97-057B-4FDF-B066-907A437D1AEB}">
    <t:Anchor>
      <t:Comment id="1303030515"/>
    </t:Anchor>
    <t:History>
      <t:Event id="{23DB6475-F009-449F-9A5E-34F400E65596}" time="2020-12-15T22:30:02Z">
        <t:Attribution userId="S::jorgelopez@prodominicana.gob.do::0edaa39c-3e19-45df-a83a-76b22d4eabc4" userProvider="AD" userName="Jorge López"/>
        <t:Anchor>
          <t:Comment id="1303030515"/>
        </t:Anchor>
        <t:Create/>
      </t:Event>
      <t:Event id="{30B2AF16-0BDB-49D8-98E8-5D5965FA722B}" time="2020-12-15T22:30:02Z">
        <t:Attribution userId="S::jorgelopez@prodominicana.gob.do::0edaa39c-3e19-45df-a83a-76b22d4eabc4" userProvider="AD" userName="Jorge López"/>
        <t:Anchor>
          <t:Comment id="1303030515"/>
        </t:Anchor>
        <t:Assign userId="S::nicoletejada@prodominicana.gob.do::0c727093-1a97-4564-bc28-1162362826c4" userProvider="AD" userName="Nicole Tejada"/>
      </t:Event>
      <t:Event id="{12FF0C10-C02A-467E-9674-A9C67595C16B}" time="2020-12-15T22:30:02Z">
        <t:Attribution userId="S::jorgelopez@prodominicana.gob.do::0edaa39c-3e19-45df-a83a-76b22d4eabc4" userProvider="AD" userName="Jorge López"/>
        <t:Anchor>
          <t:Comment id="1303030515"/>
        </t:Anchor>
        <t:SetTitle title="@Nicole Tejada no tenemos la cantidad de pymes participantes? es importante mencionar cuantas."/>
      </t:Event>
    </t:History>
  </t:Task>
  <t:Task id="{FF4790FF-84C4-40A1-A991-95F764C2F8E0}">
    <t:Anchor>
      <t:Comment id="372579629"/>
    </t:Anchor>
    <t:History>
      <t:Event id="{82D8C5DF-ED9E-4C0C-A5D5-CE05BD412DBF}" time="2020-12-15T22:33:52Z">
        <t:Attribution userId="S::jorgelopez@prodominicana.gob.do::0edaa39c-3e19-45df-a83a-76b22d4eabc4" userProvider="AD" userName="Jorge López"/>
        <t:Anchor>
          <t:Comment id="372579629"/>
        </t:Anchor>
        <t:Create/>
      </t:Event>
      <t:Event id="{DCAECC7A-BEEF-4862-AC0C-4AC373FC8DC8}" time="2020-12-15T22:33:52Z">
        <t:Attribution userId="S::jorgelopez@prodominicana.gob.do::0edaa39c-3e19-45df-a83a-76b22d4eabc4" userProvider="AD" userName="Jorge López"/>
        <t:Anchor>
          <t:Comment id="372579629"/>
        </t:Anchor>
        <t:Assign userId="S::nicoletejada@prodominicana.gob.do::0c727093-1a97-4564-bc28-1162362826c4" userProvider="AD" userName="Nicole Tejada"/>
      </t:Event>
      <t:Event id="{885211E0-30C8-4031-8FFB-AB5C78B06717}" time="2020-12-15T22:33:52Z">
        <t:Attribution userId="S::jorgelopez@prodominicana.gob.do::0edaa39c-3e19-45df-a83a-76b22d4eabc4" userProvider="AD" userName="Jorge López"/>
        <t:Anchor>
          <t:Comment id="372579629"/>
        </t:Anchor>
        <t:SetTitle title="@Nicole Tejad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5DA8518BC8B1B45B557C6566B52FCA0" ma:contentTypeVersion="12" ma:contentTypeDescription="Crear nuevo documento." ma:contentTypeScope="" ma:versionID="8eac00002a26d46ead74cd5d263d5104">
  <xsd:schema xmlns:xsd="http://www.w3.org/2001/XMLSchema" xmlns:xs="http://www.w3.org/2001/XMLSchema" xmlns:p="http://schemas.microsoft.com/office/2006/metadata/properties" xmlns:ns3="aca398c2-2b34-4048-b550-408f3df02fb5" xmlns:ns4="05fcec57-837a-457c-81b3-ea0eca8dce43" targetNamespace="http://schemas.microsoft.com/office/2006/metadata/properties" ma:root="true" ma:fieldsID="0844813fced4e3e6609e8d9942145f9b" ns3:_="" ns4:_="">
    <xsd:import namespace="aca398c2-2b34-4048-b550-408f3df02fb5"/>
    <xsd:import namespace="05fcec57-837a-457c-81b3-ea0eca8dce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398c2-2b34-4048-b550-408f3df02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ec57-837a-457c-81b3-ea0eca8dce4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72D1FA-1752-0B49-9489-1D6A24F9797E}">
  <ds:schemaRefs>
    <ds:schemaRef ds:uri="http://schemas.openxmlformats.org/officeDocument/2006/bibliography"/>
  </ds:schemaRefs>
</ds:datastoreItem>
</file>

<file path=customXml/itemProps2.xml><?xml version="1.0" encoding="utf-8"?>
<ds:datastoreItem xmlns:ds="http://schemas.openxmlformats.org/officeDocument/2006/customXml" ds:itemID="{460D916D-1ABA-4978-8DB0-B672E58FC9F6}">
  <ds:schemaRefs>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 ds:uri="http://schemas.microsoft.com/office/2006/documentManagement/types"/>
    <ds:schemaRef ds:uri="05fcec57-837a-457c-81b3-ea0eca8dce43"/>
    <ds:schemaRef ds:uri="aca398c2-2b34-4048-b550-408f3df02fb5"/>
    <ds:schemaRef ds:uri="http://schemas.microsoft.com/office/2006/metadata/properties"/>
  </ds:schemaRefs>
</ds:datastoreItem>
</file>

<file path=customXml/itemProps3.xml><?xml version="1.0" encoding="utf-8"?>
<ds:datastoreItem xmlns:ds="http://schemas.openxmlformats.org/officeDocument/2006/customXml" ds:itemID="{AD96BB38-D488-49E5-AEC9-F2BA02E4C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398c2-2b34-4048-b550-408f3df02fb5"/>
    <ds:schemaRef ds:uri="05fcec57-837a-457c-81b3-ea0eca8dc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7BB693-D32D-476F-843A-535A37249A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22593</Words>
  <Characters>124267</Characters>
  <Application>Microsoft Office Word</Application>
  <DocSecurity>0</DocSecurity>
  <Lines>1035</Lines>
  <Paragraphs>293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Lp</Company>
  <LinksUpToDate>false</LinksUpToDate>
  <CharactersWithSpaces>146567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Tejada</dc:creator>
  <cp:keywords/>
  <dc:description/>
  <cp:lastModifiedBy>Nicole Tejada</cp:lastModifiedBy>
  <cp:revision>2</cp:revision>
  <cp:lastPrinted>2020-12-16T01:43:00Z</cp:lastPrinted>
  <dcterms:created xsi:type="dcterms:W3CDTF">2020-12-23T14:09:00Z</dcterms:created>
  <dcterms:modified xsi:type="dcterms:W3CDTF">2020-12-23T14:09:00Z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0x01010035DA8518BC8B1B45B557C6566B52FCA0</vt:lpwstr>
  </property>
</Properties>
</file>