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33BD4" w14:textId="77777777" w:rsidR="000A6044" w:rsidRPr="001B0896" w:rsidRDefault="00C700F8">
      <w:pPr>
        <w:rPr>
          <w:rFonts w:ascii="Times New Roman" w:hAnsi="Times New Roman"/>
        </w:rPr>
      </w:pPr>
      <w:r w:rsidRPr="001B0896">
        <w:rPr>
          <w:noProof/>
          <w:lang w:val="en-US"/>
        </w:rPr>
        <w:drawing>
          <wp:anchor distT="0" distB="0" distL="114300" distR="114300" simplePos="0" relativeHeight="251658240" behindDoc="0" locked="0" layoutInCell="1" allowOverlap="1" wp14:anchorId="2E9E0BE2" wp14:editId="003AA6AF">
            <wp:simplePos x="0" y="0"/>
            <wp:positionH relativeFrom="column">
              <wp:posOffset>1990593</wp:posOffset>
            </wp:positionH>
            <wp:positionV relativeFrom="paragraph">
              <wp:posOffset>-359410</wp:posOffset>
            </wp:positionV>
            <wp:extent cx="1223010" cy="1223010"/>
            <wp:effectExtent l="0" t="0" r="0" b="0"/>
            <wp:wrapNone/>
            <wp:docPr id="59" name="objec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3010" cy="1223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EAE6E4" w14:textId="77777777" w:rsidR="002F603A" w:rsidRPr="001B0896" w:rsidRDefault="002F603A" w:rsidP="002F603A"/>
    <w:p w14:paraId="44A89F7B" w14:textId="77777777" w:rsidR="002F603A" w:rsidRPr="001B0896" w:rsidRDefault="002F603A" w:rsidP="002F603A"/>
    <w:p w14:paraId="13FB05D5" w14:textId="77777777" w:rsidR="002F603A" w:rsidRPr="001B0896" w:rsidRDefault="002F603A" w:rsidP="002F603A"/>
    <w:p w14:paraId="201B6F2F" w14:textId="77777777" w:rsidR="002F603A" w:rsidRPr="001B0896" w:rsidRDefault="002F603A" w:rsidP="002F603A"/>
    <w:p w14:paraId="57851765" w14:textId="77777777" w:rsidR="002F603A" w:rsidRPr="001B0896" w:rsidRDefault="004E7225" w:rsidP="002F603A">
      <w:r w:rsidRPr="001B0896">
        <w:rPr>
          <w:noProof/>
          <w:lang w:val="en-US"/>
        </w:rPr>
        <mc:AlternateContent>
          <mc:Choice Requires="wps">
            <w:drawing>
              <wp:anchor distT="0" distB="0" distL="114300" distR="114300" simplePos="0" relativeHeight="251659264" behindDoc="0" locked="0" layoutInCell="1" allowOverlap="1" wp14:anchorId="79956774" wp14:editId="73AECCE4">
                <wp:simplePos x="0" y="0"/>
                <wp:positionH relativeFrom="column">
                  <wp:posOffset>1654802</wp:posOffset>
                </wp:positionH>
                <wp:positionV relativeFrom="paragraph">
                  <wp:posOffset>45085</wp:posOffset>
                </wp:positionV>
                <wp:extent cx="1850066" cy="268605"/>
                <wp:effectExtent l="0" t="0" r="0" b="0"/>
                <wp:wrapNone/>
                <wp:docPr id="28" name="objec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0066" cy="268605"/>
                        </a:xfrm>
                        <a:prstGeom prst="rect">
                          <a:avLst/>
                        </a:prstGeom>
                      </wps:spPr>
                      <wps:txbx>
                        <w:txbxContent>
                          <w:p w14:paraId="1560CA5F" w14:textId="77777777" w:rsidR="00B00B97" w:rsidRPr="00913859" w:rsidRDefault="00B00B97" w:rsidP="002F603A">
                            <w:pPr>
                              <w:spacing w:before="20"/>
                              <w:ind w:left="14"/>
                              <w:rPr>
                                <w:rFonts w:ascii="Times New Roman" w:hAnsi="Times New Roman"/>
                                <w:b/>
                                <w:bCs/>
                                <w:color w:val="D0B787"/>
                                <w:spacing w:val="9"/>
                                <w:kern w:val="24"/>
                                <w:sz w:val="20"/>
                                <w:szCs w:val="20"/>
                              </w:rPr>
                            </w:pPr>
                            <w:r w:rsidRPr="00913859">
                              <w:rPr>
                                <w:rFonts w:ascii="Times New Roman" w:hAnsi="Times New Roman"/>
                                <w:b/>
                                <w:bCs/>
                                <w:color w:val="D0B787"/>
                                <w:spacing w:val="9"/>
                                <w:kern w:val="24"/>
                                <w:sz w:val="20"/>
                                <w:szCs w:val="20"/>
                              </w:rPr>
                              <w:t>REPÚBLICA</w:t>
                            </w:r>
                            <w:r w:rsidRPr="00913859">
                              <w:rPr>
                                <w:rFonts w:ascii="Times New Roman" w:hAnsi="Times New Roman"/>
                                <w:b/>
                                <w:bCs/>
                                <w:color w:val="D0B787"/>
                                <w:spacing w:val="11"/>
                                <w:kern w:val="24"/>
                                <w:sz w:val="20"/>
                                <w:szCs w:val="20"/>
                              </w:rPr>
                              <w:t xml:space="preserve"> DOMINICANA</w:t>
                            </w:r>
                          </w:p>
                        </w:txbxContent>
                      </wps:txbx>
                      <wps:bodyPr vert="horz" wrap="square" lIns="0" tIns="12700" rIns="0" bIns="0" rtlCol="0">
                        <a:spAutoFit/>
                      </wps:bodyPr>
                    </wps:wsp>
                  </a:graphicData>
                </a:graphic>
                <wp14:sizeRelH relativeFrom="page">
                  <wp14:pctWidth>0</wp14:pctWidth>
                </wp14:sizeRelH>
                <wp14:sizeRelV relativeFrom="page">
                  <wp14:pctHeight>0</wp14:pctHeight>
                </wp14:sizeRelV>
              </wp:anchor>
            </w:drawing>
          </mc:Choice>
          <mc:Fallback>
            <w:pict>
              <v:shapetype w14:anchorId="79956774" id="_x0000_t202" coordsize="21600,21600" o:spt="202" path="m,l,21600r21600,l21600,xe">
                <v:stroke joinstyle="miter"/>
                <v:path gradientshapeok="t" o:connecttype="rect"/>
              </v:shapetype>
              <v:shape id="object 6" o:spid="_x0000_s1026" type="#_x0000_t202" style="position:absolute;left:0;text-align:left;margin-left:130.3pt;margin-top:3.55pt;width:145.65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" filled="f" stroked="f">
                <v:path arrowok="t"/>
                <v:textbox style="mso-fit-shape-to-text:t" inset="0,1pt,0,0">
                  <w:txbxContent>
                    <w:p w14:paraId="1560CA5F" w14:textId="77777777" w:rsidR="00B00B97" w:rsidRPr="00913859" w:rsidRDefault="00B00B97" w:rsidP="002F603A">
                      <w:pPr>
                        <w:spacing w:before="20"/>
                        <w:ind w:left="14"/>
                        <w:rPr>
                          <w:rFonts w:ascii="Times New Roman" w:hAnsi="Times New Roman"/>
                          <w:b/>
                          <w:bCs/>
                          <w:color w:val="D0B787"/>
                          <w:spacing w:val="9"/>
                          <w:kern w:val="24"/>
                          <w:sz w:val="20"/>
                          <w:szCs w:val="20"/>
                        </w:rPr>
                      </w:pPr>
                      <w:r w:rsidRPr="00913859">
                        <w:rPr>
                          <w:rFonts w:ascii="Times New Roman" w:hAnsi="Times New Roman"/>
                          <w:b/>
                          <w:bCs/>
                          <w:color w:val="D0B787"/>
                          <w:spacing w:val="9"/>
                          <w:kern w:val="24"/>
                          <w:sz w:val="20"/>
                          <w:szCs w:val="20"/>
                        </w:rPr>
                        <w:t>REPÚBLICA</w:t>
                      </w:r>
                      <w:r w:rsidRPr="00913859">
                        <w:rPr>
                          <w:rFonts w:ascii="Times New Roman" w:hAnsi="Times New Roman"/>
                          <w:b/>
                          <w:bCs/>
                          <w:color w:val="D0B787"/>
                          <w:spacing w:val="11"/>
                          <w:kern w:val="24"/>
                          <w:sz w:val="20"/>
                          <w:szCs w:val="20"/>
                        </w:rPr>
                        <w:t xml:space="preserve"> DOMINICANA</w:t>
                      </w:r>
                    </w:p>
                  </w:txbxContent>
                </v:textbox>
              </v:shape>
            </w:pict>
          </mc:Fallback>
        </mc:AlternateContent>
      </w:r>
    </w:p>
    <w:p w14:paraId="27DF55CF" w14:textId="77777777" w:rsidR="002F603A" w:rsidRPr="001B0896" w:rsidRDefault="002F603A" w:rsidP="002F603A"/>
    <w:p w14:paraId="3DEBB10E" w14:textId="77777777" w:rsidR="002F603A" w:rsidRPr="001B0896" w:rsidRDefault="002F603A" w:rsidP="002F603A"/>
    <w:p w14:paraId="15F42B2C" w14:textId="77777777" w:rsidR="002F603A" w:rsidRPr="001B0896" w:rsidRDefault="002F603A" w:rsidP="002F603A"/>
    <w:p w14:paraId="5328FC98" w14:textId="77777777" w:rsidR="003A47C9" w:rsidRPr="001B0896" w:rsidRDefault="009C4083" w:rsidP="002F603A">
      <w:pPr>
        <w:rPr>
          <w:rFonts w:ascii="Times New Roman" w:hAnsi="Times New Roman"/>
        </w:rPr>
      </w:pPr>
      <w:r w:rsidRPr="001B0896">
        <w:rPr>
          <w:noProof/>
          <w:lang w:val="en-US"/>
        </w:rPr>
        <mc:AlternateContent>
          <mc:Choice Requires="wps">
            <w:drawing>
              <wp:anchor distT="0" distB="0" distL="114300" distR="114300" simplePos="0" relativeHeight="251677696" behindDoc="0" locked="0" layoutInCell="1" allowOverlap="1" wp14:anchorId="40C6AE68" wp14:editId="211D9A29">
                <wp:simplePos x="0" y="0"/>
                <wp:positionH relativeFrom="column">
                  <wp:posOffset>1935480</wp:posOffset>
                </wp:positionH>
                <wp:positionV relativeFrom="paragraph">
                  <wp:posOffset>2026920</wp:posOffset>
                </wp:positionV>
                <wp:extent cx="1210945" cy="308610"/>
                <wp:effectExtent l="0" t="0" r="0" b="0"/>
                <wp:wrapNone/>
                <wp:docPr id="5" name="object 5"/>
                <wp:cNvGraphicFramePr/>
                <a:graphic xmlns:a="http://schemas.openxmlformats.org/drawingml/2006/main">
                  <a:graphicData uri="http://schemas.microsoft.com/office/word/2010/wordprocessingShape">
                    <wps:wsp>
                      <wps:cNvSpPr txBox="1"/>
                      <wps:spPr>
                        <a:xfrm>
                          <a:off x="0" y="0"/>
                          <a:ext cx="1210945" cy="308610"/>
                        </a:xfrm>
                        <a:prstGeom prst="rect">
                          <a:avLst/>
                        </a:prstGeom>
                      </wps:spPr>
                      <wps:txbx>
                        <w:txbxContent>
                          <w:p w14:paraId="5C13D166" w14:textId="77777777" w:rsidR="00B00B97" w:rsidRPr="00F36012" w:rsidRDefault="00B00B97" w:rsidP="009C4083">
                            <w:pPr>
                              <w:spacing w:before="20"/>
                              <w:ind w:left="14"/>
                              <w:rPr>
                                <w:rFonts w:ascii="Times New Roman" w:hAnsi="Times New Roman"/>
                                <w:b/>
                                <w:bCs/>
                                <w:color w:val="D5B788"/>
                                <w:spacing w:val="74"/>
                                <w:kern w:val="24"/>
                                <w:sz w:val="28"/>
                                <w:szCs w:val="28"/>
                              </w:rPr>
                            </w:pPr>
                            <w:r w:rsidRPr="00F36012">
                              <w:rPr>
                                <w:rFonts w:ascii="Times New Roman" w:hAnsi="Times New Roman"/>
                                <w:b/>
                                <w:bCs/>
                                <w:color w:val="D5B788"/>
                                <w:spacing w:val="74"/>
                                <w:kern w:val="24"/>
                                <w:sz w:val="28"/>
                                <w:szCs w:val="28"/>
                              </w:rPr>
                              <w:t>AÑ</w:t>
                            </w:r>
                            <w:r w:rsidRPr="00F36012">
                              <w:rPr>
                                <w:rFonts w:ascii="Times New Roman" w:hAnsi="Times New Roman"/>
                                <w:b/>
                                <w:bCs/>
                                <w:color w:val="D5B788"/>
                                <w:spacing w:val="37"/>
                                <w:kern w:val="24"/>
                                <w:sz w:val="28"/>
                                <w:szCs w:val="28"/>
                              </w:rPr>
                              <w:t>O</w:t>
                            </w:r>
                            <w:r w:rsidRPr="00F36012">
                              <w:rPr>
                                <w:rFonts w:ascii="Times New Roman" w:hAnsi="Times New Roman"/>
                                <w:b/>
                                <w:bCs/>
                                <w:color w:val="D5B788"/>
                                <w:spacing w:val="74"/>
                                <w:kern w:val="24"/>
                                <w:sz w:val="28"/>
                                <w:szCs w:val="28"/>
                              </w:rPr>
                              <w:t xml:space="preserve"> </w:t>
                            </w:r>
                            <w:r w:rsidRPr="00F36012">
                              <w:rPr>
                                <w:rFonts w:ascii="Times New Roman" w:hAnsi="Times New Roman"/>
                                <w:b/>
                                <w:bCs/>
                                <w:color w:val="D5B788"/>
                                <w:spacing w:val="68"/>
                                <w:kern w:val="24"/>
                                <w:sz w:val="28"/>
                                <w:szCs w:val="28"/>
                              </w:rPr>
                              <w:t>2</w:t>
                            </w:r>
                            <w:r w:rsidRPr="00F36012">
                              <w:rPr>
                                <w:rFonts w:ascii="Times New Roman" w:hAnsi="Times New Roman"/>
                                <w:b/>
                                <w:bCs/>
                                <w:color w:val="D5B788"/>
                                <w:spacing w:val="28"/>
                                <w:kern w:val="24"/>
                                <w:sz w:val="28"/>
                                <w:szCs w:val="28"/>
                              </w:rPr>
                              <w:t>0</w:t>
                            </w:r>
                            <w:r w:rsidRPr="00F36012">
                              <w:rPr>
                                <w:rFonts w:ascii="Times New Roman" w:hAnsi="Times New Roman"/>
                                <w:b/>
                                <w:bCs/>
                                <w:color w:val="D5B788"/>
                                <w:spacing w:val="-23"/>
                                <w:kern w:val="24"/>
                                <w:sz w:val="28"/>
                                <w:szCs w:val="28"/>
                              </w:rPr>
                              <w:t xml:space="preserve"> </w:t>
                            </w:r>
                            <w:r w:rsidRPr="00F36012">
                              <w:rPr>
                                <w:rFonts w:ascii="Times New Roman" w:hAnsi="Times New Roman"/>
                                <w:b/>
                                <w:bCs/>
                                <w:color w:val="D5B788"/>
                                <w:spacing w:val="68"/>
                                <w:kern w:val="24"/>
                                <w:sz w:val="28"/>
                                <w:szCs w:val="28"/>
                              </w:rPr>
                              <w:t>2</w:t>
                            </w:r>
                            <w:r w:rsidRPr="00F36012">
                              <w:rPr>
                                <w:rFonts w:ascii="Times New Roman" w:hAnsi="Times New Roman"/>
                                <w:b/>
                                <w:bCs/>
                                <w:color w:val="D5B788"/>
                                <w:spacing w:val="28"/>
                                <w:kern w:val="24"/>
                                <w:sz w:val="28"/>
                                <w:szCs w:val="28"/>
                              </w:rPr>
                              <w:t>1</w:t>
                            </w:r>
                            <w:r w:rsidRPr="00F36012">
                              <w:rPr>
                                <w:rFonts w:ascii="Times New Roman" w:hAnsi="Times New Roman"/>
                                <w:b/>
                                <w:bCs/>
                                <w:color w:val="D5B788"/>
                                <w:spacing w:val="-21"/>
                                <w:kern w:val="24"/>
                                <w:sz w:val="28"/>
                                <w:szCs w:val="28"/>
                              </w:rPr>
                              <w:t xml:space="preserve"> </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40C6AE68" id="object 5" o:spid="_x0000_s1027" type="#_x0000_t202" style="position:absolute;left:0;text-align:left;margin-left:152.4pt;margin-top:159.6pt;width:95.35pt;height:24.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" filled="f" stroked="f">
                <v:textbox inset="0,1pt,0,0">
                  <w:txbxContent>
                    <w:p w14:paraId="5C13D166" w14:textId="77777777" w:rsidR="00B00B97" w:rsidRPr="00F36012" w:rsidRDefault="00B00B97" w:rsidP="009C4083">
                      <w:pPr>
                        <w:spacing w:before="20"/>
                        <w:ind w:left="14"/>
                        <w:rPr>
                          <w:rFonts w:ascii="Times New Roman" w:hAnsi="Times New Roman"/>
                          <w:b/>
                          <w:bCs/>
                          <w:color w:val="D5B788"/>
                          <w:spacing w:val="74"/>
                          <w:kern w:val="24"/>
                          <w:sz w:val="28"/>
                          <w:szCs w:val="28"/>
                        </w:rPr>
                      </w:pPr>
                      <w:r w:rsidRPr="00F36012">
                        <w:rPr>
                          <w:rFonts w:ascii="Times New Roman" w:hAnsi="Times New Roman"/>
                          <w:b/>
                          <w:bCs/>
                          <w:color w:val="D5B788"/>
                          <w:spacing w:val="74"/>
                          <w:kern w:val="24"/>
                          <w:sz w:val="28"/>
                          <w:szCs w:val="28"/>
                        </w:rPr>
                        <w:t>AÑ</w:t>
                      </w:r>
                      <w:r w:rsidRPr="00F36012">
                        <w:rPr>
                          <w:rFonts w:ascii="Times New Roman" w:hAnsi="Times New Roman"/>
                          <w:b/>
                          <w:bCs/>
                          <w:color w:val="D5B788"/>
                          <w:spacing w:val="37"/>
                          <w:kern w:val="24"/>
                          <w:sz w:val="28"/>
                          <w:szCs w:val="28"/>
                        </w:rPr>
                        <w:t>O</w:t>
                      </w:r>
                      <w:r w:rsidRPr="00F36012">
                        <w:rPr>
                          <w:rFonts w:ascii="Times New Roman" w:hAnsi="Times New Roman"/>
                          <w:b/>
                          <w:bCs/>
                          <w:color w:val="D5B788"/>
                          <w:spacing w:val="74"/>
                          <w:kern w:val="24"/>
                          <w:sz w:val="28"/>
                          <w:szCs w:val="28"/>
                        </w:rPr>
                        <w:t xml:space="preserve"> </w:t>
                      </w:r>
                      <w:r w:rsidRPr="00F36012">
                        <w:rPr>
                          <w:rFonts w:ascii="Times New Roman" w:hAnsi="Times New Roman"/>
                          <w:b/>
                          <w:bCs/>
                          <w:color w:val="D5B788"/>
                          <w:spacing w:val="68"/>
                          <w:kern w:val="24"/>
                          <w:sz w:val="28"/>
                          <w:szCs w:val="28"/>
                        </w:rPr>
                        <w:t>2</w:t>
                      </w:r>
                      <w:r w:rsidRPr="00F36012">
                        <w:rPr>
                          <w:rFonts w:ascii="Times New Roman" w:hAnsi="Times New Roman"/>
                          <w:b/>
                          <w:bCs/>
                          <w:color w:val="D5B788"/>
                          <w:spacing w:val="28"/>
                          <w:kern w:val="24"/>
                          <w:sz w:val="28"/>
                          <w:szCs w:val="28"/>
                        </w:rPr>
                        <w:t>0</w:t>
                      </w:r>
                      <w:r w:rsidRPr="00F36012">
                        <w:rPr>
                          <w:rFonts w:ascii="Times New Roman" w:hAnsi="Times New Roman"/>
                          <w:b/>
                          <w:bCs/>
                          <w:color w:val="D5B788"/>
                          <w:spacing w:val="-23"/>
                          <w:kern w:val="24"/>
                          <w:sz w:val="28"/>
                          <w:szCs w:val="28"/>
                        </w:rPr>
                        <w:t xml:space="preserve"> </w:t>
                      </w:r>
                      <w:r w:rsidRPr="00F36012">
                        <w:rPr>
                          <w:rFonts w:ascii="Times New Roman" w:hAnsi="Times New Roman"/>
                          <w:b/>
                          <w:bCs/>
                          <w:color w:val="D5B788"/>
                          <w:spacing w:val="68"/>
                          <w:kern w:val="24"/>
                          <w:sz w:val="28"/>
                          <w:szCs w:val="28"/>
                        </w:rPr>
                        <w:t>2</w:t>
                      </w:r>
                      <w:r w:rsidRPr="00F36012">
                        <w:rPr>
                          <w:rFonts w:ascii="Times New Roman" w:hAnsi="Times New Roman"/>
                          <w:b/>
                          <w:bCs/>
                          <w:color w:val="D5B788"/>
                          <w:spacing w:val="28"/>
                          <w:kern w:val="24"/>
                          <w:sz w:val="28"/>
                          <w:szCs w:val="28"/>
                        </w:rPr>
                        <w:t>1</w:t>
                      </w:r>
                      <w:r w:rsidRPr="00F36012">
                        <w:rPr>
                          <w:rFonts w:ascii="Times New Roman" w:hAnsi="Times New Roman"/>
                          <w:b/>
                          <w:bCs/>
                          <w:color w:val="D5B788"/>
                          <w:spacing w:val="-21"/>
                          <w:kern w:val="24"/>
                          <w:sz w:val="28"/>
                          <w:szCs w:val="28"/>
                        </w:rPr>
                        <w:t xml:space="preserve"> </w:t>
                      </w:r>
                    </w:p>
                  </w:txbxContent>
                </v:textbox>
              </v:shape>
            </w:pict>
          </mc:Fallback>
        </mc:AlternateContent>
      </w:r>
      <w:r w:rsidRPr="001B0896">
        <w:rPr>
          <w:noProof/>
          <w:lang w:val="en-US"/>
        </w:rPr>
        <mc:AlternateContent>
          <mc:Choice Requires="wps">
            <w:drawing>
              <wp:anchor distT="4294967295" distB="4294967295" distL="114300" distR="114300" simplePos="0" relativeHeight="251675648" behindDoc="0" locked="0" layoutInCell="1" allowOverlap="1" wp14:anchorId="4A5BCBB8" wp14:editId="3EA325EA">
                <wp:simplePos x="0" y="0"/>
                <wp:positionH relativeFrom="margin">
                  <wp:posOffset>2280920</wp:posOffset>
                </wp:positionH>
                <wp:positionV relativeFrom="paragraph">
                  <wp:posOffset>1713230</wp:posOffset>
                </wp:positionV>
                <wp:extent cx="463550" cy="0"/>
                <wp:effectExtent l="0" t="19050" r="31750" b="19050"/>
                <wp:wrapNone/>
                <wp:docPr id="3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73E4F89" id="Straight Connector 9" o:spid="_x0000_s1026" style="position:absolute;z-index:2516756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79.6pt,134.9pt" to="216.1pt,1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" strokecolor="#c8b688" strokeweight="2.25pt">
                <v:stroke joinstyle="miter"/>
                <o:lock v:ext="edit" shapetype="f"/>
                <w10:wrap anchorx="margin"/>
              </v:line>
            </w:pict>
          </mc:Fallback>
        </mc:AlternateContent>
      </w:r>
      <w:r w:rsidRPr="001B0896">
        <w:rPr>
          <w:noProof/>
          <w:lang w:val="en-US"/>
        </w:rPr>
        <mc:AlternateContent>
          <mc:Choice Requires="wps">
            <w:drawing>
              <wp:anchor distT="0" distB="0" distL="114300" distR="114300" simplePos="0" relativeHeight="251674624" behindDoc="0" locked="0" layoutInCell="1" allowOverlap="1" wp14:anchorId="13F25435" wp14:editId="529532B2">
                <wp:simplePos x="0" y="0"/>
                <wp:positionH relativeFrom="column">
                  <wp:posOffset>-339725</wp:posOffset>
                </wp:positionH>
                <wp:positionV relativeFrom="paragraph">
                  <wp:posOffset>729615</wp:posOffset>
                </wp:positionV>
                <wp:extent cx="5758815" cy="978196"/>
                <wp:effectExtent l="0" t="0" r="0" b="0"/>
                <wp:wrapNone/>
                <wp:docPr id="4" name="object 4"/>
                <wp:cNvGraphicFramePr/>
                <a:graphic xmlns:a="http://schemas.openxmlformats.org/drawingml/2006/main">
                  <a:graphicData uri="http://schemas.microsoft.com/office/word/2010/wordprocessingShape">
                    <wps:wsp>
                      <wps:cNvSpPr txBox="1"/>
                      <wps:spPr>
                        <a:xfrm>
                          <a:off x="0" y="0"/>
                          <a:ext cx="5758815" cy="978196"/>
                        </a:xfrm>
                        <a:prstGeom prst="rect">
                          <a:avLst/>
                        </a:prstGeom>
                      </wps:spPr>
                      <wps:txbx>
                        <w:txbxContent>
                          <w:p w14:paraId="6A92C62E" w14:textId="77777777" w:rsidR="00B00B97" w:rsidRDefault="00B00B97" w:rsidP="009C4083">
                            <w:pPr>
                              <w:spacing w:after="0"/>
                              <w:jc w:val="center"/>
                              <w:rPr>
                                <w:rFonts w:ascii="Times New Roman" w:hAnsi="Times New Roman"/>
                                <w:b/>
                                <w:bCs/>
                                <w:color w:val="D5B788"/>
                                <w:spacing w:val="60"/>
                                <w:kern w:val="24"/>
                                <w:sz w:val="56"/>
                                <w:szCs w:val="56"/>
                                <w:lang w:val="es-DO"/>
                              </w:rPr>
                            </w:pPr>
                            <w:r w:rsidRPr="008D7F4E">
                              <w:rPr>
                                <w:rFonts w:ascii="Times New Roman" w:hAnsi="Times New Roman"/>
                                <w:b/>
                                <w:bCs/>
                                <w:color w:val="D5B788"/>
                                <w:spacing w:val="60"/>
                                <w:kern w:val="24"/>
                                <w:sz w:val="56"/>
                                <w:szCs w:val="56"/>
                                <w:lang w:val="es-DO"/>
                              </w:rPr>
                              <w:t xml:space="preserve">MEMORIA </w:t>
                            </w:r>
                          </w:p>
                          <w:p w14:paraId="1BC9BC70" w14:textId="77777777" w:rsidR="00B00B97" w:rsidRPr="008D7F4E" w:rsidRDefault="00B00B97" w:rsidP="009C4083">
                            <w:pPr>
                              <w:spacing w:after="0"/>
                              <w:jc w:val="center"/>
                              <w:rPr>
                                <w:rFonts w:ascii="Times New Roman" w:hAnsi="Times New Roman"/>
                                <w:b/>
                                <w:bCs/>
                                <w:color w:val="D5B788"/>
                                <w:spacing w:val="60"/>
                                <w:kern w:val="24"/>
                                <w:sz w:val="56"/>
                                <w:szCs w:val="56"/>
                                <w:lang w:val="es-DO"/>
                              </w:rPr>
                            </w:pPr>
                            <w:r w:rsidRPr="008D7F4E">
                              <w:rPr>
                                <w:rFonts w:ascii="Times New Roman" w:hAnsi="Times New Roman"/>
                                <w:b/>
                                <w:bCs/>
                                <w:color w:val="D5B788"/>
                                <w:spacing w:val="60"/>
                                <w:kern w:val="24"/>
                                <w:sz w:val="56"/>
                                <w:szCs w:val="56"/>
                                <w:lang w:val="es-DO"/>
                              </w:rPr>
                              <w:t>INSTITUCIONAL</w:t>
                            </w: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13F25435" id="object 4" o:spid="_x0000_s1028" type="#_x0000_t202" style="position:absolute;left:0;text-align:left;margin-left:-26.75pt;margin-top:57.45pt;width:453.45pt;height:7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" filled="f" stroked="f">
                <v:textbox inset="0,1.35pt,0,0">
                  <w:txbxContent>
                    <w:p w14:paraId="6A92C62E" w14:textId="77777777" w:rsidR="00B00B97" w:rsidRDefault="00B00B97" w:rsidP="009C4083">
                      <w:pPr>
                        <w:spacing w:after="0"/>
                        <w:jc w:val="center"/>
                        <w:rPr>
                          <w:rFonts w:ascii="Times New Roman" w:hAnsi="Times New Roman"/>
                          <w:b/>
                          <w:bCs/>
                          <w:color w:val="D5B788"/>
                          <w:spacing w:val="60"/>
                          <w:kern w:val="24"/>
                          <w:sz w:val="56"/>
                          <w:szCs w:val="56"/>
                          <w:lang w:val="es-DO"/>
                        </w:rPr>
                      </w:pPr>
                      <w:r w:rsidRPr="008D7F4E">
                        <w:rPr>
                          <w:rFonts w:ascii="Times New Roman" w:hAnsi="Times New Roman"/>
                          <w:b/>
                          <w:bCs/>
                          <w:color w:val="D5B788"/>
                          <w:spacing w:val="60"/>
                          <w:kern w:val="24"/>
                          <w:sz w:val="56"/>
                          <w:szCs w:val="56"/>
                          <w:lang w:val="es-DO"/>
                        </w:rPr>
                        <w:t xml:space="preserve">MEMORIA </w:t>
                      </w:r>
                    </w:p>
                    <w:p w14:paraId="1BC9BC70" w14:textId="77777777" w:rsidR="00B00B97" w:rsidRPr="008D7F4E" w:rsidRDefault="00B00B97" w:rsidP="009C4083">
                      <w:pPr>
                        <w:spacing w:after="0"/>
                        <w:jc w:val="center"/>
                        <w:rPr>
                          <w:rFonts w:ascii="Times New Roman" w:hAnsi="Times New Roman"/>
                          <w:b/>
                          <w:bCs/>
                          <w:color w:val="D5B788"/>
                          <w:spacing w:val="60"/>
                          <w:kern w:val="24"/>
                          <w:sz w:val="56"/>
                          <w:szCs w:val="56"/>
                          <w:lang w:val="es-DO"/>
                        </w:rPr>
                      </w:pPr>
                      <w:r w:rsidRPr="008D7F4E">
                        <w:rPr>
                          <w:rFonts w:ascii="Times New Roman" w:hAnsi="Times New Roman"/>
                          <w:b/>
                          <w:bCs/>
                          <w:color w:val="D5B788"/>
                          <w:spacing w:val="60"/>
                          <w:kern w:val="24"/>
                          <w:sz w:val="56"/>
                          <w:szCs w:val="56"/>
                          <w:lang w:val="es-DO"/>
                        </w:rPr>
                        <w:t>INSTITUCIONAL</w:t>
                      </w:r>
                    </w:p>
                  </w:txbxContent>
                </v:textbox>
              </v:shape>
            </w:pict>
          </mc:Fallback>
        </mc:AlternateContent>
      </w:r>
      <w:r w:rsidR="004E7225" w:rsidRPr="001B0896">
        <w:rPr>
          <w:noProof/>
          <w:lang w:val="en-US"/>
        </w:rPr>
        <w:drawing>
          <wp:anchor distT="0" distB="0" distL="114300" distR="114300" simplePos="0" relativeHeight="251653120" behindDoc="0" locked="0" layoutInCell="1" allowOverlap="1" wp14:anchorId="0DC22326" wp14:editId="6BCB330E">
            <wp:simplePos x="0" y="0"/>
            <wp:positionH relativeFrom="column">
              <wp:posOffset>-480695</wp:posOffset>
            </wp:positionH>
            <wp:positionV relativeFrom="paragraph">
              <wp:posOffset>5048885</wp:posOffset>
            </wp:positionV>
            <wp:extent cx="514985" cy="478790"/>
            <wp:effectExtent l="0" t="0" r="0" b="0"/>
            <wp:wrapNone/>
            <wp:docPr id="55" name="objec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985" cy="478790"/>
                    </a:xfrm>
                    <a:prstGeom prst="rect">
                      <a:avLst/>
                    </a:prstGeom>
                    <a:noFill/>
                    <a:ln>
                      <a:noFill/>
                    </a:ln>
                  </pic:spPr>
                </pic:pic>
              </a:graphicData>
            </a:graphic>
            <wp14:sizeRelH relativeFrom="page">
              <wp14:pctWidth>0</wp14:pctWidth>
            </wp14:sizeRelH>
            <wp14:sizeRelV relativeFrom="page">
              <wp14:pctHeight>0</wp14:pctHeight>
            </wp14:sizeRelV>
          </wp:anchor>
        </w:drawing>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p>
    <w:p w14:paraId="666F233D" w14:textId="77777777" w:rsidR="002F603A" w:rsidRPr="001B0896" w:rsidRDefault="004E7225">
      <w:pPr>
        <w:rPr>
          <w:rFonts w:ascii="Times New Roman" w:hAnsi="Times New Roman"/>
        </w:rPr>
      </w:pPr>
      <w:r w:rsidRPr="001B0896">
        <w:rPr>
          <w:noProof/>
          <w:lang w:val="en-US"/>
        </w:rPr>
        <mc:AlternateContent>
          <mc:Choice Requires="wps">
            <w:drawing>
              <wp:anchor distT="0" distB="0" distL="114300" distR="114300" simplePos="0" relativeHeight="251657216" behindDoc="0" locked="0" layoutInCell="1" allowOverlap="1" wp14:anchorId="6D72A083" wp14:editId="6184A851">
                <wp:simplePos x="0" y="0"/>
                <wp:positionH relativeFrom="column">
                  <wp:posOffset>3625215</wp:posOffset>
                </wp:positionH>
                <wp:positionV relativeFrom="paragraph">
                  <wp:posOffset>195580</wp:posOffset>
                </wp:positionV>
                <wp:extent cx="542925" cy="509270"/>
                <wp:effectExtent l="0" t="0" r="0" b="0"/>
                <wp:wrapNone/>
                <wp:docPr id="24" name="object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509270"/>
                        </a:xfrm>
                        <a:custGeom>
                          <a:avLst/>
                          <a:gdLst/>
                          <a:ahLst/>
                          <a:cxnLst/>
                          <a:rect l="l" t="t" r="r" b="b"/>
                          <a:pathLst>
                            <a:path w="542925" h="509270">
                              <a:moveTo>
                                <a:pt x="469493" y="480745"/>
                              </a:moveTo>
                              <a:lnTo>
                                <a:pt x="443026" y="420751"/>
                              </a:lnTo>
                              <a:lnTo>
                                <a:pt x="411670" y="394119"/>
                              </a:lnTo>
                              <a:lnTo>
                                <a:pt x="345376" y="367334"/>
                              </a:lnTo>
                              <a:lnTo>
                                <a:pt x="301078" y="358165"/>
                              </a:lnTo>
                              <a:lnTo>
                                <a:pt x="246227" y="353021"/>
                              </a:lnTo>
                              <a:lnTo>
                                <a:pt x="178435" y="352831"/>
                              </a:lnTo>
                              <a:lnTo>
                                <a:pt x="95364" y="358508"/>
                              </a:lnTo>
                              <a:lnTo>
                                <a:pt x="247738" y="379996"/>
                              </a:lnTo>
                              <a:lnTo>
                                <a:pt x="335800" y="402526"/>
                              </a:lnTo>
                              <a:lnTo>
                                <a:pt x="393103" y="439928"/>
                              </a:lnTo>
                              <a:lnTo>
                                <a:pt x="453174" y="506006"/>
                              </a:lnTo>
                              <a:lnTo>
                                <a:pt x="454482" y="507199"/>
                              </a:lnTo>
                              <a:lnTo>
                                <a:pt x="457822" y="508825"/>
                              </a:lnTo>
                              <a:lnTo>
                                <a:pt x="462343" y="507949"/>
                              </a:lnTo>
                              <a:lnTo>
                                <a:pt x="467156" y="501599"/>
                              </a:lnTo>
                              <a:lnTo>
                                <a:pt x="469493" y="480745"/>
                              </a:lnTo>
                              <a:close/>
                            </a:path>
                            <a:path w="542925" h="509270">
                              <a:moveTo>
                                <a:pt x="521449" y="422846"/>
                              </a:moveTo>
                              <a:lnTo>
                                <a:pt x="487654" y="346379"/>
                              </a:lnTo>
                              <a:lnTo>
                                <a:pt x="430403" y="305701"/>
                              </a:lnTo>
                              <a:lnTo>
                                <a:pt x="392887" y="290309"/>
                              </a:lnTo>
                              <a:lnTo>
                                <a:pt x="322529" y="272478"/>
                              </a:lnTo>
                              <a:lnTo>
                                <a:pt x="274904" y="265658"/>
                              </a:lnTo>
                              <a:lnTo>
                                <a:pt x="218884" y="261848"/>
                              </a:lnTo>
                              <a:lnTo>
                                <a:pt x="154432" y="262255"/>
                              </a:lnTo>
                              <a:lnTo>
                                <a:pt x="81495" y="268097"/>
                              </a:lnTo>
                              <a:lnTo>
                                <a:pt x="0" y="280555"/>
                              </a:lnTo>
                              <a:lnTo>
                                <a:pt x="241833" y="283540"/>
                              </a:lnTo>
                              <a:lnTo>
                                <a:pt x="374916" y="302133"/>
                              </a:lnTo>
                              <a:lnTo>
                                <a:pt x="446468" y="352209"/>
                              </a:lnTo>
                              <a:lnTo>
                                <a:pt x="503732" y="449592"/>
                              </a:lnTo>
                              <a:lnTo>
                                <a:pt x="505193" y="451142"/>
                              </a:lnTo>
                              <a:lnTo>
                                <a:pt x="508774" y="453580"/>
                              </a:lnTo>
                              <a:lnTo>
                                <a:pt x="513181" y="453669"/>
                              </a:lnTo>
                              <a:lnTo>
                                <a:pt x="517182" y="448132"/>
                              </a:lnTo>
                              <a:lnTo>
                                <a:pt x="521449" y="422846"/>
                              </a:lnTo>
                              <a:close/>
                            </a:path>
                            <a:path w="542925" h="509270">
                              <a:moveTo>
                                <a:pt x="542658" y="361467"/>
                              </a:moveTo>
                              <a:lnTo>
                                <a:pt x="539229" y="301866"/>
                              </a:lnTo>
                              <a:lnTo>
                                <a:pt x="527697" y="269087"/>
                              </a:lnTo>
                              <a:lnTo>
                                <a:pt x="498741" y="251523"/>
                              </a:lnTo>
                              <a:lnTo>
                                <a:pt x="443001" y="237540"/>
                              </a:lnTo>
                              <a:lnTo>
                                <a:pt x="453275" y="232930"/>
                              </a:lnTo>
                              <a:lnTo>
                                <a:pt x="476542" y="216649"/>
                              </a:lnTo>
                              <a:lnTo>
                                <a:pt x="501421" y="185026"/>
                              </a:lnTo>
                              <a:lnTo>
                                <a:pt x="516547" y="134416"/>
                              </a:lnTo>
                              <a:lnTo>
                                <a:pt x="508228" y="82753"/>
                              </a:lnTo>
                              <a:lnTo>
                                <a:pt x="483108" y="44183"/>
                              </a:lnTo>
                              <a:lnTo>
                                <a:pt x="447649" y="18046"/>
                              </a:lnTo>
                              <a:lnTo>
                                <a:pt x="408343" y="3632"/>
                              </a:lnTo>
                              <a:lnTo>
                                <a:pt x="359117" y="0"/>
                              </a:lnTo>
                              <a:lnTo>
                                <a:pt x="172377" y="241"/>
                              </a:lnTo>
                              <a:lnTo>
                                <a:pt x="172288" y="165176"/>
                              </a:lnTo>
                              <a:lnTo>
                                <a:pt x="172542" y="206806"/>
                              </a:lnTo>
                              <a:lnTo>
                                <a:pt x="199491" y="209765"/>
                              </a:lnTo>
                              <a:lnTo>
                                <a:pt x="218147" y="212483"/>
                              </a:lnTo>
                              <a:lnTo>
                                <a:pt x="237210" y="216535"/>
                              </a:lnTo>
                              <a:lnTo>
                                <a:pt x="265417" y="223469"/>
                              </a:lnTo>
                              <a:lnTo>
                                <a:pt x="265417" y="77266"/>
                              </a:lnTo>
                              <a:lnTo>
                                <a:pt x="338963" y="77343"/>
                              </a:lnTo>
                              <a:lnTo>
                                <a:pt x="371525" y="83299"/>
                              </a:lnTo>
                              <a:lnTo>
                                <a:pt x="403936" y="103695"/>
                              </a:lnTo>
                              <a:lnTo>
                                <a:pt x="418338" y="147142"/>
                              </a:lnTo>
                              <a:lnTo>
                                <a:pt x="415925" y="194195"/>
                              </a:lnTo>
                              <a:lnTo>
                                <a:pt x="402196" y="218440"/>
                              </a:lnTo>
                              <a:lnTo>
                                <a:pt x="365506" y="227584"/>
                              </a:lnTo>
                              <a:lnTo>
                                <a:pt x="294233" y="229336"/>
                              </a:lnTo>
                              <a:lnTo>
                                <a:pt x="321665" y="235572"/>
                              </a:lnTo>
                              <a:lnTo>
                                <a:pt x="388099" y="256959"/>
                              </a:lnTo>
                              <a:lnTo>
                                <a:pt x="469709" y="297573"/>
                              </a:lnTo>
                              <a:lnTo>
                                <a:pt x="542658" y="361467"/>
                              </a:lnTo>
                              <a:close/>
                            </a:path>
                          </a:pathLst>
                        </a:custGeom>
                        <a:solidFill>
                          <a:srgbClr val="D5B78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883967A" id="object 11" o:spid="_x0000_s1026" style="position:absolute;margin-left:285.45pt;margin-top:15.4pt;width:42.75pt;height:4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2925,50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" path="m469493,480745l443026,420751,411670,394119,345376,367334r-44298,-9169l246227,353021r-67792,-190l95364,358508r152374,21488l335800,402526r57303,37402l453174,506006r1308,1193l457822,508825r4521,-876l467156,501599r2337,-20854xem521449,422846l487654,346379,430403,305701,392887,290309,322529,272478r-47625,-6820l218884,261848r-64452,407l81495,268097,,280555r241833,2985l374916,302133r71552,50076l503732,449592r1461,1550l508774,453580r4407,89l517182,448132r4267,-25286xem542658,361467r-3429,-59601l527697,269087,498741,251523,443001,237540r10274,-4610l476542,216649r24879,-31623l516547,134416,508228,82753,483108,44183,447649,18046,408343,3632,359117,,172377,241r-89,164935l172542,206806r26949,2959l218147,212483r19063,4052l265417,223469r,-146203l338963,77343r32562,5956l403936,103695r14402,43447l415925,194195r-13729,24245l365506,227584r-71273,1752l321665,235572r66434,21387l469709,297573r72949,63894xe" fillcolor="#d5b788" stroked="f">
                <v:path arrowok="t"/>
              </v:shape>
            </w:pict>
          </mc:Fallback>
        </mc:AlternateContent>
      </w:r>
      <w:r w:rsidRPr="001B0896">
        <w:rPr>
          <w:noProof/>
          <w:lang w:val="en-US"/>
        </w:rPr>
        <mc:AlternateContent>
          <mc:Choice Requires="wps">
            <w:drawing>
              <wp:anchor distT="0" distB="0" distL="114300" distR="114300" simplePos="0" relativeHeight="251654144" behindDoc="0" locked="0" layoutInCell="1" allowOverlap="1" wp14:anchorId="393A0677" wp14:editId="0216D14F">
                <wp:simplePos x="0" y="0"/>
                <wp:positionH relativeFrom="column">
                  <wp:posOffset>-512445</wp:posOffset>
                </wp:positionH>
                <wp:positionV relativeFrom="paragraph">
                  <wp:posOffset>334645</wp:posOffset>
                </wp:positionV>
                <wp:extent cx="2267585" cy="371475"/>
                <wp:effectExtent l="0" t="0" r="0" b="0"/>
                <wp:wrapNone/>
                <wp:docPr id="23" name="objec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7585" cy="371475"/>
                        </a:xfrm>
                        <a:prstGeom prst="rect">
                          <a:avLst/>
                        </a:prstGeom>
                      </wps:spPr>
                      <wps:txbx>
                        <w:txbxContent>
                          <w:p w14:paraId="01B9430B" w14:textId="77777777" w:rsidR="00B00B97" w:rsidRPr="003A00CC" w:rsidRDefault="00B00B97" w:rsidP="002F603A">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3B4DA7C8" w14:textId="77777777" w:rsidR="00B00B97" w:rsidRDefault="00B00B97" w:rsidP="002F603A">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spacing w:val="20"/>
                                <w:kern w:val="24"/>
                              </w:rPr>
                              <w:t>DOMINICANA</w:t>
                            </w:r>
                          </w:p>
                        </w:txbxContent>
                      </wps:txbx>
                      <wps:bodyPr vert="horz" wrap="square" lIns="0" tIns="15240" rIns="0" bIns="0" rtlCol="0">
                        <a:noAutofit/>
                      </wps:bodyPr>
                    </wps:wsp>
                  </a:graphicData>
                </a:graphic>
                <wp14:sizeRelH relativeFrom="page">
                  <wp14:pctWidth>0</wp14:pctWidth>
                </wp14:sizeRelH>
                <wp14:sizeRelV relativeFrom="margin">
                  <wp14:pctHeight>0</wp14:pctHeight>
                </wp14:sizeRelV>
              </wp:anchor>
            </w:drawing>
          </mc:Choice>
          <mc:Fallback>
            <w:pict>
              <v:shape w14:anchorId="393A0677" id="object 8" o:spid="_x0000_s1029" type="#_x0000_t202" style="position:absolute;left:0;text-align:left;margin-left:-40.35pt;margin-top:26.35pt;width:178.55pt;height:2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" filled="f" stroked="f">
                <v:path arrowok="t"/>
                <v:textbox inset="0,1.2pt,0,0">
                  <w:txbxContent>
                    <w:p w14:paraId="01B9430B" w14:textId="77777777" w:rsidR="00B00B97" w:rsidRPr="003A00CC" w:rsidRDefault="00B00B97" w:rsidP="002F603A">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3B4DA7C8" w14:textId="77777777" w:rsidR="00B00B97" w:rsidRDefault="00B00B97" w:rsidP="002F603A">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spacing w:val="20"/>
                          <w:kern w:val="24"/>
                        </w:rPr>
                        <w:t>DOMINICANA</w:t>
                      </w:r>
                    </w:p>
                  </w:txbxContent>
                </v:textbox>
              </v:shape>
            </w:pict>
          </mc:Fallback>
        </mc:AlternateContent>
      </w:r>
    </w:p>
    <w:p w14:paraId="50A7DB10" w14:textId="77777777" w:rsidR="002F603A" w:rsidRPr="001B0896" w:rsidRDefault="004E7225">
      <w:pPr>
        <w:rPr>
          <w:rFonts w:ascii="Times New Roman" w:hAnsi="Times New Roman"/>
        </w:rPr>
      </w:pPr>
      <w:r w:rsidRPr="001B0896">
        <w:rPr>
          <w:noProof/>
          <w:lang w:val="en-US"/>
        </w:rPr>
        <w:drawing>
          <wp:anchor distT="0" distB="0" distL="114300" distR="114300" simplePos="0" relativeHeight="251656192" behindDoc="0" locked="0" layoutInCell="1" allowOverlap="1" wp14:anchorId="40688184" wp14:editId="043D792E">
            <wp:simplePos x="0" y="0"/>
            <wp:positionH relativeFrom="column">
              <wp:posOffset>4264025</wp:posOffset>
            </wp:positionH>
            <wp:positionV relativeFrom="paragraph">
              <wp:posOffset>157480</wp:posOffset>
            </wp:positionV>
            <wp:extent cx="1603375" cy="305435"/>
            <wp:effectExtent l="0" t="0" r="0" b="0"/>
            <wp:wrapNone/>
            <wp:docPr id="53" name="objec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3375" cy="305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8BD0F9" w14:textId="77777777" w:rsidR="002F603A" w:rsidRPr="001B0896" w:rsidRDefault="004E7225">
      <w:pPr>
        <w:rPr>
          <w:rFonts w:ascii="Times New Roman" w:hAnsi="Times New Roman"/>
        </w:rPr>
      </w:pPr>
      <w:r w:rsidRPr="001B0896">
        <w:rPr>
          <w:noProof/>
          <w:lang w:val="en-US"/>
        </w:rPr>
        <mc:AlternateContent>
          <mc:Choice Requires="wps">
            <w:drawing>
              <wp:anchor distT="0" distB="0" distL="114300" distR="114300" simplePos="0" relativeHeight="251655168" behindDoc="0" locked="0" layoutInCell="1" allowOverlap="1" wp14:anchorId="455E841F" wp14:editId="55FF6BC2">
                <wp:simplePos x="0" y="0"/>
                <wp:positionH relativeFrom="column">
                  <wp:posOffset>-496570</wp:posOffset>
                </wp:positionH>
                <wp:positionV relativeFrom="paragraph">
                  <wp:posOffset>193675</wp:posOffset>
                </wp:positionV>
                <wp:extent cx="513080" cy="24765"/>
                <wp:effectExtent l="0" t="0" r="0" b="0"/>
                <wp:wrapNone/>
                <wp:docPr id="22" name="objec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080" cy="24765"/>
                        </a:xfrm>
                        <a:custGeom>
                          <a:avLst/>
                          <a:gdLst/>
                          <a:ahLst/>
                          <a:cxnLst/>
                          <a:rect l="l" t="t" r="r" b="b"/>
                          <a:pathLst>
                            <a:path w="513080" h="24765">
                              <a:moveTo>
                                <a:pt x="512457" y="0"/>
                              </a:moveTo>
                              <a:lnTo>
                                <a:pt x="0" y="0"/>
                              </a:lnTo>
                              <a:lnTo>
                                <a:pt x="0" y="24256"/>
                              </a:lnTo>
                              <a:lnTo>
                                <a:pt x="512457" y="24256"/>
                              </a:lnTo>
                              <a:lnTo>
                                <a:pt x="512457" y="0"/>
                              </a:lnTo>
                              <a:close/>
                            </a:path>
                          </a:pathLst>
                        </a:custGeom>
                        <a:solidFill>
                          <a:srgbClr val="D5B788"/>
                        </a:solidFill>
                      </wps:spPr>
                      <wps:bodyPr wrap="square" lIns="0" tIns="0" rIns="0" bIns="0" rtlCol="0"/>
                    </wps:wsp>
                  </a:graphicData>
                </a:graphic>
                <wp14:sizeRelH relativeFrom="page">
                  <wp14:pctWidth>0</wp14:pctWidth>
                </wp14:sizeRelH>
                <wp14:sizeRelV relativeFrom="page">
                  <wp14:pctHeight>0</wp14:pctHeight>
                </wp14:sizeRelV>
              </wp:anchor>
            </w:drawing>
          </mc:Choice>
          <mc:Fallback>
            <w:pict>
              <v:shape w14:anchorId="29235D89" id="object 9" o:spid="_x0000_s1026" style="position:absolute;margin-left:-39.1pt;margin-top:15.25pt;width:40.4pt;height: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308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" path="m512457,l,,,24256r512457,l512457,xe" fillcolor="#d5b788" stroked="f">
                <v:path arrowok="t"/>
              </v:shape>
            </w:pict>
          </mc:Fallback>
        </mc:AlternateContent>
      </w:r>
    </w:p>
    <w:p w14:paraId="58DCCA54" w14:textId="77777777" w:rsidR="002F603A" w:rsidRPr="001B0896" w:rsidRDefault="002F603A" w:rsidP="002F603A"/>
    <w:p w14:paraId="294AEB9B" w14:textId="77777777" w:rsidR="002F603A" w:rsidRPr="001B0896" w:rsidRDefault="002F603A" w:rsidP="002F603A"/>
    <w:p w14:paraId="3A3D7326" w14:textId="77777777" w:rsidR="002F603A" w:rsidRPr="001B0896" w:rsidRDefault="002F603A" w:rsidP="002F603A"/>
    <w:p w14:paraId="62774A7A" w14:textId="77777777" w:rsidR="002F603A" w:rsidRPr="001B0896" w:rsidRDefault="002F603A" w:rsidP="002F603A"/>
    <w:p w14:paraId="157103B6" w14:textId="77777777" w:rsidR="002F603A" w:rsidRPr="001B0896" w:rsidRDefault="002F603A" w:rsidP="002F603A"/>
    <w:p w14:paraId="2BA82B58" w14:textId="77777777" w:rsidR="002F603A" w:rsidRPr="001B0896" w:rsidRDefault="002F603A" w:rsidP="002F603A"/>
    <w:p w14:paraId="6D939AB8" w14:textId="77777777" w:rsidR="002F603A" w:rsidRPr="001B0896" w:rsidRDefault="002F603A" w:rsidP="002F603A"/>
    <w:p w14:paraId="52A3772F" w14:textId="77777777" w:rsidR="002F603A" w:rsidRPr="001B0896" w:rsidRDefault="002F603A" w:rsidP="002F603A"/>
    <w:p w14:paraId="6420271B" w14:textId="77777777" w:rsidR="008572D7" w:rsidRPr="001B0896" w:rsidRDefault="003858CA" w:rsidP="002F603A">
      <w:pPr>
        <w:sectPr w:rsidR="008572D7" w:rsidRPr="001B0896" w:rsidSect="00B47C46">
          <w:footerReference w:type="default" r:id="rId11"/>
          <w:pgSz w:w="12242" w:h="15842" w:code="1"/>
          <w:pgMar w:top="1440" w:right="2160" w:bottom="1440" w:left="2160" w:header="709" w:footer="118" w:gutter="0"/>
          <w:cols w:space="708"/>
          <w:titlePg/>
          <w:docGrid w:linePitch="360"/>
        </w:sectPr>
      </w:pPr>
      <w:r w:rsidRPr="001B0896">
        <w:rPr>
          <w:noProof/>
          <w:lang w:val="en-US"/>
        </w:rPr>
        <mc:AlternateContent>
          <mc:Choice Requires="wps">
            <w:drawing>
              <wp:anchor distT="4294967295" distB="4294967295" distL="114300" distR="114300" simplePos="0" relativeHeight="251681792" behindDoc="0" locked="0" layoutInCell="1" allowOverlap="1" wp14:anchorId="446A9D4F" wp14:editId="4921BEB5">
                <wp:simplePos x="0" y="0"/>
                <wp:positionH relativeFrom="margin">
                  <wp:posOffset>2095500</wp:posOffset>
                </wp:positionH>
                <wp:positionV relativeFrom="paragraph">
                  <wp:posOffset>1969135</wp:posOffset>
                </wp:positionV>
                <wp:extent cx="463550" cy="0"/>
                <wp:effectExtent l="0" t="19050" r="31750" b="19050"/>
                <wp:wrapNone/>
                <wp:docPr id="3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217B5A" id="Straight Connector 9" o:spid="_x0000_s1026" style="position:absolute;z-index:2516817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65pt,155.05pt" to="201.5pt,1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" strokecolor="#c8b688" strokeweight="2.25pt">
                <v:stroke joinstyle="miter"/>
                <o:lock v:ext="edit" shapetype="f"/>
                <w10:wrap anchorx="margin"/>
              </v:line>
            </w:pict>
          </mc:Fallback>
        </mc:AlternateContent>
      </w:r>
      <w:r w:rsidRPr="001B0896">
        <w:rPr>
          <w:noProof/>
          <w:lang w:val="en-US"/>
        </w:rPr>
        <mc:AlternateContent>
          <mc:Choice Requires="wps">
            <w:drawing>
              <wp:anchor distT="0" distB="0" distL="114300" distR="114300" simplePos="0" relativeHeight="251683840" behindDoc="0" locked="0" layoutInCell="1" allowOverlap="1" wp14:anchorId="26790D24" wp14:editId="0CF9D53B">
                <wp:simplePos x="0" y="0"/>
                <wp:positionH relativeFrom="column">
                  <wp:posOffset>1791335</wp:posOffset>
                </wp:positionH>
                <wp:positionV relativeFrom="paragraph">
                  <wp:posOffset>2216785</wp:posOffset>
                </wp:positionV>
                <wp:extent cx="1210945" cy="308610"/>
                <wp:effectExtent l="0" t="0" r="0" b="0"/>
                <wp:wrapNone/>
                <wp:docPr id="36" name="object 5"/>
                <wp:cNvGraphicFramePr/>
                <a:graphic xmlns:a="http://schemas.openxmlformats.org/drawingml/2006/main">
                  <a:graphicData uri="http://schemas.microsoft.com/office/word/2010/wordprocessingShape">
                    <wps:wsp>
                      <wps:cNvSpPr txBox="1"/>
                      <wps:spPr>
                        <a:xfrm>
                          <a:off x="0" y="0"/>
                          <a:ext cx="1210945" cy="308610"/>
                        </a:xfrm>
                        <a:prstGeom prst="rect">
                          <a:avLst/>
                        </a:prstGeom>
                      </wps:spPr>
                      <wps:txbx>
                        <w:txbxContent>
                          <w:p w14:paraId="507C8C90" w14:textId="77777777" w:rsidR="00B00B97" w:rsidRPr="00F36012" w:rsidRDefault="00B00B97" w:rsidP="003858CA">
                            <w:pPr>
                              <w:spacing w:before="20"/>
                              <w:ind w:left="14"/>
                              <w:rPr>
                                <w:rFonts w:ascii="Times New Roman" w:hAnsi="Times New Roman"/>
                                <w:b/>
                                <w:bCs/>
                                <w:color w:val="D5B788"/>
                                <w:spacing w:val="74"/>
                                <w:kern w:val="24"/>
                                <w:sz w:val="28"/>
                                <w:szCs w:val="28"/>
                              </w:rPr>
                            </w:pPr>
                            <w:r w:rsidRPr="00F36012">
                              <w:rPr>
                                <w:rFonts w:ascii="Times New Roman" w:hAnsi="Times New Roman"/>
                                <w:b/>
                                <w:bCs/>
                                <w:color w:val="D5B788"/>
                                <w:spacing w:val="74"/>
                                <w:kern w:val="24"/>
                                <w:sz w:val="28"/>
                                <w:szCs w:val="28"/>
                              </w:rPr>
                              <w:t>AÑ</w:t>
                            </w:r>
                            <w:r w:rsidRPr="00F36012">
                              <w:rPr>
                                <w:rFonts w:ascii="Times New Roman" w:hAnsi="Times New Roman"/>
                                <w:b/>
                                <w:bCs/>
                                <w:color w:val="D5B788"/>
                                <w:spacing w:val="37"/>
                                <w:kern w:val="24"/>
                                <w:sz w:val="28"/>
                                <w:szCs w:val="28"/>
                              </w:rPr>
                              <w:t>O</w:t>
                            </w:r>
                            <w:r w:rsidRPr="00F36012">
                              <w:rPr>
                                <w:rFonts w:ascii="Times New Roman" w:hAnsi="Times New Roman"/>
                                <w:b/>
                                <w:bCs/>
                                <w:color w:val="D5B788"/>
                                <w:spacing w:val="74"/>
                                <w:kern w:val="24"/>
                                <w:sz w:val="28"/>
                                <w:szCs w:val="28"/>
                              </w:rPr>
                              <w:t xml:space="preserve"> </w:t>
                            </w:r>
                            <w:r w:rsidRPr="00F36012">
                              <w:rPr>
                                <w:rFonts w:ascii="Times New Roman" w:hAnsi="Times New Roman"/>
                                <w:b/>
                                <w:bCs/>
                                <w:color w:val="D5B788"/>
                                <w:spacing w:val="68"/>
                                <w:kern w:val="24"/>
                                <w:sz w:val="28"/>
                                <w:szCs w:val="28"/>
                              </w:rPr>
                              <w:t>2</w:t>
                            </w:r>
                            <w:r w:rsidRPr="00F36012">
                              <w:rPr>
                                <w:rFonts w:ascii="Times New Roman" w:hAnsi="Times New Roman"/>
                                <w:b/>
                                <w:bCs/>
                                <w:color w:val="D5B788"/>
                                <w:spacing w:val="28"/>
                                <w:kern w:val="24"/>
                                <w:sz w:val="28"/>
                                <w:szCs w:val="28"/>
                              </w:rPr>
                              <w:t>0</w:t>
                            </w:r>
                            <w:r w:rsidRPr="00F36012">
                              <w:rPr>
                                <w:rFonts w:ascii="Times New Roman" w:hAnsi="Times New Roman"/>
                                <w:b/>
                                <w:bCs/>
                                <w:color w:val="D5B788"/>
                                <w:spacing w:val="-23"/>
                                <w:kern w:val="24"/>
                                <w:sz w:val="28"/>
                                <w:szCs w:val="28"/>
                              </w:rPr>
                              <w:t xml:space="preserve"> </w:t>
                            </w:r>
                            <w:r w:rsidRPr="00F36012">
                              <w:rPr>
                                <w:rFonts w:ascii="Times New Roman" w:hAnsi="Times New Roman"/>
                                <w:b/>
                                <w:bCs/>
                                <w:color w:val="D5B788"/>
                                <w:spacing w:val="68"/>
                                <w:kern w:val="24"/>
                                <w:sz w:val="28"/>
                                <w:szCs w:val="28"/>
                              </w:rPr>
                              <w:t>2</w:t>
                            </w:r>
                            <w:r w:rsidRPr="00F36012">
                              <w:rPr>
                                <w:rFonts w:ascii="Times New Roman" w:hAnsi="Times New Roman"/>
                                <w:b/>
                                <w:bCs/>
                                <w:color w:val="D5B788"/>
                                <w:spacing w:val="28"/>
                                <w:kern w:val="24"/>
                                <w:sz w:val="28"/>
                                <w:szCs w:val="28"/>
                              </w:rPr>
                              <w:t>1</w:t>
                            </w:r>
                            <w:r w:rsidRPr="00F36012">
                              <w:rPr>
                                <w:rFonts w:ascii="Times New Roman" w:hAnsi="Times New Roman"/>
                                <w:b/>
                                <w:bCs/>
                                <w:color w:val="D5B788"/>
                                <w:spacing w:val="-21"/>
                                <w:kern w:val="24"/>
                                <w:sz w:val="28"/>
                                <w:szCs w:val="28"/>
                              </w:rPr>
                              <w:t xml:space="preserve"> </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26790D24" id="_x0000_s1030" type="#_x0000_t202" style="position:absolute;left:0;text-align:left;margin-left:141.05pt;margin-top:174.55pt;width:95.35pt;height:24.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" filled="f" stroked="f">
                <v:textbox inset="0,1pt,0,0">
                  <w:txbxContent>
                    <w:p w14:paraId="507C8C90" w14:textId="77777777" w:rsidR="00B00B97" w:rsidRPr="00F36012" w:rsidRDefault="00B00B97" w:rsidP="003858CA">
                      <w:pPr>
                        <w:spacing w:before="20"/>
                        <w:ind w:left="14"/>
                        <w:rPr>
                          <w:rFonts w:ascii="Times New Roman" w:hAnsi="Times New Roman"/>
                          <w:b/>
                          <w:bCs/>
                          <w:color w:val="D5B788"/>
                          <w:spacing w:val="74"/>
                          <w:kern w:val="24"/>
                          <w:sz w:val="28"/>
                          <w:szCs w:val="28"/>
                        </w:rPr>
                      </w:pPr>
                      <w:r w:rsidRPr="00F36012">
                        <w:rPr>
                          <w:rFonts w:ascii="Times New Roman" w:hAnsi="Times New Roman"/>
                          <w:b/>
                          <w:bCs/>
                          <w:color w:val="D5B788"/>
                          <w:spacing w:val="74"/>
                          <w:kern w:val="24"/>
                          <w:sz w:val="28"/>
                          <w:szCs w:val="28"/>
                        </w:rPr>
                        <w:t>AÑ</w:t>
                      </w:r>
                      <w:r w:rsidRPr="00F36012">
                        <w:rPr>
                          <w:rFonts w:ascii="Times New Roman" w:hAnsi="Times New Roman"/>
                          <w:b/>
                          <w:bCs/>
                          <w:color w:val="D5B788"/>
                          <w:spacing w:val="37"/>
                          <w:kern w:val="24"/>
                          <w:sz w:val="28"/>
                          <w:szCs w:val="28"/>
                        </w:rPr>
                        <w:t>O</w:t>
                      </w:r>
                      <w:r w:rsidRPr="00F36012">
                        <w:rPr>
                          <w:rFonts w:ascii="Times New Roman" w:hAnsi="Times New Roman"/>
                          <w:b/>
                          <w:bCs/>
                          <w:color w:val="D5B788"/>
                          <w:spacing w:val="74"/>
                          <w:kern w:val="24"/>
                          <w:sz w:val="28"/>
                          <w:szCs w:val="28"/>
                        </w:rPr>
                        <w:t xml:space="preserve"> </w:t>
                      </w:r>
                      <w:r w:rsidRPr="00F36012">
                        <w:rPr>
                          <w:rFonts w:ascii="Times New Roman" w:hAnsi="Times New Roman"/>
                          <w:b/>
                          <w:bCs/>
                          <w:color w:val="D5B788"/>
                          <w:spacing w:val="68"/>
                          <w:kern w:val="24"/>
                          <w:sz w:val="28"/>
                          <w:szCs w:val="28"/>
                        </w:rPr>
                        <w:t>2</w:t>
                      </w:r>
                      <w:r w:rsidRPr="00F36012">
                        <w:rPr>
                          <w:rFonts w:ascii="Times New Roman" w:hAnsi="Times New Roman"/>
                          <w:b/>
                          <w:bCs/>
                          <w:color w:val="D5B788"/>
                          <w:spacing w:val="28"/>
                          <w:kern w:val="24"/>
                          <w:sz w:val="28"/>
                          <w:szCs w:val="28"/>
                        </w:rPr>
                        <w:t>0</w:t>
                      </w:r>
                      <w:r w:rsidRPr="00F36012">
                        <w:rPr>
                          <w:rFonts w:ascii="Times New Roman" w:hAnsi="Times New Roman"/>
                          <w:b/>
                          <w:bCs/>
                          <w:color w:val="D5B788"/>
                          <w:spacing w:val="-23"/>
                          <w:kern w:val="24"/>
                          <w:sz w:val="28"/>
                          <w:szCs w:val="28"/>
                        </w:rPr>
                        <w:t xml:space="preserve"> </w:t>
                      </w:r>
                      <w:r w:rsidRPr="00F36012">
                        <w:rPr>
                          <w:rFonts w:ascii="Times New Roman" w:hAnsi="Times New Roman"/>
                          <w:b/>
                          <w:bCs/>
                          <w:color w:val="D5B788"/>
                          <w:spacing w:val="68"/>
                          <w:kern w:val="24"/>
                          <w:sz w:val="28"/>
                          <w:szCs w:val="28"/>
                        </w:rPr>
                        <w:t>2</w:t>
                      </w:r>
                      <w:r w:rsidRPr="00F36012">
                        <w:rPr>
                          <w:rFonts w:ascii="Times New Roman" w:hAnsi="Times New Roman"/>
                          <w:b/>
                          <w:bCs/>
                          <w:color w:val="D5B788"/>
                          <w:spacing w:val="28"/>
                          <w:kern w:val="24"/>
                          <w:sz w:val="28"/>
                          <w:szCs w:val="28"/>
                        </w:rPr>
                        <w:t>1</w:t>
                      </w:r>
                      <w:r w:rsidRPr="00F36012">
                        <w:rPr>
                          <w:rFonts w:ascii="Times New Roman" w:hAnsi="Times New Roman"/>
                          <w:b/>
                          <w:bCs/>
                          <w:color w:val="D5B788"/>
                          <w:spacing w:val="-21"/>
                          <w:kern w:val="24"/>
                          <w:sz w:val="28"/>
                          <w:szCs w:val="28"/>
                        </w:rPr>
                        <w:t xml:space="preserve"> </w:t>
                      </w:r>
                    </w:p>
                  </w:txbxContent>
                </v:textbox>
              </v:shape>
            </w:pict>
          </mc:Fallback>
        </mc:AlternateContent>
      </w:r>
      <w:r w:rsidRPr="001B0896">
        <w:rPr>
          <w:noProof/>
          <w:lang w:val="en-US"/>
        </w:rPr>
        <mc:AlternateContent>
          <mc:Choice Requires="wps">
            <w:drawing>
              <wp:anchor distT="0" distB="0" distL="114300" distR="114300" simplePos="0" relativeHeight="251679744" behindDoc="0" locked="0" layoutInCell="1" allowOverlap="1" wp14:anchorId="6775DFEB" wp14:editId="301C3003">
                <wp:simplePos x="0" y="0"/>
                <wp:positionH relativeFrom="column">
                  <wp:posOffset>-609600</wp:posOffset>
                </wp:positionH>
                <wp:positionV relativeFrom="paragraph">
                  <wp:posOffset>984250</wp:posOffset>
                </wp:positionV>
                <wp:extent cx="5758815" cy="978196"/>
                <wp:effectExtent l="0" t="0" r="0" b="0"/>
                <wp:wrapNone/>
                <wp:docPr id="32" name="object 4"/>
                <wp:cNvGraphicFramePr/>
                <a:graphic xmlns:a="http://schemas.openxmlformats.org/drawingml/2006/main">
                  <a:graphicData uri="http://schemas.microsoft.com/office/word/2010/wordprocessingShape">
                    <wps:wsp>
                      <wps:cNvSpPr txBox="1"/>
                      <wps:spPr>
                        <a:xfrm>
                          <a:off x="0" y="0"/>
                          <a:ext cx="5758815" cy="978196"/>
                        </a:xfrm>
                        <a:prstGeom prst="rect">
                          <a:avLst/>
                        </a:prstGeom>
                      </wps:spPr>
                      <wps:txbx>
                        <w:txbxContent>
                          <w:p w14:paraId="2DF1761D" w14:textId="77777777" w:rsidR="00B00B97" w:rsidRDefault="00B00B97" w:rsidP="003858CA">
                            <w:pPr>
                              <w:spacing w:after="0"/>
                              <w:jc w:val="center"/>
                              <w:rPr>
                                <w:rFonts w:ascii="Times New Roman" w:hAnsi="Times New Roman"/>
                                <w:b/>
                                <w:bCs/>
                                <w:color w:val="D5B788"/>
                                <w:spacing w:val="60"/>
                                <w:kern w:val="24"/>
                                <w:sz w:val="56"/>
                                <w:szCs w:val="56"/>
                                <w:lang w:val="es-DO"/>
                              </w:rPr>
                            </w:pPr>
                            <w:r w:rsidRPr="008D7F4E">
                              <w:rPr>
                                <w:rFonts w:ascii="Times New Roman" w:hAnsi="Times New Roman"/>
                                <w:b/>
                                <w:bCs/>
                                <w:color w:val="D5B788"/>
                                <w:spacing w:val="60"/>
                                <w:kern w:val="24"/>
                                <w:sz w:val="56"/>
                                <w:szCs w:val="56"/>
                                <w:lang w:val="es-DO"/>
                              </w:rPr>
                              <w:t xml:space="preserve">MEMORIA </w:t>
                            </w:r>
                          </w:p>
                          <w:p w14:paraId="234D0E21" w14:textId="77777777" w:rsidR="00B00B97" w:rsidRPr="008D7F4E" w:rsidRDefault="00B00B97" w:rsidP="003858CA">
                            <w:pPr>
                              <w:spacing w:after="0"/>
                              <w:jc w:val="center"/>
                              <w:rPr>
                                <w:rFonts w:ascii="Times New Roman" w:hAnsi="Times New Roman"/>
                                <w:b/>
                                <w:bCs/>
                                <w:color w:val="D5B788"/>
                                <w:spacing w:val="60"/>
                                <w:kern w:val="24"/>
                                <w:sz w:val="56"/>
                                <w:szCs w:val="56"/>
                                <w:lang w:val="es-DO"/>
                              </w:rPr>
                            </w:pPr>
                            <w:r w:rsidRPr="008D7F4E">
                              <w:rPr>
                                <w:rFonts w:ascii="Times New Roman" w:hAnsi="Times New Roman"/>
                                <w:b/>
                                <w:bCs/>
                                <w:color w:val="D5B788"/>
                                <w:spacing w:val="60"/>
                                <w:kern w:val="24"/>
                                <w:sz w:val="56"/>
                                <w:szCs w:val="56"/>
                                <w:lang w:val="es-DO"/>
                              </w:rPr>
                              <w:t>INSTITUCIONAL</w:t>
                            </w: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6775DFEB" id="_x0000_s1031" type="#_x0000_t202" style="position:absolute;left:0;text-align:left;margin-left:-48pt;margin-top:77.5pt;width:453.45pt;height:7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" filled="f" stroked="f">
                <v:textbox inset="0,1.35pt,0,0">
                  <w:txbxContent>
                    <w:p w14:paraId="2DF1761D" w14:textId="77777777" w:rsidR="00B00B97" w:rsidRDefault="00B00B97" w:rsidP="003858CA">
                      <w:pPr>
                        <w:spacing w:after="0"/>
                        <w:jc w:val="center"/>
                        <w:rPr>
                          <w:rFonts w:ascii="Times New Roman" w:hAnsi="Times New Roman"/>
                          <w:b/>
                          <w:bCs/>
                          <w:color w:val="D5B788"/>
                          <w:spacing w:val="60"/>
                          <w:kern w:val="24"/>
                          <w:sz w:val="56"/>
                          <w:szCs w:val="56"/>
                          <w:lang w:val="es-DO"/>
                        </w:rPr>
                      </w:pPr>
                      <w:r w:rsidRPr="008D7F4E">
                        <w:rPr>
                          <w:rFonts w:ascii="Times New Roman" w:hAnsi="Times New Roman"/>
                          <w:b/>
                          <w:bCs/>
                          <w:color w:val="D5B788"/>
                          <w:spacing w:val="60"/>
                          <w:kern w:val="24"/>
                          <w:sz w:val="56"/>
                          <w:szCs w:val="56"/>
                          <w:lang w:val="es-DO"/>
                        </w:rPr>
                        <w:t xml:space="preserve">MEMORIA </w:t>
                      </w:r>
                    </w:p>
                    <w:p w14:paraId="234D0E21" w14:textId="77777777" w:rsidR="00B00B97" w:rsidRPr="008D7F4E" w:rsidRDefault="00B00B97" w:rsidP="003858CA">
                      <w:pPr>
                        <w:spacing w:after="0"/>
                        <w:jc w:val="center"/>
                        <w:rPr>
                          <w:rFonts w:ascii="Times New Roman" w:hAnsi="Times New Roman"/>
                          <w:b/>
                          <w:bCs/>
                          <w:color w:val="D5B788"/>
                          <w:spacing w:val="60"/>
                          <w:kern w:val="24"/>
                          <w:sz w:val="56"/>
                          <w:szCs w:val="56"/>
                          <w:lang w:val="es-DO"/>
                        </w:rPr>
                      </w:pPr>
                      <w:r w:rsidRPr="008D7F4E">
                        <w:rPr>
                          <w:rFonts w:ascii="Times New Roman" w:hAnsi="Times New Roman"/>
                          <w:b/>
                          <w:bCs/>
                          <w:color w:val="D5B788"/>
                          <w:spacing w:val="60"/>
                          <w:kern w:val="24"/>
                          <w:sz w:val="56"/>
                          <w:szCs w:val="56"/>
                          <w:lang w:val="es-DO"/>
                        </w:rPr>
                        <w:t>INSTITUCIONAL</w:t>
                      </w:r>
                    </w:p>
                  </w:txbxContent>
                </v:textbox>
              </v:shape>
            </w:pict>
          </mc:Fallback>
        </mc:AlternateContent>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p>
    <w:p w14:paraId="40891944" w14:textId="77777777" w:rsidR="002F603A" w:rsidRPr="001B0896" w:rsidRDefault="008572D7" w:rsidP="002F603A">
      <w:pPr>
        <w:rPr>
          <w:rFonts w:ascii="Times New Roman" w:hAnsi="Times New Roman"/>
        </w:rPr>
      </w:pPr>
      <w:r w:rsidRPr="001B0896">
        <w:rPr>
          <w:noProof/>
          <w:lang w:val="en-US"/>
        </w:rPr>
        <w:lastRenderedPageBreak/>
        <w:drawing>
          <wp:anchor distT="0" distB="0" distL="114300" distR="114300" simplePos="0" relativeHeight="251663360" behindDoc="0" locked="0" layoutInCell="1" allowOverlap="1" wp14:anchorId="37697213" wp14:editId="634A1F96">
            <wp:simplePos x="0" y="0"/>
            <wp:positionH relativeFrom="column">
              <wp:posOffset>-594995</wp:posOffset>
            </wp:positionH>
            <wp:positionV relativeFrom="paragraph">
              <wp:posOffset>2425700</wp:posOffset>
            </wp:positionV>
            <wp:extent cx="514985" cy="478790"/>
            <wp:effectExtent l="0" t="0" r="0" b="0"/>
            <wp:wrapNone/>
            <wp:docPr id="65" name="objec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985" cy="478790"/>
                    </a:xfrm>
                    <a:prstGeom prst="rect">
                      <a:avLst/>
                    </a:prstGeom>
                    <a:noFill/>
                    <a:ln>
                      <a:noFill/>
                    </a:ln>
                  </pic:spPr>
                </pic:pic>
              </a:graphicData>
            </a:graphic>
            <wp14:sizeRelH relativeFrom="page">
              <wp14:pctWidth>0</wp14:pctWidth>
            </wp14:sizeRelH>
            <wp14:sizeRelV relativeFrom="page">
              <wp14:pctHeight>0</wp14:pctHeight>
            </wp14:sizeRelV>
          </wp:anchor>
        </w:drawing>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r w:rsidR="002F603A" w:rsidRPr="001B0896">
        <w:tab/>
      </w:r>
    </w:p>
    <w:p w14:paraId="669B131A" w14:textId="77777777" w:rsidR="002F603A" w:rsidRPr="001B0896" w:rsidRDefault="004E7225">
      <w:pPr>
        <w:rPr>
          <w:rFonts w:ascii="Times New Roman" w:hAnsi="Times New Roman"/>
        </w:rPr>
      </w:pPr>
      <w:r w:rsidRPr="001B0896">
        <w:rPr>
          <w:noProof/>
          <w:lang w:val="en-US"/>
        </w:rPr>
        <mc:AlternateContent>
          <mc:Choice Requires="wps">
            <w:drawing>
              <wp:anchor distT="0" distB="0" distL="114300" distR="114300" simplePos="0" relativeHeight="251667456" behindDoc="0" locked="0" layoutInCell="1" allowOverlap="1" wp14:anchorId="2DAAB1C8" wp14:editId="08731BE7">
                <wp:simplePos x="0" y="0"/>
                <wp:positionH relativeFrom="column">
                  <wp:posOffset>3625215</wp:posOffset>
                </wp:positionH>
                <wp:positionV relativeFrom="paragraph">
                  <wp:posOffset>195580</wp:posOffset>
                </wp:positionV>
                <wp:extent cx="542925" cy="509270"/>
                <wp:effectExtent l="0" t="0" r="0" b="0"/>
                <wp:wrapNone/>
                <wp:docPr id="18" name="object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509270"/>
                        </a:xfrm>
                        <a:custGeom>
                          <a:avLst/>
                          <a:gdLst/>
                          <a:ahLst/>
                          <a:cxnLst/>
                          <a:rect l="l" t="t" r="r" b="b"/>
                          <a:pathLst>
                            <a:path w="542925" h="509270">
                              <a:moveTo>
                                <a:pt x="469493" y="480745"/>
                              </a:moveTo>
                              <a:lnTo>
                                <a:pt x="443026" y="420751"/>
                              </a:lnTo>
                              <a:lnTo>
                                <a:pt x="411670" y="394119"/>
                              </a:lnTo>
                              <a:lnTo>
                                <a:pt x="345376" y="367334"/>
                              </a:lnTo>
                              <a:lnTo>
                                <a:pt x="301078" y="358165"/>
                              </a:lnTo>
                              <a:lnTo>
                                <a:pt x="246227" y="353021"/>
                              </a:lnTo>
                              <a:lnTo>
                                <a:pt x="178435" y="352831"/>
                              </a:lnTo>
                              <a:lnTo>
                                <a:pt x="95364" y="358508"/>
                              </a:lnTo>
                              <a:lnTo>
                                <a:pt x="247738" y="379996"/>
                              </a:lnTo>
                              <a:lnTo>
                                <a:pt x="335800" y="402526"/>
                              </a:lnTo>
                              <a:lnTo>
                                <a:pt x="393103" y="439928"/>
                              </a:lnTo>
                              <a:lnTo>
                                <a:pt x="453174" y="506006"/>
                              </a:lnTo>
                              <a:lnTo>
                                <a:pt x="454482" y="507199"/>
                              </a:lnTo>
                              <a:lnTo>
                                <a:pt x="457822" y="508825"/>
                              </a:lnTo>
                              <a:lnTo>
                                <a:pt x="462343" y="507949"/>
                              </a:lnTo>
                              <a:lnTo>
                                <a:pt x="467156" y="501599"/>
                              </a:lnTo>
                              <a:lnTo>
                                <a:pt x="469493" y="480745"/>
                              </a:lnTo>
                              <a:close/>
                            </a:path>
                            <a:path w="542925" h="509270">
                              <a:moveTo>
                                <a:pt x="521449" y="422846"/>
                              </a:moveTo>
                              <a:lnTo>
                                <a:pt x="487654" y="346379"/>
                              </a:lnTo>
                              <a:lnTo>
                                <a:pt x="430403" y="305701"/>
                              </a:lnTo>
                              <a:lnTo>
                                <a:pt x="392887" y="290309"/>
                              </a:lnTo>
                              <a:lnTo>
                                <a:pt x="322529" y="272478"/>
                              </a:lnTo>
                              <a:lnTo>
                                <a:pt x="274904" y="265658"/>
                              </a:lnTo>
                              <a:lnTo>
                                <a:pt x="218884" y="261848"/>
                              </a:lnTo>
                              <a:lnTo>
                                <a:pt x="154432" y="262255"/>
                              </a:lnTo>
                              <a:lnTo>
                                <a:pt x="81495" y="268097"/>
                              </a:lnTo>
                              <a:lnTo>
                                <a:pt x="0" y="280555"/>
                              </a:lnTo>
                              <a:lnTo>
                                <a:pt x="241833" y="283540"/>
                              </a:lnTo>
                              <a:lnTo>
                                <a:pt x="374916" y="302133"/>
                              </a:lnTo>
                              <a:lnTo>
                                <a:pt x="446468" y="352209"/>
                              </a:lnTo>
                              <a:lnTo>
                                <a:pt x="503732" y="449592"/>
                              </a:lnTo>
                              <a:lnTo>
                                <a:pt x="505193" y="451142"/>
                              </a:lnTo>
                              <a:lnTo>
                                <a:pt x="508774" y="453580"/>
                              </a:lnTo>
                              <a:lnTo>
                                <a:pt x="513181" y="453669"/>
                              </a:lnTo>
                              <a:lnTo>
                                <a:pt x="517182" y="448132"/>
                              </a:lnTo>
                              <a:lnTo>
                                <a:pt x="521449" y="422846"/>
                              </a:lnTo>
                              <a:close/>
                            </a:path>
                            <a:path w="542925" h="509270">
                              <a:moveTo>
                                <a:pt x="542658" y="361467"/>
                              </a:moveTo>
                              <a:lnTo>
                                <a:pt x="539229" y="301866"/>
                              </a:lnTo>
                              <a:lnTo>
                                <a:pt x="527697" y="269087"/>
                              </a:lnTo>
                              <a:lnTo>
                                <a:pt x="498741" y="251523"/>
                              </a:lnTo>
                              <a:lnTo>
                                <a:pt x="443001" y="237540"/>
                              </a:lnTo>
                              <a:lnTo>
                                <a:pt x="453275" y="232930"/>
                              </a:lnTo>
                              <a:lnTo>
                                <a:pt x="476542" y="216649"/>
                              </a:lnTo>
                              <a:lnTo>
                                <a:pt x="501421" y="185026"/>
                              </a:lnTo>
                              <a:lnTo>
                                <a:pt x="516547" y="134416"/>
                              </a:lnTo>
                              <a:lnTo>
                                <a:pt x="508228" y="82753"/>
                              </a:lnTo>
                              <a:lnTo>
                                <a:pt x="483108" y="44183"/>
                              </a:lnTo>
                              <a:lnTo>
                                <a:pt x="447649" y="18046"/>
                              </a:lnTo>
                              <a:lnTo>
                                <a:pt x="408343" y="3632"/>
                              </a:lnTo>
                              <a:lnTo>
                                <a:pt x="359117" y="0"/>
                              </a:lnTo>
                              <a:lnTo>
                                <a:pt x="172377" y="241"/>
                              </a:lnTo>
                              <a:lnTo>
                                <a:pt x="172288" y="165176"/>
                              </a:lnTo>
                              <a:lnTo>
                                <a:pt x="172542" y="206806"/>
                              </a:lnTo>
                              <a:lnTo>
                                <a:pt x="199491" y="209765"/>
                              </a:lnTo>
                              <a:lnTo>
                                <a:pt x="218147" y="212483"/>
                              </a:lnTo>
                              <a:lnTo>
                                <a:pt x="237210" y="216535"/>
                              </a:lnTo>
                              <a:lnTo>
                                <a:pt x="265417" y="223469"/>
                              </a:lnTo>
                              <a:lnTo>
                                <a:pt x="265417" y="77266"/>
                              </a:lnTo>
                              <a:lnTo>
                                <a:pt x="338963" y="77343"/>
                              </a:lnTo>
                              <a:lnTo>
                                <a:pt x="371525" y="83299"/>
                              </a:lnTo>
                              <a:lnTo>
                                <a:pt x="403936" y="103695"/>
                              </a:lnTo>
                              <a:lnTo>
                                <a:pt x="418338" y="147142"/>
                              </a:lnTo>
                              <a:lnTo>
                                <a:pt x="415925" y="194195"/>
                              </a:lnTo>
                              <a:lnTo>
                                <a:pt x="402196" y="218440"/>
                              </a:lnTo>
                              <a:lnTo>
                                <a:pt x="365506" y="227584"/>
                              </a:lnTo>
                              <a:lnTo>
                                <a:pt x="294233" y="229336"/>
                              </a:lnTo>
                              <a:lnTo>
                                <a:pt x="321665" y="235572"/>
                              </a:lnTo>
                              <a:lnTo>
                                <a:pt x="388099" y="256959"/>
                              </a:lnTo>
                              <a:lnTo>
                                <a:pt x="469709" y="297573"/>
                              </a:lnTo>
                              <a:lnTo>
                                <a:pt x="542658" y="361467"/>
                              </a:lnTo>
                              <a:close/>
                            </a:path>
                          </a:pathLst>
                        </a:custGeom>
                        <a:solidFill>
                          <a:srgbClr val="D5B78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01832BC" id="object 11" o:spid="_x0000_s1026" style="position:absolute;margin-left:285.45pt;margin-top:15.4pt;width:42.75pt;height:4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2925,50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" path="m469493,480745l443026,420751,411670,394119,345376,367334r-44298,-9169l246227,353021r-67792,-190l95364,358508r152374,21488l335800,402526r57303,37402l453174,506006r1308,1193l457822,508825r4521,-876l467156,501599r2337,-20854xem521449,422846l487654,346379,430403,305701,392887,290309,322529,272478r-47625,-6820l218884,261848r-64452,407l81495,268097,,280555r241833,2985l374916,302133r71552,50076l503732,449592r1461,1550l508774,453580r4407,89l517182,448132r4267,-25286xem542658,361467r-3429,-59601l527697,269087,498741,251523,443001,237540r10274,-4610l476542,216649r24879,-31623l516547,134416,508228,82753,483108,44183,447649,18046,408343,3632,359117,,172377,241r-89,164935l172542,206806r26949,2959l218147,212483r19063,4052l265417,223469r,-146203l338963,77343r32562,5956l403936,103695r14402,43447l415925,194195r-13729,24245l365506,227584r-71273,1752l321665,235572r66434,21387l469709,297573r72949,63894xe" fillcolor="#d5b788" stroked="f">
                <v:path arrowok="t"/>
              </v:shape>
            </w:pict>
          </mc:Fallback>
        </mc:AlternateContent>
      </w:r>
      <w:r w:rsidRPr="001B0896">
        <w:rPr>
          <w:noProof/>
          <w:lang w:val="en-US"/>
        </w:rPr>
        <mc:AlternateContent>
          <mc:Choice Requires="wps">
            <w:drawing>
              <wp:anchor distT="0" distB="0" distL="114300" distR="114300" simplePos="0" relativeHeight="251664384" behindDoc="0" locked="0" layoutInCell="1" allowOverlap="1" wp14:anchorId="43022304" wp14:editId="44062FD6">
                <wp:simplePos x="0" y="0"/>
                <wp:positionH relativeFrom="column">
                  <wp:posOffset>-614045</wp:posOffset>
                </wp:positionH>
                <wp:positionV relativeFrom="paragraph">
                  <wp:posOffset>334645</wp:posOffset>
                </wp:positionV>
                <wp:extent cx="2267585" cy="371475"/>
                <wp:effectExtent l="0" t="0" r="0" b="0"/>
                <wp:wrapNone/>
                <wp:docPr id="17" name="objec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7585" cy="371475"/>
                        </a:xfrm>
                        <a:prstGeom prst="rect">
                          <a:avLst/>
                        </a:prstGeom>
                      </wps:spPr>
                      <wps:txbx>
                        <w:txbxContent>
                          <w:p w14:paraId="1DCCDF88" w14:textId="77777777" w:rsidR="00B00B97" w:rsidRPr="003A00CC" w:rsidRDefault="00B00B97" w:rsidP="002F603A">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57A82764" w14:textId="77777777" w:rsidR="00B00B97" w:rsidRDefault="00B00B97" w:rsidP="002F603A">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spacing w:val="20"/>
                                <w:kern w:val="24"/>
                              </w:rPr>
                              <w:t>DOMINICANA</w:t>
                            </w:r>
                          </w:p>
                        </w:txbxContent>
                      </wps:txbx>
                      <wps:bodyPr vert="horz" wrap="square" lIns="0" tIns="15240" rIns="0" bIns="0" rtlCol="0">
                        <a:noAutofit/>
                      </wps:bodyPr>
                    </wps:wsp>
                  </a:graphicData>
                </a:graphic>
                <wp14:sizeRelH relativeFrom="page">
                  <wp14:pctWidth>0</wp14:pctWidth>
                </wp14:sizeRelH>
                <wp14:sizeRelV relativeFrom="margin">
                  <wp14:pctHeight>0</wp14:pctHeight>
                </wp14:sizeRelV>
              </wp:anchor>
            </w:drawing>
          </mc:Choice>
          <mc:Fallback>
            <w:pict>
              <v:shape w14:anchorId="43022304" id="_x0000_s1032" type="#_x0000_t202" style="position:absolute;left:0;text-align:left;margin-left:-48.35pt;margin-top:26.35pt;width:178.5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" filled="f" stroked="f">
                <v:path arrowok="t"/>
                <v:textbox inset="0,1.2pt,0,0">
                  <w:txbxContent>
                    <w:p w14:paraId="1DCCDF88" w14:textId="77777777" w:rsidR="00B00B97" w:rsidRPr="003A00CC" w:rsidRDefault="00B00B97" w:rsidP="002F603A">
                      <w:pPr>
                        <w:pStyle w:val="Sinespaciado"/>
                        <w:rPr>
                          <w:rFonts w:ascii="Arial MT" w:hAnsi="Arial MT" w:cs="Arial MT"/>
                          <w:color w:val="D5B788"/>
                          <w:spacing w:val="23"/>
                          <w:kern w:val="24"/>
                          <w:sz w:val="15"/>
                          <w:szCs w:val="15"/>
                        </w:rPr>
                      </w:pPr>
                      <w:r w:rsidRPr="003A00CC">
                        <w:rPr>
                          <w:rFonts w:ascii="Arial MT" w:hAnsi="Arial MT" w:cs="Arial MT"/>
                          <w:color w:val="D5B788"/>
                          <w:spacing w:val="23"/>
                          <w:kern w:val="24"/>
                          <w:sz w:val="15"/>
                          <w:szCs w:val="15"/>
                        </w:rPr>
                        <w:t>GOBIERNO DE LA</w:t>
                      </w:r>
                    </w:p>
                    <w:p w14:paraId="57A82764" w14:textId="77777777" w:rsidR="00B00B97" w:rsidRDefault="00B00B97" w:rsidP="002F603A">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spacing w:val="20"/>
                          <w:kern w:val="24"/>
                        </w:rPr>
                        <w:t>DOMINICANA</w:t>
                      </w:r>
                    </w:p>
                  </w:txbxContent>
                </v:textbox>
              </v:shape>
            </w:pict>
          </mc:Fallback>
        </mc:AlternateContent>
      </w:r>
    </w:p>
    <w:p w14:paraId="6638BEA2" w14:textId="77777777" w:rsidR="002F603A" w:rsidRPr="001B0896" w:rsidRDefault="004E7225">
      <w:pPr>
        <w:rPr>
          <w:rFonts w:ascii="Times New Roman" w:hAnsi="Times New Roman"/>
        </w:rPr>
      </w:pPr>
      <w:r w:rsidRPr="001B0896">
        <w:rPr>
          <w:noProof/>
          <w:lang w:val="en-US"/>
        </w:rPr>
        <w:drawing>
          <wp:anchor distT="0" distB="0" distL="114300" distR="114300" simplePos="0" relativeHeight="251666432" behindDoc="0" locked="0" layoutInCell="1" allowOverlap="1" wp14:anchorId="3C660759" wp14:editId="3134BCAC">
            <wp:simplePos x="0" y="0"/>
            <wp:positionH relativeFrom="column">
              <wp:posOffset>4264660</wp:posOffset>
            </wp:positionH>
            <wp:positionV relativeFrom="paragraph">
              <wp:posOffset>43180</wp:posOffset>
            </wp:positionV>
            <wp:extent cx="1603375" cy="305435"/>
            <wp:effectExtent l="0" t="0" r="0" b="0"/>
            <wp:wrapNone/>
            <wp:docPr id="63" name="objec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3375" cy="305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F6462A" w14:textId="77777777" w:rsidR="002F603A" w:rsidRPr="001B0896" w:rsidRDefault="004E7225">
      <w:pPr>
        <w:rPr>
          <w:rFonts w:ascii="Times New Roman" w:hAnsi="Times New Roman"/>
        </w:rPr>
      </w:pPr>
      <w:r w:rsidRPr="001B0896">
        <w:rPr>
          <w:noProof/>
          <w:lang w:val="en-US"/>
        </w:rPr>
        <mc:AlternateContent>
          <mc:Choice Requires="wps">
            <w:drawing>
              <wp:anchor distT="0" distB="0" distL="114300" distR="114300" simplePos="0" relativeHeight="251665408" behindDoc="0" locked="0" layoutInCell="1" allowOverlap="1" wp14:anchorId="4F36D612" wp14:editId="05BF443D">
                <wp:simplePos x="0" y="0"/>
                <wp:positionH relativeFrom="column">
                  <wp:posOffset>-593090</wp:posOffset>
                </wp:positionH>
                <wp:positionV relativeFrom="paragraph">
                  <wp:posOffset>193675</wp:posOffset>
                </wp:positionV>
                <wp:extent cx="513080" cy="24765"/>
                <wp:effectExtent l="0" t="0" r="0" b="0"/>
                <wp:wrapNone/>
                <wp:docPr id="16" name="objec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080" cy="24765"/>
                        </a:xfrm>
                        <a:custGeom>
                          <a:avLst/>
                          <a:gdLst/>
                          <a:ahLst/>
                          <a:cxnLst/>
                          <a:rect l="l" t="t" r="r" b="b"/>
                          <a:pathLst>
                            <a:path w="513080" h="24765">
                              <a:moveTo>
                                <a:pt x="512457" y="0"/>
                              </a:moveTo>
                              <a:lnTo>
                                <a:pt x="0" y="0"/>
                              </a:lnTo>
                              <a:lnTo>
                                <a:pt x="0" y="24256"/>
                              </a:lnTo>
                              <a:lnTo>
                                <a:pt x="512457" y="24256"/>
                              </a:lnTo>
                              <a:lnTo>
                                <a:pt x="512457" y="0"/>
                              </a:lnTo>
                              <a:close/>
                            </a:path>
                          </a:pathLst>
                        </a:custGeom>
                        <a:solidFill>
                          <a:srgbClr val="D5B788"/>
                        </a:solidFill>
                      </wps:spPr>
                      <wps:bodyPr wrap="square" lIns="0" tIns="0" rIns="0" bIns="0" rtlCol="0"/>
                    </wps:wsp>
                  </a:graphicData>
                </a:graphic>
                <wp14:sizeRelH relativeFrom="page">
                  <wp14:pctWidth>0</wp14:pctWidth>
                </wp14:sizeRelH>
                <wp14:sizeRelV relativeFrom="page">
                  <wp14:pctHeight>0</wp14:pctHeight>
                </wp14:sizeRelV>
              </wp:anchor>
            </w:drawing>
          </mc:Choice>
          <mc:Fallback>
            <w:pict>
              <v:shape w14:anchorId="188EA2B7" id="object 9" o:spid="_x0000_s1026" style="position:absolute;margin-left:-46.7pt;margin-top:15.25pt;width:40.4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308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" path="m512457,l,,,24256r512457,l512457,xe" fillcolor="#d5b788" stroked="f">
                <v:path arrowok="t"/>
              </v:shape>
            </w:pict>
          </mc:Fallback>
        </mc:AlternateContent>
      </w:r>
    </w:p>
    <w:p w14:paraId="67EE6FA7" w14:textId="77777777" w:rsidR="009662DE" w:rsidRPr="001B0896" w:rsidRDefault="000437CA" w:rsidP="000437CA">
      <w:pPr>
        <w:jc w:val="center"/>
        <w:rPr>
          <w:rFonts w:ascii="Times New Roman" w:hAnsi="Times New Roman"/>
          <w:color w:val="767171"/>
          <w:spacing w:val="20"/>
          <w:sz w:val="28"/>
        </w:rPr>
      </w:pPr>
      <w:r w:rsidRPr="001B0896">
        <w:rPr>
          <w:rFonts w:ascii="Times New Roman" w:hAnsi="Times New Roman"/>
          <w:color w:val="767171"/>
          <w:spacing w:val="20"/>
          <w:sz w:val="28"/>
        </w:rPr>
        <w:lastRenderedPageBreak/>
        <w:t>TABLA DE CONTENIDOS</w:t>
      </w:r>
    </w:p>
    <w:p w14:paraId="413E54ED" w14:textId="77777777" w:rsidR="009662DE" w:rsidRPr="001B0896" w:rsidRDefault="004E7225" w:rsidP="009662DE">
      <w:pPr>
        <w:rPr>
          <w:rFonts w:ascii="Times New Roman" w:hAnsi="Times New Roman"/>
          <w:color w:val="767171"/>
        </w:rPr>
      </w:pPr>
      <w:r w:rsidRPr="001B0896">
        <w:rPr>
          <w:rFonts w:ascii="Times New Roman" w:hAnsi="Times New Roman"/>
          <w:noProof/>
          <w:color w:val="767171"/>
          <w:lang w:val="en-US"/>
        </w:rPr>
        <mc:AlternateContent>
          <mc:Choice Requires="wps">
            <w:drawing>
              <wp:anchor distT="0" distB="0" distL="114300" distR="114300" simplePos="0" relativeHeight="251646976" behindDoc="0" locked="0" layoutInCell="1" allowOverlap="1" wp14:anchorId="15A98785" wp14:editId="23C0A500">
                <wp:simplePos x="0" y="0"/>
                <wp:positionH relativeFrom="margin">
                  <wp:posOffset>2280285</wp:posOffset>
                </wp:positionH>
                <wp:positionV relativeFrom="paragraph">
                  <wp:posOffset>15875</wp:posOffset>
                </wp:positionV>
                <wp:extent cx="463550" cy="0"/>
                <wp:effectExtent l="22860" t="23495" r="18415" b="14605"/>
                <wp:wrapNone/>
                <wp:docPr id="15"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88B8C" id="Conector recto 4" o:spid="_x0000_s1026" style="position:absolute;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9.55pt,1.25pt" to="216.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" strokecolor="#ee2a24" strokeweight="2.25pt">
                <v:stroke joinstyle="miter"/>
                <w10:wrap anchorx="margin"/>
              </v:line>
            </w:pict>
          </mc:Fallback>
        </mc:AlternateContent>
      </w:r>
    </w:p>
    <w:p w14:paraId="0F4CDA39" w14:textId="77777777" w:rsidR="009662DE" w:rsidRPr="001B0896" w:rsidRDefault="003858CA" w:rsidP="000437CA">
      <w:pPr>
        <w:jc w:val="center"/>
        <w:rPr>
          <w:rFonts w:ascii="Times New Roman" w:hAnsi="Times New Roman"/>
          <w:color w:val="767171"/>
          <w:spacing w:val="20"/>
          <w:sz w:val="24"/>
          <w:szCs w:val="24"/>
        </w:rPr>
      </w:pPr>
      <w:r w:rsidRPr="001B0896">
        <w:rPr>
          <w:rFonts w:ascii="Times New Roman" w:hAnsi="Times New Roman"/>
          <w:color w:val="767171"/>
          <w:spacing w:val="20"/>
          <w:sz w:val="24"/>
          <w:szCs w:val="24"/>
        </w:rPr>
        <w:t>Memoria institucional 2021</w:t>
      </w:r>
    </w:p>
    <w:p w14:paraId="125C732F" w14:textId="77777777" w:rsidR="00DE4DDD" w:rsidRPr="001B0896" w:rsidRDefault="00DE4DDD" w:rsidP="000437CA">
      <w:pPr>
        <w:jc w:val="center"/>
        <w:rPr>
          <w:rFonts w:ascii="Times New Roman" w:hAnsi="Times New Roman"/>
          <w:color w:val="767171"/>
          <w:spacing w:val="20"/>
          <w:sz w:val="24"/>
          <w:szCs w:val="24"/>
        </w:rPr>
      </w:pPr>
    </w:p>
    <w:sdt>
      <w:sdtPr>
        <w:rPr>
          <w:rFonts w:ascii="Times New Roman" w:hAnsi="Times New Roman"/>
          <w:color w:val="767171"/>
          <w:sz w:val="24"/>
          <w:szCs w:val="24"/>
        </w:rPr>
        <w:id w:val="-1121072582"/>
        <w:docPartObj>
          <w:docPartGallery w:val="Table of Contents"/>
          <w:docPartUnique/>
        </w:docPartObj>
      </w:sdtPr>
      <w:sdtEndPr>
        <w:rPr>
          <w:rStyle w:val="Hipervnculo"/>
          <w:rFonts w:ascii="Artifex CF Extra Light" w:hAnsi="Artifex CF Extra Light"/>
          <w:noProof/>
          <w:sz w:val="18"/>
          <w:szCs w:val="22"/>
          <w:u w:val="single"/>
        </w:rPr>
      </w:sdtEndPr>
      <w:sdtContent>
        <w:p w14:paraId="7536EEE6" w14:textId="56E2FAA4" w:rsidR="008D5EF6" w:rsidRPr="001B0896" w:rsidRDefault="00B379A2" w:rsidP="008D5EF6">
          <w:pPr>
            <w:pStyle w:val="TDC1"/>
            <w:tabs>
              <w:tab w:val="left" w:pos="540"/>
              <w:tab w:val="right" w:leader="dot" w:pos="7912"/>
            </w:tabs>
            <w:jc w:val="left"/>
            <w:rPr>
              <w:rStyle w:val="Hipervnculo"/>
              <w:rFonts w:ascii="Times New Roman" w:hAnsi="Times New Roman"/>
              <w:noProof/>
              <w:color w:val="767171"/>
              <w:sz w:val="24"/>
              <w:szCs w:val="24"/>
            </w:rPr>
          </w:pPr>
          <w:r w:rsidRPr="001B0896">
            <w:rPr>
              <w:rStyle w:val="Hipervnculo"/>
              <w:noProof/>
              <w:color w:val="767171"/>
            </w:rPr>
            <w:fldChar w:fldCharType="begin"/>
          </w:r>
          <w:r w:rsidRPr="001B0896">
            <w:rPr>
              <w:rStyle w:val="Hipervnculo"/>
              <w:noProof/>
              <w:color w:val="767171"/>
            </w:rPr>
            <w:instrText xml:space="preserve"> TOC \o "1-5" \h \z \u </w:instrText>
          </w:r>
          <w:r w:rsidRPr="001B0896">
            <w:rPr>
              <w:rStyle w:val="Hipervnculo"/>
              <w:noProof/>
              <w:color w:val="767171"/>
            </w:rPr>
            <w:fldChar w:fldCharType="separate"/>
          </w:r>
          <w:hyperlink w:anchor="_Toc92226171" w:history="1">
            <w:r w:rsidR="008D5EF6" w:rsidRPr="001B0896">
              <w:rPr>
                <w:rStyle w:val="Hipervnculo"/>
                <w:rFonts w:ascii="Times New Roman" w:hAnsi="Times New Roman"/>
                <w:noProof/>
                <w:color w:val="767171"/>
                <w:sz w:val="24"/>
                <w:szCs w:val="24"/>
              </w:rPr>
              <w:t>I.</w:t>
            </w:r>
            <w:r w:rsidR="008D5EF6" w:rsidRPr="001B0896">
              <w:rPr>
                <w:rStyle w:val="Hipervnculo"/>
                <w:rFonts w:ascii="Times New Roman" w:hAnsi="Times New Roman"/>
                <w:noProof/>
                <w:color w:val="767171"/>
                <w:sz w:val="24"/>
                <w:szCs w:val="24"/>
              </w:rPr>
              <w:tab/>
              <w:t>RESUMEN EJECUTIVO</w:t>
            </w:r>
            <w:r w:rsidR="008D5EF6" w:rsidRPr="001B0896">
              <w:rPr>
                <w:rStyle w:val="Hipervnculo"/>
                <w:rFonts w:ascii="Times New Roman" w:hAnsi="Times New Roman"/>
                <w:noProof/>
                <w:webHidden/>
                <w:color w:val="767171"/>
                <w:sz w:val="24"/>
                <w:szCs w:val="24"/>
              </w:rPr>
              <w:tab/>
            </w:r>
            <w:r w:rsidR="008D5EF6" w:rsidRPr="001B0896">
              <w:rPr>
                <w:rStyle w:val="Hipervnculo"/>
                <w:rFonts w:ascii="Times New Roman" w:hAnsi="Times New Roman"/>
                <w:noProof/>
                <w:webHidden/>
                <w:color w:val="767171"/>
                <w:sz w:val="24"/>
                <w:szCs w:val="24"/>
              </w:rPr>
              <w:fldChar w:fldCharType="begin"/>
            </w:r>
            <w:r w:rsidR="008D5EF6" w:rsidRPr="001B0896">
              <w:rPr>
                <w:rStyle w:val="Hipervnculo"/>
                <w:rFonts w:ascii="Times New Roman" w:hAnsi="Times New Roman"/>
                <w:noProof/>
                <w:webHidden/>
                <w:color w:val="767171"/>
                <w:sz w:val="24"/>
                <w:szCs w:val="24"/>
              </w:rPr>
              <w:instrText xml:space="preserve"> PAGEREF _Toc92226171 \h </w:instrText>
            </w:r>
            <w:r w:rsidR="008D5EF6" w:rsidRPr="001B0896">
              <w:rPr>
                <w:rStyle w:val="Hipervnculo"/>
                <w:rFonts w:ascii="Times New Roman" w:hAnsi="Times New Roman"/>
                <w:noProof/>
                <w:webHidden/>
                <w:color w:val="767171"/>
                <w:sz w:val="24"/>
                <w:szCs w:val="24"/>
              </w:rPr>
            </w:r>
            <w:r w:rsidR="008D5EF6" w:rsidRPr="001B0896">
              <w:rPr>
                <w:rStyle w:val="Hipervnculo"/>
                <w:rFonts w:ascii="Times New Roman" w:hAnsi="Times New Roman"/>
                <w:noProof/>
                <w:webHidden/>
                <w:color w:val="767171"/>
                <w:sz w:val="24"/>
                <w:szCs w:val="24"/>
              </w:rPr>
              <w:fldChar w:fldCharType="separate"/>
            </w:r>
            <w:r w:rsidR="003006DD">
              <w:rPr>
                <w:rStyle w:val="Hipervnculo"/>
                <w:rFonts w:ascii="Times New Roman" w:hAnsi="Times New Roman"/>
                <w:noProof/>
                <w:webHidden/>
                <w:color w:val="767171"/>
                <w:sz w:val="24"/>
                <w:szCs w:val="24"/>
              </w:rPr>
              <w:t>4</w:t>
            </w:r>
            <w:r w:rsidR="008D5EF6" w:rsidRPr="001B0896">
              <w:rPr>
                <w:rStyle w:val="Hipervnculo"/>
                <w:rFonts w:ascii="Times New Roman" w:hAnsi="Times New Roman"/>
                <w:noProof/>
                <w:webHidden/>
                <w:color w:val="767171"/>
                <w:sz w:val="24"/>
                <w:szCs w:val="24"/>
              </w:rPr>
              <w:fldChar w:fldCharType="end"/>
            </w:r>
          </w:hyperlink>
        </w:p>
        <w:p w14:paraId="53DAEDD5" w14:textId="77777777" w:rsidR="00B00B97" w:rsidRPr="001B0896" w:rsidRDefault="00B00B97" w:rsidP="00B00B97">
          <w:pPr>
            <w:rPr>
              <w:noProof/>
            </w:rPr>
          </w:pPr>
        </w:p>
        <w:p w14:paraId="5777F673" w14:textId="225241D1" w:rsidR="008D5EF6" w:rsidRPr="001B0896" w:rsidRDefault="003006DD" w:rsidP="008D5EF6">
          <w:pPr>
            <w:pStyle w:val="TDC1"/>
            <w:tabs>
              <w:tab w:val="left" w:pos="540"/>
              <w:tab w:val="right" w:leader="dot" w:pos="7912"/>
            </w:tabs>
            <w:jc w:val="left"/>
            <w:rPr>
              <w:rStyle w:val="Hipervnculo"/>
              <w:rFonts w:ascii="Times New Roman" w:hAnsi="Times New Roman"/>
              <w:noProof/>
              <w:color w:val="767171"/>
              <w:sz w:val="24"/>
              <w:szCs w:val="24"/>
            </w:rPr>
          </w:pPr>
          <w:hyperlink w:anchor="_Toc92226172" w:history="1">
            <w:r w:rsidR="008D5EF6" w:rsidRPr="001B0896">
              <w:rPr>
                <w:rStyle w:val="Hipervnculo"/>
                <w:rFonts w:ascii="Times New Roman" w:hAnsi="Times New Roman"/>
                <w:noProof/>
                <w:color w:val="767171"/>
                <w:sz w:val="24"/>
                <w:szCs w:val="24"/>
              </w:rPr>
              <w:t>II.</w:t>
            </w:r>
            <w:r w:rsidR="008D5EF6" w:rsidRPr="001B0896">
              <w:rPr>
                <w:rStyle w:val="Hipervnculo"/>
                <w:rFonts w:ascii="Times New Roman" w:hAnsi="Times New Roman"/>
                <w:noProof/>
                <w:color w:val="767171"/>
                <w:sz w:val="24"/>
                <w:szCs w:val="24"/>
              </w:rPr>
              <w:tab/>
              <w:t>INFORMACION INSTITUCIONAL DEL BANCO DE RESERVAS</w:t>
            </w:r>
            <w:r w:rsidR="008D5EF6" w:rsidRPr="001B0896">
              <w:rPr>
                <w:rStyle w:val="Hipervnculo"/>
                <w:rFonts w:ascii="Times New Roman" w:hAnsi="Times New Roman"/>
                <w:noProof/>
                <w:webHidden/>
                <w:color w:val="767171"/>
                <w:sz w:val="24"/>
                <w:szCs w:val="24"/>
              </w:rPr>
              <w:tab/>
            </w:r>
            <w:r w:rsidR="008D5EF6" w:rsidRPr="001B0896">
              <w:rPr>
                <w:rStyle w:val="Hipervnculo"/>
                <w:rFonts w:ascii="Times New Roman" w:hAnsi="Times New Roman"/>
                <w:noProof/>
                <w:webHidden/>
                <w:color w:val="767171"/>
                <w:sz w:val="24"/>
                <w:szCs w:val="24"/>
              </w:rPr>
              <w:fldChar w:fldCharType="begin"/>
            </w:r>
            <w:r w:rsidR="008D5EF6" w:rsidRPr="001B0896">
              <w:rPr>
                <w:rStyle w:val="Hipervnculo"/>
                <w:rFonts w:ascii="Times New Roman" w:hAnsi="Times New Roman"/>
                <w:noProof/>
                <w:webHidden/>
                <w:color w:val="767171"/>
                <w:sz w:val="24"/>
                <w:szCs w:val="24"/>
              </w:rPr>
              <w:instrText xml:space="preserve"> PAGEREF _Toc92226172 \h </w:instrText>
            </w:r>
            <w:r w:rsidR="008D5EF6" w:rsidRPr="001B0896">
              <w:rPr>
                <w:rStyle w:val="Hipervnculo"/>
                <w:rFonts w:ascii="Times New Roman" w:hAnsi="Times New Roman"/>
                <w:noProof/>
                <w:webHidden/>
                <w:color w:val="767171"/>
                <w:sz w:val="24"/>
                <w:szCs w:val="24"/>
              </w:rPr>
            </w:r>
            <w:r w:rsidR="008D5EF6" w:rsidRPr="001B0896">
              <w:rPr>
                <w:rStyle w:val="Hipervnculo"/>
                <w:rFonts w:ascii="Times New Roman" w:hAnsi="Times New Roman"/>
                <w:noProof/>
                <w:webHidden/>
                <w:color w:val="767171"/>
                <w:sz w:val="24"/>
                <w:szCs w:val="24"/>
              </w:rPr>
              <w:fldChar w:fldCharType="separate"/>
            </w:r>
            <w:r>
              <w:rPr>
                <w:rStyle w:val="Hipervnculo"/>
                <w:rFonts w:ascii="Times New Roman" w:hAnsi="Times New Roman"/>
                <w:noProof/>
                <w:webHidden/>
                <w:color w:val="767171"/>
                <w:sz w:val="24"/>
                <w:szCs w:val="24"/>
              </w:rPr>
              <w:t>9</w:t>
            </w:r>
            <w:r w:rsidR="008D5EF6" w:rsidRPr="001B0896">
              <w:rPr>
                <w:rStyle w:val="Hipervnculo"/>
                <w:rFonts w:ascii="Times New Roman" w:hAnsi="Times New Roman"/>
                <w:noProof/>
                <w:webHidden/>
                <w:color w:val="767171"/>
                <w:sz w:val="24"/>
                <w:szCs w:val="24"/>
              </w:rPr>
              <w:fldChar w:fldCharType="end"/>
            </w:r>
          </w:hyperlink>
        </w:p>
        <w:p w14:paraId="30366E39" w14:textId="3038E645" w:rsidR="008D5EF6" w:rsidRPr="001B0896" w:rsidRDefault="003006DD" w:rsidP="008D5EF6">
          <w:pPr>
            <w:pStyle w:val="TDC1"/>
            <w:tabs>
              <w:tab w:val="left" w:pos="540"/>
              <w:tab w:val="right" w:leader="dot" w:pos="7912"/>
            </w:tabs>
            <w:jc w:val="left"/>
            <w:rPr>
              <w:rStyle w:val="Hipervnculo"/>
              <w:rFonts w:ascii="Times New Roman" w:hAnsi="Times New Roman"/>
              <w:noProof/>
              <w:color w:val="767171"/>
              <w:sz w:val="24"/>
              <w:szCs w:val="24"/>
            </w:rPr>
          </w:pPr>
          <w:hyperlink w:anchor="_Toc92226173" w:history="1">
            <w:r w:rsidR="008D5EF6" w:rsidRPr="001B0896">
              <w:rPr>
                <w:rStyle w:val="Hipervnculo"/>
                <w:rFonts w:ascii="Times New Roman" w:hAnsi="Times New Roman"/>
                <w:noProof/>
                <w:color w:val="767171"/>
                <w:sz w:val="24"/>
                <w:szCs w:val="24"/>
              </w:rPr>
              <w:t>2.1</w:t>
            </w:r>
            <w:r w:rsidR="008D5EF6" w:rsidRPr="001B0896">
              <w:rPr>
                <w:rStyle w:val="Hipervnculo"/>
                <w:rFonts w:ascii="Times New Roman" w:hAnsi="Times New Roman"/>
                <w:noProof/>
                <w:color w:val="767171"/>
                <w:sz w:val="24"/>
                <w:szCs w:val="24"/>
              </w:rPr>
              <w:tab/>
              <w:t>Misión, Visión y Valores</w:t>
            </w:r>
            <w:r w:rsidR="008D5EF6" w:rsidRPr="001B0896">
              <w:rPr>
                <w:rStyle w:val="Hipervnculo"/>
                <w:rFonts w:ascii="Times New Roman" w:hAnsi="Times New Roman"/>
                <w:noProof/>
                <w:webHidden/>
                <w:color w:val="767171"/>
                <w:sz w:val="24"/>
                <w:szCs w:val="24"/>
              </w:rPr>
              <w:tab/>
            </w:r>
            <w:r w:rsidR="008D5EF6" w:rsidRPr="001B0896">
              <w:rPr>
                <w:rStyle w:val="Hipervnculo"/>
                <w:rFonts w:ascii="Times New Roman" w:hAnsi="Times New Roman"/>
                <w:noProof/>
                <w:webHidden/>
                <w:color w:val="767171"/>
                <w:sz w:val="24"/>
                <w:szCs w:val="24"/>
              </w:rPr>
              <w:fldChar w:fldCharType="begin"/>
            </w:r>
            <w:r w:rsidR="008D5EF6" w:rsidRPr="001B0896">
              <w:rPr>
                <w:rStyle w:val="Hipervnculo"/>
                <w:rFonts w:ascii="Times New Roman" w:hAnsi="Times New Roman"/>
                <w:noProof/>
                <w:webHidden/>
                <w:color w:val="767171"/>
                <w:sz w:val="24"/>
                <w:szCs w:val="24"/>
              </w:rPr>
              <w:instrText xml:space="preserve"> PAGEREF _Toc92226173 \h </w:instrText>
            </w:r>
            <w:r w:rsidR="008D5EF6" w:rsidRPr="001B0896">
              <w:rPr>
                <w:rStyle w:val="Hipervnculo"/>
                <w:rFonts w:ascii="Times New Roman" w:hAnsi="Times New Roman"/>
                <w:noProof/>
                <w:webHidden/>
                <w:color w:val="767171"/>
                <w:sz w:val="24"/>
                <w:szCs w:val="24"/>
              </w:rPr>
            </w:r>
            <w:r w:rsidR="008D5EF6" w:rsidRPr="001B0896">
              <w:rPr>
                <w:rStyle w:val="Hipervnculo"/>
                <w:rFonts w:ascii="Times New Roman" w:hAnsi="Times New Roman"/>
                <w:noProof/>
                <w:webHidden/>
                <w:color w:val="767171"/>
                <w:sz w:val="24"/>
                <w:szCs w:val="24"/>
              </w:rPr>
              <w:fldChar w:fldCharType="separate"/>
            </w:r>
            <w:r>
              <w:rPr>
                <w:rStyle w:val="Hipervnculo"/>
                <w:rFonts w:ascii="Times New Roman" w:hAnsi="Times New Roman"/>
                <w:noProof/>
                <w:webHidden/>
                <w:color w:val="767171"/>
                <w:sz w:val="24"/>
                <w:szCs w:val="24"/>
              </w:rPr>
              <w:t>9</w:t>
            </w:r>
            <w:r w:rsidR="008D5EF6" w:rsidRPr="001B0896">
              <w:rPr>
                <w:rStyle w:val="Hipervnculo"/>
                <w:rFonts w:ascii="Times New Roman" w:hAnsi="Times New Roman"/>
                <w:noProof/>
                <w:webHidden/>
                <w:color w:val="767171"/>
                <w:sz w:val="24"/>
                <w:szCs w:val="24"/>
              </w:rPr>
              <w:fldChar w:fldCharType="end"/>
            </w:r>
          </w:hyperlink>
        </w:p>
        <w:p w14:paraId="332F4F62" w14:textId="5A735042" w:rsidR="008D5EF6" w:rsidRPr="001B0896" w:rsidRDefault="003006DD" w:rsidP="008D5EF6">
          <w:pPr>
            <w:pStyle w:val="TDC1"/>
            <w:tabs>
              <w:tab w:val="left" w:pos="540"/>
              <w:tab w:val="right" w:leader="dot" w:pos="7912"/>
            </w:tabs>
            <w:jc w:val="left"/>
            <w:rPr>
              <w:rStyle w:val="Hipervnculo"/>
              <w:rFonts w:ascii="Times New Roman" w:hAnsi="Times New Roman"/>
              <w:noProof/>
              <w:color w:val="767171"/>
              <w:sz w:val="24"/>
              <w:szCs w:val="24"/>
            </w:rPr>
          </w:pPr>
          <w:hyperlink w:anchor="_Toc92226174" w:history="1">
            <w:r w:rsidR="008D5EF6" w:rsidRPr="001B0896">
              <w:rPr>
                <w:rStyle w:val="Hipervnculo"/>
                <w:rFonts w:ascii="Times New Roman" w:hAnsi="Times New Roman"/>
                <w:noProof/>
                <w:color w:val="767171"/>
                <w:sz w:val="24"/>
                <w:szCs w:val="24"/>
              </w:rPr>
              <w:t>2.2</w:t>
            </w:r>
            <w:r w:rsidR="008D5EF6" w:rsidRPr="001B0896">
              <w:rPr>
                <w:rStyle w:val="Hipervnculo"/>
                <w:rFonts w:ascii="Times New Roman" w:hAnsi="Times New Roman"/>
                <w:noProof/>
                <w:color w:val="767171"/>
                <w:sz w:val="24"/>
                <w:szCs w:val="24"/>
              </w:rPr>
              <w:tab/>
              <w:t>Miembros del Consejo de Directores</w:t>
            </w:r>
            <w:r w:rsidR="008D5EF6" w:rsidRPr="001B0896">
              <w:rPr>
                <w:rStyle w:val="Hipervnculo"/>
                <w:rFonts w:ascii="Times New Roman" w:hAnsi="Times New Roman"/>
                <w:noProof/>
                <w:webHidden/>
                <w:color w:val="767171"/>
                <w:sz w:val="24"/>
                <w:szCs w:val="24"/>
              </w:rPr>
              <w:tab/>
            </w:r>
            <w:r w:rsidR="008D5EF6" w:rsidRPr="001B0896">
              <w:rPr>
                <w:rStyle w:val="Hipervnculo"/>
                <w:rFonts w:ascii="Times New Roman" w:hAnsi="Times New Roman"/>
                <w:noProof/>
                <w:webHidden/>
                <w:color w:val="767171"/>
                <w:sz w:val="24"/>
                <w:szCs w:val="24"/>
              </w:rPr>
              <w:fldChar w:fldCharType="begin"/>
            </w:r>
            <w:r w:rsidR="008D5EF6" w:rsidRPr="001B0896">
              <w:rPr>
                <w:rStyle w:val="Hipervnculo"/>
                <w:rFonts w:ascii="Times New Roman" w:hAnsi="Times New Roman"/>
                <w:noProof/>
                <w:webHidden/>
                <w:color w:val="767171"/>
                <w:sz w:val="24"/>
                <w:szCs w:val="24"/>
              </w:rPr>
              <w:instrText xml:space="preserve"> PAGEREF _Toc92226174 \h </w:instrText>
            </w:r>
            <w:r w:rsidR="008D5EF6" w:rsidRPr="001B0896">
              <w:rPr>
                <w:rStyle w:val="Hipervnculo"/>
                <w:rFonts w:ascii="Times New Roman" w:hAnsi="Times New Roman"/>
                <w:noProof/>
                <w:webHidden/>
                <w:color w:val="767171"/>
                <w:sz w:val="24"/>
                <w:szCs w:val="24"/>
              </w:rPr>
            </w:r>
            <w:r w:rsidR="008D5EF6" w:rsidRPr="001B0896">
              <w:rPr>
                <w:rStyle w:val="Hipervnculo"/>
                <w:rFonts w:ascii="Times New Roman" w:hAnsi="Times New Roman"/>
                <w:noProof/>
                <w:webHidden/>
                <w:color w:val="767171"/>
                <w:sz w:val="24"/>
                <w:szCs w:val="24"/>
              </w:rPr>
              <w:fldChar w:fldCharType="separate"/>
            </w:r>
            <w:r>
              <w:rPr>
                <w:rStyle w:val="Hipervnculo"/>
                <w:rFonts w:ascii="Times New Roman" w:hAnsi="Times New Roman"/>
                <w:noProof/>
                <w:webHidden/>
                <w:color w:val="767171"/>
                <w:sz w:val="24"/>
                <w:szCs w:val="24"/>
              </w:rPr>
              <w:t>10</w:t>
            </w:r>
            <w:r w:rsidR="008D5EF6" w:rsidRPr="001B0896">
              <w:rPr>
                <w:rStyle w:val="Hipervnculo"/>
                <w:rFonts w:ascii="Times New Roman" w:hAnsi="Times New Roman"/>
                <w:noProof/>
                <w:webHidden/>
                <w:color w:val="767171"/>
                <w:sz w:val="24"/>
                <w:szCs w:val="24"/>
              </w:rPr>
              <w:fldChar w:fldCharType="end"/>
            </w:r>
          </w:hyperlink>
        </w:p>
        <w:p w14:paraId="5AF574C9" w14:textId="77777777" w:rsidR="00B00B97" w:rsidRPr="001B0896" w:rsidRDefault="00B00B97" w:rsidP="00B00B97">
          <w:pPr>
            <w:rPr>
              <w:noProof/>
            </w:rPr>
          </w:pPr>
        </w:p>
        <w:p w14:paraId="390531CD" w14:textId="283F064D" w:rsidR="008D5EF6" w:rsidRPr="001B0896" w:rsidRDefault="003006DD" w:rsidP="008D5EF6">
          <w:pPr>
            <w:pStyle w:val="TDC1"/>
            <w:tabs>
              <w:tab w:val="left" w:pos="540"/>
              <w:tab w:val="right" w:leader="dot" w:pos="7912"/>
            </w:tabs>
            <w:jc w:val="left"/>
            <w:rPr>
              <w:rStyle w:val="Hipervnculo"/>
              <w:rFonts w:ascii="Times New Roman" w:hAnsi="Times New Roman"/>
              <w:noProof/>
              <w:color w:val="767171"/>
              <w:sz w:val="24"/>
              <w:szCs w:val="24"/>
            </w:rPr>
          </w:pPr>
          <w:hyperlink w:anchor="_Toc92226175" w:history="1">
            <w:r w:rsidR="008D5EF6" w:rsidRPr="001B0896">
              <w:rPr>
                <w:rStyle w:val="Hipervnculo"/>
                <w:rFonts w:ascii="Times New Roman" w:hAnsi="Times New Roman"/>
                <w:noProof/>
                <w:color w:val="767171"/>
                <w:sz w:val="24"/>
                <w:szCs w:val="24"/>
              </w:rPr>
              <w:t>III.</w:t>
            </w:r>
            <w:r w:rsidR="008D5EF6" w:rsidRPr="001B0896">
              <w:rPr>
                <w:rStyle w:val="Hipervnculo"/>
                <w:rFonts w:ascii="Times New Roman" w:hAnsi="Times New Roman"/>
                <w:noProof/>
                <w:color w:val="767171"/>
                <w:sz w:val="24"/>
                <w:szCs w:val="24"/>
              </w:rPr>
              <w:tab/>
              <w:t>RESULTADOS MISIONALES</w:t>
            </w:r>
            <w:r w:rsidR="008D5EF6" w:rsidRPr="001B0896">
              <w:rPr>
                <w:rStyle w:val="Hipervnculo"/>
                <w:rFonts w:ascii="Times New Roman" w:hAnsi="Times New Roman"/>
                <w:noProof/>
                <w:webHidden/>
                <w:color w:val="767171"/>
                <w:sz w:val="24"/>
                <w:szCs w:val="24"/>
              </w:rPr>
              <w:tab/>
            </w:r>
            <w:r w:rsidR="008D5EF6" w:rsidRPr="001B0896">
              <w:rPr>
                <w:rStyle w:val="Hipervnculo"/>
                <w:rFonts w:ascii="Times New Roman" w:hAnsi="Times New Roman"/>
                <w:noProof/>
                <w:webHidden/>
                <w:color w:val="767171"/>
                <w:sz w:val="24"/>
                <w:szCs w:val="24"/>
              </w:rPr>
              <w:fldChar w:fldCharType="begin"/>
            </w:r>
            <w:r w:rsidR="008D5EF6" w:rsidRPr="001B0896">
              <w:rPr>
                <w:rStyle w:val="Hipervnculo"/>
                <w:rFonts w:ascii="Times New Roman" w:hAnsi="Times New Roman"/>
                <w:noProof/>
                <w:webHidden/>
                <w:color w:val="767171"/>
                <w:sz w:val="24"/>
                <w:szCs w:val="24"/>
              </w:rPr>
              <w:instrText xml:space="preserve"> PAGEREF _Toc92226175 \h </w:instrText>
            </w:r>
            <w:r w:rsidR="008D5EF6" w:rsidRPr="001B0896">
              <w:rPr>
                <w:rStyle w:val="Hipervnculo"/>
                <w:rFonts w:ascii="Times New Roman" w:hAnsi="Times New Roman"/>
                <w:noProof/>
                <w:webHidden/>
                <w:color w:val="767171"/>
                <w:sz w:val="24"/>
                <w:szCs w:val="24"/>
              </w:rPr>
            </w:r>
            <w:r w:rsidR="008D5EF6" w:rsidRPr="001B0896">
              <w:rPr>
                <w:rStyle w:val="Hipervnculo"/>
                <w:rFonts w:ascii="Times New Roman" w:hAnsi="Times New Roman"/>
                <w:noProof/>
                <w:webHidden/>
                <w:color w:val="767171"/>
                <w:sz w:val="24"/>
                <w:szCs w:val="24"/>
              </w:rPr>
              <w:fldChar w:fldCharType="separate"/>
            </w:r>
            <w:r>
              <w:rPr>
                <w:rStyle w:val="Hipervnculo"/>
                <w:rFonts w:ascii="Times New Roman" w:hAnsi="Times New Roman"/>
                <w:noProof/>
                <w:webHidden/>
                <w:color w:val="767171"/>
                <w:sz w:val="24"/>
                <w:szCs w:val="24"/>
              </w:rPr>
              <w:t>12</w:t>
            </w:r>
            <w:r w:rsidR="008D5EF6" w:rsidRPr="001B0896">
              <w:rPr>
                <w:rStyle w:val="Hipervnculo"/>
                <w:rFonts w:ascii="Times New Roman" w:hAnsi="Times New Roman"/>
                <w:noProof/>
                <w:webHidden/>
                <w:color w:val="767171"/>
                <w:sz w:val="24"/>
                <w:szCs w:val="24"/>
              </w:rPr>
              <w:fldChar w:fldCharType="end"/>
            </w:r>
          </w:hyperlink>
        </w:p>
        <w:p w14:paraId="17545F17" w14:textId="2726097A" w:rsidR="008D5EF6" w:rsidRPr="001B0896" w:rsidRDefault="003006DD" w:rsidP="008D5EF6">
          <w:pPr>
            <w:pStyle w:val="TDC1"/>
            <w:tabs>
              <w:tab w:val="left" w:pos="540"/>
              <w:tab w:val="right" w:leader="dot" w:pos="7912"/>
            </w:tabs>
            <w:jc w:val="left"/>
            <w:rPr>
              <w:rStyle w:val="Hipervnculo"/>
              <w:rFonts w:ascii="Times New Roman" w:hAnsi="Times New Roman"/>
              <w:noProof/>
              <w:color w:val="767171"/>
              <w:sz w:val="24"/>
              <w:szCs w:val="24"/>
            </w:rPr>
          </w:pPr>
          <w:hyperlink w:anchor="_Toc92226176" w:history="1">
            <w:r w:rsidR="008D5EF6" w:rsidRPr="001B0896">
              <w:rPr>
                <w:rStyle w:val="Hipervnculo"/>
                <w:rFonts w:ascii="Times New Roman" w:hAnsi="Times New Roman"/>
                <w:noProof/>
                <w:color w:val="767171"/>
                <w:sz w:val="24"/>
                <w:szCs w:val="24"/>
              </w:rPr>
              <w:t>3.1</w:t>
            </w:r>
            <w:r w:rsidR="008D5EF6" w:rsidRPr="001B0896">
              <w:rPr>
                <w:rStyle w:val="Hipervnculo"/>
                <w:rFonts w:ascii="Times New Roman" w:hAnsi="Times New Roman"/>
                <w:noProof/>
                <w:color w:val="767171"/>
                <w:sz w:val="24"/>
                <w:szCs w:val="24"/>
              </w:rPr>
              <w:tab/>
              <w:t>Desempeño Financiero Año 2021</w:t>
            </w:r>
            <w:r w:rsidR="008D5EF6" w:rsidRPr="001B0896">
              <w:rPr>
                <w:rStyle w:val="Hipervnculo"/>
                <w:rFonts w:ascii="Times New Roman" w:hAnsi="Times New Roman"/>
                <w:noProof/>
                <w:webHidden/>
                <w:color w:val="767171"/>
                <w:sz w:val="24"/>
                <w:szCs w:val="24"/>
              </w:rPr>
              <w:tab/>
            </w:r>
            <w:r w:rsidR="008D5EF6" w:rsidRPr="001B0896">
              <w:rPr>
                <w:rStyle w:val="Hipervnculo"/>
                <w:rFonts w:ascii="Times New Roman" w:hAnsi="Times New Roman"/>
                <w:noProof/>
                <w:webHidden/>
                <w:color w:val="767171"/>
                <w:sz w:val="24"/>
                <w:szCs w:val="24"/>
              </w:rPr>
              <w:fldChar w:fldCharType="begin"/>
            </w:r>
            <w:r w:rsidR="008D5EF6" w:rsidRPr="001B0896">
              <w:rPr>
                <w:rStyle w:val="Hipervnculo"/>
                <w:rFonts w:ascii="Times New Roman" w:hAnsi="Times New Roman"/>
                <w:noProof/>
                <w:webHidden/>
                <w:color w:val="767171"/>
                <w:sz w:val="24"/>
                <w:szCs w:val="24"/>
              </w:rPr>
              <w:instrText xml:space="preserve"> PAGEREF _Toc92226176 \h </w:instrText>
            </w:r>
            <w:r w:rsidR="008D5EF6" w:rsidRPr="001B0896">
              <w:rPr>
                <w:rStyle w:val="Hipervnculo"/>
                <w:rFonts w:ascii="Times New Roman" w:hAnsi="Times New Roman"/>
                <w:noProof/>
                <w:webHidden/>
                <w:color w:val="767171"/>
                <w:sz w:val="24"/>
                <w:szCs w:val="24"/>
              </w:rPr>
            </w:r>
            <w:r w:rsidR="008D5EF6" w:rsidRPr="001B0896">
              <w:rPr>
                <w:rStyle w:val="Hipervnculo"/>
                <w:rFonts w:ascii="Times New Roman" w:hAnsi="Times New Roman"/>
                <w:noProof/>
                <w:webHidden/>
                <w:color w:val="767171"/>
                <w:sz w:val="24"/>
                <w:szCs w:val="24"/>
              </w:rPr>
              <w:fldChar w:fldCharType="separate"/>
            </w:r>
            <w:r>
              <w:rPr>
                <w:rStyle w:val="Hipervnculo"/>
                <w:rFonts w:ascii="Times New Roman" w:hAnsi="Times New Roman"/>
                <w:noProof/>
                <w:webHidden/>
                <w:color w:val="767171"/>
                <w:sz w:val="24"/>
                <w:szCs w:val="24"/>
              </w:rPr>
              <w:t>12</w:t>
            </w:r>
            <w:r w:rsidR="008D5EF6" w:rsidRPr="001B0896">
              <w:rPr>
                <w:rStyle w:val="Hipervnculo"/>
                <w:rFonts w:ascii="Times New Roman" w:hAnsi="Times New Roman"/>
                <w:noProof/>
                <w:webHidden/>
                <w:color w:val="767171"/>
                <w:sz w:val="24"/>
                <w:szCs w:val="24"/>
              </w:rPr>
              <w:fldChar w:fldCharType="end"/>
            </w:r>
          </w:hyperlink>
        </w:p>
        <w:p w14:paraId="1AD0B220" w14:textId="1A2A6183" w:rsidR="008D5EF6" w:rsidRPr="001B0896" w:rsidRDefault="003006DD" w:rsidP="008D5EF6">
          <w:pPr>
            <w:pStyle w:val="TDC1"/>
            <w:tabs>
              <w:tab w:val="left" w:pos="540"/>
              <w:tab w:val="right" w:leader="dot" w:pos="7912"/>
            </w:tabs>
            <w:jc w:val="left"/>
            <w:rPr>
              <w:rStyle w:val="Hipervnculo"/>
              <w:rFonts w:ascii="Times New Roman" w:hAnsi="Times New Roman"/>
              <w:noProof/>
              <w:color w:val="767171"/>
              <w:sz w:val="24"/>
              <w:szCs w:val="24"/>
            </w:rPr>
          </w:pPr>
          <w:hyperlink w:anchor="_Toc92226177" w:history="1">
            <w:r w:rsidR="008D5EF6" w:rsidRPr="001B0896">
              <w:rPr>
                <w:rStyle w:val="Hipervnculo"/>
                <w:rFonts w:ascii="Times New Roman" w:hAnsi="Times New Roman"/>
                <w:noProof/>
                <w:color w:val="767171"/>
                <w:sz w:val="24"/>
                <w:szCs w:val="24"/>
              </w:rPr>
              <w:t>3.1.1</w:t>
            </w:r>
            <w:r w:rsidR="008D5EF6" w:rsidRPr="001B0896">
              <w:rPr>
                <w:rStyle w:val="Hipervnculo"/>
                <w:rFonts w:ascii="Times New Roman" w:hAnsi="Times New Roman"/>
                <w:noProof/>
                <w:color w:val="767171"/>
                <w:sz w:val="24"/>
                <w:szCs w:val="24"/>
              </w:rPr>
              <w:tab/>
              <w:t>Composición de Activos, Pasivos y Patrimonio</w:t>
            </w:r>
            <w:r w:rsidR="008D5EF6" w:rsidRPr="001B0896">
              <w:rPr>
                <w:rStyle w:val="Hipervnculo"/>
                <w:rFonts w:ascii="Times New Roman" w:hAnsi="Times New Roman"/>
                <w:noProof/>
                <w:webHidden/>
                <w:color w:val="767171"/>
                <w:sz w:val="24"/>
                <w:szCs w:val="24"/>
              </w:rPr>
              <w:tab/>
            </w:r>
            <w:r w:rsidR="008D5EF6" w:rsidRPr="001B0896">
              <w:rPr>
                <w:rStyle w:val="Hipervnculo"/>
                <w:rFonts w:ascii="Times New Roman" w:hAnsi="Times New Roman"/>
                <w:noProof/>
                <w:webHidden/>
                <w:color w:val="767171"/>
                <w:sz w:val="24"/>
                <w:szCs w:val="24"/>
              </w:rPr>
              <w:fldChar w:fldCharType="begin"/>
            </w:r>
            <w:r w:rsidR="008D5EF6" w:rsidRPr="001B0896">
              <w:rPr>
                <w:rStyle w:val="Hipervnculo"/>
                <w:rFonts w:ascii="Times New Roman" w:hAnsi="Times New Roman"/>
                <w:noProof/>
                <w:webHidden/>
                <w:color w:val="767171"/>
                <w:sz w:val="24"/>
                <w:szCs w:val="24"/>
              </w:rPr>
              <w:instrText xml:space="preserve"> PAGEREF _Toc92226177 \h </w:instrText>
            </w:r>
            <w:r w:rsidR="008D5EF6" w:rsidRPr="001B0896">
              <w:rPr>
                <w:rStyle w:val="Hipervnculo"/>
                <w:rFonts w:ascii="Times New Roman" w:hAnsi="Times New Roman"/>
                <w:noProof/>
                <w:webHidden/>
                <w:color w:val="767171"/>
                <w:sz w:val="24"/>
                <w:szCs w:val="24"/>
              </w:rPr>
            </w:r>
            <w:r w:rsidR="008D5EF6" w:rsidRPr="001B0896">
              <w:rPr>
                <w:rStyle w:val="Hipervnculo"/>
                <w:rFonts w:ascii="Times New Roman" w:hAnsi="Times New Roman"/>
                <w:noProof/>
                <w:webHidden/>
                <w:color w:val="767171"/>
                <w:sz w:val="24"/>
                <w:szCs w:val="24"/>
              </w:rPr>
              <w:fldChar w:fldCharType="separate"/>
            </w:r>
            <w:r>
              <w:rPr>
                <w:rStyle w:val="Hipervnculo"/>
                <w:rFonts w:ascii="Times New Roman" w:hAnsi="Times New Roman"/>
                <w:noProof/>
                <w:webHidden/>
                <w:color w:val="767171"/>
                <w:sz w:val="24"/>
                <w:szCs w:val="24"/>
              </w:rPr>
              <w:t>12</w:t>
            </w:r>
            <w:r w:rsidR="008D5EF6" w:rsidRPr="001B0896">
              <w:rPr>
                <w:rStyle w:val="Hipervnculo"/>
                <w:rFonts w:ascii="Times New Roman" w:hAnsi="Times New Roman"/>
                <w:noProof/>
                <w:webHidden/>
                <w:color w:val="767171"/>
                <w:sz w:val="24"/>
                <w:szCs w:val="24"/>
              </w:rPr>
              <w:fldChar w:fldCharType="end"/>
            </w:r>
          </w:hyperlink>
        </w:p>
        <w:p w14:paraId="534E3503" w14:textId="7951C52F" w:rsidR="008D5EF6" w:rsidRPr="001B0896" w:rsidRDefault="003006DD" w:rsidP="008D5EF6">
          <w:pPr>
            <w:pStyle w:val="TDC1"/>
            <w:tabs>
              <w:tab w:val="left" w:pos="540"/>
              <w:tab w:val="right" w:leader="dot" w:pos="7912"/>
            </w:tabs>
            <w:jc w:val="left"/>
            <w:rPr>
              <w:rStyle w:val="Hipervnculo"/>
              <w:rFonts w:ascii="Times New Roman" w:hAnsi="Times New Roman"/>
              <w:noProof/>
              <w:color w:val="767171"/>
              <w:sz w:val="24"/>
              <w:szCs w:val="24"/>
            </w:rPr>
          </w:pPr>
          <w:hyperlink w:anchor="_Toc92226178" w:history="1">
            <w:r w:rsidR="008D5EF6" w:rsidRPr="001B0896">
              <w:rPr>
                <w:rStyle w:val="Hipervnculo"/>
                <w:rFonts w:ascii="Times New Roman" w:hAnsi="Times New Roman"/>
                <w:noProof/>
                <w:color w:val="767171"/>
                <w:sz w:val="24"/>
                <w:szCs w:val="24"/>
              </w:rPr>
              <w:t>3.1.1.1Movimiento de Recursos. Captaciones y Colocaciones</w:t>
            </w:r>
            <w:r w:rsidR="008D5EF6" w:rsidRPr="001B0896">
              <w:rPr>
                <w:rStyle w:val="Hipervnculo"/>
                <w:rFonts w:ascii="Times New Roman" w:hAnsi="Times New Roman"/>
                <w:noProof/>
                <w:webHidden/>
                <w:color w:val="767171"/>
                <w:sz w:val="24"/>
                <w:szCs w:val="24"/>
              </w:rPr>
              <w:tab/>
            </w:r>
            <w:r w:rsidR="008D5EF6" w:rsidRPr="001B0896">
              <w:rPr>
                <w:rStyle w:val="Hipervnculo"/>
                <w:rFonts w:ascii="Times New Roman" w:hAnsi="Times New Roman"/>
                <w:noProof/>
                <w:webHidden/>
                <w:color w:val="767171"/>
                <w:sz w:val="24"/>
                <w:szCs w:val="24"/>
              </w:rPr>
              <w:fldChar w:fldCharType="begin"/>
            </w:r>
            <w:r w:rsidR="008D5EF6" w:rsidRPr="001B0896">
              <w:rPr>
                <w:rStyle w:val="Hipervnculo"/>
                <w:rFonts w:ascii="Times New Roman" w:hAnsi="Times New Roman"/>
                <w:noProof/>
                <w:webHidden/>
                <w:color w:val="767171"/>
                <w:sz w:val="24"/>
                <w:szCs w:val="24"/>
              </w:rPr>
              <w:instrText xml:space="preserve"> PAGEREF _Toc92226178 \h </w:instrText>
            </w:r>
            <w:r w:rsidR="008D5EF6" w:rsidRPr="001B0896">
              <w:rPr>
                <w:rStyle w:val="Hipervnculo"/>
                <w:rFonts w:ascii="Times New Roman" w:hAnsi="Times New Roman"/>
                <w:noProof/>
                <w:webHidden/>
                <w:color w:val="767171"/>
                <w:sz w:val="24"/>
                <w:szCs w:val="24"/>
              </w:rPr>
            </w:r>
            <w:r w:rsidR="008D5EF6" w:rsidRPr="001B0896">
              <w:rPr>
                <w:rStyle w:val="Hipervnculo"/>
                <w:rFonts w:ascii="Times New Roman" w:hAnsi="Times New Roman"/>
                <w:noProof/>
                <w:webHidden/>
                <w:color w:val="767171"/>
                <w:sz w:val="24"/>
                <w:szCs w:val="24"/>
              </w:rPr>
              <w:fldChar w:fldCharType="separate"/>
            </w:r>
            <w:r>
              <w:rPr>
                <w:rStyle w:val="Hipervnculo"/>
                <w:rFonts w:ascii="Times New Roman" w:hAnsi="Times New Roman"/>
                <w:noProof/>
                <w:webHidden/>
                <w:color w:val="767171"/>
                <w:sz w:val="24"/>
                <w:szCs w:val="24"/>
              </w:rPr>
              <w:t>13</w:t>
            </w:r>
            <w:r w:rsidR="008D5EF6" w:rsidRPr="001B0896">
              <w:rPr>
                <w:rStyle w:val="Hipervnculo"/>
                <w:rFonts w:ascii="Times New Roman" w:hAnsi="Times New Roman"/>
                <w:noProof/>
                <w:webHidden/>
                <w:color w:val="767171"/>
                <w:sz w:val="24"/>
                <w:szCs w:val="24"/>
              </w:rPr>
              <w:fldChar w:fldCharType="end"/>
            </w:r>
          </w:hyperlink>
        </w:p>
        <w:p w14:paraId="7A54A78D" w14:textId="06CB545A" w:rsidR="008D5EF6" w:rsidRPr="001B0896" w:rsidRDefault="003006DD" w:rsidP="008D5EF6">
          <w:pPr>
            <w:pStyle w:val="TDC1"/>
            <w:tabs>
              <w:tab w:val="left" w:pos="540"/>
              <w:tab w:val="right" w:leader="dot" w:pos="7912"/>
            </w:tabs>
            <w:jc w:val="left"/>
            <w:rPr>
              <w:rStyle w:val="Hipervnculo"/>
              <w:rFonts w:ascii="Times New Roman" w:hAnsi="Times New Roman"/>
              <w:noProof/>
              <w:color w:val="767171"/>
              <w:sz w:val="24"/>
              <w:szCs w:val="24"/>
            </w:rPr>
          </w:pPr>
          <w:hyperlink w:anchor="_Toc92226179" w:history="1">
            <w:r w:rsidR="008D5EF6" w:rsidRPr="001B0896">
              <w:rPr>
                <w:rStyle w:val="Hipervnculo"/>
                <w:rFonts w:ascii="Times New Roman" w:hAnsi="Times New Roman"/>
                <w:noProof/>
                <w:color w:val="767171"/>
                <w:sz w:val="24"/>
                <w:szCs w:val="24"/>
              </w:rPr>
              <w:t>3.1.1.1.1Captaciones</w:t>
            </w:r>
            <w:r w:rsidR="008D5EF6" w:rsidRPr="001B0896">
              <w:rPr>
                <w:rStyle w:val="Hipervnculo"/>
                <w:rFonts w:ascii="Times New Roman" w:hAnsi="Times New Roman"/>
                <w:noProof/>
                <w:webHidden/>
                <w:color w:val="767171"/>
                <w:sz w:val="24"/>
                <w:szCs w:val="24"/>
              </w:rPr>
              <w:tab/>
            </w:r>
            <w:r w:rsidR="008D5EF6" w:rsidRPr="001B0896">
              <w:rPr>
                <w:rStyle w:val="Hipervnculo"/>
                <w:rFonts w:ascii="Times New Roman" w:hAnsi="Times New Roman"/>
                <w:noProof/>
                <w:webHidden/>
                <w:color w:val="767171"/>
                <w:sz w:val="24"/>
                <w:szCs w:val="24"/>
              </w:rPr>
              <w:fldChar w:fldCharType="begin"/>
            </w:r>
            <w:r w:rsidR="008D5EF6" w:rsidRPr="001B0896">
              <w:rPr>
                <w:rStyle w:val="Hipervnculo"/>
                <w:rFonts w:ascii="Times New Roman" w:hAnsi="Times New Roman"/>
                <w:noProof/>
                <w:webHidden/>
                <w:color w:val="767171"/>
                <w:sz w:val="24"/>
                <w:szCs w:val="24"/>
              </w:rPr>
              <w:instrText xml:space="preserve"> PAGEREF _Toc92226179 \h </w:instrText>
            </w:r>
            <w:r w:rsidR="008D5EF6" w:rsidRPr="001B0896">
              <w:rPr>
                <w:rStyle w:val="Hipervnculo"/>
                <w:rFonts w:ascii="Times New Roman" w:hAnsi="Times New Roman"/>
                <w:noProof/>
                <w:webHidden/>
                <w:color w:val="767171"/>
                <w:sz w:val="24"/>
                <w:szCs w:val="24"/>
              </w:rPr>
            </w:r>
            <w:r w:rsidR="008D5EF6" w:rsidRPr="001B0896">
              <w:rPr>
                <w:rStyle w:val="Hipervnculo"/>
                <w:rFonts w:ascii="Times New Roman" w:hAnsi="Times New Roman"/>
                <w:noProof/>
                <w:webHidden/>
                <w:color w:val="767171"/>
                <w:sz w:val="24"/>
                <w:szCs w:val="24"/>
              </w:rPr>
              <w:fldChar w:fldCharType="separate"/>
            </w:r>
            <w:r>
              <w:rPr>
                <w:rStyle w:val="Hipervnculo"/>
                <w:rFonts w:ascii="Times New Roman" w:hAnsi="Times New Roman"/>
                <w:noProof/>
                <w:webHidden/>
                <w:color w:val="767171"/>
                <w:sz w:val="24"/>
                <w:szCs w:val="24"/>
              </w:rPr>
              <w:t>13</w:t>
            </w:r>
            <w:r w:rsidR="008D5EF6" w:rsidRPr="001B0896">
              <w:rPr>
                <w:rStyle w:val="Hipervnculo"/>
                <w:rFonts w:ascii="Times New Roman" w:hAnsi="Times New Roman"/>
                <w:noProof/>
                <w:webHidden/>
                <w:color w:val="767171"/>
                <w:sz w:val="24"/>
                <w:szCs w:val="24"/>
              </w:rPr>
              <w:fldChar w:fldCharType="end"/>
            </w:r>
          </w:hyperlink>
        </w:p>
        <w:p w14:paraId="1CACC8E8" w14:textId="76991F8F" w:rsidR="008D5EF6" w:rsidRPr="001B0896" w:rsidRDefault="003006DD" w:rsidP="008D5EF6">
          <w:pPr>
            <w:pStyle w:val="TDC1"/>
            <w:tabs>
              <w:tab w:val="left" w:pos="540"/>
              <w:tab w:val="right" w:leader="dot" w:pos="7912"/>
            </w:tabs>
            <w:jc w:val="left"/>
            <w:rPr>
              <w:rStyle w:val="Hipervnculo"/>
              <w:rFonts w:ascii="Times New Roman" w:hAnsi="Times New Roman"/>
              <w:noProof/>
              <w:color w:val="767171"/>
              <w:sz w:val="24"/>
              <w:szCs w:val="24"/>
            </w:rPr>
          </w:pPr>
          <w:hyperlink w:anchor="_Toc92226180" w:history="1">
            <w:r w:rsidR="008D5EF6" w:rsidRPr="001B0896">
              <w:rPr>
                <w:rStyle w:val="Hipervnculo"/>
                <w:rFonts w:ascii="Times New Roman" w:hAnsi="Times New Roman"/>
                <w:noProof/>
                <w:color w:val="767171"/>
                <w:sz w:val="24"/>
                <w:szCs w:val="24"/>
              </w:rPr>
              <w:t>3.1.1.1.2Colocaciones</w:t>
            </w:r>
            <w:r w:rsidR="008D5EF6" w:rsidRPr="001B0896">
              <w:rPr>
                <w:rStyle w:val="Hipervnculo"/>
                <w:rFonts w:ascii="Times New Roman" w:hAnsi="Times New Roman"/>
                <w:noProof/>
                <w:webHidden/>
                <w:color w:val="767171"/>
                <w:sz w:val="24"/>
                <w:szCs w:val="24"/>
              </w:rPr>
              <w:tab/>
            </w:r>
            <w:r w:rsidR="008D5EF6" w:rsidRPr="001B0896">
              <w:rPr>
                <w:rStyle w:val="Hipervnculo"/>
                <w:rFonts w:ascii="Times New Roman" w:hAnsi="Times New Roman"/>
                <w:noProof/>
                <w:webHidden/>
                <w:color w:val="767171"/>
                <w:sz w:val="24"/>
                <w:szCs w:val="24"/>
              </w:rPr>
              <w:fldChar w:fldCharType="begin"/>
            </w:r>
            <w:r w:rsidR="008D5EF6" w:rsidRPr="001B0896">
              <w:rPr>
                <w:rStyle w:val="Hipervnculo"/>
                <w:rFonts w:ascii="Times New Roman" w:hAnsi="Times New Roman"/>
                <w:noProof/>
                <w:webHidden/>
                <w:color w:val="767171"/>
                <w:sz w:val="24"/>
                <w:szCs w:val="24"/>
              </w:rPr>
              <w:instrText xml:space="preserve"> PAGEREF _Toc92226180 \h </w:instrText>
            </w:r>
            <w:r w:rsidR="008D5EF6" w:rsidRPr="001B0896">
              <w:rPr>
                <w:rStyle w:val="Hipervnculo"/>
                <w:rFonts w:ascii="Times New Roman" w:hAnsi="Times New Roman"/>
                <w:noProof/>
                <w:webHidden/>
                <w:color w:val="767171"/>
                <w:sz w:val="24"/>
                <w:szCs w:val="24"/>
              </w:rPr>
            </w:r>
            <w:r w:rsidR="008D5EF6" w:rsidRPr="001B0896">
              <w:rPr>
                <w:rStyle w:val="Hipervnculo"/>
                <w:rFonts w:ascii="Times New Roman" w:hAnsi="Times New Roman"/>
                <w:noProof/>
                <w:webHidden/>
                <w:color w:val="767171"/>
                <w:sz w:val="24"/>
                <w:szCs w:val="24"/>
              </w:rPr>
              <w:fldChar w:fldCharType="separate"/>
            </w:r>
            <w:r>
              <w:rPr>
                <w:rStyle w:val="Hipervnculo"/>
                <w:rFonts w:ascii="Times New Roman" w:hAnsi="Times New Roman"/>
                <w:noProof/>
                <w:webHidden/>
                <w:color w:val="767171"/>
                <w:sz w:val="24"/>
                <w:szCs w:val="24"/>
              </w:rPr>
              <w:t>14</w:t>
            </w:r>
            <w:r w:rsidR="008D5EF6" w:rsidRPr="001B0896">
              <w:rPr>
                <w:rStyle w:val="Hipervnculo"/>
                <w:rFonts w:ascii="Times New Roman" w:hAnsi="Times New Roman"/>
                <w:noProof/>
                <w:webHidden/>
                <w:color w:val="767171"/>
                <w:sz w:val="24"/>
                <w:szCs w:val="24"/>
              </w:rPr>
              <w:fldChar w:fldCharType="end"/>
            </w:r>
          </w:hyperlink>
        </w:p>
        <w:p w14:paraId="2BA42959" w14:textId="59E046B6" w:rsidR="008D5EF6" w:rsidRPr="001B0896" w:rsidRDefault="003006DD" w:rsidP="008D5EF6">
          <w:pPr>
            <w:pStyle w:val="TDC1"/>
            <w:tabs>
              <w:tab w:val="left" w:pos="540"/>
              <w:tab w:val="right" w:leader="dot" w:pos="7912"/>
            </w:tabs>
            <w:jc w:val="left"/>
            <w:rPr>
              <w:rStyle w:val="Hipervnculo"/>
              <w:rFonts w:ascii="Times New Roman" w:hAnsi="Times New Roman"/>
              <w:noProof/>
              <w:color w:val="767171"/>
              <w:sz w:val="24"/>
              <w:szCs w:val="24"/>
            </w:rPr>
          </w:pPr>
          <w:hyperlink w:anchor="_Toc92226181" w:history="1">
            <w:r w:rsidR="008D5EF6" w:rsidRPr="001B0896">
              <w:rPr>
                <w:rStyle w:val="Hipervnculo"/>
                <w:rFonts w:ascii="Times New Roman" w:hAnsi="Times New Roman"/>
                <w:noProof/>
                <w:color w:val="767171"/>
                <w:sz w:val="24"/>
                <w:szCs w:val="24"/>
              </w:rPr>
              <w:t>3.1.2</w:t>
            </w:r>
            <w:r w:rsidR="008D5EF6" w:rsidRPr="001B0896">
              <w:rPr>
                <w:rStyle w:val="Hipervnculo"/>
                <w:rFonts w:ascii="Times New Roman" w:hAnsi="Times New Roman"/>
                <w:noProof/>
                <w:color w:val="767171"/>
                <w:sz w:val="24"/>
                <w:szCs w:val="24"/>
              </w:rPr>
              <w:tab/>
              <w:t>Resultados Operacionales</w:t>
            </w:r>
            <w:r w:rsidR="008D5EF6" w:rsidRPr="001B0896">
              <w:rPr>
                <w:rStyle w:val="Hipervnculo"/>
                <w:rFonts w:ascii="Times New Roman" w:hAnsi="Times New Roman"/>
                <w:noProof/>
                <w:webHidden/>
                <w:color w:val="767171"/>
                <w:sz w:val="24"/>
                <w:szCs w:val="24"/>
              </w:rPr>
              <w:tab/>
            </w:r>
            <w:r w:rsidR="008D5EF6" w:rsidRPr="001B0896">
              <w:rPr>
                <w:rStyle w:val="Hipervnculo"/>
                <w:rFonts w:ascii="Times New Roman" w:hAnsi="Times New Roman"/>
                <w:noProof/>
                <w:webHidden/>
                <w:color w:val="767171"/>
                <w:sz w:val="24"/>
                <w:szCs w:val="24"/>
              </w:rPr>
              <w:fldChar w:fldCharType="begin"/>
            </w:r>
            <w:r w:rsidR="008D5EF6" w:rsidRPr="001B0896">
              <w:rPr>
                <w:rStyle w:val="Hipervnculo"/>
                <w:rFonts w:ascii="Times New Roman" w:hAnsi="Times New Roman"/>
                <w:noProof/>
                <w:webHidden/>
                <w:color w:val="767171"/>
                <w:sz w:val="24"/>
                <w:szCs w:val="24"/>
              </w:rPr>
              <w:instrText xml:space="preserve"> PAGEREF _Toc92226181 \h </w:instrText>
            </w:r>
            <w:r w:rsidR="008D5EF6" w:rsidRPr="001B0896">
              <w:rPr>
                <w:rStyle w:val="Hipervnculo"/>
                <w:rFonts w:ascii="Times New Roman" w:hAnsi="Times New Roman"/>
                <w:noProof/>
                <w:webHidden/>
                <w:color w:val="767171"/>
                <w:sz w:val="24"/>
                <w:szCs w:val="24"/>
              </w:rPr>
            </w:r>
            <w:r w:rsidR="008D5EF6" w:rsidRPr="001B0896">
              <w:rPr>
                <w:rStyle w:val="Hipervnculo"/>
                <w:rFonts w:ascii="Times New Roman" w:hAnsi="Times New Roman"/>
                <w:noProof/>
                <w:webHidden/>
                <w:color w:val="767171"/>
                <w:sz w:val="24"/>
                <w:szCs w:val="24"/>
              </w:rPr>
              <w:fldChar w:fldCharType="separate"/>
            </w:r>
            <w:r>
              <w:rPr>
                <w:rStyle w:val="Hipervnculo"/>
                <w:rFonts w:ascii="Times New Roman" w:hAnsi="Times New Roman"/>
                <w:noProof/>
                <w:webHidden/>
                <w:color w:val="767171"/>
                <w:sz w:val="24"/>
                <w:szCs w:val="24"/>
              </w:rPr>
              <w:t>15</w:t>
            </w:r>
            <w:r w:rsidR="008D5EF6" w:rsidRPr="001B0896">
              <w:rPr>
                <w:rStyle w:val="Hipervnculo"/>
                <w:rFonts w:ascii="Times New Roman" w:hAnsi="Times New Roman"/>
                <w:noProof/>
                <w:webHidden/>
                <w:color w:val="767171"/>
                <w:sz w:val="24"/>
                <w:szCs w:val="24"/>
              </w:rPr>
              <w:fldChar w:fldCharType="end"/>
            </w:r>
          </w:hyperlink>
        </w:p>
        <w:p w14:paraId="53D31698" w14:textId="4C184231" w:rsidR="008D5EF6" w:rsidRPr="001B0896" w:rsidRDefault="003006DD" w:rsidP="008D5EF6">
          <w:pPr>
            <w:pStyle w:val="TDC1"/>
            <w:tabs>
              <w:tab w:val="left" w:pos="540"/>
              <w:tab w:val="right" w:leader="dot" w:pos="7912"/>
            </w:tabs>
            <w:jc w:val="left"/>
            <w:rPr>
              <w:rStyle w:val="Hipervnculo"/>
              <w:rFonts w:ascii="Times New Roman" w:hAnsi="Times New Roman"/>
              <w:noProof/>
              <w:color w:val="767171"/>
              <w:sz w:val="24"/>
              <w:szCs w:val="24"/>
            </w:rPr>
          </w:pPr>
          <w:hyperlink w:anchor="_Toc92226182" w:history="1">
            <w:r w:rsidR="008D5EF6" w:rsidRPr="001B0896">
              <w:rPr>
                <w:rStyle w:val="Hipervnculo"/>
                <w:rFonts w:ascii="Times New Roman" w:hAnsi="Times New Roman"/>
                <w:noProof/>
                <w:color w:val="767171"/>
                <w:sz w:val="24"/>
                <w:szCs w:val="24"/>
              </w:rPr>
              <w:t>3.1.3</w:t>
            </w:r>
            <w:r w:rsidR="008D5EF6" w:rsidRPr="001B0896">
              <w:rPr>
                <w:rStyle w:val="Hipervnculo"/>
                <w:rFonts w:ascii="Times New Roman" w:hAnsi="Times New Roman"/>
                <w:noProof/>
                <w:color w:val="767171"/>
                <w:sz w:val="24"/>
                <w:szCs w:val="24"/>
              </w:rPr>
              <w:tab/>
              <w:t>Principales Indicadores Financieros y de Gestión</w:t>
            </w:r>
            <w:r w:rsidR="008D5EF6" w:rsidRPr="001B0896">
              <w:rPr>
                <w:rStyle w:val="Hipervnculo"/>
                <w:rFonts w:ascii="Times New Roman" w:hAnsi="Times New Roman"/>
                <w:noProof/>
                <w:webHidden/>
                <w:color w:val="767171"/>
                <w:sz w:val="24"/>
                <w:szCs w:val="24"/>
              </w:rPr>
              <w:tab/>
            </w:r>
            <w:r w:rsidR="008D5EF6" w:rsidRPr="001B0896">
              <w:rPr>
                <w:rStyle w:val="Hipervnculo"/>
                <w:rFonts w:ascii="Times New Roman" w:hAnsi="Times New Roman"/>
                <w:noProof/>
                <w:webHidden/>
                <w:color w:val="767171"/>
                <w:sz w:val="24"/>
                <w:szCs w:val="24"/>
              </w:rPr>
              <w:fldChar w:fldCharType="begin"/>
            </w:r>
            <w:r w:rsidR="008D5EF6" w:rsidRPr="001B0896">
              <w:rPr>
                <w:rStyle w:val="Hipervnculo"/>
                <w:rFonts w:ascii="Times New Roman" w:hAnsi="Times New Roman"/>
                <w:noProof/>
                <w:webHidden/>
                <w:color w:val="767171"/>
                <w:sz w:val="24"/>
                <w:szCs w:val="24"/>
              </w:rPr>
              <w:instrText xml:space="preserve"> PAGEREF _Toc92226182 \h </w:instrText>
            </w:r>
            <w:r w:rsidR="008D5EF6" w:rsidRPr="001B0896">
              <w:rPr>
                <w:rStyle w:val="Hipervnculo"/>
                <w:rFonts w:ascii="Times New Roman" w:hAnsi="Times New Roman"/>
                <w:noProof/>
                <w:webHidden/>
                <w:color w:val="767171"/>
                <w:sz w:val="24"/>
                <w:szCs w:val="24"/>
              </w:rPr>
            </w:r>
            <w:r w:rsidR="008D5EF6" w:rsidRPr="001B0896">
              <w:rPr>
                <w:rStyle w:val="Hipervnculo"/>
                <w:rFonts w:ascii="Times New Roman" w:hAnsi="Times New Roman"/>
                <w:noProof/>
                <w:webHidden/>
                <w:color w:val="767171"/>
                <w:sz w:val="24"/>
                <w:szCs w:val="24"/>
              </w:rPr>
              <w:fldChar w:fldCharType="separate"/>
            </w:r>
            <w:r>
              <w:rPr>
                <w:rStyle w:val="Hipervnculo"/>
                <w:rFonts w:ascii="Times New Roman" w:hAnsi="Times New Roman"/>
                <w:noProof/>
                <w:webHidden/>
                <w:color w:val="767171"/>
                <w:sz w:val="24"/>
                <w:szCs w:val="24"/>
              </w:rPr>
              <w:t>16</w:t>
            </w:r>
            <w:r w:rsidR="008D5EF6" w:rsidRPr="001B0896">
              <w:rPr>
                <w:rStyle w:val="Hipervnculo"/>
                <w:rFonts w:ascii="Times New Roman" w:hAnsi="Times New Roman"/>
                <w:noProof/>
                <w:webHidden/>
                <w:color w:val="767171"/>
                <w:sz w:val="24"/>
                <w:szCs w:val="24"/>
              </w:rPr>
              <w:fldChar w:fldCharType="end"/>
            </w:r>
          </w:hyperlink>
        </w:p>
        <w:p w14:paraId="6416A832" w14:textId="58EE2893" w:rsidR="008D5EF6" w:rsidRPr="001B0896" w:rsidRDefault="003006DD" w:rsidP="008D5EF6">
          <w:pPr>
            <w:pStyle w:val="TDC1"/>
            <w:tabs>
              <w:tab w:val="left" w:pos="540"/>
              <w:tab w:val="right" w:leader="dot" w:pos="7912"/>
            </w:tabs>
            <w:jc w:val="left"/>
            <w:rPr>
              <w:rStyle w:val="Hipervnculo"/>
              <w:rFonts w:ascii="Times New Roman" w:hAnsi="Times New Roman"/>
              <w:noProof/>
              <w:color w:val="767171"/>
              <w:sz w:val="24"/>
              <w:szCs w:val="24"/>
            </w:rPr>
          </w:pPr>
          <w:hyperlink w:anchor="_Toc92226183" w:history="1">
            <w:r w:rsidR="008D5EF6" w:rsidRPr="001B0896">
              <w:rPr>
                <w:rStyle w:val="Hipervnculo"/>
                <w:rFonts w:ascii="Times New Roman" w:hAnsi="Times New Roman"/>
                <w:noProof/>
                <w:color w:val="767171"/>
                <w:sz w:val="24"/>
                <w:szCs w:val="24"/>
              </w:rPr>
              <w:t>3.1.4</w:t>
            </w:r>
            <w:r w:rsidR="008D5EF6" w:rsidRPr="001B0896">
              <w:rPr>
                <w:rStyle w:val="Hipervnculo"/>
                <w:rFonts w:ascii="Times New Roman" w:hAnsi="Times New Roman"/>
                <w:noProof/>
                <w:color w:val="767171"/>
                <w:sz w:val="24"/>
                <w:szCs w:val="24"/>
              </w:rPr>
              <w:tab/>
              <w:t>Gestión de Negocios y Servicios</w:t>
            </w:r>
            <w:r w:rsidR="008D5EF6" w:rsidRPr="001B0896">
              <w:rPr>
                <w:rStyle w:val="Hipervnculo"/>
                <w:rFonts w:ascii="Times New Roman" w:hAnsi="Times New Roman"/>
                <w:noProof/>
                <w:webHidden/>
                <w:color w:val="767171"/>
                <w:sz w:val="24"/>
                <w:szCs w:val="24"/>
              </w:rPr>
              <w:tab/>
            </w:r>
            <w:r w:rsidR="008D5EF6" w:rsidRPr="001B0896">
              <w:rPr>
                <w:rStyle w:val="Hipervnculo"/>
                <w:rFonts w:ascii="Times New Roman" w:hAnsi="Times New Roman"/>
                <w:noProof/>
                <w:webHidden/>
                <w:color w:val="767171"/>
                <w:sz w:val="24"/>
                <w:szCs w:val="24"/>
              </w:rPr>
              <w:fldChar w:fldCharType="begin"/>
            </w:r>
            <w:r w:rsidR="008D5EF6" w:rsidRPr="001B0896">
              <w:rPr>
                <w:rStyle w:val="Hipervnculo"/>
                <w:rFonts w:ascii="Times New Roman" w:hAnsi="Times New Roman"/>
                <w:noProof/>
                <w:webHidden/>
                <w:color w:val="767171"/>
                <w:sz w:val="24"/>
                <w:szCs w:val="24"/>
              </w:rPr>
              <w:instrText xml:space="preserve"> PAGEREF _Toc92226183 \h </w:instrText>
            </w:r>
            <w:r w:rsidR="008D5EF6" w:rsidRPr="001B0896">
              <w:rPr>
                <w:rStyle w:val="Hipervnculo"/>
                <w:rFonts w:ascii="Times New Roman" w:hAnsi="Times New Roman"/>
                <w:noProof/>
                <w:webHidden/>
                <w:color w:val="767171"/>
                <w:sz w:val="24"/>
                <w:szCs w:val="24"/>
              </w:rPr>
            </w:r>
            <w:r w:rsidR="008D5EF6" w:rsidRPr="001B0896">
              <w:rPr>
                <w:rStyle w:val="Hipervnculo"/>
                <w:rFonts w:ascii="Times New Roman" w:hAnsi="Times New Roman"/>
                <w:noProof/>
                <w:webHidden/>
                <w:color w:val="767171"/>
                <w:sz w:val="24"/>
                <w:szCs w:val="24"/>
              </w:rPr>
              <w:fldChar w:fldCharType="separate"/>
            </w:r>
            <w:r>
              <w:rPr>
                <w:rStyle w:val="Hipervnculo"/>
                <w:rFonts w:ascii="Times New Roman" w:hAnsi="Times New Roman"/>
                <w:noProof/>
                <w:webHidden/>
                <w:color w:val="767171"/>
                <w:sz w:val="24"/>
                <w:szCs w:val="24"/>
              </w:rPr>
              <w:t>18</w:t>
            </w:r>
            <w:r w:rsidR="008D5EF6" w:rsidRPr="001B0896">
              <w:rPr>
                <w:rStyle w:val="Hipervnculo"/>
                <w:rFonts w:ascii="Times New Roman" w:hAnsi="Times New Roman"/>
                <w:noProof/>
                <w:webHidden/>
                <w:color w:val="767171"/>
                <w:sz w:val="24"/>
                <w:szCs w:val="24"/>
              </w:rPr>
              <w:fldChar w:fldCharType="end"/>
            </w:r>
          </w:hyperlink>
        </w:p>
        <w:p w14:paraId="543F8458" w14:textId="22AD4133" w:rsidR="008D5EF6" w:rsidRPr="001B0896" w:rsidRDefault="003006DD" w:rsidP="008D5EF6">
          <w:pPr>
            <w:pStyle w:val="TDC1"/>
            <w:tabs>
              <w:tab w:val="left" w:pos="540"/>
              <w:tab w:val="right" w:leader="dot" w:pos="7912"/>
            </w:tabs>
            <w:jc w:val="left"/>
            <w:rPr>
              <w:rStyle w:val="Hipervnculo"/>
              <w:rFonts w:ascii="Times New Roman" w:hAnsi="Times New Roman"/>
              <w:noProof/>
              <w:color w:val="767171"/>
              <w:sz w:val="24"/>
              <w:szCs w:val="24"/>
            </w:rPr>
          </w:pPr>
          <w:hyperlink w:anchor="_Toc92226184" w:history="1">
            <w:r w:rsidR="008D5EF6" w:rsidRPr="001B0896">
              <w:rPr>
                <w:rStyle w:val="Hipervnculo"/>
                <w:rFonts w:ascii="Times New Roman" w:hAnsi="Times New Roman"/>
                <w:noProof/>
                <w:color w:val="767171"/>
                <w:sz w:val="24"/>
                <w:szCs w:val="24"/>
              </w:rPr>
              <w:t>3.1.4.1Apoyo al Sector Turismo</w:t>
            </w:r>
            <w:r w:rsidR="008D5EF6" w:rsidRPr="001B0896">
              <w:rPr>
                <w:rStyle w:val="Hipervnculo"/>
                <w:rFonts w:ascii="Times New Roman" w:hAnsi="Times New Roman"/>
                <w:noProof/>
                <w:webHidden/>
                <w:color w:val="767171"/>
                <w:sz w:val="24"/>
                <w:szCs w:val="24"/>
              </w:rPr>
              <w:tab/>
            </w:r>
            <w:r w:rsidR="008D5EF6" w:rsidRPr="001B0896">
              <w:rPr>
                <w:rStyle w:val="Hipervnculo"/>
                <w:rFonts w:ascii="Times New Roman" w:hAnsi="Times New Roman"/>
                <w:noProof/>
                <w:webHidden/>
                <w:color w:val="767171"/>
                <w:sz w:val="24"/>
                <w:szCs w:val="24"/>
              </w:rPr>
              <w:fldChar w:fldCharType="begin"/>
            </w:r>
            <w:r w:rsidR="008D5EF6" w:rsidRPr="001B0896">
              <w:rPr>
                <w:rStyle w:val="Hipervnculo"/>
                <w:rFonts w:ascii="Times New Roman" w:hAnsi="Times New Roman"/>
                <w:noProof/>
                <w:webHidden/>
                <w:color w:val="767171"/>
                <w:sz w:val="24"/>
                <w:szCs w:val="24"/>
              </w:rPr>
              <w:instrText xml:space="preserve"> PAGEREF _Toc92226184 \h </w:instrText>
            </w:r>
            <w:r w:rsidR="008D5EF6" w:rsidRPr="001B0896">
              <w:rPr>
                <w:rStyle w:val="Hipervnculo"/>
                <w:rFonts w:ascii="Times New Roman" w:hAnsi="Times New Roman"/>
                <w:noProof/>
                <w:webHidden/>
                <w:color w:val="767171"/>
                <w:sz w:val="24"/>
                <w:szCs w:val="24"/>
              </w:rPr>
            </w:r>
            <w:r w:rsidR="008D5EF6" w:rsidRPr="001B0896">
              <w:rPr>
                <w:rStyle w:val="Hipervnculo"/>
                <w:rFonts w:ascii="Times New Roman" w:hAnsi="Times New Roman"/>
                <w:noProof/>
                <w:webHidden/>
                <w:color w:val="767171"/>
                <w:sz w:val="24"/>
                <w:szCs w:val="24"/>
              </w:rPr>
              <w:fldChar w:fldCharType="separate"/>
            </w:r>
            <w:r>
              <w:rPr>
                <w:rStyle w:val="Hipervnculo"/>
                <w:rFonts w:ascii="Times New Roman" w:hAnsi="Times New Roman"/>
                <w:noProof/>
                <w:webHidden/>
                <w:color w:val="767171"/>
                <w:sz w:val="24"/>
                <w:szCs w:val="24"/>
              </w:rPr>
              <w:t>22</w:t>
            </w:r>
            <w:r w:rsidR="008D5EF6" w:rsidRPr="001B0896">
              <w:rPr>
                <w:rStyle w:val="Hipervnculo"/>
                <w:rFonts w:ascii="Times New Roman" w:hAnsi="Times New Roman"/>
                <w:noProof/>
                <w:webHidden/>
                <w:color w:val="767171"/>
                <w:sz w:val="24"/>
                <w:szCs w:val="24"/>
              </w:rPr>
              <w:fldChar w:fldCharType="end"/>
            </w:r>
          </w:hyperlink>
        </w:p>
        <w:p w14:paraId="5DA6599F" w14:textId="77777777" w:rsidR="00B00B97" w:rsidRPr="001B0896" w:rsidRDefault="00B00B97" w:rsidP="00B00B97">
          <w:pPr>
            <w:rPr>
              <w:noProof/>
            </w:rPr>
          </w:pPr>
        </w:p>
        <w:p w14:paraId="23C4F950" w14:textId="1874B9D0" w:rsidR="008D5EF6" w:rsidRPr="001B0896" w:rsidRDefault="003006DD" w:rsidP="008D5EF6">
          <w:pPr>
            <w:pStyle w:val="TDC1"/>
            <w:tabs>
              <w:tab w:val="left" w:pos="540"/>
              <w:tab w:val="right" w:leader="dot" w:pos="7912"/>
            </w:tabs>
            <w:jc w:val="left"/>
            <w:rPr>
              <w:rStyle w:val="Hipervnculo"/>
              <w:rFonts w:ascii="Times New Roman" w:hAnsi="Times New Roman"/>
              <w:noProof/>
              <w:color w:val="767171"/>
              <w:sz w:val="24"/>
              <w:szCs w:val="24"/>
            </w:rPr>
          </w:pPr>
          <w:hyperlink w:anchor="_Toc92226185" w:history="1">
            <w:r w:rsidR="008D5EF6" w:rsidRPr="001B0896">
              <w:rPr>
                <w:rStyle w:val="Hipervnculo"/>
                <w:rFonts w:ascii="Times New Roman" w:hAnsi="Times New Roman"/>
                <w:noProof/>
                <w:color w:val="767171"/>
                <w:sz w:val="24"/>
                <w:szCs w:val="24"/>
              </w:rPr>
              <w:t>IV.</w:t>
            </w:r>
            <w:r w:rsidR="008D5EF6" w:rsidRPr="001B0896">
              <w:rPr>
                <w:rStyle w:val="Hipervnculo"/>
                <w:rFonts w:ascii="Times New Roman" w:hAnsi="Times New Roman"/>
                <w:noProof/>
                <w:color w:val="767171"/>
                <w:sz w:val="24"/>
                <w:szCs w:val="24"/>
              </w:rPr>
              <w:tab/>
              <w:t>RESULTADOS ÁREAS TRANSVERSALES Y DE APOYO</w:t>
            </w:r>
            <w:r w:rsidR="008D5EF6" w:rsidRPr="001B0896">
              <w:rPr>
                <w:rStyle w:val="Hipervnculo"/>
                <w:rFonts w:ascii="Times New Roman" w:hAnsi="Times New Roman"/>
                <w:noProof/>
                <w:webHidden/>
                <w:color w:val="767171"/>
                <w:sz w:val="24"/>
                <w:szCs w:val="24"/>
              </w:rPr>
              <w:tab/>
            </w:r>
            <w:r w:rsidR="008D5EF6" w:rsidRPr="001B0896">
              <w:rPr>
                <w:rStyle w:val="Hipervnculo"/>
                <w:rFonts w:ascii="Times New Roman" w:hAnsi="Times New Roman"/>
                <w:noProof/>
                <w:webHidden/>
                <w:color w:val="767171"/>
                <w:sz w:val="24"/>
                <w:szCs w:val="24"/>
              </w:rPr>
              <w:fldChar w:fldCharType="begin"/>
            </w:r>
            <w:r w:rsidR="008D5EF6" w:rsidRPr="001B0896">
              <w:rPr>
                <w:rStyle w:val="Hipervnculo"/>
                <w:rFonts w:ascii="Times New Roman" w:hAnsi="Times New Roman"/>
                <w:noProof/>
                <w:webHidden/>
                <w:color w:val="767171"/>
                <w:sz w:val="24"/>
                <w:szCs w:val="24"/>
              </w:rPr>
              <w:instrText xml:space="preserve"> PAGEREF _Toc92226185 \h </w:instrText>
            </w:r>
            <w:r w:rsidR="008D5EF6" w:rsidRPr="001B0896">
              <w:rPr>
                <w:rStyle w:val="Hipervnculo"/>
                <w:rFonts w:ascii="Times New Roman" w:hAnsi="Times New Roman"/>
                <w:noProof/>
                <w:webHidden/>
                <w:color w:val="767171"/>
                <w:sz w:val="24"/>
                <w:szCs w:val="24"/>
              </w:rPr>
            </w:r>
            <w:r w:rsidR="008D5EF6" w:rsidRPr="001B0896">
              <w:rPr>
                <w:rStyle w:val="Hipervnculo"/>
                <w:rFonts w:ascii="Times New Roman" w:hAnsi="Times New Roman"/>
                <w:noProof/>
                <w:webHidden/>
                <w:color w:val="767171"/>
                <w:sz w:val="24"/>
                <w:szCs w:val="24"/>
              </w:rPr>
              <w:fldChar w:fldCharType="separate"/>
            </w:r>
            <w:r>
              <w:rPr>
                <w:rStyle w:val="Hipervnculo"/>
                <w:rFonts w:ascii="Times New Roman" w:hAnsi="Times New Roman"/>
                <w:noProof/>
                <w:webHidden/>
                <w:color w:val="767171"/>
                <w:sz w:val="24"/>
                <w:szCs w:val="24"/>
              </w:rPr>
              <w:t>26</w:t>
            </w:r>
            <w:r w:rsidR="008D5EF6" w:rsidRPr="001B0896">
              <w:rPr>
                <w:rStyle w:val="Hipervnculo"/>
                <w:rFonts w:ascii="Times New Roman" w:hAnsi="Times New Roman"/>
                <w:noProof/>
                <w:webHidden/>
                <w:color w:val="767171"/>
                <w:sz w:val="24"/>
                <w:szCs w:val="24"/>
              </w:rPr>
              <w:fldChar w:fldCharType="end"/>
            </w:r>
          </w:hyperlink>
        </w:p>
        <w:p w14:paraId="569D47A1" w14:textId="67F5EB67" w:rsidR="008D5EF6" w:rsidRPr="001B0896" w:rsidRDefault="003006DD" w:rsidP="008D5EF6">
          <w:pPr>
            <w:pStyle w:val="TDC1"/>
            <w:tabs>
              <w:tab w:val="left" w:pos="540"/>
              <w:tab w:val="right" w:leader="dot" w:pos="7912"/>
            </w:tabs>
            <w:jc w:val="left"/>
            <w:rPr>
              <w:rStyle w:val="Hipervnculo"/>
              <w:rFonts w:ascii="Times New Roman" w:hAnsi="Times New Roman"/>
              <w:noProof/>
              <w:color w:val="767171"/>
              <w:sz w:val="24"/>
              <w:szCs w:val="24"/>
            </w:rPr>
          </w:pPr>
          <w:hyperlink w:anchor="_Toc92226186" w:history="1">
            <w:r w:rsidR="008D5EF6" w:rsidRPr="001B0896">
              <w:rPr>
                <w:rStyle w:val="Hipervnculo"/>
                <w:rFonts w:ascii="Times New Roman" w:hAnsi="Times New Roman"/>
                <w:noProof/>
                <w:color w:val="767171"/>
                <w:sz w:val="24"/>
                <w:szCs w:val="24"/>
              </w:rPr>
              <w:t>4.1</w:t>
            </w:r>
            <w:r w:rsidR="008D5EF6" w:rsidRPr="001B0896">
              <w:rPr>
                <w:rStyle w:val="Hipervnculo"/>
                <w:rFonts w:ascii="Times New Roman" w:hAnsi="Times New Roman"/>
                <w:noProof/>
                <w:color w:val="767171"/>
                <w:sz w:val="24"/>
                <w:szCs w:val="24"/>
              </w:rPr>
              <w:tab/>
              <w:t>Gestión Apoyo Administrativo</w:t>
            </w:r>
            <w:r w:rsidR="008D5EF6" w:rsidRPr="001B0896">
              <w:rPr>
                <w:rStyle w:val="Hipervnculo"/>
                <w:rFonts w:ascii="Times New Roman" w:hAnsi="Times New Roman"/>
                <w:noProof/>
                <w:webHidden/>
                <w:color w:val="767171"/>
                <w:sz w:val="24"/>
                <w:szCs w:val="24"/>
              </w:rPr>
              <w:tab/>
            </w:r>
            <w:r w:rsidR="008D5EF6" w:rsidRPr="001B0896">
              <w:rPr>
                <w:rStyle w:val="Hipervnculo"/>
                <w:rFonts w:ascii="Times New Roman" w:hAnsi="Times New Roman"/>
                <w:noProof/>
                <w:webHidden/>
                <w:color w:val="767171"/>
                <w:sz w:val="24"/>
                <w:szCs w:val="24"/>
              </w:rPr>
              <w:fldChar w:fldCharType="begin"/>
            </w:r>
            <w:r w:rsidR="008D5EF6" w:rsidRPr="001B0896">
              <w:rPr>
                <w:rStyle w:val="Hipervnculo"/>
                <w:rFonts w:ascii="Times New Roman" w:hAnsi="Times New Roman"/>
                <w:noProof/>
                <w:webHidden/>
                <w:color w:val="767171"/>
                <w:sz w:val="24"/>
                <w:szCs w:val="24"/>
              </w:rPr>
              <w:instrText xml:space="preserve"> PAGEREF _Toc92226186 \h </w:instrText>
            </w:r>
            <w:r w:rsidR="008D5EF6" w:rsidRPr="001B0896">
              <w:rPr>
                <w:rStyle w:val="Hipervnculo"/>
                <w:rFonts w:ascii="Times New Roman" w:hAnsi="Times New Roman"/>
                <w:noProof/>
                <w:webHidden/>
                <w:color w:val="767171"/>
                <w:sz w:val="24"/>
                <w:szCs w:val="24"/>
              </w:rPr>
            </w:r>
            <w:r w:rsidR="008D5EF6" w:rsidRPr="001B0896">
              <w:rPr>
                <w:rStyle w:val="Hipervnculo"/>
                <w:rFonts w:ascii="Times New Roman" w:hAnsi="Times New Roman"/>
                <w:noProof/>
                <w:webHidden/>
                <w:color w:val="767171"/>
                <w:sz w:val="24"/>
                <w:szCs w:val="24"/>
              </w:rPr>
              <w:fldChar w:fldCharType="separate"/>
            </w:r>
            <w:r>
              <w:rPr>
                <w:rStyle w:val="Hipervnculo"/>
                <w:rFonts w:ascii="Times New Roman" w:hAnsi="Times New Roman"/>
                <w:noProof/>
                <w:webHidden/>
                <w:color w:val="767171"/>
                <w:sz w:val="24"/>
                <w:szCs w:val="24"/>
              </w:rPr>
              <w:t>26</w:t>
            </w:r>
            <w:r w:rsidR="008D5EF6" w:rsidRPr="001B0896">
              <w:rPr>
                <w:rStyle w:val="Hipervnculo"/>
                <w:rFonts w:ascii="Times New Roman" w:hAnsi="Times New Roman"/>
                <w:noProof/>
                <w:webHidden/>
                <w:color w:val="767171"/>
                <w:sz w:val="24"/>
                <w:szCs w:val="24"/>
              </w:rPr>
              <w:fldChar w:fldCharType="end"/>
            </w:r>
          </w:hyperlink>
        </w:p>
        <w:p w14:paraId="6AD1D5F6" w14:textId="2BD5F17E" w:rsidR="008D5EF6" w:rsidRPr="001B0896" w:rsidRDefault="003006DD" w:rsidP="008D5EF6">
          <w:pPr>
            <w:pStyle w:val="TDC1"/>
            <w:tabs>
              <w:tab w:val="left" w:pos="540"/>
              <w:tab w:val="right" w:leader="dot" w:pos="7912"/>
            </w:tabs>
            <w:jc w:val="left"/>
            <w:rPr>
              <w:rStyle w:val="Hipervnculo"/>
              <w:rFonts w:ascii="Times New Roman" w:hAnsi="Times New Roman"/>
              <w:noProof/>
              <w:color w:val="767171"/>
              <w:sz w:val="24"/>
              <w:szCs w:val="24"/>
            </w:rPr>
          </w:pPr>
          <w:hyperlink w:anchor="_Toc92226187" w:history="1">
            <w:r w:rsidR="008D5EF6" w:rsidRPr="001B0896">
              <w:rPr>
                <w:rStyle w:val="Hipervnculo"/>
                <w:rFonts w:ascii="Times New Roman" w:hAnsi="Times New Roman"/>
                <w:noProof/>
                <w:color w:val="767171"/>
                <w:sz w:val="24"/>
                <w:szCs w:val="24"/>
              </w:rPr>
              <w:t>4.2</w:t>
            </w:r>
            <w:r w:rsidR="008D5EF6" w:rsidRPr="001B0896">
              <w:rPr>
                <w:rStyle w:val="Hipervnculo"/>
                <w:rFonts w:ascii="Times New Roman" w:hAnsi="Times New Roman"/>
                <w:noProof/>
                <w:color w:val="767171"/>
                <w:sz w:val="24"/>
                <w:szCs w:val="24"/>
              </w:rPr>
              <w:tab/>
              <w:t>Capital Humano</w:t>
            </w:r>
            <w:r w:rsidR="008D5EF6" w:rsidRPr="001B0896">
              <w:rPr>
                <w:rStyle w:val="Hipervnculo"/>
                <w:rFonts w:ascii="Times New Roman" w:hAnsi="Times New Roman"/>
                <w:noProof/>
                <w:webHidden/>
                <w:color w:val="767171"/>
                <w:sz w:val="24"/>
                <w:szCs w:val="24"/>
              </w:rPr>
              <w:tab/>
            </w:r>
            <w:r w:rsidR="008D5EF6" w:rsidRPr="001B0896">
              <w:rPr>
                <w:rStyle w:val="Hipervnculo"/>
                <w:rFonts w:ascii="Times New Roman" w:hAnsi="Times New Roman"/>
                <w:noProof/>
                <w:webHidden/>
                <w:color w:val="767171"/>
                <w:sz w:val="24"/>
                <w:szCs w:val="24"/>
              </w:rPr>
              <w:fldChar w:fldCharType="begin"/>
            </w:r>
            <w:r w:rsidR="008D5EF6" w:rsidRPr="001B0896">
              <w:rPr>
                <w:rStyle w:val="Hipervnculo"/>
                <w:rFonts w:ascii="Times New Roman" w:hAnsi="Times New Roman"/>
                <w:noProof/>
                <w:webHidden/>
                <w:color w:val="767171"/>
                <w:sz w:val="24"/>
                <w:szCs w:val="24"/>
              </w:rPr>
              <w:instrText xml:space="preserve"> PAGEREF _Toc92226187 \h </w:instrText>
            </w:r>
            <w:r w:rsidR="008D5EF6" w:rsidRPr="001B0896">
              <w:rPr>
                <w:rStyle w:val="Hipervnculo"/>
                <w:rFonts w:ascii="Times New Roman" w:hAnsi="Times New Roman"/>
                <w:noProof/>
                <w:webHidden/>
                <w:color w:val="767171"/>
                <w:sz w:val="24"/>
                <w:szCs w:val="24"/>
              </w:rPr>
            </w:r>
            <w:r w:rsidR="008D5EF6" w:rsidRPr="001B0896">
              <w:rPr>
                <w:rStyle w:val="Hipervnculo"/>
                <w:rFonts w:ascii="Times New Roman" w:hAnsi="Times New Roman"/>
                <w:noProof/>
                <w:webHidden/>
                <w:color w:val="767171"/>
                <w:sz w:val="24"/>
                <w:szCs w:val="24"/>
              </w:rPr>
              <w:fldChar w:fldCharType="separate"/>
            </w:r>
            <w:r>
              <w:rPr>
                <w:rStyle w:val="Hipervnculo"/>
                <w:rFonts w:ascii="Times New Roman" w:hAnsi="Times New Roman"/>
                <w:noProof/>
                <w:webHidden/>
                <w:color w:val="767171"/>
                <w:sz w:val="24"/>
                <w:szCs w:val="24"/>
              </w:rPr>
              <w:t>28</w:t>
            </w:r>
            <w:r w:rsidR="008D5EF6" w:rsidRPr="001B0896">
              <w:rPr>
                <w:rStyle w:val="Hipervnculo"/>
                <w:rFonts w:ascii="Times New Roman" w:hAnsi="Times New Roman"/>
                <w:noProof/>
                <w:webHidden/>
                <w:color w:val="767171"/>
                <w:sz w:val="24"/>
                <w:szCs w:val="24"/>
              </w:rPr>
              <w:fldChar w:fldCharType="end"/>
            </w:r>
          </w:hyperlink>
        </w:p>
        <w:p w14:paraId="0F0A1C7B" w14:textId="57B387F3" w:rsidR="008D5EF6" w:rsidRPr="001B0896" w:rsidRDefault="003006DD" w:rsidP="008D5EF6">
          <w:pPr>
            <w:pStyle w:val="TDC1"/>
            <w:tabs>
              <w:tab w:val="left" w:pos="540"/>
              <w:tab w:val="right" w:leader="dot" w:pos="7912"/>
            </w:tabs>
            <w:jc w:val="left"/>
            <w:rPr>
              <w:rStyle w:val="Hipervnculo"/>
              <w:rFonts w:ascii="Times New Roman" w:hAnsi="Times New Roman"/>
              <w:noProof/>
              <w:color w:val="767171"/>
              <w:sz w:val="24"/>
              <w:szCs w:val="24"/>
            </w:rPr>
          </w:pPr>
          <w:hyperlink w:anchor="_Toc92226188" w:history="1">
            <w:r w:rsidR="008D5EF6" w:rsidRPr="001B0896">
              <w:rPr>
                <w:rStyle w:val="Hipervnculo"/>
                <w:rFonts w:ascii="Times New Roman" w:hAnsi="Times New Roman"/>
                <w:noProof/>
                <w:color w:val="767171"/>
                <w:sz w:val="24"/>
                <w:szCs w:val="24"/>
              </w:rPr>
              <w:t>4.3</w:t>
            </w:r>
            <w:r w:rsidR="008D5EF6" w:rsidRPr="001B0896">
              <w:rPr>
                <w:rStyle w:val="Hipervnculo"/>
                <w:rFonts w:ascii="Times New Roman" w:hAnsi="Times New Roman"/>
                <w:noProof/>
                <w:color w:val="767171"/>
                <w:sz w:val="24"/>
                <w:szCs w:val="24"/>
              </w:rPr>
              <w:tab/>
              <w:t>Canales de Distribución</w:t>
            </w:r>
            <w:r w:rsidR="008D5EF6" w:rsidRPr="001B0896">
              <w:rPr>
                <w:rStyle w:val="Hipervnculo"/>
                <w:rFonts w:ascii="Times New Roman" w:hAnsi="Times New Roman"/>
                <w:noProof/>
                <w:webHidden/>
                <w:color w:val="767171"/>
                <w:sz w:val="24"/>
                <w:szCs w:val="24"/>
              </w:rPr>
              <w:tab/>
            </w:r>
            <w:r w:rsidR="008D5EF6" w:rsidRPr="001B0896">
              <w:rPr>
                <w:rStyle w:val="Hipervnculo"/>
                <w:rFonts w:ascii="Times New Roman" w:hAnsi="Times New Roman"/>
                <w:noProof/>
                <w:webHidden/>
                <w:color w:val="767171"/>
                <w:sz w:val="24"/>
                <w:szCs w:val="24"/>
              </w:rPr>
              <w:fldChar w:fldCharType="begin"/>
            </w:r>
            <w:r w:rsidR="008D5EF6" w:rsidRPr="001B0896">
              <w:rPr>
                <w:rStyle w:val="Hipervnculo"/>
                <w:rFonts w:ascii="Times New Roman" w:hAnsi="Times New Roman"/>
                <w:noProof/>
                <w:webHidden/>
                <w:color w:val="767171"/>
                <w:sz w:val="24"/>
                <w:szCs w:val="24"/>
              </w:rPr>
              <w:instrText xml:space="preserve"> PAGEREF _Toc92226188 \h </w:instrText>
            </w:r>
            <w:r w:rsidR="008D5EF6" w:rsidRPr="001B0896">
              <w:rPr>
                <w:rStyle w:val="Hipervnculo"/>
                <w:rFonts w:ascii="Times New Roman" w:hAnsi="Times New Roman"/>
                <w:noProof/>
                <w:webHidden/>
                <w:color w:val="767171"/>
                <w:sz w:val="24"/>
                <w:szCs w:val="24"/>
              </w:rPr>
            </w:r>
            <w:r w:rsidR="008D5EF6" w:rsidRPr="001B0896">
              <w:rPr>
                <w:rStyle w:val="Hipervnculo"/>
                <w:rFonts w:ascii="Times New Roman" w:hAnsi="Times New Roman"/>
                <w:noProof/>
                <w:webHidden/>
                <w:color w:val="767171"/>
                <w:sz w:val="24"/>
                <w:szCs w:val="24"/>
              </w:rPr>
              <w:fldChar w:fldCharType="separate"/>
            </w:r>
            <w:r>
              <w:rPr>
                <w:rStyle w:val="Hipervnculo"/>
                <w:rFonts w:ascii="Times New Roman" w:hAnsi="Times New Roman"/>
                <w:noProof/>
                <w:webHidden/>
                <w:color w:val="767171"/>
                <w:sz w:val="24"/>
                <w:szCs w:val="24"/>
              </w:rPr>
              <w:t>31</w:t>
            </w:r>
            <w:r w:rsidR="008D5EF6" w:rsidRPr="001B0896">
              <w:rPr>
                <w:rStyle w:val="Hipervnculo"/>
                <w:rFonts w:ascii="Times New Roman" w:hAnsi="Times New Roman"/>
                <w:noProof/>
                <w:webHidden/>
                <w:color w:val="767171"/>
                <w:sz w:val="24"/>
                <w:szCs w:val="24"/>
              </w:rPr>
              <w:fldChar w:fldCharType="end"/>
            </w:r>
          </w:hyperlink>
        </w:p>
        <w:p w14:paraId="11F3538F" w14:textId="6BB4C34F" w:rsidR="008D5EF6" w:rsidRPr="001B0896" w:rsidRDefault="003006DD" w:rsidP="008D5EF6">
          <w:pPr>
            <w:pStyle w:val="TDC1"/>
            <w:tabs>
              <w:tab w:val="left" w:pos="540"/>
              <w:tab w:val="right" w:leader="dot" w:pos="7912"/>
            </w:tabs>
            <w:jc w:val="left"/>
            <w:rPr>
              <w:rStyle w:val="Hipervnculo"/>
              <w:rFonts w:ascii="Times New Roman" w:hAnsi="Times New Roman"/>
              <w:noProof/>
              <w:color w:val="767171"/>
              <w:sz w:val="24"/>
              <w:szCs w:val="24"/>
            </w:rPr>
          </w:pPr>
          <w:hyperlink w:anchor="_Toc92226189" w:history="1">
            <w:r w:rsidR="008D5EF6" w:rsidRPr="001B0896">
              <w:rPr>
                <w:rStyle w:val="Hipervnculo"/>
                <w:rFonts w:ascii="Times New Roman" w:hAnsi="Times New Roman"/>
                <w:noProof/>
                <w:color w:val="767171"/>
                <w:sz w:val="24"/>
                <w:szCs w:val="24"/>
              </w:rPr>
              <w:t>4.4</w:t>
            </w:r>
            <w:r w:rsidR="008D5EF6" w:rsidRPr="001B0896">
              <w:rPr>
                <w:rStyle w:val="Hipervnculo"/>
                <w:rFonts w:ascii="Times New Roman" w:hAnsi="Times New Roman"/>
                <w:noProof/>
                <w:color w:val="767171"/>
                <w:sz w:val="24"/>
                <w:szCs w:val="24"/>
              </w:rPr>
              <w:tab/>
              <w:t>Gestión de Cumplimiento y Control</w:t>
            </w:r>
            <w:r w:rsidR="008D5EF6" w:rsidRPr="001B0896">
              <w:rPr>
                <w:rStyle w:val="Hipervnculo"/>
                <w:rFonts w:ascii="Times New Roman" w:hAnsi="Times New Roman"/>
                <w:noProof/>
                <w:webHidden/>
                <w:color w:val="767171"/>
                <w:sz w:val="24"/>
                <w:szCs w:val="24"/>
              </w:rPr>
              <w:tab/>
            </w:r>
            <w:r w:rsidR="008D5EF6" w:rsidRPr="001B0896">
              <w:rPr>
                <w:rStyle w:val="Hipervnculo"/>
                <w:rFonts w:ascii="Times New Roman" w:hAnsi="Times New Roman"/>
                <w:noProof/>
                <w:webHidden/>
                <w:color w:val="767171"/>
                <w:sz w:val="24"/>
                <w:szCs w:val="24"/>
              </w:rPr>
              <w:fldChar w:fldCharType="begin"/>
            </w:r>
            <w:r w:rsidR="008D5EF6" w:rsidRPr="001B0896">
              <w:rPr>
                <w:rStyle w:val="Hipervnculo"/>
                <w:rFonts w:ascii="Times New Roman" w:hAnsi="Times New Roman"/>
                <w:noProof/>
                <w:webHidden/>
                <w:color w:val="767171"/>
                <w:sz w:val="24"/>
                <w:szCs w:val="24"/>
              </w:rPr>
              <w:instrText xml:space="preserve"> PAGEREF _Toc92226189 \h </w:instrText>
            </w:r>
            <w:r w:rsidR="008D5EF6" w:rsidRPr="001B0896">
              <w:rPr>
                <w:rStyle w:val="Hipervnculo"/>
                <w:rFonts w:ascii="Times New Roman" w:hAnsi="Times New Roman"/>
                <w:noProof/>
                <w:webHidden/>
                <w:color w:val="767171"/>
                <w:sz w:val="24"/>
                <w:szCs w:val="24"/>
              </w:rPr>
            </w:r>
            <w:r w:rsidR="008D5EF6" w:rsidRPr="001B0896">
              <w:rPr>
                <w:rStyle w:val="Hipervnculo"/>
                <w:rFonts w:ascii="Times New Roman" w:hAnsi="Times New Roman"/>
                <w:noProof/>
                <w:webHidden/>
                <w:color w:val="767171"/>
                <w:sz w:val="24"/>
                <w:szCs w:val="24"/>
              </w:rPr>
              <w:fldChar w:fldCharType="separate"/>
            </w:r>
            <w:r>
              <w:rPr>
                <w:rStyle w:val="Hipervnculo"/>
                <w:rFonts w:ascii="Times New Roman" w:hAnsi="Times New Roman"/>
                <w:noProof/>
                <w:webHidden/>
                <w:color w:val="767171"/>
                <w:sz w:val="24"/>
                <w:szCs w:val="24"/>
              </w:rPr>
              <w:t>36</w:t>
            </w:r>
            <w:r w:rsidR="008D5EF6" w:rsidRPr="001B0896">
              <w:rPr>
                <w:rStyle w:val="Hipervnculo"/>
                <w:rFonts w:ascii="Times New Roman" w:hAnsi="Times New Roman"/>
                <w:noProof/>
                <w:webHidden/>
                <w:color w:val="767171"/>
                <w:sz w:val="24"/>
                <w:szCs w:val="24"/>
              </w:rPr>
              <w:fldChar w:fldCharType="end"/>
            </w:r>
          </w:hyperlink>
        </w:p>
        <w:p w14:paraId="39981291" w14:textId="77777777" w:rsidR="00B00B97" w:rsidRPr="001B0896" w:rsidRDefault="00B00B97" w:rsidP="00B00B97">
          <w:pPr>
            <w:rPr>
              <w:noProof/>
            </w:rPr>
          </w:pPr>
        </w:p>
        <w:p w14:paraId="3ED94341" w14:textId="238FD7AB" w:rsidR="008D5EF6" w:rsidRPr="001B0896" w:rsidRDefault="003006DD" w:rsidP="008D5EF6">
          <w:pPr>
            <w:pStyle w:val="TDC1"/>
            <w:tabs>
              <w:tab w:val="left" w:pos="540"/>
              <w:tab w:val="right" w:leader="dot" w:pos="7912"/>
            </w:tabs>
            <w:jc w:val="left"/>
            <w:rPr>
              <w:rStyle w:val="Hipervnculo"/>
              <w:rFonts w:ascii="Times New Roman" w:hAnsi="Times New Roman"/>
              <w:noProof/>
              <w:color w:val="767171"/>
              <w:sz w:val="24"/>
              <w:szCs w:val="24"/>
            </w:rPr>
          </w:pPr>
          <w:hyperlink w:anchor="_Toc92226190" w:history="1">
            <w:r w:rsidR="008D5EF6" w:rsidRPr="001B0896">
              <w:rPr>
                <w:rStyle w:val="Hipervnculo"/>
                <w:rFonts w:ascii="Times New Roman" w:hAnsi="Times New Roman"/>
                <w:noProof/>
                <w:color w:val="767171"/>
                <w:sz w:val="24"/>
                <w:szCs w:val="24"/>
              </w:rPr>
              <w:t>V.</w:t>
            </w:r>
            <w:r w:rsidR="008D5EF6" w:rsidRPr="001B0896">
              <w:rPr>
                <w:rStyle w:val="Hipervnculo"/>
                <w:rFonts w:ascii="Times New Roman" w:hAnsi="Times New Roman"/>
                <w:noProof/>
                <w:color w:val="767171"/>
                <w:sz w:val="24"/>
                <w:szCs w:val="24"/>
              </w:rPr>
              <w:tab/>
              <w:t>SERVICIO AL CIUDADANO Y TRANSPARENCIA INSTITUCIONAL</w:t>
            </w:r>
            <w:r w:rsidR="008D5EF6" w:rsidRPr="001B0896">
              <w:rPr>
                <w:rStyle w:val="Hipervnculo"/>
                <w:rFonts w:ascii="Times New Roman" w:hAnsi="Times New Roman"/>
                <w:noProof/>
                <w:webHidden/>
                <w:color w:val="767171"/>
                <w:sz w:val="24"/>
                <w:szCs w:val="24"/>
              </w:rPr>
              <w:tab/>
            </w:r>
            <w:r w:rsidR="008D5EF6" w:rsidRPr="001B0896">
              <w:rPr>
                <w:rStyle w:val="Hipervnculo"/>
                <w:rFonts w:ascii="Times New Roman" w:hAnsi="Times New Roman"/>
                <w:noProof/>
                <w:webHidden/>
                <w:color w:val="767171"/>
                <w:sz w:val="24"/>
                <w:szCs w:val="24"/>
              </w:rPr>
              <w:fldChar w:fldCharType="begin"/>
            </w:r>
            <w:r w:rsidR="008D5EF6" w:rsidRPr="001B0896">
              <w:rPr>
                <w:rStyle w:val="Hipervnculo"/>
                <w:rFonts w:ascii="Times New Roman" w:hAnsi="Times New Roman"/>
                <w:noProof/>
                <w:webHidden/>
                <w:color w:val="767171"/>
                <w:sz w:val="24"/>
                <w:szCs w:val="24"/>
              </w:rPr>
              <w:instrText xml:space="preserve"> PAGEREF _Toc92226190 \h </w:instrText>
            </w:r>
            <w:r w:rsidR="008D5EF6" w:rsidRPr="001B0896">
              <w:rPr>
                <w:rStyle w:val="Hipervnculo"/>
                <w:rFonts w:ascii="Times New Roman" w:hAnsi="Times New Roman"/>
                <w:noProof/>
                <w:webHidden/>
                <w:color w:val="767171"/>
                <w:sz w:val="24"/>
                <w:szCs w:val="24"/>
              </w:rPr>
            </w:r>
            <w:r w:rsidR="008D5EF6" w:rsidRPr="001B0896">
              <w:rPr>
                <w:rStyle w:val="Hipervnculo"/>
                <w:rFonts w:ascii="Times New Roman" w:hAnsi="Times New Roman"/>
                <w:noProof/>
                <w:webHidden/>
                <w:color w:val="767171"/>
                <w:sz w:val="24"/>
                <w:szCs w:val="24"/>
              </w:rPr>
              <w:fldChar w:fldCharType="separate"/>
            </w:r>
            <w:r>
              <w:rPr>
                <w:rStyle w:val="Hipervnculo"/>
                <w:rFonts w:ascii="Times New Roman" w:hAnsi="Times New Roman"/>
                <w:noProof/>
                <w:webHidden/>
                <w:color w:val="767171"/>
                <w:sz w:val="24"/>
                <w:szCs w:val="24"/>
              </w:rPr>
              <w:t>41</w:t>
            </w:r>
            <w:r w:rsidR="008D5EF6" w:rsidRPr="001B0896">
              <w:rPr>
                <w:rStyle w:val="Hipervnculo"/>
                <w:rFonts w:ascii="Times New Roman" w:hAnsi="Times New Roman"/>
                <w:noProof/>
                <w:webHidden/>
                <w:color w:val="767171"/>
                <w:sz w:val="24"/>
                <w:szCs w:val="24"/>
              </w:rPr>
              <w:fldChar w:fldCharType="end"/>
            </w:r>
          </w:hyperlink>
        </w:p>
        <w:p w14:paraId="2FF5F832" w14:textId="32AD2B7C" w:rsidR="008D5EF6" w:rsidRPr="001B0896" w:rsidRDefault="003006DD" w:rsidP="008D5EF6">
          <w:pPr>
            <w:pStyle w:val="TDC1"/>
            <w:tabs>
              <w:tab w:val="left" w:pos="540"/>
              <w:tab w:val="right" w:leader="dot" w:pos="7912"/>
            </w:tabs>
            <w:jc w:val="left"/>
            <w:rPr>
              <w:rStyle w:val="Hipervnculo"/>
              <w:rFonts w:ascii="Times New Roman" w:hAnsi="Times New Roman"/>
              <w:noProof/>
              <w:color w:val="767171"/>
              <w:sz w:val="24"/>
              <w:szCs w:val="24"/>
            </w:rPr>
          </w:pPr>
          <w:hyperlink w:anchor="_Toc92226191" w:history="1">
            <w:r w:rsidR="008D5EF6" w:rsidRPr="001B0896">
              <w:rPr>
                <w:rStyle w:val="Hipervnculo"/>
                <w:rFonts w:ascii="Times New Roman" w:hAnsi="Times New Roman"/>
                <w:noProof/>
                <w:color w:val="767171"/>
                <w:sz w:val="24"/>
                <w:szCs w:val="24"/>
              </w:rPr>
              <w:t>5.1</w:t>
            </w:r>
            <w:r w:rsidR="008D5EF6" w:rsidRPr="001B0896">
              <w:rPr>
                <w:rStyle w:val="Hipervnculo"/>
                <w:rFonts w:ascii="Times New Roman" w:hAnsi="Times New Roman"/>
                <w:noProof/>
                <w:color w:val="767171"/>
                <w:sz w:val="24"/>
                <w:szCs w:val="24"/>
              </w:rPr>
              <w:tab/>
              <w:t>Responsabilidad Social Corporativa</w:t>
            </w:r>
            <w:r w:rsidR="008D5EF6" w:rsidRPr="001B0896">
              <w:rPr>
                <w:rStyle w:val="Hipervnculo"/>
                <w:rFonts w:ascii="Times New Roman" w:hAnsi="Times New Roman"/>
                <w:noProof/>
                <w:webHidden/>
                <w:color w:val="767171"/>
                <w:sz w:val="24"/>
                <w:szCs w:val="24"/>
              </w:rPr>
              <w:tab/>
            </w:r>
            <w:r w:rsidR="008D5EF6" w:rsidRPr="001B0896">
              <w:rPr>
                <w:rStyle w:val="Hipervnculo"/>
                <w:rFonts w:ascii="Times New Roman" w:hAnsi="Times New Roman"/>
                <w:noProof/>
                <w:webHidden/>
                <w:color w:val="767171"/>
                <w:sz w:val="24"/>
                <w:szCs w:val="24"/>
              </w:rPr>
              <w:fldChar w:fldCharType="begin"/>
            </w:r>
            <w:r w:rsidR="008D5EF6" w:rsidRPr="001B0896">
              <w:rPr>
                <w:rStyle w:val="Hipervnculo"/>
                <w:rFonts w:ascii="Times New Roman" w:hAnsi="Times New Roman"/>
                <w:noProof/>
                <w:webHidden/>
                <w:color w:val="767171"/>
                <w:sz w:val="24"/>
                <w:szCs w:val="24"/>
              </w:rPr>
              <w:instrText xml:space="preserve"> PAGEREF _Toc92226191 \h </w:instrText>
            </w:r>
            <w:r w:rsidR="008D5EF6" w:rsidRPr="001B0896">
              <w:rPr>
                <w:rStyle w:val="Hipervnculo"/>
                <w:rFonts w:ascii="Times New Roman" w:hAnsi="Times New Roman"/>
                <w:noProof/>
                <w:webHidden/>
                <w:color w:val="767171"/>
                <w:sz w:val="24"/>
                <w:szCs w:val="24"/>
              </w:rPr>
            </w:r>
            <w:r w:rsidR="008D5EF6" w:rsidRPr="001B0896">
              <w:rPr>
                <w:rStyle w:val="Hipervnculo"/>
                <w:rFonts w:ascii="Times New Roman" w:hAnsi="Times New Roman"/>
                <w:noProof/>
                <w:webHidden/>
                <w:color w:val="767171"/>
                <w:sz w:val="24"/>
                <w:szCs w:val="24"/>
              </w:rPr>
              <w:fldChar w:fldCharType="separate"/>
            </w:r>
            <w:r>
              <w:rPr>
                <w:rStyle w:val="Hipervnculo"/>
                <w:rFonts w:ascii="Times New Roman" w:hAnsi="Times New Roman"/>
                <w:noProof/>
                <w:webHidden/>
                <w:color w:val="767171"/>
                <w:sz w:val="24"/>
                <w:szCs w:val="24"/>
              </w:rPr>
              <w:t>41</w:t>
            </w:r>
            <w:r w:rsidR="008D5EF6" w:rsidRPr="001B0896">
              <w:rPr>
                <w:rStyle w:val="Hipervnculo"/>
                <w:rFonts w:ascii="Times New Roman" w:hAnsi="Times New Roman"/>
                <w:noProof/>
                <w:webHidden/>
                <w:color w:val="767171"/>
                <w:sz w:val="24"/>
                <w:szCs w:val="24"/>
              </w:rPr>
              <w:fldChar w:fldCharType="end"/>
            </w:r>
          </w:hyperlink>
        </w:p>
        <w:p w14:paraId="5B2B94A4" w14:textId="53901E15" w:rsidR="00101FD7" w:rsidRPr="001B0896" w:rsidRDefault="003006DD" w:rsidP="008D5EF6">
          <w:pPr>
            <w:pStyle w:val="TDC1"/>
            <w:tabs>
              <w:tab w:val="left" w:pos="540"/>
              <w:tab w:val="right" w:leader="dot" w:pos="7912"/>
            </w:tabs>
            <w:jc w:val="left"/>
            <w:rPr>
              <w:rStyle w:val="Hipervnculo"/>
              <w:noProof/>
              <w:color w:val="767171"/>
            </w:rPr>
          </w:pPr>
          <w:hyperlink w:anchor="_Toc92226192" w:history="1">
            <w:r w:rsidR="008D5EF6" w:rsidRPr="001B0896">
              <w:rPr>
                <w:rStyle w:val="Hipervnculo"/>
                <w:rFonts w:ascii="Times New Roman" w:hAnsi="Times New Roman"/>
                <w:noProof/>
                <w:color w:val="767171"/>
                <w:sz w:val="24"/>
                <w:szCs w:val="24"/>
              </w:rPr>
              <w:t>5.2</w:t>
            </w:r>
            <w:r w:rsidR="008D5EF6" w:rsidRPr="001B0896">
              <w:rPr>
                <w:rStyle w:val="Hipervnculo"/>
                <w:rFonts w:ascii="Times New Roman" w:hAnsi="Times New Roman"/>
                <w:noProof/>
                <w:color w:val="767171"/>
                <w:sz w:val="24"/>
                <w:szCs w:val="24"/>
              </w:rPr>
              <w:tab/>
              <w:t>Transparencia</w:t>
            </w:r>
            <w:r w:rsidR="008D5EF6" w:rsidRPr="001B0896">
              <w:rPr>
                <w:rStyle w:val="Hipervnculo"/>
                <w:rFonts w:ascii="Times New Roman" w:hAnsi="Times New Roman"/>
                <w:noProof/>
                <w:webHidden/>
                <w:color w:val="767171"/>
                <w:sz w:val="24"/>
                <w:szCs w:val="24"/>
              </w:rPr>
              <w:tab/>
            </w:r>
            <w:r w:rsidR="008D5EF6" w:rsidRPr="001B0896">
              <w:rPr>
                <w:rStyle w:val="Hipervnculo"/>
                <w:rFonts w:ascii="Times New Roman" w:hAnsi="Times New Roman"/>
                <w:noProof/>
                <w:webHidden/>
                <w:color w:val="767171"/>
                <w:sz w:val="24"/>
                <w:szCs w:val="24"/>
              </w:rPr>
              <w:fldChar w:fldCharType="begin"/>
            </w:r>
            <w:r w:rsidR="008D5EF6" w:rsidRPr="001B0896">
              <w:rPr>
                <w:rStyle w:val="Hipervnculo"/>
                <w:rFonts w:ascii="Times New Roman" w:hAnsi="Times New Roman"/>
                <w:noProof/>
                <w:webHidden/>
                <w:color w:val="767171"/>
                <w:sz w:val="24"/>
                <w:szCs w:val="24"/>
              </w:rPr>
              <w:instrText xml:space="preserve"> PAGEREF _Toc92226192 \h </w:instrText>
            </w:r>
            <w:r w:rsidR="008D5EF6" w:rsidRPr="001B0896">
              <w:rPr>
                <w:rStyle w:val="Hipervnculo"/>
                <w:rFonts w:ascii="Times New Roman" w:hAnsi="Times New Roman"/>
                <w:noProof/>
                <w:webHidden/>
                <w:color w:val="767171"/>
                <w:sz w:val="24"/>
                <w:szCs w:val="24"/>
              </w:rPr>
            </w:r>
            <w:r w:rsidR="008D5EF6" w:rsidRPr="001B0896">
              <w:rPr>
                <w:rStyle w:val="Hipervnculo"/>
                <w:rFonts w:ascii="Times New Roman" w:hAnsi="Times New Roman"/>
                <w:noProof/>
                <w:webHidden/>
                <w:color w:val="767171"/>
                <w:sz w:val="24"/>
                <w:szCs w:val="24"/>
              </w:rPr>
              <w:fldChar w:fldCharType="separate"/>
            </w:r>
            <w:r>
              <w:rPr>
                <w:rStyle w:val="Hipervnculo"/>
                <w:rFonts w:ascii="Times New Roman" w:hAnsi="Times New Roman"/>
                <w:noProof/>
                <w:webHidden/>
                <w:color w:val="767171"/>
                <w:sz w:val="24"/>
                <w:szCs w:val="24"/>
              </w:rPr>
              <w:t>51</w:t>
            </w:r>
            <w:r w:rsidR="008D5EF6" w:rsidRPr="001B0896">
              <w:rPr>
                <w:rStyle w:val="Hipervnculo"/>
                <w:rFonts w:ascii="Times New Roman" w:hAnsi="Times New Roman"/>
                <w:noProof/>
                <w:webHidden/>
                <w:color w:val="767171"/>
                <w:sz w:val="24"/>
                <w:szCs w:val="24"/>
              </w:rPr>
              <w:fldChar w:fldCharType="end"/>
            </w:r>
          </w:hyperlink>
          <w:r w:rsidR="00B379A2" w:rsidRPr="001B0896">
            <w:rPr>
              <w:rStyle w:val="Hipervnculo"/>
              <w:noProof/>
              <w:color w:val="767171"/>
            </w:rPr>
            <w:fldChar w:fldCharType="end"/>
          </w:r>
        </w:p>
      </w:sdtContent>
    </w:sdt>
    <w:p w14:paraId="7710FDC3" w14:textId="77777777" w:rsidR="00E631CE" w:rsidRPr="001B0896" w:rsidRDefault="00E631CE" w:rsidP="00E631CE">
      <w:pPr>
        <w:pStyle w:val="Ttulo1"/>
        <w:numPr>
          <w:ilvl w:val="0"/>
          <w:numId w:val="1"/>
        </w:numPr>
        <w:ind w:left="360" w:hanging="360"/>
      </w:pPr>
      <w:bookmarkStart w:id="0" w:name="_Toc92216420"/>
      <w:bookmarkStart w:id="1" w:name="_Toc92226171"/>
      <w:r w:rsidRPr="001B0896">
        <w:lastRenderedPageBreak/>
        <w:t>RESUMEN EJECUTIVO</w:t>
      </w:r>
      <w:bookmarkEnd w:id="0"/>
      <w:bookmarkEnd w:id="1"/>
    </w:p>
    <w:p w14:paraId="61E41441" w14:textId="77777777" w:rsidR="00E631CE" w:rsidRPr="001B0896" w:rsidRDefault="00E631CE" w:rsidP="00E631CE">
      <w:pPr>
        <w:rPr>
          <w:rFonts w:ascii="Times New Roman" w:hAnsi="Times New Roman"/>
          <w:color w:val="767171"/>
          <w:lang w:val="en-US"/>
        </w:rPr>
      </w:pPr>
      <w:r w:rsidRPr="001B0896">
        <w:rPr>
          <w:rFonts w:ascii="Times New Roman" w:hAnsi="Times New Roman"/>
          <w:noProof/>
          <w:color w:val="767171"/>
          <w:lang w:val="en-US"/>
        </w:rPr>
        <mc:AlternateContent>
          <mc:Choice Requires="wps">
            <w:drawing>
              <wp:anchor distT="0" distB="0" distL="114300" distR="114300" simplePos="0" relativeHeight="251685888" behindDoc="0" locked="0" layoutInCell="1" allowOverlap="1" wp14:anchorId="7DA871AF" wp14:editId="421E3B2A">
                <wp:simplePos x="0" y="0"/>
                <wp:positionH relativeFrom="margin">
                  <wp:posOffset>2419985</wp:posOffset>
                </wp:positionH>
                <wp:positionV relativeFrom="paragraph">
                  <wp:posOffset>25400</wp:posOffset>
                </wp:positionV>
                <wp:extent cx="463550" cy="0"/>
                <wp:effectExtent l="22860" t="23495" r="18415" b="14605"/>
                <wp:wrapNone/>
                <wp:docPr id="1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EF835" id="Conector recto 4"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0.55pt,2pt" to="227.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" strokecolor="#ee2a24" strokeweight="2.25pt">
                <v:stroke joinstyle="miter"/>
                <w10:wrap anchorx="margin"/>
              </v:line>
            </w:pict>
          </mc:Fallback>
        </mc:AlternateContent>
      </w:r>
    </w:p>
    <w:p w14:paraId="05E9E98B" w14:textId="77777777" w:rsidR="00E631CE" w:rsidRPr="001B0896" w:rsidRDefault="00E631CE" w:rsidP="00E631CE">
      <w:pPr>
        <w:jc w:val="center"/>
        <w:rPr>
          <w:rFonts w:ascii="Times New Roman" w:hAnsi="Times New Roman"/>
          <w:color w:val="767171"/>
          <w:spacing w:val="20"/>
          <w:sz w:val="24"/>
          <w:szCs w:val="36"/>
          <w:lang w:val="en-US"/>
        </w:rPr>
      </w:pPr>
      <w:r w:rsidRPr="001B0896">
        <w:rPr>
          <w:rFonts w:ascii="Times New Roman" w:hAnsi="Times New Roman"/>
          <w:color w:val="767171"/>
          <w:spacing w:val="20"/>
          <w:sz w:val="24"/>
          <w:szCs w:val="36"/>
          <w:lang w:val="es-419"/>
        </w:rPr>
        <w:t>Memoria institucional 2021</w:t>
      </w:r>
    </w:p>
    <w:p w14:paraId="79B12A7F" w14:textId="77777777" w:rsidR="00E631CE" w:rsidRPr="001B0896" w:rsidRDefault="00E631CE" w:rsidP="00E631CE">
      <w:pPr>
        <w:spacing w:line="360" w:lineRule="auto"/>
        <w:rPr>
          <w:rFonts w:ascii="Times New Roman" w:hAnsi="Times New Roman"/>
          <w:b/>
          <w:color w:val="767171"/>
          <w:spacing w:val="20"/>
          <w:sz w:val="16"/>
          <w:szCs w:val="16"/>
          <w:lang w:val="es-DO"/>
        </w:rPr>
      </w:pPr>
    </w:p>
    <w:p w14:paraId="1CB84266" w14:textId="77777777" w:rsidR="00E631CE" w:rsidRPr="001B0896" w:rsidRDefault="00E631CE" w:rsidP="00E631CE">
      <w:pPr>
        <w:tabs>
          <w:tab w:val="left" w:pos="0"/>
        </w:tabs>
        <w:suppressAutoHyphens/>
        <w:spacing w:afterLines="160" w:after="384" w:line="360" w:lineRule="auto"/>
        <w:rPr>
          <w:rFonts w:ascii="Times New Roman" w:hAnsi="Times New Roman"/>
          <w:color w:val="767171"/>
          <w:spacing w:val="2"/>
          <w:sz w:val="24"/>
          <w:szCs w:val="24"/>
        </w:rPr>
      </w:pPr>
      <w:r w:rsidRPr="001B0896">
        <w:rPr>
          <w:rFonts w:ascii="Times New Roman" w:hAnsi="Times New Roman"/>
          <w:color w:val="767171"/>
          <w:spacing w:val="2"/>
          <w:sz w:val="24"/>
          <w:szCs w:val="24"/>
        </w:rPr>
        <w:t>La economía dominicana ha mostrado un fuerte proceso de recuperación en el 2021. El Indicador Mensual de Actividad Económica (IMAE) registró un crecimiento de 12.5% en relación a enero-noviembre del pasado año y se espera que supere el 12% al finalizar el año, según informaciones del Banco Central. Asimismo, otros organismos internacionales como el Fondo Monetario Internacional (FMI), estiman que la expansión del PIB será superior al 9.5% para el cierre de año.</w:t>
      </w:r>
    </w:p>
    <w:p w14:paraId="63D80B0F" w14:textId="77777777" w:rsidR="00E631CE" w:rsidRPr="001B0896" w:rsidRDefault="00E631CE" w:rsidP="00E631CE">
      <w:pPr>
        <w:tabs>
          <w:tab w:val="left" w:pos="0"/>
        </w:tabs>
        <w:suppressAutoHyphens/>
        <w:spacing w:afterLines="160" w:after="384" w:line="360" w:lineRule="auto"/>
        <w:rPr>
          <w:rFonts w:ascii="Times New Roman" w:hAnsi="Times New Roman"/>
          <w:color w:val="767171"/>
          <w:spacing w:val="2"/>
          <w:sz w:val="24"/>
          <w:szCs w:val="24"/>
        </w:rPr>
      </w:pPr>
      <w:r w:rsidRPr="001B0896">
        <w:rPr>
          <w:rFonts w:ascii="Times New Roman" w:hAnsi="Times New Roman"/>
          <w:color w:val="767171"/>
          <w:spacing w:val="2"/>
          <w:sz w:val="24"/>
          <w:szCs w:val="24"/>
        </w:rPr>
        <w:t>En este contexto de firme recuperación de la economía, el Banco de Reservas logró un excelente desempeño y ha contribuido al relanzamiento de las actividades productivas y de servicios, otorgando financiamientos oportunos a tasas de interés atractivas. La institución ha sido aliada de las empresas y las familias para ayudarlas a superar los problemas generados por la pandemia de COVID-19.</w:t>
      </w:r>
    </w:p>
    <w:p w14:paraId="722D2DA4" w14:textId="270FB869" w:rsidR="00E631CE" w:rsidRPr="001B0896" w:rsidRDefault="00E631CE" w:rsidP="00E631CE">
      <w:pPr>
        <w:tabs>
          <w:tab w:val="left" w:pos="0"/>
        </w:tabs>
        <w:suppressAutoHyphens/>
        <w:spacing w:afterLines="160" w:after="384" w:line="360" w:lineRule="auto"/>
        <w:rPr>
          <w:rFonts w:ascii="Times New Roman" w:eastAsia="Times New Roman" w:hAnsi="Times New Roman"/>
          <w:color w:val="767171"/>
          <w:spacing w:val="2"/>
          <w:sz w:val="24"/>
          <w:szCs w:val="24"/>
          <w:lang w:val="es-DO"/>
        </w:rPr>
      </w:pPr>
      <w:r w:rsidRPr="001B0896">
        <w:rPr>
          <w:rFonts w:ascii="Times New Roman" w:hAnsi="Times New Roman"/>
          <w:color w:val="767171"/>
          <w:spacing w:val="2"/>
          <w:sz w:val="24"/>
          <w:szCs w:val="24"/>
        </w:rPr>
        <w:t xml:space="preserve">Los logros alcanzados por nuestra institución fueron reconocidos por prestigiosas revistas financieras internacionales. </w:t>
      </w:r>
      <w:r w:rsidRPr="001B0896">
        <w:rPr>
          <w:rFonts w:ascii="Times New Roman" w:hAnsi="Times New Roman"/>
          <w:i/>
          <w:color w:val="767171"/>
          <w:spacing w:val="2"/>
          <w:sz w:val="24"/>
          <w:szCs w:val="24"/>
        </w:rPr>
        <w:t xml:space="preserve">Global </w:t>
      </w:r>
      <w:proofErr w:type="spellStart"/>
      <w:r w:rsidRPr="001B0896">
        <w:rPr>
          <w:rFonts w:ascii="Times New Roman" w:hAnsi="Times New Roman"/>
          <w:i/>
          <w:color w:val="767171"/>
          <w:spacing w:val="2"/>
          <w:sz w:val="24"/>
          <w:szCs w:val="24"/>
        </w:rPr>
        <w:t>Finance</w:t>
      </w:r>
      <w:proofErr w:type="spellEnd"/>
      <w:r w:rsidRPr="001B0896">
        <w:rPr>
          <w:rFonts w:ascii="Times New Roman" w:hAnsi="Times New Roman"/>
          <w:color w:val="767171"/>
          <w:spacing w:val="2"/>
          <w:sz w:val="24"/>
          <w:szCs w:val="24"/>
        </w:rPr>
        <w:t xml:space="preserve"> nos otorgó el reconocimiento como el mejor proveedor de financiamientos de comercio exterior, mejor proveedor de servicios de cambio de divisas, mejor banco con soluciones de tesorería y administración del efectivo, el Banco más Seguro de la República Dominicana, Mejor Banco para Pequeñas y Medianas Empresas en la región del Caribe, así como el Mejor Banco de la República Dominicana y del Caribe. </w:t>
      </w:r>
      <w:proofErr w:type="spellStart"/>
      <w:r w:rsidRPr="001B0896">
        <w:rPr>
          <w:rFonts w:ascii="Times New Roman" w:eastAsia="Times New Roman" w:hAnsi="Times New Roman"/>
          <w:i/>
          <w:color w:val="767171"/>
          <w:spacing w:val="2"/>
          <w:sz w:val="24"/>
          <w:szCs w:val="24"/>
          <w:lang w:val="es-DO"/>
        </w:rPr>
        <w:t>Euromoney</w:t>
      </w:r>
      <w:proofErr w:type="spellEnd"/>
      <w:r w:rsidRPr="001B0896">
        <w:rPr>
          <w:rFonts w:ascii="Times New Roman" w:eastAsia="Times New Roman" w:hAnsi="Times New Roman"/>
          <w:color w:val="767171"/>
          <w:spacing w:val="2"/>
          <w:sz w:val="24"/>
          <w:szCs w:val="24"/>
          <w:lang w:val="es-DO"/>
        </w:rPr>
        <w:t xml:space="preserve"> premió a Banreservas como Mejor Banco de la República Dominicana 2021. </w:t>
      </w:r>
      <w:proofErr w:type="spellStart"/>
      <w:r w:rsidRPr="001B0896">
        <w:rPr>
          <w:rFonts w:ascii="Times New Roman" w:eastAsia="Times New Roman" w:hAnsi="Times New Roman"/>
          <w:i/>
          <w:color w:val="767171"/>
          <w:spacing w:val="2"/>
          <w:sz w:val="24"/>
          <w:szCs w:val="24"/>
          <w:lang w:val="es-DO"/>
        </w:rPr>
        <w:t>LatinFinance</w:t>
      </w:r>
      <w:proofErr w:type="spellEnd"/>
      <w:r w:rsidRPr="001B0896">
        <w:rPr>
          <w:rFonts w:ascii="Times New Roman" w:eastAsia="Times New Roman" w:hAnsi="Times New Roman"/>
          <w:color w:val="767171"/>
          <w:spacing w:val="2"/>
          <w:sz w:val="24"/>
          <w:szCs w:val="24"/>
          <w:lang w:val="es-DO"/>
        </w:rPr>
        <w:t xml:space="preserve"> nos reconoció como Banco del Año de la República Dominicana y Banco del Año de la región del Caribe, por sus logros en la gestión de negocios, su respaldo a los sectores productivos durante la </w:t>
      </w:r>
      <w:r w:rsidRPr="001B0896">
        <w:rPr>
          <w:rFonts w:ascii="Times New Roman" w:eastAsia="Times New Roman" w:hAnsi="Times New Roman"/>
          <w:color w:val="767171"/>
          <w:spacing w:val="2"/>
          <w:sz w:val="24"/>
          <w:szCs w:val="24"/>
          <w:lang w:val="es-DO"/>
        </w:rPr>
        <w:lastRenderedPageBreak/>
        <w:t xml:space="preserve">pandemia y la innovación tecnológica en canales de servicios para los clientes. Adicionalmente, </w:t>
      </w:r>
      <w:proofErr w:type="spellStart"/>
      <w:r w:rsidRPr="001B0896">
        <w:rPr>
          <w:rFonts w:ascii="Times New Roman" w:eastAsia="Times New Roman" w:hAnsi="Times New Roman"/>
          <w:i/>
          <w:color w:val="767171"/>
          <w:spacing w:val="2"/>
          <w:sz w:val="24"/>
          <w:szCs w:val="24"/>
          <w:lang w:val="es-DO"/>
        </w:rPr>
        <w:t>The</w:t>
      </w:r>
      <w:proofErr w:type="spellEnd"/>
      <w:r w:rsidRPr="001B0896">
        <w:rPr>
          <w:rFonts w:ascii="Times New Roman" w:eastAsia="Times New Roman" w:hAnsi="Times New Roman"/>
          <w:i/>
          <w:color w:val="767171"/>
          <w:spacing w:val="2"/>
          <w:sz w:val="24"/>
          <w:szCs w:val="24"/>
          <w:lang w:val="es-DO"/>
        </w:rPr>
        <w:t xml:space="preserve"> </w:t>
      </w:r>
      <w:proofErr w:type="spellStart"/>
      <w:r w:rsidRPr="001B0896">
        <w:rPr>
          <w:rFonts w:ascii="Times New Roman" w:eastAsia="Times New Roman" w:hAnsi="Times New Roman"/>
          <w:i/>
          <w:color w:val="767171"/>
          <w:spacing w:val="2"/>
          <w:sz w:val="24"/>
          <w:szCs w:val="24"/>
          <w:lang w:val="es-DO"/>
        </w:rPr>
        <w:t>Banker</w:t>
      </w:r>
      <w:proofErr w:type="spellEnd"/>
      <w:r w:rsidRPr="001B0896">
        <w:rPr>
          <w:rFonts w:ascii="Times New Roman" w:eastAsia="Times New Roman" w:hAnsi="Times New Roman"/>
          <w:color w:val="767171"/>
          <w:spacing w:val="2"/>
          <w:sz w:val="24"/>
          <w:szCs w:val="24"/>
          <w:lang w:val="es-DO"/>
        </w:rPr>
        <w:t xml:space="preserve"> nos galardonó como el Banco del Año de la República Dominicana. </w:t>
      </w:r>
      <w:proofErr w:type="spellStart"/>
      <w:r w:rsidRPr="001B0896">
        <w:rPr>
          <w:rFonts w:ascii="Times New Roman" w:eastAsia="Times New Roman" w:hAnsi="Times New Roman"/>
          <w:i/>
          <w:color w:val="767171"/>
          <w:spacing w:val="2"/>
          <w:sz w:val="24"/>
          <w:szCs w:val="24"/>
          <w:lang w:val="es-DO"/>
        </w:rPr>
        <w:t>World</w:t>
      </w:r>
      <w:proofErr w:type="spellEnd"/>
      <w:r w:rsidRPr="001B0896">
        <w:rPr>
          <w:rFonts w:ascii="Times New Roman" w:eastAsia="Times New Roman" w:hAnsi="Times New Roman"/>
          <w:i/>
          <w:color w:val="767171"/>
          <w:spacing w:val="2"/>
          <w:sz w:val="24"/>
          <w:szCs w:val="24"/>
          <w:lang w:val="es-DO"/>
        </w:rPr>
        <w:t xml:space="preserve"> </w:t>
      </w:r>
      <w:proofErr w:type="spellStart"/>
      <w:r w:rsidRPr="001B0896">
        <w:rPr>
          <w:rFonts w:ascii="Times New Roman" w:eastAsia="Times New Roman" w:hAnsi="Times New Roman"/>
          <w:i/>
          <w:color w:val="767171"/>
          <w:spacing w:val="2"/>
          <w:sz w:val="24"/>
          <w:szCs w:val="24"/>
          <w:lang w:val="es-DO"/>
        </w:rPr>
        <w:t>Finance</w:t>
      </w:r>
      <w:proofErr w:type="spellEnd"/>
      <w:r w:rsidRPr="001B0896">
        <w:rPr>
          <w:rFonts w:ascii="Times New Roman" w:eastAsia="Times New Roman" w:hAnsi="Times New Roman"/>
          <w:color w:val="767171"/>
          <w:spacing w:val="2"/>
          <w:sz w:val="24"/>
          <w:szCs w:val="24"/>
          <w:lang w:val="es-DO"/>
        </w:rPr>
        <w:t xml:space="preserve"> premió al Banco de Reservas como el mejor Banco del año de la República Dominicana, el mejor Banca de Consumo de República </w:t>
      </w:r>
      <w:proofErr w:type="gramStart"/>
      <w:r w:rsidRPr="001B0896">
        <w:rPr>
          <w:rFonts w:ascii="Times New Roman" w:eastAsia="Times New Roman" w:hAnsi="Times New Roman"/>
          <w:color w:val="767171"/>
          <w:spacing w:val="2"/>
          <w:sz w:val="24"/>
          <w:szCs w:val="24"/>
          <w:lang w:val="es-DO"/>
        </w:rPr>
        <w:t>Dominicana</w:t>
      </w:r>
      <w:proofErr w:type="gramEnd"/>
      <w:r w:rsidR="006C4F57" w:rsidRPr="001B0896">
        <w:rPr>
          <w:rFonts w:ascii="Times New Roman" w:eastAsia="Times New Roman" w:hAnsi="Times New Roman"/>
          <w:color w:val="767171"/>
          <w:spacing w:val="2"/>
          <w:sz w:val="24"/>
          <w:szCs w:val="24"/>
          <w:lang w:val="es-DO"/>
        </w:rPr>
        <w:t>,</w:t>
      </w:r>
      <w:r w:rsidRPr="001B0896">
        <w:rPr>
          <w:rFonts w:ascii="Times New Roman" w:eastAsia="Times New Roman" w:hAnsi="Times New Roman"/>
          <w:color w:val="767171"/>
          <w:spacing w:val="2"/>
          <w:sz w:val="24"/>
          <w:szCs w:val="24"/>
          <w:lang w:val="es-DO"/>
        </w:rPr>
        <w:t xml:space="preserve"> el mejor Banco de Inversión de la República Dominicana</w:t>
      </w:r>
      <w:r w:rsidR="006C4F57" w:rsidRPr="001B0896">
        <w:rPr>
          <w:rFonts w:ascii="Times New Roman" w:eastAsia="Times New Roman" w:hAnsi="Times New Roman"/>
          <w:color w:val="767171"/>
          <w:spacing w:val="2"/>
          <w:sz w:val="24"/>
          <w:szCs w:val="24"/>
          <w:lang w:val="es-DO"/>
        </w:rPr>
        <w:t xml:space="preserve"> así como el Mejor Banco Digital y Mejor Aplicación Bancaria 2021</w:t>
      </w:r>
      <w:r w:rsidRPr="001B0896">
        <w:rPr>
          <w:rFonts w:ascii="Times New Roman" w:eastAsia="Times New Roman" w:hAnsi="Times New Roman"/>
          <w:color w:val="767171"/>
          <w:spacing w:val="2"/>
          <w:sz w:val="24"/>
          <w:szCs w:val="24"/>
          <w:lang w:val="es-DO"/>
        </w:rPr>
        <w:t xml:space="preserve">. </w:t>
      </w:r>
    </w:p>
    <w:p w14:paraId="4A3CDBB2" w14:textId="77777777" w:rsidR="00E631CE" w:rsidRPr="001B0896" w:rsidRDefault="00E631CE" w:rsidP="00E631CE">
      <w:pPr>
        <w:tabs>
          <w:tab w:val="left" w:pos="0"/>
        </w:tabs>
        <w:suppressAutoHyphens/>
        <w:spacing w:afterLines="160" w:after="384" w:line="360" w:lineRule="auto"/>
        <w:rPr>
          <w:rFonts w:ascii="Times New Roman" w:eastAsia="Times New Roman" w:hAnsi="Times New Roman"/>
          <w:color w:val="767171"/>
          <w:spacing w:val="2"/>
          <w:sz w:val="24"/>
          <w:szCs w:val="24"/>
          <w:lang w:val="es-DO"/>
        </w:rPr>
      </w:pPr>
      <w:r w:rsidRPr="001B0896">
        <w:rPr>
          <w:rFonts w:ascii="Times New Roman" w:eastAsia="Times New Roman" w:hAnsi="Times New Roman"/>
          <w:color w:val="767171"/>
          <w:spacing w:val="2"/>
          <w:sz w:val="24"/>
          <w:szCs w:val="24"/>
          <w:lang w:val="es-DO"/>
        </w:rPr>
        <w:t xml:space="preserve">Cabe destacar que Banreservas ingresó al exclusivo círculo de los </w:t>
      </w:r>
      <w:r w:rsidRPr="001B0896">
        <w:rPr>
          <w:rFonts w:ascii="Times New Roman" w:eastAsia="Times New Roman" w:hAnsi="Times New Roman"/>
          <w:i/>
          <w:color w:val="767171"/>
          <w:spacing w:val="2"/>
          <w:sz w:val="24"/>
          <w:szCs w:val="24"/>
          <w:lang w:val="es-DO"/>
        </w:rPr>
        <w:t>50 bancos más grandes por activos de América Latina y el Caribe en 2021</w:t>
      </w:r>
      <w:r w:rsidRPr="001B0896">
        <w:rPr>
          <w:rFonts w:ascii="Times New Roman" w:eastAsia="Times New Roman" w:hAnsi="Times New Roman"/>
          <w:color w:val="767171"/>
          <w:spacing w:val="2"/>
          <w:sz w:val="24"/>
          <w:szCs w:val="24"/>
          <w:lang w:val="es-DO"/>
        </w:rPr>
        <w:t xml:space="preserve">, un ranking que por primera vez ha sido alcanzado por una entidad financiera dominicana. La lista del top bancario de la región fue publicada por S&amp;P Global </w:t>
      </w:r>
      <w:proofErr w:type="spellStart"/>
      <w:r w:rsidRPr="001B0896">
        <w:rPr>
          <w:rFonts w:ascii="Times New Roman" w:eastAsia="Times New Roman" w:hAnsi="Times New Roman"/>
          <w:color w:val="767171"/>
          <w:spacing w:val="2"/>
          <w:sz w:val="24"/>
          <w:szCs w:val="24"/>
          <w:lang w:val="es-DO"/>
        </w:rPr>
        <w:t>Market</w:t>
      </w:r>
      <w:proofErr w:type="spellEnd"/>
      <w:r w:rsidRPr="001B0896">
        <w:rPr>
          <w:rFonts w:ascii="Times New Roman" w:eastAsia="Times New Roman" w:hAnsi="Times New Roman"/>
          <w:color w:val="767171"/>
          <w:spacing w:val="2"/>
          <w:sz w:val="24"/>
          <w:szCs w:val="24"/>
          <w:lang w:val="es-DO"/>
        </w:rPr>
        <w:t xml:space="preserve"> </w:t>
      </w:r>
      <w:proofErr w:type="spellStart"/>
      <w:r w:rsidRPr="001B0896">
        <w:rPr>
          <w:rFonts w:ascii="Times New Roman" w:eastAsia="Times New Roman" w:hAnsi="Times New Roman"/>
          <w:color w:val="767171"/>
          <w:spacing w:val="2"/>
          <w:sz w:val="24"/>
          <w:szCs w:val="24"/>
          <w:lang w:val="es-DO"/>
        </w:rPr>
        <w:t>Intelligence</w:t>
      </w:r>
      <w:proofErr w:type="spellEnd"/>
      <w:r w:rsidRPr="001B0896">
        <w:rPr>
          <w:rFonts w:ascii="Times New Roman" w:eastAsia="Times New Roman" w:hAnsi="Times New Roman"/>
          <w:color w:val="767171"/>
          <w:spacing w:val="2"/>
          <w:sz w:val="24"/>
          <w:szCs w:val="24"/>
          <w:lang w:val="es-DO"/>
        </w:rPr>
        <w:t>. En el mercado nacional nuestra institución es líder con el 36.7% de los activos de la banca múltiple a noviembre de 2021.</w:t>
      </w:r>
    </w:p>
    <w:p w14:paraId="1BC523E4" w14:textId="77777777" w:rsidR="00E631CE" w:rsidRPr="001B0896" w:rsidRDefault="00E631CE" w:rsidP="00E631CE">
      <w:pPr>
        <w:pStyle w:val="Textodenotaalfinal"/>
        <w:spacing w:afterLines="160" w:after="384" w:line="360" w:lineRule="auto"/>
        <w:jc w:val="both"/>
        <w:rPr>
          <w:color w:val="767171"/>
          <w:spacing w:val="2"/>
          <w:szCs w:val="24"/>
        </w:rPr>
      </w:pPr>
      <w:r w:rsidRPr="001B0896">
        <w:rPr>
          <w:color w:val="767171"/>
          <w:spacing w:val="2"/>
          <w:szCs w:val="24"/>
        </w:rPr>
        <w:t>Los resultados obtenidos por Banreservas en el año 2021 fueron excelentes y marcan otro hito histórico en el desempeño de la institución. Las utilidades netas ascendieron a RD$16,306.8 millones, que comparadas con el 2020, se incrementaron en RD$5,906.4 millones, un crecimiento de 56.8% en el lapso indicado. El incremento absoluto más alto alcanzado por una entidad financiera del país en toda la historia. La rentabilidad de los activos se situó en 2.2% y la del patrimonio en 32.3%, superiores a las del pasado año.</w:t>
      </w:r>
    </w:p>
    <w:p w14:paraId="74FEAEB4" w14:textId="77777777" w:rsidR="00E631CE" w:rsidRPr="001B0896" w:rsidRDefault="00E631CE" w:rsidP="00E631CE">
      <w:pPr>
        <w:pStyle w:val="Textoindependiente3"/>
        <w:tabs>
          <w:tab w:val="left" w:pos="708"/>
          <w:tab w:val="left" w:pos="8640"/>
        </w:tabs>
        <w:spacing w:afterLines="160" w:after="384"/>
        <w:rPr>
          <w:color w:val="767171"/>
          <w:spacing w:val="2"/>
          <w:szCs w:val="24"/>
          <w:u w:val="none"/>
        </w:rPr>
      </w:pPr>
      <w:r w:rsidRPr="001B0896">
        <w:rPr>
          <w:color w:val="767171"/>
          <w:spacing w:val="2"/>
          <w:szCs w:val="24"/>
          <w:u w:val="none"/>
        </w:rPr>
        <w:t>Los activos se elevaron a RD$899,770.0 millones y reflejaron un crecimiento de 27.7% respecto a diciembre de 2020. Asimismo, los depósitos totalizaron RD$727,751.9 millones, para u</w:t>
      </w:r>
      <w:bookmarkStart w:id="2" w:name="_GoBack"/>
      <w:bookmarkEnd w:id="2"/>
      <w:r w:rsidRPr="001B0896">
        <w:rPr>
          <w:color w:val="767171"/>
          <w:spacing w:val="2"/>
          <w:szCs w:val="24"/>
          <w:u w:val="none"/>
        </w:rPr>
        <w:t>na expansión interanual de 29.9%.</w:t>
      </w:r>
    </w:p>
    <w:p w14:paraId="6981172A" w14:textId="77777777" w:rsidR="00E631CE" w:rsidRPr="001B0896" w:rsidRDefault="00E631CE" w:rsidP="00E631CE">
      <w:pPr>
        <w:pStyle w:val="Textoindependiente3"/>
        <w:tabs>
          <w:tab w:val="left" w:pos="708"/>
          <w:tab w:val="left" w:pos="8640"/>
        </w:tabs>
        <w:spacing w:afterLines="160" w:after="384"/>
        <w:rPr>
          <w:color w:val="767171"/>
          <w:spacing w:val="2"/>
          <w:szCs w:val="24"/>
          <w:u w:val="none"/>
          <w:lang w:val="es-ES"/>
        </w:rPr>
      </w:pPr>
      <w:r w:rsidRPr="001B0896">
        <w:rPr>
          <w:color w:val="767171"/>
          <w:spacing w:val="2"/>
          <w:szCs w:val="24"/>
          <w:u w:val="none"/>
        </w:rPr>
        <w:t>Los depósitos del sector privado se elevaron a RD$520,325.7 millones, constituyendo el 71.5% del total de la cartera. El incremento fue de RD$73,860.8 millones con respecto a diciembre 2020; una muestra de la confianza de las empresas y las familias en nuestra institución.</w:t>
      </w:r>
    </w:p>
    <w:p w14:paraId="18629621" w14:textId="77777777" w:rsidR="00E631CE" w:rsidRPr="001B0896" w:rsidRDefault="00E631CE" w:rsidP="00E631CE">
      <w:pPr>
        <w:tabs>
          <w:tab w:val="left" w:pos="0"/>
          <w:tab w:val="left" w:pos="708"/>
          <w:tab w:val="left" w:pos="810"/>
        </w:tabs>
        <w:suppressAutoHyphens/>
        <w:spacing w:afterLines="160" w:after="384" w:line="360" w:lineRule="auto"/>
        <w:rPr>
          <w:rFonts w:ascii="Times New Roman" w:hAnsi="Times New Roman"/>
          <w:color w:val="767171"/>
          <w:spacing w:val="2"/>
          <w:sz w:val="24"/>
          <w:szCs w:val="24"/>
        </w:rPr>
      </w:pPr>
      <w:r w:rsidRPr="001B0896">
        <w:rPr>
          <w:rFonts w:ascii="Times New Roman" w:hAnsi="Times New Roman"/>
          <w:color w:val="767171"/>
          <w:spacing w:val="4"/>
          <w:sz w:val="24"/>
          <w:szCs w:val="24"/>
        </w:rPr>
        <w:lastRenderedPageBreak/>
        <w:t>De igual manera, los depósitos del sector público computaron RD$207,426.2 millones, equivalentes al 28.5% de las captaciones, para reflejar un aumento de RD$93,790.4 millones con respecto a diciembre de 2020.</w:t>
      </w:r>
      <w:r w:rsidRPr="001B0896">
        <w:rPr>
          <w:rFonts w:ascii="Times New Roman" w:hAnsi="Times New Roman"/>
          <w:color w:val="767171"/>
          <w:spacing w:val="2"/>
          <w:sz w:val="24"/>
          <w:szCs w:val="24"/>
        </w:rPr>
        <w:t xml:space="preserve"> </w:t>
      </w:r>
    </w:p>
    <w:p w14:paraId="19262ABC" w14:textId="77777777" w:rsidR="00E631CE" w:rsidRPr="001B0896" w:rsidRDefault="00E631CE" w:rsidP="00E631CE">
      <w:pPr>
        <w:spacing w:afterLines="160" w:after="384" w:line="360" w:lineRule="auto"/>
        <w:rPr>
          <w:rFonts w:ascii="Times New Roman" w:hAnsi="Times New Roman"/>
          <w:color w:val="767171"/>
          <w:spacing w:val="2"/>
          <w:sz w:val="24"/>
          <w:szCs w:val="24"/>
        </w:rPr>
      </w:pPr>
      <w:r w:rsidRPr="001B0896">
        <w:rPr>
          <w:rFonts w:ascii="Times New Roman" w:hAnsi="Times New Roman"/>
          <w:color w:val="767171"/>
          <w:spacing w:val="2"/>
          <w:sz w:val="24"/>
          <w:szCs w:val="24"/>
        </w:rPr>
        <w:t>El patrimonio neto se elevó a RD$57,655.1 millones, reflejando un crecimiento de 22.3% en comparación a diciembre 2020, producto del efecto de distribución de dividendos al Estado Dominicano, así como por el incremento de los resultados del ejercicio. La fortaleza patrimonial se refleja a través del índice de solvencia, que se situó en 14.45% en noviembre, nivel superior al 10% exigido en las normas prudenciales.</w:t>
      </w:r>
    </w:p>
    <w:p w14:paraId="6842315B" w14:textId="77777777" w:rsidR="00E631CE" w:rsidRPr="001B0896" w:rsidRDefault="00E631CE" w:rsidP="00E631CE">
      <w:pPr>
        <w:spacing w:afterLines="160" w:after="384" w:line="360" w:lineRule="auto"/>
        <w:rPr>
          <w:rFonts w:ascii="Times New Roman" w:hAnsi="Times New Roman"/>
          <w:color w:val="767171"/>
          <w:spacing w:val="4"/>
          <w:sz w:val="24"/>
          <w:szCs w:val="24"/>
        </w:rPr>
      </w:pPr>
      <w:r w:rsidRPr="001B0896">
        <w:rPr>
          <w:rFonts w:ascii="Times New Roman" w:hAnsi="Times New Roman"/>
          <w:color w:val="767171"/>
          <w:spacing w:val="4"/>
          <w:sz w:val="24"/>
          <w:szCs w:val="24"/>
        </w:rPr>
        <w:t>La cartera de préstamos bruta totalizó RD$374,240.1 millones que, comparada con diciembre de 2020, se incrementó en RD$55,818.8 millones, producto del fuerte apoyo brindado a todos los sectores productivos, así como a las familias para la obtención de viviendas, vehículos y bienes diversos.</w:t>
      </w:r>
    </w:p>
    <w:p w14:paraId="4E6C5FB4" w14:textId="77777777" w:rsidR="00E631CE" w:rsidRPr="001B0896" w:rsidRDefault="00E631CE" w:rsidP="00E631CE">
      <w:pPr>
        <w:spacing w:afterLines="160" w:after="384" w:line="360" w:lineRule="auto"/>
        <w:rPr>
          <w:rFonts w:ascii="Times New Roman" w:hAnsi="Times New Roman"/>
          <w:color w:val="767171"/>
          <w:spacing w:val="4"/>
          <w:sz w:val="24"/>
          <w:szCs w:val="24"/>
        </w:rPr>
      </w:pPr>
      <w:r w:rsidRPr="001B0896">
        <w:rPr>
          <w:rFonts w:ascii="Times New Roman" w:hAnsi="Times New Roman"/>
          <w:color w:val="767171"/>
          <w:spacing w:val="4"/>
          <w:sz w:val="24"/>
          <w:szCs w:val="24"/>
        </w:rPr>
        <w:t xml:space="preserve">Los créditos canalizados al sector privado totalizaron RD$333,740.2 millones, para representar el 89.2% del total de la cartera. Con respecto a diciembre de 2020, incrementaron en RD$55,690.1 millones, equivalente a 20.0%. Mientras que los créditos del sector público cerraron en RD$40,499.9 millones, que constituyen el 10.8% de los préstamos totales. </w:t>
      </w:r>
    </w:p>
    <w:p w14:paraId="2EA04898" w14:textId="77777777" w:rsidR="00E631CE" w:rsidRPr="001B0896" w:rsidRDefault="00E631CE" w:rsidP="00E631CE">
      <w:pPr>
        <w:pStyle w:val="Textodenotaalfinal"/>
        <w:spacing w:afterLines="160" w:after="384" w:line="360" w:lineRule="auto"/>
        <w:jc w:val="both"/>
        <w:rPr>
          <w:color w:val="767171"/>
          <w:spacing w:val="2"/>
          <w:szCs w:val="24"/>
        </w:rPr>
      </w:pPr>
      <w:r w:rsidRPr="001B0896">
        <w:rPr>
          <w:color w:val="767171"/>
          <w:spacing w:val="2"/>
          <w:szCs w:val="24"/>
        </w:rPr>
        <w:t>Esta expansión de la cartera de préstamos se ha realizado garantizando la calidad de los activos, lo cual se expresa en una morosidad de la cartera de créditos de 1.3%, mientras que la cobertura para posibles riesgos de impagos de créditos morosos ascendió a 543.8%, más de cuatro veces el nivel exigido por las normativas del país. Asimismo, el índice de eficiencia mejoró 757 puntos básicos y se situó en 57.2% al cierre de diciembre 2021.</w:t>
      </w:r>
    </w:p>
    <w:p w14:paraId="560DBEA4" w14:textId="77777777" w:rsidR="00E631CE" w:rsidRPr="001B0896" w:rsidRDefault="00E631CE" w:rsidP="00E631CE">
      <w:pPr>
        <w:tabs>
          <w:tab w:val="left" w:pos="0"/>
          <w:tab w:val="left" w:pos="720"/>
          <w:tab w:val="left" w:pos="810"/>
        </w:tabs>
        <w:suppressAutoHyphens/>
        <w:spacing w:afterLines="160" w:after="384" w:line="360" w:lineRule="auto"/>
        <w:rPr>
          <w:rFonts w:ascii="Times New Roman" w:hAnsi="Times New Roman"/>
          <w:color w:val="767171"/>
          <w:spacing w:val="4"/>
          <w:sz w:val="24"/>
          <w:szCs w:val="24"/>
        </w:rPr>
      </w:pPr>
      <w:r w:rsidRPr="001B0896">
        <w:rPr>
          <w:rFonts w:ascii="Times New Roman" w:hAnsi="Times New Roman"/>
          <w:color w:val="767171"/>
          <w:spacing w:val="4"/>
          <w:sz w:val="24"/>
          <w:szCs w:val="24"/>
        </w:rPr>
        <w:lastRenderedPageBreak/>
        <w:t>En el año 2021, el Banco de Reservas canalizó un monto significativo de recursos a los sectores productivos y a las familias con el objetivo de contribuir a impulsar el crecimiento de la economía, promover la creación de empleos y apoyar a las empresas en su recuperación. Los desembolsos totalizaron RD$260,154.8 millones a través de 237,387 créditos.</w:t>
      </w:r>
    </w:p>
    <w:p w14:paraId="68578818" w14:textId="77777777" w:rsidR="00E631CE" w:rsidRPr="001B0896" w:rsidRDefault="00E631CE" w:rsidP="00E631CE">
      <w:pPr>
        <w:tabs>
          <w:tab w:val="left" w:pos="0"/>
          <w:tab w:val="left" w:pos="720"/>
          <w:tab w:val="left" w:pos="810"/>
        </w:tabs>
        <w:suppressAutoHyphens/>
        <w:spacing w:afterLines="160" w:after="384" w:line="360" w:lineRule="auto"/>
        <w:rPr>
          <w:rFonts w:ascii="Times New Roman" w:hAnsi="Times New Roman"/>
          <w:color w:val="767171"/>
          <w:spacing w:val="2"/>
          <w:sz w:val="24"/>
          <w:szCs w:val="24"/>
        </w:rPr>
      </w:pPr>
      <w:r w:rsidRPr="001B0896">
        <w:rPr>
          <w:rFonts w:ascii="Times New Roman" w:hAnsi="Times New Roman"/>
          <w:color w:val="767171"/>
          <w:spacing w:val="4"/>
          <w:sz w:val="24"/>
          <w:szCs w:val="24"/>
        </w:rPr>
        <w:t>Dentro del cuantioso apoyo otorgado por Banreservas a todos los sectores productivos se d</w:t>
      </w:r>
      <w:r w:rsidRPr="001B0896">
        <w:rPr>
          <w:rFonts w:ascii="Times New Roman" w:hAnsi="Times New Roman"/>
          <w:color w:val="767171"/>
          <w:spacing w:val="2"/>
          <w:sz w:val="24"/>
          <w:szCs w:val="24"/>
        </w:rPr>
        <w:t>estaca el financiamiento con los fondos liberados por el Banco Central vía la Ventanilla de Liquidez Rápida y del Encaje Legal/ Repos, a través de los cuales se otorgaron 8,222 créditos por un monto de RD$36,251.6 millones en el año 2021. Dichos recursos se canalizaron a las actividades comerciales, de consumo, hipotecario, pymes, entre otros.</w:t>
      </w:r>
    </w:p>
    <w:p w14:paraId="010CFDDA" w14:textId="77777777" w:rsidR="00E631CE" w:rsidRPr="001B0896" w:rsidRDefault="00E631CE" w:rsidP="00E631CE">
      <w:pPr>
        <w:spacing w:afterLines="160" w:after="384" w:line="360" w:lineRule="auto"/>
        <w:rPr>
          <w:rFonts w:ascii="Times New Roman" w:hAnsi="Times New Roman"/>
          <w:color w:val="767171"/>
          <w:spacing w:val="2"/>
          <w:sz w:val="24"/>
          <w:szCs w:val="24"/>
        </w:rPr>
      </w:pPr>
      <w:r w:rsidRPr="001B0896">
        <w:rPr>
          <w:rFonts w:ascii="Times New Roman" w:hAnsi="Times New Roman"/>
          <w:color w:val="767171"/>
          <w:spacing w:val="2"/>
          <w:sz w:val="24"/>
          <w:szCs w:val="24"/>
        </w:rPr>
        <w:t xml:space="preserve">El sector de las pymes fue beneficiado con 17,685 créditos desembolsados, por un monto de RD$28,874.8 millones. Asimismo, a través del programa </w:t>
      </w:r>
      <w:proofErr w:type="spellStart"/>
      <w:r w:rsidRPr="001B0896">
        <w:rPr>
          <w:rFonts w:ascii="Times New Roman" w:hAnsi="Times New Roman"/>
          <w:color w:val="767171"/>
          <w:spacing w:val="2"/>
          <w:sz w:val="24"/>
          <w:szCs w:val="24"/>
        </w:rPr>
        <w:t>Promipyme</w:t>
      </w:r>
      <w:proofErr w:type="spellEnd"/>
      <w:r w:rsidRPr="001B0896">
        <w:rPr>
          <w:rFonts w:ascii="Times New Roman" w:hAnsi="Times New Roman"/>
          <w:color w:val="767171"/>
          <w:spacing w:val="2"/>
          <w:sz w:val="24"/>
          <w:szCs w:val="24"/>
        </w:rPr>
        <w:t xml:space="preserve"> se concedieron préstamos por valor de RD$4,218.9 millones, los cuales beneficiaron a unas 45,038 personas. </w:t>
      </w:r>
    </w:p>
    <w:p w14:paraId="6A7354B5" w14:textId="77777777" w:rsidR="00E631CE" w:rsidRPr="001B0896" w:rsidRDefault="00E631CE" w:rsidP="00E631CE">
      <w:pPr>
        <w:spacing w:afterLines="160" w:after="384" w:line="360" w:lineRule="auto"/>
        <w:rPr>
          <w:rFonts w:ascii="Times New Roman" w:hAnsi="Times New Roman"/>
          <w:color w:val="767171"/>
          <w:spacing w:val="2"/>
          <w:sz w:val="24"/>
          <w:szCs w:val="24"/>
        </w:rPr>
      </w:pPr>
      <w:r w:rsidRPr="001B0896">
        <w:rPr>
          <w:rFonts w:ascii="Times New Roman" w:hAnsi="Times New Roman"/>
          <w:color w:val="767171"/>
          <w:spacing w:val="2"/>
          <w:sz w:val="24"/>
          <w:szCs w:val="24"/>
        </w:rPr>
        <w:t>Los préstamos hipotecarios desembolsados totalizaron RD$21,264.1 millones, concedidos a través de 5,316 créditos. Para viviendas de bajo costo se desembolsaron RD$1,189.5 millones a unas 747 personas con el propósito de que las familias dominicanas mejoren su calidad de vida a través de la adquisición de una vivienda propia.</w:t>
      </w:r>
    </w:p>
    <w:p w14:paraId="65858CA7" w14:textId="77777777" w:rsidR="00E631CE" w:rsidRPr="001B0896" w:rsidRDefault="00E631CE" w:rsidP="00E631CE">
      <w:pPr>
        <w:tabs>
          <w:tab w:val="left" w:pos="0"/>
          <w:tab w:val="left" w:pos="720"/>
          <w:tab w:val="left" w:pos="810"/>
        </w:tabs>
        <w:suppressAutoHyphens/>
        <w:spacing w:afterLines="160" w:after="384" w:line="360" w:lineRule="auto"/>
        <w:rPr>
          <w:rFonts w:ascii="Times New Roman" w:hAnsi="Times New Roman"/>
          <w:color w:val="767171"/>
          <w:spacing w:val="-2"/>
          <w:sz w:val="24"/>
          <w:szCs w:val="24"/>
        </w:rPr>
      </w:pPr>
      <w:r w:rsidRPr="001B0896">
        <w:rPr>
          <w:rFonts w:ascii="Times New Roman" w:hAnsi="Times New Roman"/>
          <w:color w:val="767171"/>
          <w:spacing w:val="-2"/>
          <w:sz w:val="24"/>
          <w:szCs w:val="24"/>
        </w:rPr>
        <w:t>El apoyo a los productores de arroz se materializó a través del programa de pignoración con desembolsos por RD$5,318.5 millones en el año 2021, los cuales se concedieron a 390 productores con tasas de interés preferencial como parte del apoyo del banco al aparato productivo nacional. Para la cosecha 2021-2022 se aprobó financiamiento por RD$6,000 millones a una tasa de 7% anual. En adición, se otorgaron RD$1,000 millones al Banco Agrícola.</w:t>
      </w:r>
    </w:p>
    <w:p w14:paraId="4F71D35C" w14:textId="77777777" w:rsidR="00E631CE" w:rsidRPr="001B0896" w:rsidRDefault="00E631CE" w:rsidP="00E631CE">
      <w:pPr>
        <w:tabs>
          <w:tab w:val="left" w:pos="0"/>
          <w:tab w:val="left" w:pos="720"/>
          <w:tab w:val="left" w:pos="810"/>
        </w:tabs>
        <w:suppressAutoHyphens/>
        <w:spacing w:afterLines="160" w:after="384" w:line="360" w:lineRule="auto"/>
        <w:rPr>
          <w:rFonts w:ascii="Times New Roman" w:hAnsi="Times New Roman"/>
          <w:color w:val="767171"/>
          <w:spacing w:val="-2"/>
          <w:sz w:val="24"/>
          <w:szCs w:val="24"/>
        </w:rPr>
      </w:pPr>
      <w:r w:rsidRPr="001B0896">
        <w:rPr>
          <w:rFonts w:ascii="Times New Roman" w:hAnsi="Times New Roman"/>
          <w:color w:val="767171"/>
          <w:spacing w:val="-2"/>
          <w:sz w:val="24"/>
          <w:szCs w:val="24"/>
        </w:rPr>
        <w:lastRenderedPageBreak/>
        <w:t xml:space="preserve">Los concesionarios y distribuidores de vehículos recibieron un importante impulso en 2021. </w:t>
      </w:r>
      <w:proofErr w:type="spellStart"/>
      <w:r w:rsidRPr="001B0896">
        <w:rPr>
          <w:rFonts w:ascii="Times New Roman" w:hAnsi="Times New Roman"/>
          <w:color w:val="767171"/>
          <w:spacing w:val="-2"/>
          <w:sz w:val="24"/>
          <w:szCs w:val="24"/>
        </w:rPr>
        <w:t>Expomóvil</w:t>
      </w:r>
      <w:proofErr w:type="spellEnd"/>
      <w:r w:rsidRPr="001B0896">
        <w:rPr>
          <w:rFonts w:ascii="Times New Roman" w:hAnsi="Times New Roman"/>
          <w:color w:val="767171"/>
          <w:spacing w:val="-2"/>
          <w:sz w:val="24"/>
          <w:szCs w:val="24"/>
        </w:rPr>
        <w:t xml:space="preserve"> Banreservas cerró con cifras extraordinarias, superando los RD$7,500 millones en solicitudes, equivalentes a unas 4,400 unidades de vehículos con tasas desde 4.80%, contribuyendo a dinamizar el sector y a la economía. </w:t>
      </w:r>
    </w:p>
    <w:p w14:paraId="5CC65174" w14:textId="77777777" w:rsidR="00E631CE" w:rsidRPr="001B0896" w:rsidRDefault="00E631CE" w:rsidP="00E631CE">
      <w:pPr>
        <w:pStyle w:val="Textoindependiente3"/>
        <w:tabs>
          <w:tab w:val="left" w:pos="708"/>
          <w:tab w:val="left" w:pos="8640"/>
        </w:tabs>
        <w:spacing w:afterLines="160" w:after="384"/>
        <w:rPr>
          <w:color w:val="767171"/>
          <w:spacing w:val="2"/>
          <w:szCs w:val="24"/>
          <w:u w:val="none"/>
        </w:rPr>
      </w:pPr>
      <w:r w:rsidRPr="001B0896">
        <w:rPr>
          <w:i/>
          <w:color w:val="767171"/>
          <w:spacing w:val="2"/>
          <w:szCs w:val="24"/>
          <w:u w:val="none"/>
        </w:rPr>
        <w:t>Apoyo al Sector Turismo</w:t>
      </w:r>
      <w:r w:rsidRPr="001B0896">
        <w:rPr>
          <w:b/>
          <w:color w:val="767171"/>
          <w:spacing w:val="2"/>
          <w:szCs w:val="24"/>
          <w:u w:val="none"/>
        </w:rPr>
        <w:t xml:space="preserve">. </w:t>
      </w:r>
      <w:r w:rsidRPr="001B0896">
        <w:rPr>
          <w:color w:val="767171"/>
          <w:spacing w:val="2"/>
          <w:szCs w:val="24"/>
          <w:u w:val="none"/>
        </w:rPr>
        <w:t xml:space="preserve">En Banreservas seguimos trabajando activamente como firmes aliados del turismo, para relanzar la puntera y privilegiada posición que tiene República Dominicana como importante destino turístico. La cartera de créditos destinada al sector turismo se incrementó en RD$4,586.6 millones en noviembre, un 26.2%, con respecto a diciembre de 2020. Con esta expansión el balance de los créditos totalizó RD$22,090.9 millones. </w:t>
      </w:r>
    </w:p>
    <w:p w14:paraId="3F2FB199" w14:textId="77777777" w:rsidR="00E631CE" w:rsidRPr="001B0896" w:rsidRDefault="00E631CE" w:rsidP="00E631CE">
      <w:pPr>
        <w:pStyle w:val="Textoindependiente3"/>
        <w:tabs>
          <w:tab w:val="left" w:pos="708"/>
          <w:tab w:val="left" w:pos="8640"/>
        </w:tabs>
        <w:spacing w:afterLines="160" w:after="384"/>
        <w:rPr>
          <w:color w:val="767171"/>
          <w:spacing w:val="2"/>
          <w:szCs w:val="24"/>
          <w:u w:val="none"/>
        </w:rPr>
      </w:pPr>
      <w:r w:rsidRPr="001B0896">
        <w:rPr>
          <w:i/>
          <w:color w:val="767171"/>
          <w:spacing w:val="2"/>
          <w:szCs w:val="24"/>
          <w:u w:val="none"/>
        </w:rPr>
        <w:t>Calificación de riesgos</w:t>
      </w:r>
      <w:r w:rsidRPr="001B0896">
        <w:rPr>
          <w:color w:val="767171"/>
          <w:spacing w:val="2"/>
          <w:szCs w:val="24"/>
          <w:u w:val="none"/>
        </w:rPr>
        <w:t xml:space="preserve">. Las calificadoras internacionales de riesgos han evidenciado haber mejorado continuamente la percepción de riesgos que tienen de Banreservas. En el año 2021, </w:t>
      </w:r>
      <w:proofErr w:type="spellStart"/>
      <w:r w:rsidRPr="001B0896">
        <w:rPr>
          <w:color w:val="767171"/>
          <w:spacing w:val="2"/>
          <w:szCs w:val="24"/>
          <w:u w:val="none"/>
        </w:rPr>
        <w:t>Fitch</w:t>
      </w:r>
      <w:proofErr w:type="spellEnd"/>
      <w:r w:rsidRPr="001B0896">
        <w:rPr>
          <w:color w:val="767171"/>
          <w:spacing w:val="2"/>
          <w:szCs w:val="24"/>
          <w:u w:val="none"/>
        </w:rPr>
        <w:t xml:space="preserve"> Ratings ratificó su calificación de largo plazo de AA+(</w:t>
      </w:r>
      <w:proofErr w:type="spellStart"/>
      <w:r w:rsidRPr="001B0896">
        <w:rPr>
          <w:color w:val="767171"/>
          <w:spacing w:val="2"/>
          <w:szCs w:val="24"/>
          <w:u w:val="none"/>
        </w:rPr>
        <w:t>dom</w:t>
      </w:r>
      <w:proofErr w:type="spellEnd"/>
      <w:r w:rsidRPr="001B0896">
        <w:rPr>
          <w:color w:val="767171"/>
          <w:spacing w:val="2"/>
          <w:szCs w:val="24"/>
          <w:u w:val="none"/>
        </w:rPr>
        <w:t>) y la calificación de corto plazo en FI+(</w:t>
      </w:r>
      <w:proofErr w:type="spellStart"/>
      <w:r w:rsidRPr="001B0896">
        <w:rPr>
          <w:color w:val="767171"/>
          <w:spacing w:val="2"/>
          <w:szCs w:val="24"/>
          <w:u w:val="none"/>
        </w:rPr>
        <w:t>dom</w:t>
      </w:r>
      <w:proofErr w:type="spellEnd"/>
      <w:r w:rsidRPr="001B0896">
        <w:rPr>
          <w:color w:val="767171"/>
          <w:spacing w:val="2"/>
          <w:szCs w:val="24"/>
          <w:u w:val="none"/>
        </w:rPr>
        <w:t xml:space="preserve">), con una perspectiva estable. En octubre de 2021, </w:t>
      </w:r>
      <w:proofErr w:type="spellStart"/>
      <w:r w:rsidRPr="001B0896">
        <w:rPr>
          <w:color w:val="767171"/>
          <w:spacing w:val="2"/>
          <w:szCs w:val="24"/>
          <w:u w:val="none"/>
        </w:rPr>
        <w:t>Feller</w:t>
      </w:r>
      <w:proofErr w:type="spellEnd"/>
      <w:r w:rsidRPr="001B0896">
        <w:rPr>
          <w:color w:val="767171"/>
          <w:spacing w:val="2"/>
          <w:szCs w:val="24"/>
          <w:u w:val="none"/>
        </w:rPr>
        <w:t xml:space="preserve"> </w:t>
      </w:r>
      <w:proofErr w:type="spellStart"/>
      <w:r w:rsidRPr="001B0896">
        <w:rPr>
          <w:color w:val="767171"/>
          <w:spacing w:val="2"/>
          <w:szCs w:val="24"/>
          <w:u w:val="none"/>
        </w:rPr>
        <w:t>Rate</w:t>
      </w:r>
      <w:proofErr w:type="spellEnd"/>
      <w:r w:rsidRPr="001B0896">
        <w:rPr>
          <w:color w:val="767171"/>
          <w:spacing w:val="2"/>
          <w:szCs w:val="24"/>
          <w:u w:val="none"/>
        </w:rPr>
        <w:t xml:space="preserve"> confirmó la calificación de solvencia en AA+ con perspectiva estable. En agosto 2021, </w:t>
      </w:r>
      <w:proofErr w:type="spellStart"/>
      <w:r w:rsidRPr="001B0896">
        <w:rPr>
          <w:color w:val="767171"/>
          <w:spacing w:val="2"/>
          <w:szCs w:val="24"/>
          <w:u w:val="none"/>
        </w:rPr>
        <w:t>Moodys</w:t>
      </w:r>
      <w:proofErr w:type="spellEnd"/>
      <w:r w:rsidRPr="001B0896">
        <w:rPr>
          <w:color w:val="767171"/>
          <w:spacing w:val="2"/>
          <w:szCs w:val="24"/>
          <w:u w:val="none"/>
        </w:rPr>
        <w:t xml:space="preserve"> mejoró la calificación de crédito base del Banco de Reservas y su calificación de crédito base ajustada, de b2 a b1.</w:t>
      </w:r>
    </w:p>
    <w:p w14:paraId="23BD07FC"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i/>
          <w:color w:val="767171"/>
          <w:spacing w:val="20"/>
          <w:sz w:val="24"/>
          <w:szCs w:val="24"/>
        </w:rPr>
        <w:t>Responsabilidad social</w:t>
      </w:r>
      <w:r w:rsidRPr="001B0896">
        <w:rPr>
          <w:rFonts w:ascii="Times New Roman" w:hAnsi="Times New Roman"/>
          <w:color w:val="767171"/>
          <w:spacing w:val="20"/>
          <w:sz w:val="24"/>
          <w:szCs w:val="24"/>
        </w:rPr>
        <w:t xml:space="preserve">. Banreservas ha trabajado de manera continua en favor de la prosperidad de todos los dominicanos y de los sectores más necesitados con patrocinios en los campos del deporte, la educación, la cultura, la música y el medio ambiente, entre otros. En apoyo al Plan Nacional de Vacunación se aplicaron más de 61,054 dosis contra el COVID-19 a colaboradores y dependientes. Además, se capacitaron 17,808 personas en inclusión financiera, se evaluaron 503 proyectos de emprendimiento y se aprobaron 16 con una inversión de RD$43.2 millones. </w:t>
      </w:r>
    </w:p>
    <w:p w14:paraId="25E81A60" w14:textId="77777777" w:rsidR="00E631CE" w:rsidRPr="001B0896" w:rsidRDefault="00E631CE" w:rsidP="00E631CE">
      <w:pPr>
        <w:pStyle w:val="Ttulo1"/>
        <w:numPr>
          <w:ilvl w:val="0"/>
          <w:numId w:val="1"/>
        </w:numPr>
      </w:pPr>
      <w:bookmarkStart w:id="3" w:name="_Toc92216421"/>
      <w:bookmarkStart w:id="4" w:name="_Toc92226172"/>
      <w:r w:rsidRPr="001B0896">
        <w:lastRenderedPageBreak/>
        <w:t>INFORMACION INSTITUCIONAL DEL BANCO DE RESERVAS</w:t>
      </w:r>
      <w:bookmarkEnd w:id="3"/>
      <w:bookmarkEnd w:id="4"/>
    </w:p>
    <w:p w14:paraId="5448A7D2" w14:textId="77777777" w:rsidR="00E631CE" w:rsidRPr="001B0896" w:rsidRDefault="00E631CE" w:rsidP="00E631CE">
      <w:pPr>
        <w:rPr>
          <w:rFonts w:ascii="Times New Roman" w:hAnsi="Times New Roman"/>
          <w:color w:val="767171"/>
        </w:rPr>
      </w:pPr>
      <w:r w:rsidRPr="001B0896">
        <w:rPr>
          <w:rFonts w:ascii="Times New Roman" w:hAnsi="Times New Roman"/>
          <w:noProof/>
          <w:color w:val="767171"/>
          <w:lang w:val="en-US"/>
        </w:rPr>
        <mc:AlternateContent>
          <mc:Choice Requires="wps">
            <w:drawing>
              <wp:anchor distT="0" distB="0" distL="114300" distR="114300" simplePos="0" relativeHeight="251689984" behindDoc="0" locked="0" layoutInCell="1" allowOverlap="1" wp14:anchorId="1CD08603" wp14:editId="06B1ED12">
                <wp:simplePos x="0" y="0"/>
                <wp:positionH relativeFrom="margin">
                  <wp:posOffset>2280285</wp:posOffset>
                </wp:positionH>
                <wp:positionV relativeFrom="paragraph">
                  <wp:posOffset>15875</wp:posOffset>
                </wp:positionV>
                <wp:extent cx="463550" cy="0"/>
                <wp:effectExtent l="22860" t="23495" r="18415" b="14605"/>
                <wp:wrapNone/>
                <wp:docPr id="8"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1B284" id="Conector recto 4" o:spid="_x0000_s1026"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9.55pt,1.25pt" to="216.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" strokecolor="#ee2a24" strokeweight="2.25pt">
                <v:stroke joinstyle="miter"/>
                <w10:wrap anchorx="margin"/>
              </v:line>
            </w:pict>
          </mc:Fallback>
        </mc:AlternateContent>
      </w:r>
    </w:p>
    <w:p w14:paraId="025B000E" w14:textId="77777777" w:rsidR="00E631CE" w:rsidRPr="001B0896" w:rsidRDefault="00E631CE" w:rsidP="00E631CE">
      <w:pPr>
        <w:jc w:val="center"/>
        <w:rPr>
          <w:rFonts w:ascii="Times New Roman" w:hAnsi="Times New Roman"/>
          <w:color w:val="767171"/>
          <w:spacing w:val="20"/>
          <w:sz w:val="24"/>
          <w:szCs w:val="36"/>
          <w:lang w:val="es-DO"/>
        </w:rPr>
      </w:pPr>
      <w:r w:rsidRPr="001B0896">
        <w:rPr>
          <w:rFonts w:ascii="Times New Roman" w:hAnsi="Times New Roman"/>
          <w:color w:val="767171"/>
          <w:spacing w:val="20"/>
          <w:sz w:val="24"/>
          <w:szCs w:val="36"/>
          <w:lang w:val="es-419"/>
        </w:rPr>
        <w:t>Memoria institucional 2021</w:t>
      </w:r>
    </w:p>
    <w:p w14:paraId="781DC79D" w14:textId="77777777" w:rsidR="00E631CE" w:rsidRPr="001B0896" w:rsidRDefault="00E631CE" w:rsidP="00E631CE">
      <w:pPr>
        <w:rPr>
          <w:rFonts w:ascii="Times New Roman" w:hAnsi="Times New Roman"/>
          <w:sz w:val="16"/>
          <w:szCs w:val="16"/>
        </w:rPr>
      </w:pPr>
    </w:p>
    <w:p w14:paraId="297FCA86" w14:textId="77777777" w:rsidR="00E631CE" w:rsidRPr="001B0896" w:rsidRDefault="00E631CE" w:rsidP="00E631CE">
      <w:pPr>
        <w:pStyle w:val="Ttulo2"/>
        <w:numPr>
          <w:ilvl w:val="1"/>
          <w:numId w:val="7"/>
        </w:numPr>
      </w:pPr>
      <w:bookmarkStart w:id="5" w:name="_Toc437936827"/>
      <w:bookmarkStart w:id="6" w:name="_Toc437939885"/>
      <w:bookmarkStart w:id="7" w:name="_Toc58840540"/>
      <w:bookmarkStart w:id="8" w:name="_Toc92216422"/>
      <w:bookmarkStart w:id="9" w:name="_Toc92226173"/>
      <w:r w:rsidRPr="001B0896">
        <w:t>Misión, Visión y Valores</w:t>
      </w:r>
      <w:bookmarkEnd w:id="5"/>
      <w:bookmarkEnd w:id="6"/>
      <w:bookmarkEnd w:id="7"/>
      <w:bookmarkEnd w:id="8"/>
      <w:bookmarkEnd w:id="9"/>
    </w:p>
    <w:p w14:paraId="2689443B" w14:textId="77777777" w:rsidR="00E631CE" w:rsidRPr="001B0896" w:rsidRDefault="00E631CE" w:rsidP="00E631CE">
      <w:pPr>
        <w:tabs>
          <w:tab w:val="left" w:pos="0"/>
        </w:tabs>
        <w:suppressAutoHyphens/>
        <w:spacing w:afterLines="160" w:after="384" w:line="360" w:lineRule="auto"/>
        <w:rPr>
          <w:rFonts w:ascii="Times New Roman" w:hAnsi="Times New Roman"/>
          <w:b/>
          <w:color w:val="767171"/>
          <w:spacing w:val="20"/>
          <w:sz w:val="8"/>
          <w:szCs w:val="8"/>
        </w:rPr>
      </w:pPr>
      <w:bookmarkStart w:id="10" w:name="_Toc437936828"/>
      <w:bookmarkStart w:id="11" w:name="_Toc437939886"/>
      <w:bookmarkStart w:id="12" w:name="_Toc58840541"/>
    </w:p>
    <w:p w14:paraId="7B0B6532" w14:textId="77777777" w:rsidR="00E631CE" w:rsidRPr="001B0896" w:rsidRDefault="00E631CE" w:rsidP="00E631CE">
      <w:pPr>
        <w:tabs>
          <w:tab w:val="left" w:pos="0"/>
        </w:tabs>
        <w:suppressAutoHyphens/>
        <w:spacing w:afterLines="160" w:after="384" w:line="360" w:lineRule="auto"/>
        <w:rPr>
          <w:rFonts w:ascii="Times New Roman" w:hAnsi="Times New Roman"/>
          <w:b/>
          <w:color w:val="767171"/>
          <w:spacing w:val="20"/>
          <w:sz w:val="24"/>
          <w:szCs w:val="24"/>
        </w:rPr>
      </w:pPr>
      <w:r w:rsidRPr="001B0896">
        <w:rPr>
          <w:rFonts w:ascii="Times New Roman" w:hAnsi="Times New Roman"/>
          <w:b/>
          <w:color w:val="767171"/>
          <w:spacing w:val="20"/>
          <w:sz w:val="24"/>
          <w:szCs w:val="24"/>
        </w:rPr>
        <w:t>Misión</w:t>
      </w:r>
      <w:bookmarkEnd w:id="10"/>
      <w:bookmarkEnd w:id="11"/>
      <w:bookmarkEnd w:id="12"/>
    </w:p>
    <w:p w14:paraId="7F36203A" w14:textId="77777777" w:rsidR="00E631CE" w:rsidRPr="001B0896" w:rsidRDefault="00E631CE" w:rsidP="00E631CE">
      <w:pPr>
        <w:tabs>
          <w:tab w:val="left" w:pos="0"/>
        </w:tabs>
        <w:suppressAutoHyphens/>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Impulsar la prosperidad y el bienestar de todos los dominicanos, de manera sostenible.</w:t>
      </w:r>
    </w:p>
    <w:p w14:paraId="5A7F5505" w14:textId="77777777" w:rsidR="00E631CE" w:rsidRPr="001B0896" w:rsidRDefault="00E631CE" w:rsidP="00E631CE">
      <w:pPr>
        <w:tabs>
          <w:tab w:val="left" w:pos="0"/>
        </w:tabs>
        <w:suppressAutoHyphens/>
        <w:spacing w:afterLines="160" w:after="384" w:line="360" w:lineRule="auto"/>
        <w:rPr>
          <w:rFonts w:ascii="Times New Roman" w:hAnsi="Times New Roman"/>
          <w:b/>
          <w:color w:val="767171"/>
          <w:spacing w:val="20"/>
          <w:sz w:val="24"/>
          <w:szCs w:val="24"/>
        </w:rPr>
      </w:pPr>
      <w:bookmarkStart w:id="13" w:name="_Toc437936829"/>
      <w:bookmarkStart w:id="14" w:name="_Toc437939887"/>
      <w:bookmarkStart w:id="15" w:name="_Toc58840542"/>
      <w:r w:rsidRPr="001B0896">
        <w:rPr>
          <w:rFonts w:ascii="Times New Roman" w:hAnsi="Times New Roman"/>
          <w:b/>
          <w:color w:val="767171"/>
          <w:spacing w:val="20"/>
          <w:sz w:val="24"/>
          <w:szCs w:val="24"/>
        </w:rPr>
        <w:t>Visión</w:t>
      </w:r>
      <w:bookmarkEnd w:id="13"/>
      <w:bookmarkEnd w:id="14"/>
      <w:bookmarkEnd w:id="15"/>
    </w:p>
    <w:p w14:paraId="61ED75B5" w14:textId="77777777" w:rsidR="00E631CE" w:rsidRPr="001B0896" w:rsidRDefault="00E631CE" w:rsidP="00E631CE">
      <w:pPr>
        <w:tabs>
          <w:tab w:val="left" w:pos="0"/>
        </w:tabs>
        <w:suppressAutoHyphens/>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Ser la entidad financiera, reconocida por nuestra excelencia y calidad humana, comprometidos con el bienestar social y económico del país.</w:t>
      </w:r>
    </w:p>
    <w:p w14:paraId="6DC9993C" w14:textId="77777777" w:rsidR="00E631CE" w:rsidRPr="001B0896" w:rsidRDefault="00E631CE" w:rsidP="00E631CE">
      <w:pPr>
        <w:tabs>
          <w:tab w:val="left" w:pos="0"/>
        </w:tabs>
        <w:suppressAutoHyphens/>
        <w:spacing w:afterLines="160" w:after="384" w:line="360" w:lineRule="auto"/>
        <w:rPr>
          <w:rFonts w:ascii="Times New Roman" w:hAnsi="Times New Roman"/>
          <w:b/>
          <w:color w:val="767171"/>
          <w:spacing w:val="20"/>
          <w:sz w:val="24"/>
          <w:szCs w:val="24"/>
        </w:rPr>
      </w:pPr>
      <w:bookmarkStart w:id="16" w:name="_Toc437936830"/>
      <w:bookmarkStart w:id="17" w:name="_Toc437939888"/>
      <w:bookmarkStart w:id="18" w:name="_Toc58840543"/>
      <w:r w:rsidRPr="001B0896">
        <w:rPr>
          <w:rFonts w:ascii="Times New Roman" w:hAnsi="Times New Roman"/>
          <w:b/>
          <w:color w:val="767171"/>
          <w:spacing w:val="20"/>
          <w:sz w:val="24"/>
          <w:szCs w:val="24"/>
        </w:rPr>
        <w:t>Valores</w:t>
      </w:r>
      <w:bookmarkEnd w:id="16"/>
      <w:bookmarkEnd w:id="17"/>
      <w:bookmarkEnd w:id="18"/>
    </w:p>
    <w:p w14:paraId="6A0895FE" w14:textId="77777777" w:rsidR="00E631CE" w:rsidRPr="001B0896" w:rsidRDefault="00E631CE" w:rsidP="00E631CE">
      <w:pPr>
        <w:tabs>
          <w:tab w:val="left" w:pos="0"/>
        </w:tabs>
        <w:suppressAutoHyphens/>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El Banco trabaja en procura de la alineación de los componentes estratégicos de nuestra cultura organizacional, por lo que fueron redefinidos los valores que identifican y estandarizan la cultura de la institución. </w:t>
      </w:r>
    </w:p>
    <w:p w14:paraId="666F3392" w14:textId="77777777" w:rsidR="00E631CE" w:rsidRPr="001B0896" w:rsidRDefault="00E631CE" w:rsidP="00E631CE">
      <w:pPr>
        <w:numPr>
          <w:ilvl w:val="0"/>
          <w:numId w:val="6"/>
        </w:numPr>
        <w:spacing w:after="0" w:line="480" w:lineRule="auto"/>
        <w:ind w:left="648" w:right="144"/>
        <w:rPr>
          <w:rFonts w:ascii="Times New Roman" w:hAnsi="Times New Roman"/>
          <w:color w:val="767171"/>
          <w:spacing w:val="20"/>
          <w:sz w:val="24"/>
          <w:szCs w:val="24"/>
        </w:rPr>
      </w:pPr>
      <w:r w:rsidRPr="001B0896">
        <w:rPr>
          <w:rFonts w:ascii="Times New Roman" w:hAnsi="Times New Roman"/>
          <w:color w:val="767171"/>
          <w:spacing w:val="20"/>
          <w:sz w:val="24"/>
          <w:szCs w:val="24"/>
        </w:rPr>
        <w:t>Compromiso</w:t>
      </w:r>
    </w:p>
    <w:p w14:paraId="531A635F" w14:textId="77777777" w:rsidR="00E631CE" w:rsidRPr="001B0896" w:rsidRDefault="00E631CE" w:rsidP="00E631CE">
      <w:pPr>
        <w:numPr>
          <w:ilvl w:val="0"/>
          <w:numId w:val="6"/>
        </w:numPr>
        <w:spacing w:after="0" w:line="480" w:lineRule="auto"/>
        <w:ind w:left="648" w:right="144"/>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Liderazgo </w:t>
      </w:r>
    </w:p>
    <w:p w14:paraId="36630C9A" w14:textId="77777777" w:rsidR="00E631CE" w:rsidRPr="001B0896" w:rsidRDefault="00E631CE" w:rsidP="00E631CE">
      <w:pPr>
        <w:numPr>
          <w:ilvl w:val="0"/>
          <w:numId w:val="6"/>
        </w:numPr>
        <w:spacing w:after="0" w:line="480" w:lineRule="auto"/>
        <w:ind w:left="648" w:right="144"/>
        <w:rPr>
          <w:rFonts w:ascii="Times New Roman" w:hAnsi="Times New Roman"/>
          <w:color w:val="767171"/>
          <w:spacing w:val="20"/>
          <w:sz w:val="24"/>
          <w:szCs w:val="24"/>
        </w:rPr>
      </w:pPr>
      <w:r w:rsidRPr="001B0896">
        <w:rPr>
          <w:rFonts w:ascii="Times New Roman" w:hAnsi="Times New Roman"/>
          <w:color w:val="767171"/>
          <w:spacing w:val="20"/>
          <w:sz w:val="24"/>
          <w:szCs w:val="24"/>
        </w:rPr>
        <w:t>Excelencia</w:t>
      </w:r>
    </w:p>
    <w:p w14:paraId="10E748AA" w14:textId="77777777" w:rsidR="00E631CE" w:rsidRPr="001B0896" w:rsidRDefault="00E631CE" w:rsidP="00E631CE">
      <w:pPr>
        <w:numPr>
          <w:ilvl w:val="0"/>
          <w:numId w:val="6"/>
        </w:numPr>
        <w:spacing w:after="0" w:line="480" w:lineRule="auto"/>
        <w:ind w:left="648" w:right="144"/>
        <w:rPr>
          <w:rFonts w:ascii="Times New Roman" w:hAnsi="Times New Roman"/>
          <w:color w:val="767171"/>
          <w:spacing w:val="20"/>
          <w:sz w:val="24"/>
          <w:szCs w:val="24"/>
        </w:rPr>
      </w:pPr>
      <w:r w:rsidRPr="001B0896">
        <w:rPr>
          <w:rFonts w:ascii="Times New Roman" w:hAnsi="Times New Roman"/>
          <w:color w:val="767171"/>
          <w:spacing w:val="20"/>
          <w:sz w:val="24"/>
          <w:szCs w:val="24"/>
        </w:rPr>
        <w:t>Integridad</w:t>
      </w:r>
    </w:p>
    <w:p w14:paraId="13DB57A2" w14:textId="77777777" w:rsidR="00E631CE" w:rsidRPr="001B0896" w:rsidRDefault="00E631CE" w:rsidP="00E631CE">
      <w:pPr>
        <w:numPr>
          <w:ilvl w:val="0"/>
          <w:numId w:val="6"/>
        </w:numPr>
        <w:spacing w:after="0" w:line="480" w:lineRule="auto"/>
        <w:ind w:right="141"/>
        <w:rPr>
          <w:rFonts w:ascii="Times New Roman" w:hAnsi="Times New Roman"/>
          <w:color w:val="767171"/>
          <w:spacing w:val="20"/>
          <w:sz w:val="24"/>
          <w:szCs w:val="24"/>
        </w:rPr>
      </w:pPr>
      <w:r w:rsidRPr="001B0896">
        <w:rPr>
          <w:rFonts w:ascii="Times New Roman" w:hAnsi="Times New Roman"/>
          <w:color w:val="767171"/>
          <w:spacing w:val="20"/>
          <w:sz w:val="24"/>
          <w:szCs w:val="24"/>
        </w:rPr>
        <w:t>Innovación</w:t>
      </w:r>
      <w:bookmarkStart w:id="19" w:name="_Toc437939889"/>
      <w:bookmarkStart w:id="20" w:name="_Toc58840544"/>
    </w:p>
    <w:p w14:paraId="60BDAC54" w14:textId="77777777" w:rsidR="00E631CE" w:rsidRPr="001B0896" w:rsidRDefault="00E631CE" w:rsidP="00E631CE">
      <w:pPr>
        <w:pStyle w:val="Ttulo2"/>
        <w:numPr>
          <w:ilvl w:val="1"/>
          <w:numId w:val="7"/>
        </w:numPr>
      </w:pPr>
      <w:bookmarkStart w:id="21" w:name="_Toc92216423"/>
      <w:bookmarkStart w:id="22" w:name="_Toc92226174"/>
      <w:r w:rsidRPr="001B0896">
        <w:lastRenderedPageBreak/>
        <w:t>Miembros del Consejo de Directores</w:t>
      </w:r>
      <w:bookmarkEnd w:id="19"/>
      <w:bookmarkEnd w:id="20"/>
      <w:bookmarkEnd w:id="21"/>
      <w:bookmarkEnd w:id="22"/>
    </w:p>
    <w:p w14:paraId="6789017B" w14:textId="77777777" w:rsidR="00E631CE" w:rsidRPr="001B0896" w:rsidRDefault="00E631CE" w:rsidP="00E631CE">
      <w:pPr>
        <w:tabs>
          <w:tab w:val="left" w:pos="0"/>
          <w:tab w:val="left" w:pos="708"/>
        </w:tabs>
        <w:suppressAutoHyphens/>
        <w:spacing w:line="480" w:lineRule="auto"/>
        <w:rPr>
          <w:b/>
          <w:spacing w:val="-2"/>
          <w:sz w:val="14"/>
          <w:szCs w:val="24"/>
        </w:rPr>
      </w:pPr>
    </w:p>
    <w:p w14:paraId="0E0ACC44" w14:textId="77777777" w:rsidR="00E631CE" w:rsidRPr="001B0896" w:rsidRDefault="00E631CE" w:rsidP="00E631CE">
      <w:pPr>
        <w:tabs>
          <w:tab w:val="left" w:pos="0"/>
        </w:tabs>
        <w:suppressAutoHyphens/>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El Consejo de Directores es el órgano con la autoridad suprema en la administración y gestión de los negocios y asuntos administrativos de la Institución, determinado así por la Ley Orgánica y los Estatutos Sociales del Banco.</w:t>
      </w:r>
    </w:p>
    <w:p w14:paraId="4F4AF47D" w14:textId="77777777" w:rsidR="00E631CE" w:rsidRPr="001B0896" w:rsidRDefault="00E631CE" w:rsidP="00E631CE">
      <w:pPr>
        <w:tabs>
          <w:tab w:val="left" w:pos="0"/>
        </w:tabs>
        <w:suppressAutoHyphens/>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El Consejo de Directores está conformado de la siguiente manera:</w:t>
      </w:r>
    </w:p>
    <w:tbl>
      <w:tblPr>
        <w:tblW w:w="7880" w:type="dxa"/>
        <w:jc w:val="center"/>
        <w:tblCellMar>
          <w:left w:w="70" w:type="dxa"/>
          <w:right w:w="70" w:type="dxa"/>
        </w:tblCellMar>
        <w:tblLook w:val="04A0" w:firstRow="1" w:lastRow="0" w:firstColumn="1" w:lastColumn="0" w:noHBand="0" w:noVBand="1"/>
      </w:tblPr>
      <w:tblGrid>
        <w:gridCol w:w="3800"/>
        <w:gridCol w:w="4080"/>
      </w:tblGrid>
      <w:tr w:rsidR="00E631CE" w:rsidRPr="001B0896" w14:paraId="46314CDE" w14:textId="77777777" w:rsidTr="00B00B97">
        <w:trPr>
          <w:trHeight w:val="330"/>
          <w:jc w:val="center"/>
        </w:trPr>
        <w:tc>
          <w:tcPr>
            <w:tcW w:w="38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924A90" w14:textId="77777777" w:rsidR="00E631CE" w:rsidRPr="001B0896" w:rsidRDefault="00E631CE" w:rsidP="00B00B97">
            <w:pPr>
              <w:rPr>
                <w:rFonts w:ascii="Times New Roman" w:hAnsi="Times New Roman"/>
                <w:color w:val="767171"/>
                <w:sz w:val="24"/>
                <w:szCs w:val="24"/>
                <w:lang w:eastAsia="es-DO"/>
              </w:rPr>
            </w:pPr>
            <w:r w:rsidRPr="001B0896">
              <w:rPr>
                <w:rFonts w:ascii="Times New Roman" w:hAnsi="Times New Roman"/>
                <w:color w:val="767171"/>
                <w:sz w:val="24"/>
                <w:szCs w:val="24"/>
                <w:lang w:eastAsia="es-DO"/>
              </w:rPr>
              <w:t xml:space="preserve">Sr. José Manuel Vicente </w:t>
            </w:r>
            <w:proofErr w:type="spellStart"/>
            <w:r w:rsidRPr="001B0896">
              <w:rPr>
                <w:rFonts w:ascii="Times New Roman" w:hAnsi="Times New Roman"/>
                <w:color w:val="767171"/>
                <w:sz w:val="24"/>
                <w:szCs w:val="24"/>
                <w:lang w:eastAsia="es-DO"/>
              </w:rPr>
              <w:t>Dubocq</w:t>
            </w:r>
            <w:proofErr w:type="spellEnd"/>
            <w:r w:rsidRPr="001B0896">
              <w:rPr>
                <w:rFonts w:ascii="Times New Roman" w:hAnsi="Times New Roman"/>
                <w:color w:val="767171"/>
                <w:sz w:val="24"/>
                <w:szCs w:val="24"/>
                <w:lang w:eastAsia="es-DO"/>
              </w:rPr>
              <w:t xml:space="preserve">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4C43200C" w14:textId="77777777" w:rsidR="00E631CE" w:rsidRPr="001B0896" w:rsidRDefault="00E631CE" w:rsidP="00B00B97">
            <w:pPr>
              <w:rPr>
                <w:rFonts w:ascii="Times New Roman" w:hAnsi="Times New Roman"/>
                <w:color w:val="767171"/>
                <w:sz w:val="24"/>
                <w:szCs w:val="24"/>
                <w:lang w:eastAsia="es-DO"/>
              </w:rPr>
            </w:pPr>
            <w:r w:rsidRPr="001B0896">
              <w:rPr>
                <w:rFonts w:ascii="Times New Roman" w:hAnsi="Times New Roman"/>
                <w:color w:val="767171"/>
                <w:sz w:val="24"/>
                <w:szCs w:val="24"/>
                <w:lang w:eastAsia="es-DO"/>
              </w:rPr>
              <w:t>Ministro de Hacienda, Presidente Ex-oficio</w:t>
            </w:r>
          </w:p>
        </w:tc>
      </w:tr>
      <w:tr w:rsidR="00E631CE" w:rsidRPr="001B0896" w14:paraId="198C54CC" w14:textId="77777777" w:rsidTr="00B00B97">
        <w:trPr>
          <w:trHeight w:val="330"/>
          <w:jc w:val="center"/>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6C5EB8B0" w14:textId="77777777" w:rsidR="00E631CE" w:rsidRPr="001B0896" w:rsidRDefault="00E631CE" w:rsidP="00B00B97">
            <w:pPr>
              <w:rPr>
                <w:rFonts w:ascii="Times New Roman" w:hAnsi="Times New Roman"/>
                <w:color w:val="767171"/>
                <w:sz w:val="24"/>
                <w:szCs w:val="24"/>
                <w:lang w:eastAsia="es-DO"/>
              </w:rPr>
            </w:pPr>
            <w:r w:rsidRPr="001B0896">
              <w:rPr>
                <w:rFonts w:ascii="Times New Roman" w:hAnsi="Times New Roman"/>
                <w:color w:val="767171"/>
                <w:sz w:val="24"/>
                <w:szCs w:val="24"/>
                <w:lang w:eastAsia="es-DO"/>
              </w:rPr>
              <w:t>Sr. Jean Antonio Haché Alvarez</w:t>
            </w:r>
          </w:p>
        </w:tc>
        <w:tc>
          <w:tcPr>
            <w:tcW w:w="4080" w:type="dxa"/>
            <w:tcBorders>
              <w:top w:val="nil"/>
              <w:left w:val="nil"/>
              <w:bottom w:val="single" w:sz="8" w:space="0" w:color="auto"/>
              <w:right w:val="single" w:sz="8" w:space="0" w:color="auto"/>
            </w:tcBorders>
            <w:shd w:val="clear" w:color="auto" w:fill="auto"/>
            <w:vAlign w:val="center"/>
            <w:hideMark/>
          </w:tcPr>
          <w:p w14:paraId="08E02231" w14:textId="77777777" w:rsidR="00E631CE" w:rsidRPr="001B0896" w:rsidRDefault="00E631CE" w:rsidP="00B00B97">
            <w:pPr>
              <w:rPr>
                <w:rFonts w:ascii="Times New Roman" w:hAnsi="Times New Roman"/>
                <w:color w:val="767171"/>
                <w:sz w:val="24"/>
                <w:szCs w:val="24"/>
                <w:lang w:eastAsia="es-DO"/>
              </w:rPr>
            </w:pPr>
            <w:r w:rsidRPr="001B0896">
              <w:rPr>
                <w:rFonts w:ascii="Times New Roman" w:hAnsi="Times New Roman"/>
                <w:color w:val="767171"/>
                <w:sz w:val="24"/>
                <w:szCs w:val="24"/>
                <w:lang w:eastAsia="es-DO"/>
              </w:rPr>
              <w:t>Miembro, Vicepresidente</w:t>
            </w:r>
          </w:p>
        </w:tc>
      </w:tr>
      <w:tr w:rsidR="00E631CE" w:rsidRPr="001B0896" w14:paraId="7CFAC160" w14:textId="77777777" w:rsidTr="00B00B97">
        <w:trPr>
          <w:trHeight w:val="330"/>
          <w:jc w:val="center"/>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379DC2EB" w14:textId="77777777" w:rsidR="00E631CE" w:rsidRPr="001B0896" w:rsidRDefault="00E631CE" w:rsidP="00B00B97">
            <w:pPr>
              <w:rPr>
                <w:rFonts w:ascii="Times New Roman" w:hAnsi="Times New Roman"/>
                <w:color w:val="767171"/>
                <w:sz w:val="24"/>
                <w:szCs w:val="24"/>
                <w:lang w:eastAsia="es-DO"/>
              </w:rPr>
            </w:pPr>
            <w:r w:rsidRPr="001B0896">
              <w:rPr>
                <w:rFonts w:ascii="Times New Roman" w:hAnsi="Times New Roman"/>
                <w:color w:val="767171"/>
                <w:sz w:val="24"/>
                <w:szCs w:val="24"/>
                <w:lang w:eastAsia="es-DO"/>
              </w:rPr>
              <w:t>Sr. Samuel Pereyra Rojas</w:t>
            </w:r>
          </w:p>
        </w:tc>
        <w:tc>
          <w:tcPr>
            <w:tcW w:w="4080" w:type="dxa"/>
            <w:tcBorders>
              <w:top w:val="nil"/>
              <w:left w:val="nil"/>
              <w:bottom w:val="single" w:sz="8" w:space="0" w:color="auto"/>
              <w:right w:val="single" w:sz="8" w:space="0" w:color="auto"/>
            </w:tcBorders>
            <w:shd w:val="clear" w:color="auto" w:fill="auto"/>
            <w:vAlign w:val="center"/>
            <w:hideMark/>
          </w:tcPr>
          <w:p w14:paraId="3A4B7CAD" w14:textId="77777777" w:rsidR="00E631CE" w:rsidRPr="001B0896" w:rsidRDefault="00E631CE" w:rsidP="00B00B97">
            <w:pPr>
              <w:rPr>
                <w:rFonts w:ascii="Times New Roman" w:hAnsi="Times New Roman"/>
                <w:color w:val="767171"/>
                <w:sz w:val="24"/>
                <w:szCs w:val="24"/>
                <w:lang w:eastAsia="es-DO"/>
              </w:rPr>
            </w:pPr>
            <w:r w:rsidRPr="001B0896">
              <w:rPr>
                <w:rFonts w:ascii="Times New Roman" w:hAnsi="Times New Roman"/>
                <w:color w:val="767171"/>
                <w:sz w:val="24"/>
                <w:szCs w:val="24"/>
                <w:lang w:eastAsia="es-DO"/>
              </w:rPr>
              <w:t>Administrador General, Miembro Ex-oficio</w:t>
            </w:r>
          </w:p>
        </w:tc>
      </w:tr>
      <w:tr w:rsidR="00E631CE" w:rsidRPr="001B0896" w14:paraId="28E35A12" w14:textId="77777777" w:rsidTr="00B00B97">
        <w:trPr>
          <w:trHeight w:val="330"/>
          <w:jc w:val="center"/>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3AD9797C" w14:textId="77777777" w:rsidR="00E631CE" w:rsidRPr="001B0896" w:rsidRDefault="00E631CE" w:rsidP="00B00B97">
            <w:pPr>
              <w:rPr>
                <w:rFonts w:ascii="Times New Roman" w:hAnsi="Times New Roman"/>
                <w:color w:val="767171"/>
                <w:sz w:val="24"/>
                <w:szCs w:val="24"/>
                <w:lang w:eastAsia="es-DO"/>
              </w:rPr>
            </w:pPr>
            <w:r w:rsidRPr="001B0896">
              <w:rPr>
                <w:rFonts w:ascii="Times New Roman" w:hAnsi="Times New Roman"/>
                <w:color w:val="767171"/>
                <w:sz w:val="24"/>
                <w:szCs w:val="24"/>
                <w:lang w:eastAsia="es-DO"/>
              </w:rPr>
              <w:t xml:space="preserve">Lic. Patricia </w:t>
            </w:r>
            <w:proofErr w:type="spellStart"/>
            <w:r w:rsidRPr="001B0896">
              <w:rPr>
                <w:rFonts w:ascii="Times New Roman" w:hAnsi="Times New Roman"/>
                <w:color w:val="767171"/>
                <w:sz w:val="24"/>
                <w:szCs w:val="24"/>
                <w:lang w:eastAsia="es-DO"/>
              </w:rPr>
              <w:t>Bisonó</w:t>
            </w:r>
            <w:proofErr w:type="spellEnd"/>
            <w:r w:rsidRPr="001B0896">
              <w:rPr>
                <w:rFonts w:ascii="Times New Roman" w:hAnsi="Times New Roman"/>
                <w:color w:val="767171"/>
                <w:sz w:val="24"/>
                <w:szCs w:val="24"/>
                <w:lang w:eastAsia="es-DO"/>
              </w:rPr>
              <w:t xml:space="preserve"> J. </w:t>
            </w:r>
          </w:p>
        </w:tc>
        <w:tc>
          <w:tcPr>
            <w:tcW w:w="4080" w:type="dxa"/>
            <w:tcBorders>
              <w:top w:val="nil"/>
              <w:left w:val="nil"/>
              <w:bottom w:val="single" w:sz="8" w:space="0" w:color="auto"/>
              <w:right w:val="single" w:sz="8" w:space="0" w:color="auto"/>
            </w:tcBorders>
            <w:shd w:val="clear" w:color="auto" w:fill="auto"/>
            <w:vAlign w:val="center"/>
            <w:hideMark/>
          </w:tcPr>
          <w:p w14:paraId="44165C65" w14:textId="77777777" w:rsidR="00E631CE" w:rsidRPr="001B0896" w:rsidRDefault="00E631CE" w:rsidP="00B00B97">
            <w:pPr>
              <w:rPr>
                <w:rFonts w:ascii="Times New Roman" w:hAnsi="Times New Roman"/>
                <w:color w:val="767171"/>
                <w:sz w:val="24"/>
                <w:szCs w:val="24"/>
                <w:lang w:eastAsia="es-DO"/>
              </w:rPr>
            </w:pPr>
            <w:r w:rsidRPr="001B0896">
              <w:rPr>
                <w:rFonts w:ascii="Times New Roman" w:hAnsi="Times New Roman"/>
                <w:color w:val="767171"/>
                <w:sz w:val="24"/>
                <w:szCs w:val="24"/>
                <w:lang w:eastAsia="es-DO"/>
              </w:rPr>
              <w:t>Secretaria General</w:t>
            </w:r>
          </w:p>
        </w:tc>
      </w:tr>
      <w:tr w:rsidR="00E631CE" w:rsidRPr="001B0896" w14:paraId="57D80F1F" w14:textId="77777777" w:rsidTr="00B00B97">
        <w:trPr>
          <w:trHeight w:val="330"/>
          <w:jc w:val="center"/>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3503340A" w14:textId="77777777" w:rsidR="00E631CE" w:rsidRPr="001B0896" w:rsidRDefault="00E631CE" w:rsidP="00B00B97">
            <w:pPr>
              <w:rPr>
                <w:rFonts w:ascii="Times New Roman" w:hAnsi="Times New Roman"/>
                <w:color w:val="767171"/>
                <w:sz w:val="24"/>
                <w:szCs w:val="24"/>
                <w:lang w:eastAsia="es-DO"/>
              </w:rPr>
            </w:pPr>
            <w:r w:rsidRPr="001B0896">
              <w:rPr>
                <w:rFonts w:ascii="Times New Roman" w:hAnsi="Times New Roman"/>
                <w:color w:val="767171"/>
                <w:sz w:val="24"/>
                <w:szCs w:val="24"/>
                <w:lang w:eastAsia="es-DO"/>
              </w:rPr>
              <w:t>Sr. Jesús Ramos Menéndez</w:t>
            </w:r>
          </w:p>
        </w:tc>
        <w:tc>
          <w:tcPr>
            <w:tcW w:w="4080" w:type="dxa"/>
            <w:tcBorders>
              <w:top w:val="nil"/>
              <w:left w:val="nil"/>
              <w:bottom w:val="single" w:sz="8" w:space="0" w:color="auto"/>
              <w:right w:val="single" w:sz="8" w:space="0" w:color="auto"/>
            </w:tcBorders>
            <w:shd w:val="clear" w:color="auto" w:fill="auto"/>
            <w:vAlign w:val="center"/>
            <w:hideMark/>
          </w:tcPr>
          <w:p w14:paraId="56F032C2" w14:textId="77777777" w:rsidR="00E631CE" w:rsidRPr="001B0896" w:rsidRDefault="00E631CE" w:rsidP="00B00B97">
            <w:pPr>
              <w:rPr>
                <w:rFonts w:ascii="Times New Roman" w:hAnsi="Times New Roman"/>
                <w:color w:val="767171"/>
                <w:sz w:val="24"/>
                <w:szCs w:val="24"/>
                <w:lang w:eastAsia="es-DO"/>
              </w:rPr>
            </w:pPr>
            <w:r w:rsidRPr="001B0896">
              <w:rPr>
                <w:rFonts w:ascii="Times New Roman" w:hAnsi="Times New Roman"/>
                <w:color w:val="767171"/>
                <w:sz w:val="24"/>
                <w:szCs w:val="24"/>
                <w:lang w:eastAsia="es-DO"/>
              </w:rPr>
              <w:t>Vocal</w:t>
            </w:r>
          </w:p>
        </w:tc>
      </w:tr>
      <w:tr w:rsidR="00E631CE" w:rsidRPr="001B0896" w14:paraId="52F9DFB7" w14:textId="77777777" w:rsidTr="00B00B97">
        <w:trPr>
          <w:trHeight w:val="330"/>
          <w:jc w:val="center"/>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16C8FF84" w14:textId="77777777" w:rsidR="00E631CE" w:rsidRPr="001B0896" w:rsidRDefault="00E631CE" w:rsidP="00B00B97">
            <w:pPr>
              <w:rPr>
                <w:rFonts w:ascii="Times New Roman" w:hAnsi="Times New Roman"/>
                <w:color w:val="767171"/>
                <w:sz w:val="24"/>
                <w:szCs w:val="24"/>
                <w:lang w:eastAsia="es-DO"/>
              </w:rPr>
            </w:pPr>
            <w:r w:rsidRPr="001B0896">
              <w:rPr>
                <w:rFonts w:ascii="Times New Roman" w:hAnsi="Times New Roman"/>
                <w:color w:val="767171"/>
                <w:sz w:val="24"/>
                <w:szCs w:val="24"/>
                <w:lang w:eastAsia="es-DO"/>
              </w:rPr>
              <w:t xml:space="preserve">Sr. Eduardo Jana </w:t>
            </w:r>
            <w:proofErr w:type="spellStart"/>
            <w:r w:rsidRPr="001B0896">
              <w:rPr>
                <w:rFonts w:ascii="Times New Roman" w:hAnsi="Times New Roman"/>
                <w:color w:val="767171"/>
                <w:sz w:val="24"/>
                <w:szCs w:val="24"/>
                <w:lang w:eastAsia="es-DO"/>
              </w:rPr>
              <w:t>Piñeyro</w:t>
            </w:r>
            <w:proofErr w:type="spellEnd"/>
          </w:p>
        </w:tc>
        <w:tc>
          <w:tcPr>
            <w:tcW w:w="4080" w:type="dxa"/>
            <w:tcBorders>
              <w:top w:val="nil"/>
              <w:left w:val="nil"/>
              <w:bottom w:val="single" w:sz="8" w:space="0" w:color="auto"/>
              <w:right w:val="single" w:sz="8" w:space="0" w:color="auto"/>
            </w:tcBorders>
            <w:shd w:val="clear" w:color="auto" w:fill="auto"/>
            <w:vAlign w:val="center"/>
            <w:hideMark/>
          </w:tcPr>
          <w:p w14:paraId="37FF29F8" w14:textId="77777777" w:rsidR="00E631CE" w:rsidRPr="001B0896" w:rsidRDefault="00E631CE" w:rsidP="00B00B97">
            <w:pPr>
              <w:rPr>
                <w:rFonts w:ascii="Times New Roman" w:hAnsi="Times New Roman"/>
                <w:color w:val="767171"/>
                <w:sz w:val="24"/>
                <w:szCs w:val="24"/>
                <w:lang w:eastAsia="es-DO"/>
              </w:rPr>
            </w:pPr>
            <w:r w:rsidRPr="001B0896">
              <w:rPr>
                <w:rFonts w:ascii="Times New Roman" w:hAnsi="Times New Roman"/>
                <w:color w:val="767171"/>
                <w:sz w:val="24"/>
                <w:szCs w:val="24"/>
                <w:lang w:eastAsia="es-DO"/>
              </w:rPr>
              <w:t>Vocal</w:t>
            </w:r>
          </w:p>
        </w:tc>
      </w:tr>
      <w:tr w:rsidR="00E631CE" w:rsidRPr="001B0896" w14:paraId="4E5BF754" w14:textId="77777777" w:rsidTr="00B00B97">
        <w:trPr>
          <w:trHeight w:val="330"/>
          <w:jc w:val="center"/>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57085A67" w14:textId="77777777" w:rsidR="00E631CE" w:rsidRPr="001B0896" w:rsidRDefault="00E631CE" w:rsidP="00B00B97">
            <w:pPr>
              <w:rPr>
                <w:rFonts w:ascii="Times New Roman" w:hAnsi="Times New Roman"/>
                <w:color w:val="767171"/>
                <w:sz w:val="24"/>
                <w:szCs w:val="24"/>
                <w:lang w:eastAsia="es-DO"/>
              </w:rPr>
            </w:pPr>
            <w:r w:rsidRPr="001B0896">
              <w:rPr>
                <w:rFonts w:ascii="Times New Roman" w:hAnsi="Times New Roman"/>
                <w:color w:val="767171"/>
                <w:sz w:val="24"/>
                <w:szCs w:val="24"/>
                <w:lang w:eastAsia="es-DO"/>
              </w:rPr>
              <w:t>Sr. Pedro Haché Pérez</w:t>
            </w:r>
          </w:p>
        </w:tc>
        <w:tc>
          <w:tcPr>
            <w:tcW w:w="4080" w:type="dxa"/>
            <w:tcBorders>
              <w:top w:val="nil"/>
              <w:left w:val="nil"/>
              <w:bottom w:val="single" w:sz="8" w:space="0" w:color="auto"/>
              <w:right w:val="single" w:sz="8" w:space="0" w:color="auto"/>
            </w:tcBorders>
            <w:shd w:val="clear" w:color="auto" w:fill="auto"/>
            <w:vAlign w:val="center"/>
            <w:hideMark/>
          </w:tcPr>
          <w:p w14:paraId="768102F9" w14:textId="77777777" w:rsidR="00E631CE" w:rsidRPr="001B0896" w:rsidRDefault="00E631CE" w:rsidP="00B00B97">
            <w:pPr>
              <w:rPr>
                <w:rFonts w:ascii="Times New Roman" w:hAnsi="Times New Roman"/>
                <w:color w:val="767171"/>
                <w:sz w:val="24"/>
                <w:szCs w:val="24"/>
                <w:lang w:eastAsia="es-DO"/>
              </w:rPr>
            </w:pPr>
            <w:r w:rsidRPr="001B0896">
              <w:rPr>
                <w:rFonts w:ascii="Times New Roman" w:hAnsi="Times New Roman"/>
                <w:color w:val="767171"/>
                <w:sz w:val="24"/>
                <w:szCs w:val="24"/>
                <w:lang w:eastAsia="es-DO"/>
              </w:rPr>
              <w:t>Vocal</w:t>
            </w:r>
          </w:p>
        </w:tc>
      </w:tr>
      <w:tr w:rsidR="00E631CE" w:rsidRPr="001B0896" w14:paraId="16F60E7B" w14:textId="77777777" w:rsidTr="00B00B97">
        <w:trPr>
          <w:trHeight w:val="330"/>
          <w:jc w:val="center"/>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392C2882" w14:textId="77777777" w:rsidR="00E631CE" w:rsidRPr="001B0896" w:rsidRDefault="00E631CE" w:rsidP="00B00B97">
            <w:pPr>
              <w:rPr>
                <w:rFonts w:ascii="Times New Roman" w:hAnsi="Times New Roman"/>
                <w:color w:val="767171"/>
                <w:sz w:val="24"/>
                <w:szCs w:val="24"/>
                <w:lang w:eastAsia="es-DO"/>
              </w:rPr>
            </w:pPr>
            <w:r w:rsidRPr="001B0896">
              <w:rPr>
                <w:rFonts w:ascii="Times New Roman" w:hAnsi="Times New Roman"/>
                <w:color w:val="767171"/>
                <w:sz w:val="24"/>
                <w:szCs w:val="24"/>
                <w:lang w:eastAsia="es-DO"/>
              </w:rPr>
              <w:t xml:space="preserve">Sr. Pedro Pérez González </w:t>
            </w:r>
          </w:p>
        </w:tc>
        <w:tc>
          <w:tcPr>
            <w:tcW w:w="4080" w:type="dxa"/>
            <w:tcBorders>
              <w:top w:val="nil"/>
              <w:left w:val="nil"/>
              <w:bottom w:val="single" w:sz="8" w:space="0" w:color="auto"/>
              <w:right w:val="single" w:sz="8" w:space="0" w:color="auto"/>
            </w:tcBorders>
            <w:shd w:val="clear" w:color="auto" w:fill="auto"/>
            <w:vAlign w:val="center"/>
            <w:hideMark/>
          </w:tcPr>
          <w:p w14:paraId="6E1AD8A4" w14:textId="77777777" w:rsidR="00E631CE" w:rsidRPr="001B0896" w:rsidRDefault="00E631CE" w:rsidP="00B00B97">
            <w:pPr>
              <w:rPr>
                <w:rFonts w:ascii="Times New Roman" w:hAnsi="Times New Roman"/>
                <w:color w:val="767171"/>
                <w:sz w:val="24"/>
                <w:szCs w:val="24"/>
                <w:lang w:eastAsia="es-DO"/>
              </w:rPr>
            </w:pPr>
            <w:r w:rsidRPr="001B0896">
              <w:rPr>
                <w:rFonts w:ascii="Times New Roman" w:hAnsi="Times New Roman"/>
                <w:color w:val="767171"/>
                <w:sz w:val="24"/>
                <w:szCs w:val="24"/>
                <w:lang w:eastAsia="es-DO"/>
              </w:rPr>
              <w:t>Vocal</w:t>
            </w:r>
          </w:p>
        </w:tc>
      </w:tr>
      <w:tr w:rsidR="00E631CE" w:rsidRPr="001B0896" w14:paraId="7D0967D8" w14:textId="77777777" w:rsidTr="00B00B97">
        <w:trPr>
          <w:trHeight w:val="330"/>
          <w:jc w:val="center"/>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789644BF" w14:textId="77777777" w:rsidR="00E631CE" w:rsidRPr="001B0896" w:rsidRDefault="00E631CE" w:rsidP="00B00B97">
            <w:pPr>
              <w:rPr>
                <w:rFonts w:ascii="Times New Roman" w:hAnsi="Times New Roman"/>
                <w:color w:val="767171"/>
                <w:sz w:val="24"/>
                <w:szCs w:val="24"/>
                <w:lang w:eastAsia="es-DO"/>
              </w:rPr>
            </w:pPr>
            <w:r w:rsidRPr="001B0896">
              <w:rPr>
                <w:rFonts w:ascii="Times New Roman" w:hAnsi="Times New Roman"/>
                <w:color w:val="767171"/>
                <w:sz w:val="24"/>
                <w:szCs w:val="24"/>
                <w:lang w:eastAsia="es-DO"/>
              </w:rPr>
              <w:t>Sr. Joaquín Guillermo Estrella Ramia</w:t>
            </w:r>
          </w:p>
        </w:tc>
        <w:tc>
          <w:tcPr>
            <w:tcW w:w="4080" w:type="dxa"/>
            <w:tcBorders>
              <w:top w:val="nil"/>
              <w:left w:val="nil"/>
              <w:bottom w:val="single" w:sz="8" w:space="0" w:color="auto"/>
              <w:right w:val="single" w:sz="8" w:space="0" w:color="auto"/>
            </w:tcBorders>
            <w:shd w:val="clear" w:color="auto" w:fill="auto"/>
            <w:vAlign w:val="center"/>
            <w:hideMark/>
          </w:tcPr>
          <w:p w14:paraId="37D838D7" w14:textId="77777777" w:rsidR="00E631CE" w:rsidRPr="001B0896" w:rsidRDefault="00E631CE" w:rsidP="00B00B97">
            <w:pPr>
              <w:rPr>
                <w:rFonts w:ascii="Times New Roman" w:hAnsi="Times New Roman"/>
                <w:color w:val="767171"/>
                <w:sz w:val="24"/>
                <w:szCs w:val="24"/>
                <w:lang w:eastAsia="es-DO"/>
              </w:rPr>
            </w:pPr>
            <w:r w:rsidRPr="001B0896">
              <w:rPr>
                <w:rFonts w:ascii="Times New Roman" w:hAnsi="Times New Roman"/>
                <w:color w:val="767171"/>
                <w:sz w:val="24"/>
                <w:szCs w:val="24"/>
                <w:lang w:eastAsia="es-DO"/>
              </w:rPr>
              <w:t>Vocal</w:t>
            </w:r>
          </w:p>
        </w:tc>
      </w:tr>
      <w:tr w:rsidR="00E631CE" w:rsidRPr="001B0896" w14:paraId="70445777" w14:textId="77777777" w:rsidTr="00B00B97">
        <w:trPr>
          <w:trHeight w:val="330"/>
          <w:jc w:val="center"/>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6CE1BE34" w14:textId="77777777" w:rsidR="00E631CE" w:rsidRPr="001B0896" w:rsidRDefault="00E631CE" w:rsidP="00B00B97">
            <w:pPr>
              <w:rPr>
                <w:rFonts w:ascii="Times New Roman" w:hAnsi="Times New Roman"/>
                <w:color w:val="767171"/>
                <w:sz w:val="24"/>
                <w:szCs w:val="24"/>
                <w:lang w:eastAsia="es-DO"/>
              </w:rPr>
            </w:pPr>
            <w:r w:rsidRPr="001B0896">
              <w:rPr>
                <w:rFonts w:ascii="Times New Roman" w:hAnsi="Times New Roman"/>
                <w:color w:val="767171"/>
                <w:sz w:val="24"/>
                <w:szCs w:val="24"/>
                <w:lang w:eastAsia="es-DO"/>
              </w:rPr>
              <w:t xml:space="preserve">Sr. Victor Perdomo </w:t>
            </w:r>
            <w:proofErr w:type="spellStart"/>
            <w:r w:rsidRPr="001B0896">
              <w:rPr>
                <w:rFonts w:ascii="Times New Roman" w:hAnsi="Times New Roman"/>
                <w:color w:val="767171"/>
                <w:sz w:val="24"/>
                <w:szCs w:val="24"/>
                <w:lang w:eastAsia="es-DO"/>
              </w:rPr>
              <w:t>Pou</w:t>
            </w:r>
            <w:proofErr w:type="spellEnd"/>
          </w:p>
        </w:tc>
        <w:tc>
          <w:tcPr>
            <w:tcW w:w="4080" w:type="dxa"/>
            <w:tcBorders>
              <w:top w:val="nil"/>
              <w:left w:val="nil"/>
              <w:bottom w:val="single" w:sz="8" w:space="0" w:color="auto"/>
              <w:right w:val="single" w:sz="8" w:space="0" w:color="auto"/>
            </w:tcBorders>
            <w:shd w:val="clear" w:color="auto" w:fill="auto"/>
            <w:vAlign w:val="center"/>
            <w:hideMark/>
          </w:tcPr>
          <w:p w14:paraId="2B4AD118" w14:textId="77777777" w:rsidR="00E631CE" w:rsidRPr="001B0896" w:rsidRDefault="00E631CE" w:rsidP="00B00B97">
            <w:pPr>
              <w:rPr>
                <w:rFonts w:ascii="Times New Roman" w:hAnsi="Times New Roman"/>
                <w:color w:val="767171"/>
                <w:sz w:val="24"/>
                <w:szCs w:val="24"/>
                <w:lang w:eastAsia="es-DO"/>
              </w:rPr>
            </w:pPr>
            <w:r w:rsidRPr="001B0896">
              <w:rPr>
                <w:rFonts w:ascii="Times New Roman" w:hAnsi="Times New Roman"/>
                <w:color w:val="767171"/>
                <w:sz w:val="24"/>
                <w:szCs w:val="24"/>
                <w:lang w:eastAsia="es-DO"/>
              </w:rPr>
              <w:t>Suplente de Vocal</w:t>
            </w:r>
          </w:p>
        </w:tc>
      </w:tr>
      <w:tr w:rsidR="00E631CE" w:rsidRPr="001B0896" w14:paraId="04DBBB3D" w14:textId="77777777" w:rsidTr="00B00B97">
        <w:trPr>
          <w:trHeight w:val="330"/>
          <w:jc w:val="center"/>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08DC5098" w14:textId="77777777" w:rsidR="00E631CE" w:rsidRPr="001B0896" w:rsidRDefault="00E631CE" w:rsidP="00B00B97">
            <w:pPr>
              <w:rPr>
                <w:rFonts w:ascii="Times New Roman" w:hAnsi="Times New Roman"/>
                <w:color w:val="767171"/>
                <w:sz w:val="24"/>
                <w:szCs w:val="24"/>
                <w:lang w:eastAsia="es-DO"/>
              </w:rPr>
            </w:pPr>
            <w:r w:rsidRPr="001B0896">
              <w:rPr>
                <w:rFonts w:ascii="Times New Roman" w:hAnsi="Times New Roman"/>
                <w:color w:val="767171"/>
                <w:sz w:val="24"/>
                <w:szCs w:val="24"/>
                <w:lang w:eastAsia="es-DO"/>
              </w:rPr>
              <w:t xml:space="preserve">Sr. </w:t>
            </w:r>
            <w:proofErr w:type="spellStart"/>
            <w:r w:rsidRPr="001B0896">
              <w:rPr>
                <w:rFonts w:ascii="Times New Roman" w:hAnsi="Times New Roman"/>
                <w:color w:val="767171"/>
                <w:sz w:val="24"/>
                <w:szCs w:val="24"/>
                <w:lang w:eastAsia="es-DO"/>
              </w:rPr>
              <w:t>Anel</w:t>
            </w:r>
            <w:proofErr w:type="spellEnd"/>
            <w:r w:rsidRPr="001B0896">
              <w:rPr>
                <w:rFonts w:ascii="Times New Roman" w:hAnsi="Times New Roman"/>
                <w:color w:val="767171"/>
                <w:sz w:val="24"/>
                <w:szCs w:val="24"/>
                <w:lang w:eastAsia="es-DO"/>
              </w:rPr>
              <w:t xml:space="preserve"> Agustín Marcial Veras</w:t>
            </w:r>
          </w:p>
        </w:tc>
        <w:tc>
          <w:tcPr>
            <w:tcW w:w="4080" w:type="dxa"/>
            <w:tcBorders>
              <w:top w:val="nil"/>
              <w:left w:val="nil"/>
              <w:bottom w:val="single" w:sz="8" w:space="0" w:color="auto"/>
              <w:right w:val="single" w:sz="8" w:space="0" w:color="auto"/>
            </w:tcBorders>
            <w:shd w:val="clear" w:color="auto" w:fill="auto"/>
            <w:vAlign w:val="center"/>
            <w:hideMark/>
          </w:tcPr>
          <w:p w14:paraId="070C7B1D" w14:textId="77777777" w:rsidR="00E631CE" w:rsidRPr="001B0896" w:rsidRDefault="00E631CE" w:rsidP="00B00B97">
            <w:pPr>
              <w:rPr>
                <w:rFonts w:ascii="Times New Roman" w:hAnsi="Times New Roman"/>
                <w:color w:val="767171"/>
                <w:sz w:val="24"/>
                <w:szCs w:val="24"/>
                <w:lang w:eastAsia="es-DO"/>
              </w:rPr>
            </w:pPr>
            <w:r w:rsidRPr="001B0896">
              <w:rPr>
                <w:rFonts w:ascii="Times New Roman" w:hAnsi="Times New Roman"/>
                <w:color w:val="767171"/>
                <w:sz w:val="24"/>
                <w:szCs w:val="24"/>
                <w:lang w:eastAsia="es-DO"/>
              </w:rPr>
              <w:t>Suplente de Vocal</w:t>
            </w:r>
          </w:p>
        </w:tc>
      </w:tr>
      <w:tr w:rsidR="00E631CE" w:rsidRPr="001B0896" w14:paraId="69F02B44" w14:textId="77777777" w:rsidTr="00B00B97">
        <w:trPr>
          <w:trHeight w:val="330"/>
          <w:jc w:val="center"/>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7CAAD35F" w14:textId="77777777" w:rsidR="00E631CE" w:rsidRPr="001B0896" w:rsidRDefault="00E631CE" w:rsidP="00B00B97">
            <w:pPr>
              <w:rPr>
                <w:rFonts w:ascii="Times New Roman" w:hAnsi="Times New Roman"/>
                <w:color w:val="767171"/>
                <w:sz w:val="24"/>
                <w:szCs w:val="24"/>
                <w:lang w:eastAsia="es-DO"/>
              </w:rPr>
            </w:pPr>
            <w:r w:rsidRPr="001B0896">
              <w:rPr>
                <w:rFonts w:ascii="Times New Roman" w:hAnsi="Times New Roman"/>
                <w:color w:val="767171"/>
                <w:sz w:val="24"/>
                <w:szCs w:val="24"/>
                <w:lang w:eastAsia="es-DO"/>
              </w:rPr>
              <w:t>Sr. José Ramón Brea González</w:t>
            </w:r>
          </w:p>
        </w:tc>
        <w:tc>
          <w:tcPr>
            <w:tcW w:w="4080" w:type="dxa"/>
            <w:tcBorders>
              <w:top w:val="nil"/>
              <w:left w:val="nil"/>
              <w:bottom w:val="single" w:sz="8" w:space="0" w:color="auto"/>
              <w:right w:val="single" w:sz="8" w:space="0" w:color="auto"/>
            </w:tcBorders>
            <w:shd w:val="clear" w:color="auto" w:fill="auto"/>
            <w:vAlign w:val="center"/>
            <w:hideMark/>
          </w:tcPr>
          <w:p w14:paraId="407BD6E7" w14:textId="77777777" w:rsidR="00E631CE" w:rsidRPr="001B0896" w:rsidRDefault="00E631CE" w:rsidP="00B00B97">
            <w:pPr>
              <w:rPr>
                <w:rFonts w:ascii="Times New Roman" w:hAnsi="Times New Roman"/>
                <w:color w:val="767171"/>
                <w:sz w:val="24"/>
                <w:szCs w:val="24"/>
                <w:lang w:eastAsia="es-DO"/>
              </w:rPr>
            </w:pPr>
            <w:r w:rsidRPr="001B0896">
              <w:rPr>
                <w:rFonts w:ascii="Times New Roman" w:hAnsi="Times New Roman"/>
                <w:color w:val="767171"/>
                <w:sz w:val="24"/>
                <w:szCs w:val="24"/>
                <w:lang w:eastAsia="es-DO"/>
              </w:rPr>
              <w:t>Suplente de Vocal</w:t>
            </w:r>
          </w:p>
        </w:tc>
      </w:tr>
      <w:tr w:rsidR="00E631CE" w:rsidRPr="001B0896" w14:paraId="2B07FC01" w14:textId="77777777" w:rsidTr="00B00B97">
        <w:trPr>
          <w:trHeight w:val="330"/>
          <w:jc w:val="center"/>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3DB8B741" w14:textId="77777777" w:rsidR="00E631CE" w:rsidRPr="001B0896" w:rsidRDefault="00E631CE" w:rsidP="00B00B97">
            <w:pPr>
              <w:rPr>
                <w:rFonts w:ascii="Times New Roman" w:hAnsi="Times New Roman"/>
                <w:color w:val="767171"/>
                <w:sz w:val="24"/>
                <w:szCs w:val="24"/>
                <w:lang w:eastAsia="es-DO"/>
              </w:rPr>
            </w:pPr>
            <w:r w:rsidRPr="001B0896">
              <w:rPr>
                <w:rFonts w:ascii="Times New Roman" w:hAnsi="Times New Roman"/>
                <w:color w:val="767171"/>
                <w:sz w:val="24"/>
                <w:szCs w:val="24"/>
                <w:lang w:eastAsia="es-DO"/>
              </w:rPr>
              <w:t>Sr. Nicasio Pérez Zapata</w:t>
            </w:r>
          </w:p>
        </w:tc>
        <w:tc>
          <w:tcPr>
            <w:tcW w:w="4080" w:type="dxa"/>
            <w:tcBorders>
              <w:top w:val="nil"/>
              <w:left w:val="nil"/>
              <w:bottom w:val="single" w:sz="8" w:space="0" w:color="auto"/>
              <w:right w:val="single" w:sz="8" w:space="0" w:color="auto"/>
            </w:tcBorders>
            <w:shd w:val="clear" w:color="auto" w:fill="auto"/>
            <w:vAlign w:val="center"/>
            <w:hideMark/>
          </w:tcPr>
          <w:p w14:paraId="725B1380" w14:textId="77777777" w:rsidR="00E631CE" w:rsidRPr="001B0896" w:rsidRDefault="00E631CE" w:rsidP="00B00B97">
            <w:pPr>
              <w:rPr>
                <w:rFonts w:ascii="Times New Roman" w:hAnsi="Times New Roman"/>
                <w:color w:val="767171"/>
                <w:sz w:val="24"/>
                <w:szCs w:val="24"/>
                <w:lang w:eastAsia="es-DO"/>
              </w:rPr>
            </w:pPr>
            <w:r w:rsidRPr="001B0896">
              <w:rPr>
                <w:rFonts w:ascii="Times New Roman" w:hAnsi="Times New Roman"/>
                <w:color w:val="767171"/>
                <w:sz w:val="24"/>
                <w:szCs w:val="24"/>
                <w:lang w:eastAsia="es-DO"/>
              </w:rPr>
              <w:t>Suplente de Vocal</w:t>
            </w:r>
          </w:p>
        </w:tc>
      </w:tr>
      <w:tr w:rsidR="00E631CE" w:rsidRPr="001B0896" w14:paraId="6666D2B7" w14:textId="77777777" w:rsidTr="00B00B97">
        <w:trPr>
          <w:trHeight w:val="330"/>
          <w:jc w:val="center"/>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6C5B786B" w14:textId="77777777" w:rsidR="00E631CE" w:rsidRPr="001B0896" w:rsidRDefault="00E631CE" w:rsidP="00B00B97">
            <w:pPr>
              <w:rPr>
                <w:rFonts w:ascii="Times New Roman" w:hAnsi="Times New Roman"/>
                <w:color w:val="767171"/>
                <w:sz w:val="24"/>
                <w:szCs w:val="24"/>
                <w:lang w:eastAsia="es-DO"/>
              </w:rPr>
            </w:pPr>
            <w:r w:rsidRPr="001B0896">
              <w:rPr>
                <w:rFonts w:ascii="Times New Roman" w:hAnsi="Times New Roman"/>
                <w:color w:val="767171"/>
                <w:sz w:val="24"/>
                <w:szCs w:val="24"/>
                <w:lang w:eastAsia="es-DO"/>
              </w:rPr>
              <w:t xml:space="preserve">Sra. Nelly Carías </w:t>
            </w:r>
            <w:proofErr w:type="spellStart"/>
            <w:r w:rsidRPr="001B0896">
              <w:rPr>
                <w:rFonts w:ascii="Times New Roman" w:hAnsi="Times New Roman"/>
                <w:color w:val="767171"/>
                <w:sz w:val="24"/>
                <w:szCs w:val="24"/>
                <w:lang w:eastAsia="es-DO"/>
              </w:rPr>
              <w:t>Guizado</w:t>
            </w:r>
            <w:proofErr w:type="spellEnd"/>
          </w:p>
        </w:tc>
        <w:tc>
          <w:tcPr>
            <w:tcW w:w="4080" w:type="dxa"/>
            <w:tcBorders>
              <w:top w:val="nil"/>
              <w:left w:val="nil"/>
              <w:bottom w:val="single" w:sz="8" w:space="0" w:color="auto"/>
              <w:right w:val="single" w:sz="8" w:space="0" w:color="auto"/>
            </w:tcBorders>
            <w:shd w:val="clear" w:color="auto" w:fill="auto"/>
            <w:vAlign w:val="center"/>
            <w:hideMark/>
          </w:tcPr>
          <w:p w14:paraId="0C279AB5" w14:textId="77777777" w:rsidR="00E631CE" w:rsidRPr="001B0896" w:rsidRDefault="00E631CE" w:rsidP="00B00B97">
            <w:pPr>
              <w:rPr>
                <w:rFonts w:ascii="Times New Roman" w:hAnsi="Times New Roman"/>
                <w:color w:val="767171"/>
                <w:sz w:val="24"/>
                <w:szCs w:val="24"/>
                <w:lang w:eastAsia="es-DO"/>
              </w:rPr>
            </w:pPr>
            <w:r w:rsidRPr="001B0896">
              <w:rPr>
                <w:rFonts w:ascii="Times New Roman" w:hAnsi="Times New Roman"/>
                <w:color w:val="767171"/>
                <w:sz w:val="24"/>
                <w:szCs w:val="24"/>
                <w:lang w:eastAsia="es-DO"/>
              </w:rPr>
              <w:t>Suplente de Vocal</w:t>
            </w:r>
          </w:p>
        </w:tc>
      </w:tr>
      <w:tr w:rsidR="00E631CE" w:rsidRPr="001B0896" w14:paraId="458E9240" w14:textId="77777777" w:rsidTr="00B00B97">
        <w:trPr>
          <w:trHeight w:val="330"/>
          <w:jc w:val="center"/>
        </w:trPr>
        <w:tc>
          <w:tcPr>
            <w:tcW w:w="3800" w:type="dxa"/>
            <w:tcBorders>
              <w:top w:val="nil"/>
              <w:left w:val="single" w:sz="8" w:space="0" w:color="auto"/>
              <w:bottom w:val="single" w:sz="8" w:space="0" w:color="auto"/>
              <w:right w:val="single" w:sz="8" w:space="0" w:color="auto"/>
            </w:tcBorders>
            <w:shd w:val="clear" w:color="auto" w:fill="auto"/>
            <w:vAlign w:val="center"/>
            <w:hideMark/>
          </w:tcPr>
          <w:p w14:paraId="11AEA2D4" w14:textId="77777777" w:rsidR="00E631CE" w:rsidRPr="001B0896" w:rsidRDefault="00E631CE" w:rsidP="00B00B97">
            <w:pPr>
              <w:rPr>
                <w:rFonts w:ascii="Times New Roman" w:hAnsi="Times New Roman"/>
                <w:color w:val="767171"/>
                <w:sz w:val="24"/>
                <w:szCs w:val="24"/>
                <w:lang w:eastAsia="es-DO"/>
              </w:rPr>
            </w:pPr>
            <w:r w:rsidRPr="001B0896">
              <w:rPr>
                <w:rFonts w:ascii="Times New Roman" w:hAnsi="Times New Roman"/>
                <w:color w:val="767171"/>
                <w:sz w:val="24"/>
                <w:szCs w:val="24"/>
                <w:lang w:eastAsia="es-DO"/>
              </w:rPr>
              <w:t>Sr. Luis Mejía Oviedo</w:t>
            </w:r>
          </w:p>
        </w:tc>
        <w:tc>
          <w:tcPr>
            <w:tcW w:w="4080" w:type="dxa"/>
            <w:tcBorders>
              <w:top w:val="nil"/>
              <w:left w:val="nil"/>
              <w:bottom w:val="single" w:sz="8" w:space="0" w:color="auto"/>
              <w:right w:val="single" w:sz="8" w:space="0" w:color="auto"/>
            </w:tcBorders>
            <w:shd w:val="clear" w:color="auto" w:fill="auto"/>
            <w:vAlign w:val="center"/>
            <w:hideMark/>
          </w:tcPr>
          <w:p w14:paraId="73A96B84" w14:textId="77777777" w:rsidR="00E631CE" w:rsidRPr="001B0896" w:rsidRDefault="00E631CE" w:rsidP="00B00B97">
            <w:pPr>
              <w:rPr>
                <w:rFonts w:ascii="Times New Roman" w:hAnsi="Times New Roman"/>
                <w:color w:val="767171"/>
                <w:sz w:val="24"/>
                <w:szCs w:val="24"/>
                <w:lang w:eastAsia="es-DO"/>
              </w:rPr>
            </w:pPr>
            <w:r w:rsidRPr="001B0896">
              <w:rPr>
                <w:rFonts w:ascii="Times New Roman" w:hAnsi="Times New Roman"/>
                <w:color w:val="767171"/>
                <w:sz w:val="24"/>
                <w:szCs w:val="24"/>
                <w:lang w:eastAsia="es-DO"/>
              </w:rPr>
              <w:t>Suplente de Vocal</w:t>
            </w:r>
          </w:p>
        </w:tc>
      </w:tr>
    </w:tbl>
    <w:p w14:paraId="098D7F4A" w14:textId="77777777" w:rsidR="00E631CE" w:rsidRPr="001B0896" w:rsidRDefault="00E631CE" w:rsidP="00E631CE">
      <w:pPr>
        <w:autoSpaceDE w:val="0"/>
        <w:autoSpaceDN w:val="0"/>
        <w:adjustRightInd w:val="0"/>
        <w:spacing w:line="480" w:lineRule="auto"/>
        <w:rPr>
          <w:spacing w:val="2"/>
          <w:sz w:val="24"/>
          <w:szCs w:val="24"/>
        </w:rPr>
      </w:pPr>
    </w:p>
    <w:p w14:paraId="1458EBCA" w14:textId="77777777" w:rsidR="00E631CE" w:rsidRPr="001B0896" w:rsidRDefault="00E631CE" w:rsidP="00E631CE">
      <w:pPr>
        <w:tabs>
          <w:tab w:val="left" w:pos="0"/>
        </w:tabs>
        <w:suppressAutoHyphens/>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lastRenderedPageBreak/>
        <w:t xml:space="preserve">El Directorio consta de nueve (9) miembros y seis (6) suplentes y es presidido por el Ministro de Hacienda, quien al igual que el Administrador General, es miembro ex-oficio. De los siete (7) miembros restantes, cuatro (4) son nombrados por el Poder Ejecutivo con tres (3) suplentes y tres (3) son nombrados por </w:t>
      </w:r>
      <w:smartTag w:uri="urn:schemas-microsoft-com:office:smarttags" w:element="PersonName">
        <w:smartTagPr>
          <w:attr w:name="ProductID" w:val="la Junta"/>
        </w:smartTagPr>
        <w:r w:rsidRPr="001B0896">
          <w:rPr>
            <w:rFonts w:ascii="Times New Roman" w:hAnsi="Times New Roman"/>
            <w:color w:val="767171"/>
            <w:spacing w:val="20"/>
            <w:sz w:val="24"/>
            <w:szCs w:val="24"/>
          </w:rPr>
          <w:t>la Junta</w:t>
        </w:r>
      </w:smartTag>
      <w:r w:rsidRPr="001B0896">
        <w:rPr>
          <w:rFonts w:ascii="Times New Roman" w:hAnsi="Times New Roman"/>
          <w:color w:val="767171"/>
          <w:spacing w:val="20"/>
          <w:sz w:val="24"/>
          <w:szCs w:val="24"/>
        </w:rPr>
        <w:t xml:space="preserve"> Monetaria, con sus respectivos suplentes.  </w:t>
      </w:r>
    </w:p>
    <w:p w14:paraId="325A56D0" w14:textId="77777777" w:rsidR="00E631CE" w:rsidRPr="001B0896" w:rsidRDefault="00E631CE" w:rsidP="00E631CE">
      <w:pPr>
        <w:tabs>
          <w:tab w:val="left" w:pos="0"/>
        </w:tabs>
        <w:suppressAutoHyphens/>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Los vocales y sus suplentes son designados por períodos determinados, de tres (3) años en forma escalonada, de manera que cada año se renueve uno (1) de los miembros designados por el Poder Ejecutivo y uno (1) de los designados por </w:t>
      </w:r>
      <w:smartTag w:uri="urn:schemas-microsoft-com:office:smarttags" w:element="PersonName">
        <w:smartTagPr>
          <w:attr w:name="ProductID" w:val="la Junta"/>
        </w:smartTagPr>
        <w:r w:rsidRPr="001B0896">
          <w:rPr>
            <w:rFonts w:ascii="Times New Roman" w:hAnsi="Times New Roman"/>
            <w:color w:val="767171"/>
            <w:spacing w:val="20"/>
            <w:sz w:val="24"/>
            <w:szCs w:val="24"/>
          </w:rPr>
          <w:t>la Junta</w:t>
        </w:r>
      </w:smartTag>
      <w:r w:rsidRPr="001B0896">
        <w:rPr>
          <w:rFonts w:ascii="Times New Roman" w:hAnsi="Times New Roman"/>
          <w:color w:val="767171"/>
          <w:spacing w:val="20"/>
          <w:sz w:val="24"/>
          <w:szCs w:val="24"/>
        </w:rPr>
        <w:t xml:space="preserve"> Monetaria. Es de exclusiva autoridad del Poder Ejecutivo y la Junta Monetaria suspender o separar de su cargo a los miembros del Consejo de Directores.</w:t>
      </w:r>
    </w:p>
    <w:p w14:paraId="4EC12667" w14:textId="77777777" w:rsidR="00E631CE" w:rsidRPr="001B0896" w:rsidRDefault="00E631CE" w:rsidP="00E631CE">
      <w:pPr>
        <w:tabs>
          <w:tab w:val="left" w:pos="0"/>
        </w:tabs>
        <w:suppressAutoHyphens/>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Al 31 de diciembre del año 2021, el Consejo de Directores celebró veinticuatro (24) sesiones ordinarias y cinco (5) sesiones extraordinarias.</w:t>
      </w:r>
    </w:p>
    <w:p w14:paraId="62EB2A23" w14:textId="77777777" w:rsidR="00E631CE" w:rsidRPr="001B0896" w:rsidRDefault="00E631CE" w:rsidP="00E631CE">
      <w:pPr>
        <w:tabs>
          <w:tab w:val="left" w:pos="0"/>
        </w:tabs>
        <w:suppressAutoHyphens/>
        <w:spacing w:afterLines="160" w:after="384" w:line="360" w:lineRule="auto"/>
        <w:rPr>
          <w:color w:val="767171"/>
          <w:spacing w:val="2"/>
          <w:sz w:val="24"/>
          <w:szCs w:val="24"/>
        </w:rPr>
      </w:pPr>
    </w:p>
    <w:p w14:paraId="72BC700E" w14:textId="77777777" w:rsidR="00E631CE" w:rsidRPr="001B0896" w:rsidRDefault="00E631CE" w:rsidP="00E631CE">
      <w:pPr>
        <w:tabs>
          <w:tab w:val="left" w:pos="0"/>
        </w:tabs>
        <w:suppressAutoHyphens/>
        <w:spacing w:afterLines="160" w:after="384" w:line="360" w:lineRule="auto"/>
        <w:rPr>
          <w:color w:val="767171"/>
          <w:spacing w:val="2"/>
          <w:sz w:val="24"/>
          <w:szCs w:val="24"/>
        </w:rPr>
      </w:pPr>
    </w:p>
    <w:p w14:paraId="4223C624"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br w:type="page"/>
      </w:r>
    </w:p>
    <w:p w14:paraId="7175330F" w14:textId="77777777" w:rsidR="00E631CE" w:rsidRPr="001B0896" w:rsidRDefault="00E631CE" w:rsidP="00E631CE">
      <w:pPr>
        <w:pStyle w:val="Ttulo1"/>
        <w:numPr>
          <w:ilvl w:val="0"/>
          <w:numId w:val="1"/>
        </w:numPr>
        <w:ind w:left="450" w:hanging="360"/>
      </w:pPr>
      <w:bookmarkStart w:id="23" w:name="_Toc92216424"/>
      <w:bookmarkStart w:id="24" w:name="_Toc92226175"/>
      <w:r w:rsidRPr="001B0896">
        <w:lastRenderedPageBreak/>
        <w:t>RESULTADOS MISIONALES</w:t>
      </w:r>
      <w:bookmarkEnd w:id="23"/>
      <w:bookmarkEnd w:id="24"/>
    </w:p>
    <w:p w14:paraId="3834BA70" w14:textId="77777777" w:rsidR="00E631CE" w:rsidRPr="001B0896" w:rsidRDefault="00E631CE" w:rsidP="00E631CE">
      <w:pPr>
        <w:rPr>
          <w:rFonts w:ascii="Times New Roman" w:hAnsi="Times New Roman"/>
          <w:color w:val="767171"/>
        </w:rPr>
      </w:pPr>
      <w:r w:rsidRPr="001B0896">
        <w:rPr>
          <w:rFonts w:ascii="Times New Roman" w:hAnsi="Times New Roman"/>
          <w:noProof/>
          <w:color w:val="767171"/>
          <w:lang w:val="en-US"/>
        </w:rPr>
        <mc:AlternateContent>
          <mc:Choice Requires="wps">
            <w:drawing>
              <wp:anchor distT="0" distB="0" distL="114300" distR="114300" simplePos="0" relativeHeight="251686912" behindDoc="0" locked="0" layoutInCell="1" allowOverlap="1" wp14:anchorId="72E0860E" wp14:editId="2A83C1F8">
                <wp:simplePos x="0" y="0"/>
                <wp:positionH relativeFrom="margin">
                  <wp:posOffset>2280285</wp:posOffset>
                </wp:positionH>
                <wp:positionV relativeFrom="paragraph">
                  <wp:posOffset>15875</wp:posOffset>
                </wp:positionV>
                <wp:extent cx="463550" cy="0"/>
                <wp:effectExtent l="22860" t="23495" r="18415" b="14605"/>
                <wp:wrapNone/>
                <wp:docPr id="13"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7518E" id="Conector recto 4" o:spid="_x0000_s1026" style="position:absolute;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9.55pt,1.25pt" to="216.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" strokecolor="#ee2a24" strokeweight="2.25pt">
                <v:stroke joinstyle="miter"/>
                <w10:wrap anchorx="margin"/>
              </v:line>
            </w:pict>
          </mc:Fallback>
        </mc:AlternateContent>
      </w:r>
    </w:p>
    <w:p w14:paraId="59E13B6B" w14:textId="77777777" w:rsidR="00E631CE" w:rsidRPr="001B0896" w:rsidRDefault="00E631CE" w:rsidP="00E631CE">
      <w:pPr>
        <w:jc w:val="center"/>
        <w:rPr>
          <w:rFonts w:ascii="Times New Roman" w:hAnsi="Times New Roman"/>
          <w:color w:val="767171"/>
          <w:spacing w:val="20"/>
          <w:sz w:val="24"/>
          <w:szCs w:val="36"/>
          <w:lang w:val="en-US"/>
        </w:rPr>
      </w:pPr>
      <w:r w:rsidRPr="001B0896">
        <w:rPr>
          <w:rFonts w:ascii="Times New Roman" w:hAnsi="Times New Roman"/>
          <w:color w:val="767171"/>
          <w:spacing w:val="20"/>
          <w:sz w:val="24"/>
          <w:szCs w:val="36"/>
          <w:lang w:val="es-419"/>
        </w:rPr>
        <w:t>Memoria institucional 2021</w:t>
      </w:r>
    </w:p>
    <w:p w14:paraId="30B164D1" w14:textId="77777777" w:rsidR="00E631CE" w:rsidRPr="001B0896" w:rsidRDefault="00E631CE" w:rsidP="00E631CE">
      <w:pPr>
        <w:rPr>
          <w:rFonts w:ascii="Times New Roman" w:hAnsi="Times New Roman"/>
          <w:sz w:val="16"/>
          <w:szCs w:val="16"/>
        </w:rPr>
      </w:pPr>
    </w:p>
    <w:p w14:paraId="207583D0" w14:textId="77777777" w:rsidR="00E631CE" w:rsidRPr="001B0896" w:rsidRDefault="00E631CE" w:rsidP="00E631CE">
      <w:pPr>
        <w:pStyle w:val="Ttulo2"/>
        <w:numPr>
          <w:ilvl w:val="1"/>
          <w:numId w:val="8"/>
        </w:numPr>
      </w:pPr>
      <w:bookmarkStart w:id="25" w:name="_Toc92216425"/>
      <w:bookmarkStart w:id="26" w:name="_Toc92226176"/>
      <w:r w:rsidRPr="001B0896">
        <w:t>Desempeño Financiero Año 2021</w:t>
      </w:r>
      <w:bookmarkEnd w:id="25"/>
      <w:bookmarkEnd w:id="26"/>
    </w:p>
    <w:p w14:paraId="574E8CE4" w14:textId="77777777" w:rsidR="00E631CE" w:rsidRPr="001B0896" w:rsidRDefault="00E631CE" w:rsidP="00E631CE">
      <w:pPr>
        <w:pStyle w:val="Ttulo3"/>
        <w:numPr>
          <w:ilvl w:val="2"/>
          <w:numId w:val="8"/>
        </w:numPr>
      </w:pPr>
      <w:bookmarkStart w:id="27" w:name="_Toc92216426"/>
      <w:bookmarkStart w:id="28" w:name="_Toc92226177"/>
      <w:r w:rsidRPr="001B0896">
        <w:t>Composición de Activos, Pasivos y Patrimonio</w:t>
      </w:r>
      <w:bookmarkEnd w:id="27"/>
      <w:bookmarkEnd w:id="28"/>
    </w:p>
    <w:p w14:paraId="7B7FE7DB" w14:textId="77777777" w:rsidR="00E631CE" w:rsidRPr="001B0896" w:rsidRDefault="00E631CE" w:rsidP="00E631CE">
      <w:pPr>
        <w:spacing w:line="360" w:lineRule="auto"/>
        <w:rPr>
          <w:rFonts w:ascii="Times New Roman" w:hAnsi="Times New Roman"/>
          <w:sz w:val="16"/>
          <w:szCs w:val="16"/>
        </w:rPr>
      </w:pPr>
    </w:p>
    <w:p w14:paraId="74EEC560"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El Banco de Reservas logró un excelente desempeño. Los activos ascendieron a RD$899,770.0 millones, superiores en RD$195,136.8 millones, un 27.7% con respecto a diciembre de 2020. </w:t>
      </w:r>
    </w:p>
    <w:p w14:paraId="0716E7CB"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noProof/>
          <w:lang w:val="en-US"/>
        </w:rPr>
        <w:drawing>
          <wp:inline distT="0" distB="0" distL="0" distR="0" wp14:anchorId="1BB51CBD" wp14:editId="351EFF13">
            <wp:extent cx="4980940" cy="239077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2314" cy="2401034"/>
                    </a:xfrm>
                    <a:prstGeom prst="rect">
                      <a:avLst/>
                    </a:prstGeom>
                    <a:noFill/>
                    <a:ln>
                      <a:noFill/>
                    </a:ln>
                  </pic:spPr>
                </pic:pic>
              </a:graphicData>
            </a:graphic>
          </wp:inline>
        </w:drawing>
      </w:r>
    </w:p>
    <w:p w14:paraId="14C70A3A"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Los pasivos registraron un monto de RD$842,115.0 millones, superiores en RD$184,626.6 millones comparado a diciembre de 2020, explicado principalmente por el incremento de los depósitos.</w:t>
      </w:r>
    </w:p>
    <w:p w14:paraId="32DFFE61"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El patrimonio neto incrementó en RD$57,655.1 millones, reflejando un crecimiento interanual de 22.3% con respecto a diciembre 2020, producto del efecto de distribución de dividendos al Estado dominicano, así como por el incremento de los resultados del ejercicio. La fortaleza patrimonial se refleja a través del índice de </w:t>
      </w:r>
      <w:r w:rsidRPr="001B0896">
        <w:rPr>
          <w:rFonts w:ascii="Times New Roman" w:hAnsi="Times New Roman"/>
          <w:color w:val="767171"/>
          <w:spacing w:val="20"/>
          <w:sz w:val="24"/>
          <w:szCs w:val="24"/>
        </w:rPr>
        <w:lastRenderedPageBreak/>
        <w:t xml:space="preserve">solvencia, que se situó en </w:t>
      </w:r>
      <w:r w:rsidRPr="001B0896">
        <w:rPr>
          <w:rFonts w:ascii="Times New Roman" w:hAnsi="Times New Roman"/>
          <w:color w:val="767171"/>
          <w:spacing w:val="2"/>
          <w:sz w:val="24"/>
          <w:szCs w:val="24"/>
        </w:rPr>
        <w:t>14.45% en</w:t>
      </w:r>
      <w:r w:rsidRPr="001B0896">
        <w:rPr>
          <w:rFonts w:ascii="Times New Roman" w:hAnsi="Times New Roman"/>
          <w:color w:val="767171"/>
          <w:spacing w:val="20"/>
          <w:sz w:val="24"/>
          <w:szCs w:val="24"/>
        </w:rPr>
        <w:t xml:space="preserve"> noviembre 2021, nivel superior al 10% exigido en las normas prudenciales.</w:t>
      </w:r>
    </w:p>
    <w:p w14:paraId="562EA8A0"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Las principales variables de Banreservas superaron holgadamente el presupuesto a diciembre 2021, como se aprecia en el crecimiento comparado en el gráfico siguiente:</w:t>
      </w:r>
    </w:p>
    <w:p w14:paraId="5707F6B6" w14:textId="77777777" w:rsidR="00E631CE" w:rsidRPr="001B0896" w:rsidRDefault="00E631CE" w:rsidP="00E631CE">
      <w:pPr>
        <w:spacing w:afterLines="160" w:after="384" w:line="360" w:lineRule="auto"/>
        <w:jc w:val="center"/>
        <w:rPr>
          <w:rFonts w:ascii="Times New Roman" w:hAnsi="Times New Roman"/>
          <w:color w:val="767171"/>
          <w:spacing w:val="20"/>
          <w:sz w:val="24"/>
          <w:szCs w:val="24"/>
        </w:rPr>
      </w:pPr>
      <w:r w:rsidRPr="001B0896">
        <w:rPr>
          <w:noProof/>
          <w:lang w:val="en-US"/>
        </w:rPr>
        <w:drawing>
          <wp:inline distT="0" distB="0" distL="0" distR="0" wp14:anchorId="6E45B1A6" wp14:editId="02BD0CEB">
            <wp:extent cx="5030199" cy="3942271"/>
            <wp:effectExtent l="0" t="0" r="0" b="127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1934" cy="3943631"/>
                    </a:xfrm>
                    <a:prstGeom prst="rect">
                      <a:avLst/>
                    </a:prstGeom>
                    <a:noFill/>
                    <a:ln>
                      <a:noFill/>
                    </a:ln>
                  </pic:spPr>
                </pic:pic>
              </a:graphicData>
            </a:graphic>
          </wp:inline>
        </w:drawing>
      </w:r>
    </w:p>
    <w:p w14:paraId="6790963B" w14:textId="77777777" w:rsidR="00E631CE" w:rsidRPr="001B0896" w:rsidRDefault="00E631CE" w:rsidP="00E631CE">
      <w:pPr>
        <w:spacing w:line="360" w:lineRule="auto"/>
        <w:rPr>
          <w:rFonts w:ascii="Times New Roman" w:hAnsi="Times New Roman"/>
          <w:sz w:val="16"/>
          <w:szCs w:val="16"/>
        </w:rPr>
      </w:pPr>
    </w:p>
    <w:p w14:paraId="30E047C7" w14:textId="77777777" w:rsidR="00E631CE" w:rsidRPr="001B0896" w:rsidRDefault="00E631CE" w:rsidP="00E631CE">
      <w:pPr>
        <w:pStyle w:val="Ttulo4"/>
        <w:numPr>
          <w:ilvl w:val="3"/>
          <w:numId w:val="8"/>
        </w:numPr>
      </w:pPr>
      <w:bookmarkStart w:id="29" w:name="_Toc92216427"/>
      <w:bookmarkStart w:id="30" w:name="_Toc92226178"/>
      <w:r w:rsidRPr="001B0896">
        <w:t>Movimiento de Recursos. Captaciones y Colocaciones</w:t>
      </w:r>
      <w:bookmarkEnd w:id="29"/>
      <w:bookmarkEnd w:id="30"/>
    </w:p>
    <w:p w14:paraId="272E57D0" w14:textId="77777777" w:rsidR="00E631CE" w:rsidRPr="001B0896" w:rsidRDefault="00E631CE" w:rsidP="00E631CE">
      <w:pPr>
        <w:pStyle w:val="Ttulo5"/>
        <w:numPr>
          <w:ilvl w:val="4"/>
          <w:numId w:val="8"/>
        </w:numPr>
      </w:pPr>
      <w:bookmarkStart w:id="31" w:name="_Toc92216428"/>
      <w:bookmarkStart w:id="32" w:name="_Toc92226179"/>
      <w:r w:rsidRPr="001B0896">
        <w:t>Captaciones</w:t>
      </w:r>
      <w:bookmarkEnd w:id="31"/>
      <w:bookmarkEnd w:id="32"/>
    </w:p>
    <w:p w14:paraId="37EB9B15" w14:textId="77777777" w:rsidR="00E631CE" w:rsidRPr="001B0896" w:rsidRDefault="00E631CE" w:rsidP="00E631CE">
      <w:pPr>
        <w:spacing w:line="360" w:lineRule="auto"/>
        <w:rPr>
          <w:rFonts w:ascii="Times New Roman" w:hAnsi="Times New Roman"/>
          <w:sz w:val="16"/>
          <w:szCs w:val="16"/>
        </w:rPr>
      </w:pPr>
    </w:p>
    <w:p w14:paraId="64A94A45"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Los depósitos totalizaron RD$727,751.9 millones, superiores en RD$167,651.2 millones, un 29.9%, con relación a diciembre de 2020. Los depósitos del sector privado ascendieron a RD$520,325.7 </w:t>
      </w:r>
      <w:r w:rsidRPr="001B0896">
        <w:rPr>
          <w:rFonts w:ascii="Times New Roman" w:hAnsi="Times New Roman"/>
          <w:color w:val="767171"/>
          <w:spacing w:val="20"/>
          <w:sz w:val="24"/>
          <w:szCs w:val="24"/>
        </w:rPr>
        <w:lastRenderedPageBreak/>
        <w:t>millones, constituyendo el 71.5% del total de la cartera. En términos interanual se incrementaron en RD$73,860.8 millones; una muestra de la confianza de las empresas y las familias en nuestra institución.</w:t>
      </w:r>
    </w:p>
    <w:p w14:paraId="4D932A82" w14:textId="77777777" w:rsidR="00E631CE" w:rsidRPr="001B0896" w:rsidRDefault="00E631CE" w:rsidP="00E631CE">
      <w:pPr>
        <w:spacing w:afterLines="160" w:after="384" w:line="360" w:lineRule="auto"/>
        <w:jc w:val="center"/>
        <w:rPr>
          <w:rFonts w:ascii="Times New Roman" w:hAnsi="Times New Roman"/>
          <w:color w:val="767171"/>
          <w:spacing w:val="20"/>
          <w:sz w:val="24"/>
          <w:szCs w:val="24"/>
        </w:rPr>
      </w:pPr>
      <w:r w:rsidRPr="001B0896">
        <w:rPr>
          <w:noProof/>
          <w:lang w:val="en-US"/>
        </w:rPr>
        <w:drawing>
          <wp:inline distT="0" distB="0" distL="0" distR="0" wp14:anchorId="29A53E28" wp14:editId="4F7EB61E">
            <wp:extent cx="5030331" cy="21907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4934" cy="2192755"/>
                    </a:xfrm>
                    <a:prstGeom prst="rect">
                      <a:avLst/>
                    </a:prstGeom>
                    <a:noFill/>
                    <a:ln>
                      <a:noFill/>
                    </a:ln>
                  </pic:spPr>
                </pic:pic>
              </a:graphicData>
            </a:graphic>
          </wp:inline>
        </w:drawing>
      </w:r>
    </w:p>
    <w:p w14:paraId="21D29738"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De igual manera, los depósitos del sector público computaron RD$207,426.2 millones, equivalentes al 28.5% de las captaciones, para reflejar un aumento de RD$93,790.4 millones comparado con diciembre de 2020.</w:t>
      </w:r>
    </w:p>
    <w:p w14:paraId="26FFF897" w14:textId="77777777" w:rsidR="00E631CE" w:rsidRPr="001B0896" w:rsidRDefault="00E631CE" w:rsidP="00E631CE">
      <w:pPr>
        <w:spacing w:line="360" w:lineRule="auto"/>
        <w:rPr>
          <w:rFonts w:ascii="Times New Roman" w:hAnsi="Times New Roman"/>
          <w:sz w:val="16"/>
          <w:szCs w:val="16"/>
        </w:rPr>
      </w:pPr>
    </w:p>
    <w:p w14:paraId="44F08A01" w14:textId="77777777" w:rsidR="00E631CE" w:rsidRPr="001B0896" w:rsidRDefault="00E631CE" w:rsidP="00E631CE">
      <w:pPr>
        <w:pStyle w:val="Ttulo5"/>
        <w:numPr>
          <w:ilvl w:val="4"/>
          <w:numId w:val="8"/>
        </w:numPr>
      </w:pPr>
      <w:bookmarkStart w:id="33" w:name="_Toc92216429"/>
      <w:bookmarkStart w:id="34" w:name="_Toc92226180"/>
      <w:r w:rsidRPr="001B0896">
        <w:t>Colocaciones</w:t>
      </w:r>
      <w:bookmarkEnd w:id="33"/>
      <w:bookmarkEnd w:id="34"/>
    </w:p>
    <w:p w14:paraId="5AEB1756" w14:textId="77777777" w:rsidR="00E631CE" w:rsidRPr="001B0896" w:rsidRDefault="00E631CE" w:rsidP="00E631CE">
      <w:pPr>
        <w:spacing w:line="360" w:lineRule="auto"/>
        <w:rPr>
          <w:rFonts w:ascii="Times New Roman" w:hAnsi="Times New Roman"/>
          <w:sz w:val="16"/>
          <w:szCs w:val="16"/>
        </w:rPr>
      </w:pPr>
    </w:p>
    <w:p w14:paraId="07EB2952" w14:textId="77777777" w:rsidR="00E631CE" w:rsidRPr="001B0896" w:rsidRDefault="00E631CE" w:rsidP="00E631CE">
      <w:pPr>
        <w:spacing w:afterLines="160" w:after="384" w:line="360" w:lineRule="auto"/>
        <w:rPr>
          <w:rFonts w:ascii="Times New Roman" w:hAnsi="Times New Roman"/>
          <w:color w:val="767171"/>
          <w:spacing w:val="20"/>
          <w:sz w:val="24"/>
          <w:szCs w:val="24"/>
          <w:lang w:val="es-DO"/>
        </w:rPr>
      </w:pPr>
      <w:r w:rsidRPr="001B0896">
        <w:rPr>
          <w:rFonts w:ascii="Times New Roman" w:hAnsi="Times New Roman"/>
          <w:color w:val="767171"/>
          <w:spacing w:val="20"/>
          <w:sz w:val="24"/>
          <w:szCs w:val="24"/>
        </w:rPr>
        <w:t>La cartera de préstamos bruta totalizó RD$374,240.1 millones que, comparada con diciembre de 2020, se incrementó en RD$55,818.8 millones, producto del fuerte apoyo brindado a todos los sectores productivos, así como a las familias para la obtención de viviendas, vehículos y bienes diversos.</w:t>
      </w:r>
    </w:p>
    <w:p w14:paraId="639CD18E" w14:textId="77777777" w:rsidR="00E631CE" w:rsidRPr="001B0896" w:rsidRDefault="00E631CE" w:rsidP="00E631CE">
      <w:pPr>
        <w:spacing w:afterLines="160" w:after="384" w:line="360" w:lineRule="auto"/>
        <w:jc w:val="center"/>
        <w:rPr>
          <w:rFonts w:ascii="Times New Roman" w:hAnsi="Times New Roman"/>
          <w:color w:val="767171"/>
          <w:spacing w:val="20"/>
          <w:sz w:val="24"/>
          <w:szCs w:val="24"/>
        </w:rPr>
      </w:pPr>
      <w:r w:rsidRPr="001B0896">
        <w:rPr>
          <w:noProof/>
          <w:lang w:val="en-US"/>
        </w:rPr>
        <w:lastRenderedPageBreak/>
        <w:drawing>
          <wp:inline distT="0" distB="0" distL="0" distR="0" wp14:anchorId="2EE67DF1" wp14:editId="402D09BD">
            <wp:extent cx="5029748" cy="166687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4306" cy="1668386"/>
                    </a:xfrm>
                    <a:prstGeom prst="rect">
                      <a:avLst/>
                    </a:prstGeom>
                    <a:noFill/>
                    <a:ln>
                      <a:noFill/>
                    </a:ln>
                  </pic:spPr>
                </pic:pic>
              </a:graphicData>
            </a:graphic>
          </wp:inline>
        </w:drawing>
      </w:r>
    </w:p>
    <w:p w14:paraId="12201938"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Los créditos canalizados al sector privado totalizaron RD$333,740.2 millones para representar el 89.2% del total de la cartera. Con respecto a diciembre de 2020, se incrementaron en RD$55,690.1 millones, equivalente a 20.0%. Mientras que los créditos del sector público cerraron en RD$40,499.9 millones, que constituyen el 10.8% de los préstamos totales y reflejaron un aumento de RD$128.7 millones, comparado a diciembre 2020.</w:t>
      </w:r>
    </w:p>
    <w:p w14:paraId="74742AA5" w14:textId="77777777" w:rsidR="00E631CE" w:rsidRPr="001B0896" w:rsidRDefault="00E631CE" w:rsidP="00E631CE">
      <w:pPr>
        <w:pStyle w:val="Ttulo3"/>
        <w:numPr>
          <w:ilvl w:val="2"/>
          <w:numId w:val="8"/>
        </w:numPr>
      </w:pPr>
      <w:bookmarkStart w:id="35" w:name="_Toc92216430"/>
      <w:bookmarkStart w:id="36" w:name="_Toc92226181"/>
      <w:r w:rsidRPr="001B0896">
        <w:t>Resultados Operacionales</w:t>
      </w:r>
      <w:bookmarkEnd w:id="35"/>
      <w:bookmarkEnd w:id="36"/>
    </w:p>
    <w:p w14:paraId="2794E9B7" w14:textId="77777777" w:rsidR="00E631CE" w:rsidRPr="001B0896" w:rsidRDefault="00E631CE" w:rsidP="00E631CE">
      <w:pPr>
        <w:spacing w:line="360" w:lineRule="auto"/>
        <w:rPr>
          <w:rFonts w:ascii="Times New Roman" w:hAnsi="Times New Roman"/>
          <w:sz w:val="16"/>
          <w:szCs w:val="16"/>
        </w:rPr>
      </w:pPr>
    </w:p>
    <w:p w14:paraId="16D6C901"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Banreservas obtuvo excelentes resultados, los cuales marcan otro hito histórico en el desempeño de la institución. Las utilidades netas ascendieron a RD$16,306.8 millones, que comparadas con el año 2020, incrementaron en RD$5,906.4 millones, un crecimiento de 56.8% en el periodo indicado. Es el incremento absoluto más alto obtenido por una entidad financiera del país en toda su historia. Mientras que el Impuesto Sobre la Renta registró RD$1,000.3 millones.</w:t>
      </w:r>
    </w:p>
    <w:p w14:paraId="48E9F5B1"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Los ingresos aumentaron a RD$94,101.1 millones, superiores en RD$18,675.0 millones, un 24.8%, con relación al pasado año 2020; </w:t>
      </w:r>
      <w:r w:rsidRPr="001B0896">
        <w:rPr>
          <w:rFonts w:ascii="Times New Roman" w:hAnsi="Times New Roman"/>
          <w:color w:val="767171"/>
          <w:spacing w:val="20"/>
          <w:sz w:val="24"/>
          <w:szCs w:val="24"/>
        </w:rPr>
        <w:lastRenderedPageBreak/>
        <w:t>mientras que los gastos finalizaron en RD$76,794.0 millones, expandiéndose 18.5% en el período.</w:t>
      </w:r>
    </w:p>
    <w:p w14:paraId="52836855" w14:textId="77777777" w:rsidR="00E631CE" w:rsidRPr="001B0896" w:rsidRDefault="00E631CE" w:rsidP="00E631CE">
      <w:pPr>
        <w:spacing w:afterLines="160" w:after="384" w:line="360" w:lineRule="auto"/>
        <w:jc w:val="center"/>
        <w:rPr>
          <w:rFonts w:ascii="Times New Roman" w:hAnsi="Times New Roman"/>
          <w:color w:val="767171"/>
          <w:spacing w:val="20"/>
          <w:sz w:val="24"/>
          <w:szCs w:val="24"/>
        </w:rPr>
      </w:pPr>
      <w:r w:rsidRPr="001B0896">
        <w:rPr>
          <w:noProof/>
          <w:lang w:val="en-US"/>
        </w:rPr>
        <w:drawing>
          <wp:inline distT="0" distB="0" distL="0" distR="0" wp14:anchorId="7CF3DA7C" wp14:editId="3211C501">
            <wp:extent cx="5030470" cy="1861613"/>
            <wp:effectExtent l="0" t="0" r="0" b="571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0470" cy="1861613"/>
                    </a:xfrm>
                    <a:prstGeom prst="rect">
                      <a:avLst/>
                    </a:prstGeom>
                    <a:noFill/>
                    <a:ln>
                      <a:noFill/>
                    </a:ln>
                  </pic:spPr>
                </pic:pic>
              </a:graphicData>
            </a:graphic>
          </wp:inline>
        </w:drawing>
      </w:r>
    </w:p>
    <w:p w14:paraId="16466756" w14:textId="77777777" w:rsidR="00E631CE" w:rsidRPr="001B0896" w:rsidRDefault="00E631CE" w:rsidP="00E631CE">
      <w:pPr>
        <w:pStyle w:val="Ttulo3"/>
        <w:ind w:left="720"/>
      </w:pPr>
    </w:p>
    <w:p w14:paraId="25F71BA5" w14:textId="77777777" w:rsidR="00E631CE" w:rsidRPr="001B0896" w:rsidRDefault="00E631CE" w:rsidP="00E631CE">
      <w:pPr>
        <w:pStyle w:val="Ttulo3"/>
        <w:numPr>
          <w:ilvl w:val="2"/>
          <w:numId w:val="8"/>
        </w:numPr>
      </w:pPr>
      <w:bookmarkStart w:id="37" w:name="_Toc92216431"/>
      <w:bookmarkStart w:id="38" w:name="_Toc92226182"/>
      <w:r w:rsidRPr="001B0896">
        <w:t>Principales Indicadores Financieros y de Gestión</w:t>
      </w:r>
      <w:bookmarkEnd w:id="37"/>
      <w:bookmarkEnd w:id="38"/>
    </w:p>
    <w:p w14:paraId="13EC54C6" w14:textId="77777777" w:rsidR="00E631CE" w:rsidRPr="001B0896" w:rsidRDefault="00E631CE" w:rsidP="00E631CE">
      <w:pPr>
        <w:spacing w:line="360" w:lineRule="auto"/>
        <w:rPr>
          <w:rFonts w:ascii="Times New Roman" w:hAnsi="Times New Roman"/>
          <w:sz w:val="16"/>
          <w:szCs w:val="16"/>
        </w:rPr>
      </w:pPr>
    </w:p>
    <w:p w14:paraId="6C7CDC82"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El robusto desempeño alcanzado en el año 2021 se refleja a través de los principales indicadores financieros y de gestión. La rentabilidad de los activos (ROA) se situó en 2.2%, superior al 1.7% obtenido en igual período del pasado año. Asimismo, la rentabilidad del patrimonio (ROE) fue de 32.3%, mayor que el índice de 24.8% del pasado año. </w:t>
      </w:r>
    </w:p>
    <w:p w14:paraId="0D246A5B"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La calidad de los activos se expresa en una morosidad de la cartera de créditos de 1.3% a diciembre 2021, mientras que la cobertura para posibles riesgos de impagos de créditos morosos ascendió a 543.8%, más de cuatro veces lo exigido por las normativas del país.</w:t>
      </w:r>
    </w:p>
    <w:p w14:paraId="4910D3BD"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El índice de eficiencia presentó una mejoría de 757 puntos básicos respecto a diciembre de 2020 y se situó en 57.2% al cierre de 2021, producto de la eficiencia en la gestión del banco; tanto en reducción de costos como en incremento de rentabilidad. </w:t>
      </w:r>
    </w:p>
    <w:p w14:paraId="2597D9B8"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lastRenderedPageBreak/>
        <w:t>El indicador de liquidez, definido como la razón de los fondos disponibles entre el total de depósitos, se colocó en 17.0%, lo cual muestra la liquidez del banco para cumplir con todos sus compromisos de corto plazo. Otros indicadores se presentan en el cuadro siguiente:</w:t>
      </w:r>
    </w:p>
    <w:p w14:paraId="4D883C70" w14:textId="280B2925" w:rsidR="00E631CE" w:rsidRPr="001B0896" w:rsidRDefault="00E631CE" w:rsidP="00E631CE">
      <w:pPr>
        <w:spacing w:afterLines="160" w:after="384" w:line="360" w:lineRule="auto"/>
        <w:jc w:val="left"/>
        <w:rPr>
          <w:rFonts w:ascii="Times New Roman" w:hAnsi="Times New Roman"/>
          <w:color w:val="767171"/>
          <w:spacing w:val="20"/>
          <w:sz w:val="24"/>
          <w:szCs w:val="24"/>
        </w:rPr>
      </w:pPr>
      <w:r w:rsidRPr="001B0896">
        <w:rPr>
          <w:noProof/>
          <w:lang w:val="en-US"/>
        </w:rPr>
        <w:drawing>
          <wp:inline distT="0" distB="0" distL="0" distR="0" wp14:anchorId="6EBF77E0" wp14:editId="4266B546">
            <wp:extent cx="5030470" cy="5082364"/>
            <wp:effectExtent l="0" t="0" r="0" b="444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30470" cy="5082364"/>
                    </a:xfrm>
                    <a:prstGeom prst="rect">
                      <a:avLst/>
                    </a:prstGeom>
                    <a:noFill/>
                    <a:ln>
                      <a:noFill/>
                    </a:ln>
                  </pic:spPr>
                </pic:pic>
              </a:graphicData>
            </a:graphic>
          </wp:inline>
        </w:drawing>
      </w:r>
      <w:r w:rsidRPr="001B0896">
        <w:rPr>
          <w:rFonts w:ascii="Times New Roman" w:hAnsi="Times New Roman"/>
          <w:color w:val="767171"/>
          <w:spacing w:val="20"/>
          <w:sz w:val="24"/>
          <w:szCs w:val="24"/>
        </w:rPr>
        <w:br w:type="textWrapping" w:clear="all"/>
      </w:r>
    </w:p>
    <w:p w14:paraId="4F3631C7" w14:textId="77777777" w:rsidR="00AD6F40" w:rsidRPr="001B0896" w:rsidRDefault="00AD6F40" w:rsidP="00E631CE">
      <w:pPr>
        <w:spacing w:afterLines="160" w:after="384" w:line="360" w:lineRule="auto"/>
        <w:jc w:val="left"/>
        <w:rPr>
          <w:rFonts w:ascii="Times New Roman" w:hAnsi="Times New Roman"/>
          <w:color w:val="767171"/>
          <w:spacing w:val="20"/>
          <w:sz w:val="24"/>
          <w:szCs w:val="24"/>
        </w:rPr>
      </w:pPr>
    </w:p>
    <w:p w14:paraId="7E83714C" w14:textId="77777777" w:rsidR="00E631CE" w:rsidRPr="001B0896" w:rsidRDefault="00E631CE" w:rsidP="00E631CE">
      <w:pPr>
        <w:pStyle w:val="Ttulo3"/>
        <w:numPr>
          <w:ilvl w:val="2"/>
          <w:numId w:val="8"/>
        </w:numPr>
      </w:pPr>
      <w:bookmarkStart w:id="39" w:name="_Toc92216432"/>
      <w:bookmarkStart w:id="40" w:name="_Toc92226183"/>
      <w:r w:rsidRPr="001B0896">
        <w:lastRenderedPageBreak/>
        <w:t>Gestión de Negocios y Servicios</w:t>
      </w:r>
      <w:bookmarkEnd w:id="39"/>
      <w:bookmarkEnd w:id="40"/>
    </w:p>
    <w:p w14:paraId="139E5DEF" w14:textId="77777777" w:rsidR="00E631CE" w:rsidRPr="001B0896" w:rsidRDefault="00E631CE" w:rsidP="00E631CE">
      <w:pPr>
        <w:spacing w:line="360" w:lineRule="auto"/>
        <w:rPr>
          <w:rFonts w:ascii="Times New Roman" w:hAnsi="Times New Roman"/>
          <w:sz w:val="16"/>
          <w:szCs w:val="16"/>
        </w:rPr>
      </w:pPr>
    </w:p>
    <w:p w14:paraId="3D864DE6"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En el año 2021, las áreas de negocios lograron un importante desempeño. Negocios personales incrementó los depósitos en RD$48,097.5 millones con respecto a diciembre 2020, para alcanzar un total de RD$383,894.6 millones. La cartera de créditos totalizó RD$180,122.8 millones, superior en RD$22,774.4 millones.</w:t>
      </w:r>
    </w:p>
    <w:p w14:paraId="6467539C"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El área de negocios electrónicos jugó un papel importante. La cartera de tarjetas de crédito registró un monto de RD$16,377.1 millones a diciembre 2021, un incremento de RD$1,854.0 millones con relación a diciembre anterior. Las tarjetas de crédito activas se situaron en 889,800 para representar el 33.3% del mercado. Las nuevas emisiones totalizaron 203,889 plásticos. Asimismo, las tarjetas de débito activas acumuladas sumaron 2,732,294 y fueron emitidos unos 1,057,006 plásticos en el 2021. En este segmento, Banreservas es líder con una participación de 50.0% del mercado. </w:t>
      </w:r>
    </w:p>
    <w:p w14:paraId="6AFF6674"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Cabe destacar que fueron emitidas 130,000 tarjetas, por un monto total de RD$130.0 millones en Bono Más para Mamá, que es una iniciativa del Gobierno Dominicano de fecha 29 de mayo 2021, que consistió en un bono de 1,000 pesos con motivo del Día de las Madres, para ser utilizado únicamente en supermercados, colmados y comercios de la Red de Abastecimiento Social (RAS). </w:t>
      </w:r>
    </w:p>
    <w:p w14:paraId="630A67B9"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Bono Desarme por la Paz, consiste en la creación de un fondo especial de recuperación de armas, asignado al presupuesto del Ministerio de Interior y Policía para la compra de armas a personas interesadas. Se emitieron 1,500 tarjetas por un monto inicial de RD$1.8 millones a partir del 16 de junio de 2021.</w:t>
      </w:r>
    </w:p>
    <w:p w14:paraId="213A2084"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lastRenderedPageBreak/>
        <w:t xml:space="preserve">La Iniciativa Transporte Corredor Nuñez de Cáceres busca posicionar las Tarjetas </w:t>
      </w:r>
      <w:proofErr w:type="spellStart"/>
      <w:r w:rsidRPr="001B0896">
        <w:rPr>
          <w:rFonts w:ascii="Times New Roman" w:hAnsi="Times New Roman"/>
          <w:color w:val="767171"/>
          <w:spacing w:val="20"/>
          <w:sz w:val="24"/>
          <w:szCs w:val="24"/>
        </w:rPr>
        <w:t>Mastercard</w:t>
      </w:r>
      <w:proofErr w:type="spellEnd"/>
      <w:r w:rsidRPr="001B0896">
        <w:rPr>
          <w:rFonts w:ascii="Times New Roman" w:hAnsi="Times New Roman"/>
          <w:color w:val="767171"/>
          <w:spacing w:val="20"/>
          <w:sz w:val="24"/>
          <w:szCs w:val="24"/>
        </w:rPr>
        <w:t xml:space="preserve"> Banreservas sin contacto como la principal opción de los usuarios de este corredor para pagar sus viajes. Además, apoya a INTRANT con su modelo de </w:t>
      </w:r>
      <w:proofErr w:type="gramStart"/>
      <w:r w:rsidRPr="001B0896">
        <w:rPr>
          <w:rFonts w:ascii="Times New Roman" w:hAnsi="Times New Roman"/>
          <w:color w:val="767171"/>
          <w:spacing w:val="20"/>
          <w:sz w:val="24"/>
          <w:szCs w:val="24"/>
        </w:rPr>
        <w:t>cero efectivo</w:t>
      </w:r>
      <w:proofErr w:type="gramEnd"/>
      <w:r w:rsidRPr="001B0896">
        <w:rPr>
          <w:rFonts w:ascii="Times New Roman" w:hAnsi="Times New Roman"/>
          <w:color w:val="767171"/>
          <w:spacing w:val="20"/>
          <w:sz w:val="24"/>
          <w:szCs w:val="24"/>
        </w:rPr>
        <w:t>.</w:t>
      </w:r>
    </w:p>
    <w:p w14:paraId="4DFE288A"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Asimismo, la Tarjeta Virtual con Cédula se ha convertido en un eficiente medio de pago electrónico para el programa Quédate en Casa, como apoyo a los afectados por la pandemia del COVID-19.</w:t>
      </w:r>
    </w:p>
    <w:p w14:paraId="2A662601"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En el año 2021, Banreservas canalizó un monto significativo de recursos a los sectores productivos y a las familias, con el objetivo de contribuir a impulsar el crecimiento de la economía, promover la creación de empleos y apoyar a las empresas en su recuperación. Los desembolsos totalizaron RD$260,154.8 millones a través de 237,387 créditos.</w:t>
      </w:r>
    </w:p>
    <w:p w14:paraId="2BCCAF1C"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Dentro del cuantioso apoyo otorgado por Banreservas a todos los sectores productivos se destaca el financiamiento con los fondos liberados por el Banco Central vía la Ventanilla de Liquidez Rápida y del Encaje Legal/ Repos, a través de los cuales se otorgaron 8,222 créditos por un monto de RD$36,251.6 millones en el 2021. Dichos recursos fueron canalizados a las actividades comerciales, de consumo, hipotecario, pymes, entre otros.</w:t>
      </w:r>
    </w:p>
    <w:p w14:paraId="6666883B"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El sector de las pymes fue beneficiado con 17,685 créditos desembolsados, por un monto de RD$28,874.8 millones. Asimismo, a través del programa </w:t>
      </w:r>
      <w:proofErr w:type="spellStart"/>
      <w:r w:rsidRPr="001B0896">
        <w:rPr>
          <w:rFonts w:ascii="Times New Roman" w:hAnsi="Times New Roman"/>
          <w:color w:val="767171"/>
          <w:spacing w:val="20"/>
          <w:sz w:val="24"/>
          <w:szCs w:val="24"/>
        </w:rPr>
        <w:t>Promipyme</w:t>
      </w:r>
      <w:proofErr w:type="spellEnd"/>
      <w:r w:rsidRPr="001B0896">
        <w:rPr>
          <w:rFonts w:ascii="Times New Roman" w:hAnsi="Times New Roman"/>
          <w:color w:val="767171"/>
          <w:spacing w:val="20"/>
          <w:sz w:val="24"/>
          <w:szCs w:val="24"/>
        </w:rPr>
        <w:t xml:space="preserve"> se concedieron préstamos por valor de RD$4,218.9 millones, los cuales beneficiaron a unas 45,038 personas. </w:t>
      </w:r>
    </w:p>
    <w:p w14:paraId="06852F15" w14:textId="2EFB7116"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lastRenderedPageBreak/>
        <w:t>Banreservas celebró su Expo Fomenta Pymes con desembolsos totales de RD$</w:t>
      </w:r>
      <w:r w:rsidR="005E431A" w:rsidRPr="001B0896">
        <w:rPr>
          <w:rFonts w:ascii="Times New Roman" w:hAnsi="Times New Roman"/>
          <w:color w:val="767171"/>
          <w:spacing w:val="20"/>
          <w:sz w:val="24"/>
          <w:szCs w:val="24"/>
        </w:rPr>
        <w:t xml:space="preserve">4,613 </w:t>
      </w:r>
      <w:r w:rsidRPr="001B0896">
        <w:rPr>
          <w:rFonts w:ascii="Times New Roman" w:hAnsi="Times New Roman"/>
          <w:color w:val="767171"/>
          <w:spacing w:val="20"/>
          <w:sz w:val="24"/>
          <w:szCs w:val="24"/>
        </w:rPr>
        <w:t xml:space="preserve">millones, ofreciendo atractivas condiciones de financiamiento, con tasas desde 7.95%, fijas hasta tres años para préstamos comerciales, además de otros beneficios especiales, apoyando a </w:t>
      </w:r>
      <w:r w:rsidR="005E431A" w:rsidRPr="001B0896">
        <w:rPr>
          <w:rFonts w:ascii="Times New Roman" w:hAnsi="Times New Roman"/>
          <w:color w:val="767171"/>
          <w:spacing w:val="20"/>
          <w:sz w:val="24"/>
          <w:szCs w:val="24"/>
        </w:rPr>
        <w:t xml:space="preserve">2,769 </w:t>
      </w:r>
      <w:r w:rsidRPr="001B0896">
        <w:rPr>
          <w:rFonts w:ascii="Times New Roman" w:hAnsi="Times New Roman"/>
          <w:color w:val="767171"/>
          <w:spacing w:val="20"/>
          <w:sz w:val="24"/>
          <w:szCs w:val="24"/>
        </w:rPr>
        <w:t>pequeñas y medianas empresas de República Dominicana en la continuidad de sus operaciones.</w:t>
      </w:r>
    </w:p>
    <w:p w14:paraId="3E6BDE78"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Los préstamos hipotecarios desembolsados totalizaron RD$21,264.1 millones, concedidos a través de 5,316 créditos. Para viviendas de bajo costo se desembolsaron RD$1,189.5 millones a unas 747 personas con el propósito de que las familias dominicanas mejoren su calidad de vida a través de la adquisición de una vivienda propia.</w:t>
      </w:r>
    </w:p>
    <w:p w14:paraId="4B427104"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El apoyo a los productores de arroz se materializó a través del programa de pignoración con desembolsos por RD$5,318.5 millones en el año 2021, los cuales se concedieron a 390 productores con tasas de interés preferencial como parte del apoyo del banco al aparato productivo nacional. Para la cosecha 2021-2022 se aprobó financiamiento por RD$6,000 millones a una tasa de 7% anual. En adición, se otorgaron RD$1,000 millones al Banco Agrícola.</w:t>
      </w:r>
    </w:p>
    <w:p w14:paraId="4EF694F9"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Los concesionarios y distribuidores de vehículos recibieron un importante impulso de Banreservas en el 2021. </w:t>
      </w:r>
      <w:proofErr w:type="spellStart"/>
      <w:r w:rsidRPr="001B0896">
        <w:rPr>
          <w:rFonts w:ascii="Times New Roman" w:hAnsi="Times New Roman"/>
          <w:color w:val="767171"/>
          <w:spacing w:val="20"/>
          <w:sz w:val="24"/>
          <w:szCs w:val="24"/>
        </w:rPr>
        <w:t>Expomóvil</w:t>
      </w:r>
      <w:proofErr w:type="spellEnd"/>
      <w:r w:rsidRPr="001B0896">
        <w:rPr>
          <w:rFonts w:ascii="Times New Roman" w:hAnsi="Times New Roman"/>
          <w:color w:val="767171"/>
          <w:spacing w:val="20"/>
          <w:sz w:val="24"/>
          <w:szCs w:val="24"/>
        </w:rPr>
        <w:t xml:space="preserve"> Banreservas cerró con cifras extraordinarias, superando los RD$7,500 millones en solicitudes, equivalentes a unas 4,400 unidades de vehículos con tasas desde 4.80%, contribuyendo a dinamizar el sector y la economía en su conjunto. Adicionalmente, se apoyó a la protección del medio ambiente con un aumento significativo de los financiamientos a vehículos eléctricos e híbridos, </w:t>
      </w:r>
      <w:r w:rsidRPr="001B0896">
        <w:rPr>
          <w:rFonts w:ascii="Times New Roman" w:hAnsi="Times New Roman"/>
          <w:color w:val="767171"/>
          <w:spacing w:val="20"/>
          <w:sz w:val="24"/>
          <w:szCs w:val="24"/>
        </w:rPr>
        <w:lastRenderedPageBreak/>
        <w:t>con cifras que superan los RD$500 millones en solicitudes para la adquisición de unas 200 unidades.</w:t>
      </w:r>
    </w:p>
    <w:p w14:paraId="64BDEB39"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Por medio del servicio de remesas nuestros clientes reciben sus fondos de manera fácil, rápida y segura, desde cualquier parte del mundo gracias a la amplia red de aliados. Se realizaron 1,323,823 transacciones de remesas por un valor de US$436.6 millones, lo que representó un crecimiento de 66% y 85%, respectivamente, en relación al cierre de 2020. Banreservas ofrece facilidades para la adquisición de viviendas, mediante Préstamo Hipotecario Remesas, contribuyendo a mejorar el bienestar y prosperidad de los dominicanos residentes en el país y en el extranjero, que desean adquirir propiedades en su patria.</w:t>
      </w:r>
    </w:p>
    <w:p w14:paraId="64F5D095"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Adicionalmente, estamos habilitando nueve (9) </w:t>
      </w:r>
      <w:proofErr w:type="spellStart"/>
      <w:r w:rsidRPr="001B0896">
        <w:rPr>
          <w:rFonts w:ascii="Times New Roman" w:hAnsi="Times New Roman"/>
          <w:color w:val="767171"/>
          <w:spacing w:val="20"/>
          <w:sz w:val="24"/>
          <w:szCs w:val="24"/>
        </w:rPr>
        <w:t>remesadoras</w:t>
      </w:r>
      <w:proofErr w:type="spellEnd"/>
      <w:r w:rsidRPr="001B0896">
        <w:rPr>
          <w:rFonts w:ascii="Times New Roman" w:hAnsi="Times New Roman"/>
          <w:color w:val="767171"/>
          <w:spacing w:val="20"/>
          <w:sz w:val="24"/>
          <w:szCs w:val="24"/>
        </w:rPr>
        <w:t xml:space="preserve"> para realizar pagos en ventanilla. También se trabaja en el lanzamiento de nuestra APP Remesa. Estamos a la espera de la aprobación de la Superintendencia de Bancos para el lanzamiento de la cuenta de ahorros remesas con comisiones reducidas. </w:t>
      </w:r>
    </w:p>
    <w:p w14:paraId="454FCD07"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El Banco de Reservas respaldó las ejecutorias del Gobierno con el financiamiento de obras prioritarias para el desarrollo nacional durante el 2021, destacando los siguientes:</w:t>
      </w:r>
    </w:p>
    <w:p w14:paraId="21796AC6" w14:textId="77777777" w:rsidR="00E631CE" w:rsidRPr="001B0896" w:rsidRDefault="00E631CE" w:rsidP="00E631CE">
      <w:pPr>
        <w:pStyle w:val="Prrafodelista"/>
        <w:numPr>
          <w:ilvl w:val="0"/>
          <w:numId w:val="5"/>
        </w:numPr>
        <w:tabs>
          <w:tab w:val="left" w:pos="0"/>
        </w:tabs>
        <w:suppressAutoHyphens/>
        <w:spacing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Apoyo y asesoría en programas orientados a la disminución del déficit habitacional y la habilitación del acceso a viviendas a familias de escasos recursos. Dentro de este resalta el Plan Nacional de Viviendas Familia Feliz (Fideicomiso </w:t>
      </w:r>
      <w:proofErr w:type="spellStart"/>
      <w:r w:rsidRPr="001B0896">
        <w:rPr>
          <w:rFonts w:ascii="Times New Roman" w:hAnsi="Times New Roman"/>
          <w:color w:val="767171"/>
          <w:spacing w:val="20"/>
          <w:sz w:val="24"/>
          <w:szCs w:val="24"/>
        </w:rPr>
        <w:t>Fonvivienda</w:t>
      </w:r>
      <w:proofErr w:type="spellEnd"/>
      <w:r w:rsidRPr="001B0896">
        <w:rPr>
          <w:rFonts w:ascii="Times New Roman" w:hAnsi="Times New Roman"/>
          <w:color w:val="767171"/>
          <w:spacing w:val="20"/>
          <w:sz w:val="24"/>
          <w:szCs w:val="24"/>
        </w:rPr>
        <w:t xml:space="preserve">), en la cual 15 familias fueron beneficiadas con </w:t>
      </w:r>
      <w:r w:rsidRPr="001B0896">
        <w:rPr>
          <w:rFonts w:ascii="Times New Roman" w:hAnsi="Times New Roman"/>
          <w:color w:val="767171"/>
          <w:spacing w:val="20"/>
          <w:sz w:val="24"/>
          <w:szCs w:val="24"/>
        </w:rPr>
        <w:lastRenderedPageBreak/>
        <w:t>un monto desembolsado de RD$26.2 millones. Dicho programa contempla construcción de 62,000 viviendas en 4 años.</w:t>
      </w:r>
    </w:p>
    <w:p w14:paraId="4A01F09E" w14:textId="77777777" w:rsidR="00E631CE" w:rsidRPr="001B0896" w:rsidRDefault="00E631CE" w:rsidP="00E631CE">
      <w:pPr>
        <w:pStyle w:val="Prrafodelista"/>
        <w:numPr>
          <w:ilvl w:val="0"/>
          <w:numId w:val="5"/>
        </w:numPr>
        <w:tabs>
          <w:tab w:val="left" w:pos="0"/>
        </w:tabs>
        <w:suppressAutoHyphens/>
        <w:spacing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Estructuración Fideicomisos de la movilidad urbana, en el marco del Plan Nacional de Transporte (fideicomisos vinculados).</w:t>
      </w:r>
    </w:p>
    <w:p w14:paraId="4778AA33" w14:textId="77777777" w:rsidR="00E631CE" w:rsidRPr="001B0896" w:rsidRDefault="00E631CE" w:rsidP="00E631CE">
      <w:pPr>
        <w:pStyle w:val="Prrafodelista"/>
        <w:numPr>
          <w:ilvl w:val="0"/>
          <w:numId w:val="5"/>
        </w:numPr>
        <w:tabs>
          <w:tab w:val="left" w:pos="0"/>
        </w:tabs>
        <w:suppressAutoHyphens/>
        <w:spacing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Bancarización y acceso a financiamiento competitivo para los PYMES suplidores de instituciones públicas y Banca Solidaria a través del Fideicomiso </w:t>
      </w:r>
      <w:proofErr w:type="spellStart"/>
      <w:r w:rsidRPr="001B0896">
        <w:rPr>
          <w:rFonts w:ascii="Times New Roman" w:hAnsi="Times New Roman"/>
          <w:color w:val="767171"/>
          <w:spacing w:val="20"/>
          <w:sz w:val="24"/>
          <w:szCs w:val="24"/>
        </w:rPr>
        <w:t>Factoring</w:t>
      </w:r>
      <w:proofErr w:type="spellEnd"/>
      <w:r w:rsidRPr="001B0896">
        <w:rPr>
          <w:rFonts w:ascii="Times New Roman" w:hAnsi="Times New Roman"/>
          <w:color w:val="767171"/>
          <w:spacing w:val="20"/>
          <w:sz w:val="24"/>
          <w:szCs w:val="24"/>
        </w:rPr>
        <w:t xml:space="preserve"> Gubernamental. A través de este programa 32 suplidores del Estado transaron facturas por RD$130.9 millones.</w:t>
      </w:r>
    </w:p>
    <w:p w14:paraId="7B264755" w14:textId="77777777" w:rsidR="00E631CE" w:rsidRPr="001B0896" w:rsidRDefault="00E631CE" w:rsidP="00E631CE">
      <w:pPr>
        <w:pStyle w:val="Prrafodelista"/>
        <w:numPr>
          <w:ilvl w:val="0"/>
          <w:numId w:val="5"/>
        </w:numPr>
        <w:tabs>
          <w:tab w:val="left" w:pos="0"/>
        </w:tabs>
        <w:suppressAutoHyphens/>
        <w:spacing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Firma de acuerdos institucionales a fin de apoyar el acceso a financiamientos a colaboradores públicos a tasas y condiciones preferenciales.</w:t>
      </w:r>
    </w:p>
    <w:p w14:paraId="068B7BCC" w14:textId="77777777" w:rsidR="00E631CE" w:rsidRPr="001B0896" w:rsidRDefault="00E631CE" w:rsidP="00E631CE">
      <w:pPr>
        <w:pStyle w:val="Prrafodelista"/>
        <w:numPr>
          <w:ilvl w:val="0"/>
          <w:numId w:val="5"/>
        </w:numPr>
        <w:tabs>
          <w:tab w:val="left" w:pos="0"/>
        </w:tabs>
        <w:suppressAutoHyphens/>
        <w:spacing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Construcción de circunvalación de Azua y Bani, así como mejoras peajes de Las Américas y Autopista Duarte, por lo cual se desembolsaron RD$2,500.0 millones a través de Fideicomiso Red Vial.</w:t>
      </w:r>
    </w:p>
    <w:p w14:paraId="3018F496" w14:textId="77777777" w:rsidR="00E631CE" w:rsidRPr="001B0896" w:rsidRDefault="00E631CE" w:rsidP="00E631CE">
      <w:pPr>
        <w:pStyle w:val="Prrafodelista"/>
        <w:numPr>
          <w:ilvl w:val="0"/>
          <w:numId w:val="5"/>
        </w:numPr>
        <w:tabs>
          <w:tab w:val="left" w:pos="0"/>
        </w:tabs>
        <w:suppressAutoHyphens/>
        <w:spacing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En apoyo a los servicios de aeronavegación y seguridad área producto de la pandemia, se canalizó financiamiento de RD$398.7 millones al Instituto Dominicano de Aviación Civil.</w:t>
      </w:r>
    </w:p>
    <w:p w14:paraId="486BF02A" w14:textId="77777777" w:rsidR="00E631CE" w:rsidRPr="001B0896" w:rsidRDefault="00E631CE" w:rsidP="00E631CE">
      <w:pPr>
        <w:pStyle w:val="Prrafodelista"/>
        <w:numPr>
          <w:ilvl w:val="0"/>
          <w:numId w:val="5"/>
        </w:numPr>
        <w:tabs>
          <w:tab w:val="left" w:pos="0"/>
        </w:tabs>
        <w:suppressAutoHyphens/>
        <w:spacing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Se mantuvo el acuerdo y operatividad del programa Fondo de Asistencia Social (FASE I) hasta abril 2021. </w:t>
      </w:r>
    </w:p>
    <w:p w14:paraId="6FE954A5" w14:textId="77777777" w:rsidR="00E631CE" w:rsidRPr="001B0896" w:rsidRDefault="00E631CE" w:rsidP="00E631CE">
      <w:pPr>
        <w:pStyle w:val="Prrafodelista"/>
        <w:numPr>
          <w:ilvl w:val="0"/>
          <w:numId w:val="5"/>
        </w:numPr>
        <w:tabs>
          <w:tab w:val="left" w:pos="0"/>
        </w:tabs>
        <w:suppressAutoHyphens/>
        <w:spacing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Desembolsos de RD$1,000.0 millones al Banco Agrícola para la recolocación en sectores productivos.</w:t>
      </w:r>
    </w:p>
    <w:p w14:paraId="65613287" w14:textId="77777777" w:rsidR="00E631CE" w:rsidRPr="001B0896" w:rsidRDefault="00E631CE" w:rsidP="00E631CE">
      <w:pPr>
        <w:pStyle w:val="Prrafodelista"/>
        <w:tabs>
          <w:tab w:val="left" w:pos="0"/>
        </w:tabs>
        <w:suppressAutoHyphens/>
        <w:spacing w:line="360" w:lineRule="auto"/>
        <w:rPr>
          <w:rFonts w:ascii="Times New Roman" w:eastAsia="Times New Roman" w:hAnsi="Times New Roman"/>
          <w:color w:val="767171"/>
          <w:spacing w:val="2"/>
          <w:sz w:val="24"/>
          <w:szCs w:val="24"/>
          <w:lang w:val="es-DO"/>
        </w:rPr>
      </w:pPr>
    </w:p>
    <w:p w14:paraId="5CDC5728" w14:textId="77777777" w:rsidR="00E631CE" w:rsidRPr="001B0896" w:rsidRDefault="00E631CE" w:rsidP="00E631CE">
      <w:pPr>
        <w:pStyle w:val="Ttulo4"/>
        <w:numPr>
          <w:ilvl w:val="3"/>
          <w:numId w:val="8"/>
        </w:numPr>
      </w:pPr>
      <w:bookmarkStart w:id="41" w:name="_Toc92216433"/>
      <w:bookmarkStart w:id="42" w:name="_Toc92226184"/>
      <w:r w:rsidRPr="001B0896">
        <w:t>Apoyo al Sector Turismo</w:t>
      </w:r>
      <w:bookmarkEnd w:id="41"/>
      <w:bookmarkEnd w:id="42"/>
    </w:p>
    <w:p w14:paraId="0C088BE0" w14:textId="77777777" w:rsidR="00E631CE" w:rsidRPr="001B0896" w:rsidRDefault="00E631CE" w:rsidP="00E631CE">
      <w:pPr>
        <w:spacing w:line="360" w:lineRule="auto"/>
        <w:rPr>
          <w:rFonts w:ascii="Times New Roman" w:hAnsi="Times New Roman"/>
          <w:sz w:val="16"/>
          <w:szCs w:val="16"/>
        </w:rPr>
      </w:pPr>
    </w:p>
    <w:p w14:paraId="3EEACAE5"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En Banreservas seguimos trabajando activamente como firmes aliados del turismo, para relanzar la puntera y privilegiada posición </w:t>
      </w:r>
      <w:r w:rsidRPr="001B0896">
        <w:rPr>
          <w:rFonts w:ascii="Times New Roman" w:hAnsi="Times New Roman"/>
          <w:color w:val="767171"/>
          <w:spacing w:val="20"/>
          <w:sz w:val="24"/>
          <w:szCs w:val="24"/>
        </w:rPr>
        <w:lastRenderedPageBreak/>
        <w:t>que tiene República Dominicana como importante destino turístico y lo que ello representa para la economía dominicana, además de los aportes que realiza en beneficio del desarrollo de otras áreas productivas, como es el caso de la fabricación alimenticia, la artesanía, el comercio y el transporte, entre otros.</w:t>
      </w:r>
    </w:p>
    <w:p w14:paraId="507687B6"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Hemos adoptado medidas desde el área de negocios para viabilizar su recuperación, implementando acciones orientadas a flexibilizar la carga financiera de nuestros clientes; apoyándolos en el cumplimiento de sus compromisos, para la reactivación de sus negocios y la reapertura de sus operaciones, así como la creación de facilidades crediticias para la captación de inversión extranjera.</w:t>
      </w:r>
    </w:p>
    <w:p w14:paraId="6E4126C2"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La cartera de créditos destinada al sector turismo incrementó en RD$4,586.6 millones a noviembre, un 26.2%, con respecto a diciembre de 2020. Con esta expansión el balance de los créditos totalizó RD$22,090.9 millones. </w:t>
      </w:r>
    </w:p>
    <w:p w14:paraId="5478D1EB"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Estos créditos canalizados para el desarrollo del turismo superan los US$300 millones, destinados para el desarrollo de seis (6) grandes proyectos turísticos con una inversión total de US$670 millones. De estos totales, en los últimos 14 meses, se lograron aprobaciones que superan los US$240 millones, las cuales se constituyeron en el hito principal para inicio de la construcción de cuatro proyectos hoteleros, que implican un total de 1,294 nuevas habitaciones, hecho que contribuye a la creación de empleos directos e indirectos.  Se destacan el Hotel St. Regis </w:t>
      </w:r>
      <w:proofErr w:type="spellStart"/>
      <w:r w:rsidRPr="001B0896">
        <w:rPr>
          <w:rFonts w:ascii="Times New Roman" w:hAnsi="Times New Roman"/>
          <w:color w:val="767171"/>
          <w:spacing w:val="20"/>
          <w:sz w:val="24"/>
          <w:szCs w:val="24"/>
        </w:rPr>
        <w:t>Cap</w:t>
      </w:r>
      <w:proofErr w:type="spellEnd"/>
      <w:r w:rsidRPr="001B0896">
        <w:rPr>
          <w:rFonts w:ascii="Times New Roman" w:hAnsi="Times New Roman"/>
          <w:color w:val="767171"/>
          <w:spacing w:val="20"/>
          <w:sz w:val="24"/>
          <w:szCs w:val="24"/>
        </w:rPr>
        <w:t xml:space="preserve"> Cana, el Hotel </w:t>
      </w:r>
      <w:proofErr w:type="spellStart"/>
      <w:r w:rsidRPr="001B0896">
        <w:rPr>
          <w:rFonts w:ascii="Times New Roman" w:hAnsi="Times New Roman"/>
          <w:color w:val="767171"/>
          <w:spacing w:val="20"/>
          <w:sz w:val="24"/>
          <w:szCs w:val="24"/>
        </w:rPr>
        <w:t>Temptations</w:t>
      </w:r>
      <w:proofErr w:type="spellEnd"/>
      <w:r w:rsidRPr="001B0896">
        <w:rPr>
          <w:rFonts w:ascii="Times New Roman" w:hAnsi="Times New Roman"/>
          <w:color w:val="767171"/>
          <w:spacing w:val="20"/>
          <w:sz w:val="24"/>
          <w:szCs w:val="24"/>
        </w:rPr>
        <w:t xml:space="preserve"> del grupo mexicano Original Resorts, el Hotel Hilton La Romana y el proyecto Latitud 18 en Santo Domingo con los Hoteles </w:t>
      </w:r>
      <w:proofErr w:type="spellStart"/>
      <w:r w:rsidRPr="001B0896">
        <w:rPr>
          <w:rFonts w:ascii="Times New Roman" w:hAnsi="Times New Roman"/>
          <w:color w:val="767171"/>
          <w:spacing w:val="20"/>
          <w:sz w:val="24"/>
          <w:szCs w:val="24"/>
        </w:rPr>
        <w:t>Aloft</w:t>
      </w:r>
      <w:proofErr w:type="spellEnd"/>
      <w:r w:rsidRPr="001B0896">
        <w:rPr>
          <w:rFonts w:ascii="Times New Roman" w:hAnsi="Times New Roman"/>
          <w:color w:val="767171"/>
          <w:spacing w:val="20"/>
          <w:sz w:val="24"/>
          <w:szCs w:val="24"/>
        </w:rPr>
        <w:t xml:space="preserve"> y AC </w:t>
      </w:r>
      <w:proofErr w:type="spellStart"/>
      <w:r w:rsidRPr="001B0896">
        <w:rPr>
          <w:rFonts w:ascii="Times New Roman" w:hAnsi="Times New Roman"/>
          <w:color w:val="767171"/>
          <w:spacing w:val="20"/>
          <w:sz w:val="24"/>
          <w:szCs w:val="24"/>
        </w:rPr>
        <w:t>Marriott</w:t>
      </w:r>
      <w:proofErr w:type="spellEnd"/>
      <w:r w:rsidRPr="001B0896">
        <w:rPr>
          <w:rFonts w:ascii="Times New Roman" w:hAnsi="Times New Roman"/>
          <w:color w:val="767171"/>
          <w:spacing w:val="20"/>
          <w:sz w:val="24"/>
          <w:szCs w:val="24"/>
        </w:rPr>
        <w:t xml:space="preserve">. </w:t>
      </w:r>
    </w:p>
    <w:p w14:paraId="3A19FE83"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lastRenderedPageBreak/>
        <w:t xml:space="preserve">En más avanzado estado de construcción se encuentran el Hotel Margarita </w:t>
      </w:r>
      <w:proofErr w:type="spellStart"/>
      <w:r w:rsidRPr="001B0896">
        <w:rPr>
          <w:rFonts w:ascii="Times New Roman" w:hAnsi="Times New Roman"/>
          <w:color w:val="767171"/>
          <w:spacing w:val="20"/>
          <w:sz w:val="24"/>
          <w:szCs w:val="24"/>
        </w:rPr>
        <w:t>Ville</w:t>
      </w:r>
      <w:proofErr w:type="spellEnd"/>
      <w:r w:rsidRPr="001B0896">
        <w:rPr>
          <w:rFonts w:ascii="Times New Roman" w:hAnsi="Times New Roman"/>
          <w:color w:val="767171"/>
          <w:spacing w:val="20"/>
          <w:sz w:val="24"/>
          <w:szCs w:val="24"/>
        </w:rPr>
        <w:t xml:space="preserve"> en </w:t>
      </w:r>
      <w:proofErr w:type="spellStart"/>
      <w:r w:rsidRPr="001B0896">
        <w:rPr>
          <w:rFonts w:ascii="Times New Roman" w:hAnsi="Times New Roman"/>
          <w:color w:val="767171"/>
          <w:spacing w:val="20"/>
          <w:sz w:val="24"/>
          <w:szCs w:val="24"/>
        </w:rPr>
        <w:t>Cap</w:t>
      </w:r>
      <w:proofErr w:type="spellEnd"/>
      <w:r w:rsidRPr="001B0896">
        <w:rPr>
          <w:rFonts w:ascii="Times New Roman" w:hAnsi="Times New Roman"/>
          <w:color w:val="767171"/>
          <w:spacing w:val="20"/>
          <w:sz w:val="24"/>
          <w:szCs w:val="24"/>
        </w:rPr>
        <w:t xml:space="preserve"> Cana y el puerto turístico Taino </w:t>
      </w:r>
      <w:proofErr w:type="spellStart"/>
      <w:r w:rsidRPr="001B0896">
        <w:rPr>
          <w:rFonts w:ascii="Times New Roman" w:hAnsi="Times New Roman"/>
          <w:color w:val="767171"/>
          <w:spacing w:val="20"/>
          <w:sz w:val="24"/>
          <w:szCs w:val="24"/>
        </w:rPr>
        <w:t>Bay</w:t>
      </w:r>
      <w:proofErr w:type="spellEnd"/>
      <w:r w:rsidRPr="001B0896">
        <w:rPr>
          <w:rFonts w:ascii="Times New Roman" w:hAnsi="Times New Roman"/>
          <w:color w:val="767171"/>
          <w:spacing w:val="20"/>
          <w:sz w:val="24"/>
          <w:szCs w:val="24"/>
        </w:rPr>
        <w:t xml:space="preserve">, ambos en agenda para iniciar operaciones en este mismo 2021.  Estos proyectos aportarán al portafolio habitacional del país unas 1,700 nuevas habitaciones, así como un moderno puerto turístico en la zona Norte que estima recibir 750,000 </w:t>
      </w:r>
      <w:proofErr w:type="spellStart"/>
      <w:r w:rsidRPr="001B0896">
        <w:rPr>
          <w:rFonts w:ascii="Times New Roman" w:hAnsi="Times New Roman"/>
          <w:color w:val="767171"/>
          <w:spacing w:val="20"/>
          <w:sz w:val="24"/>
          <w:szCs w:val="24"/>
        </w:rPr>
        <w:t>cruceristas</w:t>
      </w:r>
      <w:proofErr w:type="spellEnd"/>
      <w:r w:rsidRPr="001B0896">
        <w:rPr>
          <w:rFonts w:ascii="Times New Roman" w:hAnsi="Times New Roman"/>
          <w:color w:val="767171"/>
          <w:spacing w:val="20"/>
          <w:sz w:val="24"/>
          <w:szCs w:val="24"/>
        </w:rPr>
        <w:t xml:space="preserve"> en su primer año de operación.</w:t>
      </w:r>
    </w:p>
    <w:p w14:paraId="1245AEC6"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En el marco de nuestra participación en FITUR 2021, se realizaron encuentros con empresas claves del sector turismo, a través de los cuales se obtuvieron los siguientes resultados: monto de inversión por US$1,148 millones, para desarrollo de nuevos hoteles y reformas en estructuras hoteleras existentes en República Dominicana; financiamientos identificados y en proceso de negociación por un valor total de US$847 millones.</w:t>
      </w:r>
    </w:p>
    <w:p w14:paraId="164EAAD6" w14:textId="1452E884"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Producto de este esfuerzo, el año 2021 tra</w:t>
      </w:r>
      <w:r w:rsidR="00E0547B" w:rsidRPr="001B0896">
        <w:rPr>
          <w:rFonts w:ascii="Times New Roman" w:hAnsi="Times New Roman"/>
          <w:color w:val="767171"/>
          <w:spacing w:val="20"/>
          <w:sz w:val="24"/>
          <w:szCs w:val="24"/>
        </w:rPr>
        <w:t xml:space="preserve">jo </w:t>
      </w:r>
      <w:r w:rsidRPr="001B0896">
        <w:rPr>
          <w:rFonts w:ascii="Times New Roman" w:hAnsi="Times New Roman"/>
          <w:color w:val="767171"/>
          <w:spacing w:val="20"/>
          <w:sz w:val="24"/>
          <w:szCs w:val="24"/>
        </w:rPr>
        <w:t>consigo numerosos proyectos relacionados a la incursión de nuevas cadenas hoteleras al país, grupos emergentes de primera línea mundial, que aportarán más de 5,065 habitaciones a la oferta hotelera de la República Dominicana.</w:t>
      </w:r>
    </w:p>
    <w:p w14:paraId="62FCA377"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En el año 2021 se lograron aprobaciones que superan los USD$30 millones. Dentro de los proyectos aprobados en este año está el financiamiento por un monto de US$7.8 millones a la sociedad </w:t>
      </w:r>
      <w:proofErr w:type="spellStart"/>
      <w:r w:rsidRPr="001B0896">
        <w:rPr>
          <w:rFonts w:ascii="Times New Roman" w:hAnsi="Times New Roman"/>
          <w:color w:val="767171"/>
          <w:spacing w:val="20"/>
          <w:sz w:val="24"/>
          <w:szCs w:val="24"/>
        </w:rPr>
        <w:t>Riverhome</w:t>
      </w:r>
      <w:proofErr w:type="spellEnd"/>
      <w:r w:rsidRPr="001B0896">
        <w:rPr>
          <w:rFonts w:ascii="Times New Roman" w:hAnsi="Times New Roman"/>
          <w:color w:val="767171"/>
          <w:spacing w:val="20"/>
          <w:sz w:val="24"/>
          <w:szCs w:val="24"/>
        </w:rPr>
        <w:t xml:space="preserve"> Capital SRL, empresa creada para el desarrollo de un hotel en La Romana de 126 habitaciones bajo la marca Hilton Garden </w:t>
      </w:r>
      <w:proofErr w:type="spellStart"/>
      <w:r w:rsidRPr="001B0896">
        <w:rPr>
          <w:rFonts w:ascii="Times New Roman" w:hAnsi="Times New Roman"/>
          <w:color w:val="767171"/>
          <w:spacing w:val="20"/>
          <w:sz w:val="24"/>
          <w:szCs w:val="24"/>
        </w:rPr>
        <w:t>Inn</w:t>
      </w:r>
      <w:proofErr w:type="spellEnd"/>
      <w:r w:rsidRPr="001B0896">
        <w:rPr>
          <w:rFonts w:ascii="Times New Roman" w:hAnsi="Times New Roman"/>
          <w:color w:val="767171"/>
          <w:spacing w:val="20"/>
          <w:sz w:val="24"/>
          <w:szCs w:val="24"/>
        </w:rPr>
        <w:t>, proyecto que suma una inversión total de US$17 millones.</w:t>
      </w:r>
    </w:p>
    <w:p w14:paraId="1117F043" w14:textId="77777777" w:rsidR="00E631CE" w:rsidRPr="001B0896" w:rsidRDefault="00E631CE" w:rsidP="00E631CE">
      <w:pPr>
        <w:spacing w:afterLines="160" w:after="384" w:line="360" w:lineRule="auto"/>
        <w:rPr>
          <w:rFonts w:ascii="Times New Roman" w:eastAsia="Times New Roman" w:hAnsi="Times New Roman"/>
          <w:color w:val="767171"/>
          <w:spacing w:val="2"/>
          <w:sz w:val="24"/>
          <w:szCs w:val="24"/>
          <w:lang w:val="es-DO"/>
        </w:rPr>
      </w:pPr>
      <w:r w:rsidRPr="001B0896">
        <w:rPr>
          <w:rFonts w:ascii="Times New Roman" w:hAnsi="Times New Roman"/>
          <w:color w:val="767171"/>
          <w:spacing w:val="20"/>
          <w:sz w:val="24"/>
          <w:szCs w:val="24"/>
        </w:rPr>
        <w:lastRenderedPageBreak/>
        <w:t xml:space="preserve">Asimismo, el grupo RCD, a través de la sociedad </w:t>
      </w:r>
      <w:proofErr w:type="spellStart"/>
      <w:r w:rsidRPr="001B0896">
        <w:rPr>
          <w:rFonts w:ascii="Times New Roman" w:hAnsi="Times New Roman"/>
          <w:color w:val="767171"/>
          <w:spacing w:val="20"/>
          <w:sz w:val="24"/>
          <w:szCs w:val="24"/>
        </w:rPr>
        <w:t>Limburg</w:t>
      </w:r>
      <w:proofErr w:type="spellEnd"/>
      <w:r w:rsidRPr="001B0896">
        <w:rPr>
          <w:rFonts w:ascii="Times New Roman" w:hAnsi="Times New Roman"/>
          <w:color w:val="767171"/>
          <w:spacing w:val="20"/>
          <w:sz w:val="24"/>
          <w:szCs w:val="24"/>
        </w:rPr>
        <w:t xml:space="preserve"> </w:t>
      </w:r>
      <w:proofErr w:type="spellStart"/>
      <w:r w:rsidRPr="001B0896">
        <w:rPr>
          <w:rFonts w:ascii="Times New Roman" w:hAnsi="Times New Roman"/>
          <w:color w:val="767171"/>
          <w:spacing w:val="20"/>
          <w:sz w:val="24"/>
          <w:szCs w:val="24"/>
        </w:rPr>
        <w:t>Investments</w:t>
      </w:r>
      <w:proofErr w:type="spellEnd"/>
      <w:r w:rsidRPr="001B0896">
        <w:rPr>
          <w:rFonts w:ascii="Times New Roman" w:hAnsi="Times New Roman"/>
          <w:color w:val="767171"/>
          <w:spacing w:val="20"/>
          <w:sz w:val="24"/>
          <w:szCs w:val="24"/>
        </w:rPr>
        <w:t xml:space="preserve">, SRL, solicitó financiamiento de US$45 millones para la construcción y equipamiento de los hoteles AC Marriot (208 habitaciones) y </w:t>
      </w:r>
      <w:proofErr w:type="spellStart"/>
      <w:r w:rsidRPr="001B0896">
        <w:rPr>
          <w:rFonts w:ascii="Times New Roman" w:hAnsi="Times New Roman"/>
          <w:color w:val="767171"/>
          <w:spacing w:val="20"/>
          <w:sz w:val="24"/>
          <w:szCs w:val="24"/>
        </w:rPr>
        <w:t>Aloft</w:t>
      </w:r>
      <w:proofErr w:type="spellEnd"/>
      <w:r w:rsidRPr="001B0896">
        <w:rPr>
          <w:rFonts w:ascii="Times New Roman" w:hAnsi="Times New Roman"/>
          <w:color w:val="767171"/>
          <w:spacing w:val="20"/>
          <w:sz w:val="24"/>
          <w:szCs w:val="24"/>
        </w:rPr>
        <w:t xml:space="preserve"> </w:t>
      </w:r>
      <w:proofErr w:type="spellStart"/>
      <w:r w:rsidRPr="001B0896">
        <w:rPr>
          <w:rFonts w:ascii="Times New Roman" w:hAnsi="Times New Roman"/>
          <w:color w:val="767171"/>
          <w:spacing w:val="20"/>
          <w:sz w:val="24"/>
          <w:szCs w:val="24"/>
        </w:rPr>
        <w:t>by</w:t>
      </w:r>
      <w:proofErr w:type="spellEnd"/>
      <w:r w:rsidRPr="001B0896">
        <w:rPr>
          <w:rFonts w:ascii="Times New Roman" w:hAnsi="Times New Roman"/>
          <w:color w:val="767171"/>
          <w:spacing w:val="20"/>
          <w:sz w:val="24"/>
          <w:szCs w:val="24"/>
        </w:rPr>
        <w:t xml:space="preserve"> </w:t>
      </w:r>
      <w:proofErr w:type="spellStart"/>
      <w:r w:rsidRPr="001B0896">
        <w:rPr>
          <w:rFonts w:ascii="Times New Roman" w:hAnsi="Times New Roman"/>
          <w:color w:val="767171"/>
          <w:spacing w:val="20"/>
          <w:sz w:val="24"/>
          <w:szCs w:val="24"/>
        </w:rPr>
        <w:t>Marriott</w:t>
      </w:r>
      <w:proofErr w:type="spellEnd"/>
      <w:r w:rsidRPr="001B0896">
        <w:rPr>
          <w:rFonts w:ascii="Times New Roman" w:hAnsi="Times New Roman"/>
          <w:color w:val="767171"/>
          <w:spacing w:val="20"/>
          <w:sz w:val="24"/>
          <w:szCs w:val="24"/>
        </w:rPr>
        <w:t xml:space="preserve"> (198 habitaciones) a ser desarrollados en Santo Domingo. La inversión total del proyecto suma USD$72.7 millones. La operación fue sindicada entre el Banco Popular y Banreservas, con facilidad aprobada por un monto de USD$21.7 millones. Ambos proyectos generarán aproximadamente unos 1,000 empleos directos y 2,000 indirectos.</w:t>
      </w:r>
      <w:r w:rsidRPr="001B0896">
        <w:rPr>
          <w:color w:val="767171"/>
          <w:spacing w:val="2"/>
          <w:szCs w:val="24"/>
        </w:rPr>
        <w:br w:type="page"/>
      </w:r>
    </w:p>
    <w:p w14:paraId="5E69009F" w14:textId="77777777" w:rsidR="00E631CE" w:rsidRPr="001B0896" w:rsidRDefault="00E631CE" w:rsidP="00E631CE">
      <w:pPr>
        <w:pStyle w:val="Ttulo1"/>
        <w:numPr>
          <w:ilvl w:val="0"/>
          <w:numId w:val="1"/>
        </w:numPr>
        <w:ind w:left="450" w:hanging="360"/>
      </w:pPr>
      <w:bookmarkStart w:id="43" w:name="_Toc92216434"/>
      <w:bookmarkStart w:id="44" w:name="_Toc92226185"/>
      <w:r w:rsidRPr="001B0896">
        <w:lastRenderedPageBreak/>
        <w:t>RESULTADOS ÁREAS TRANSVERSALES Y DE APOYO</w:t>
      </w:r>
      <w:bookmarkEnd w:id="43"/>
      <w:bookmarkEnd w:id="44"/>
    </w:p>
    <w:p w14:paraId="7D49BC22" w14:textId="77777777" w:rsidR="00E631CE" w:rsidRPr="001B0896" w:rsidRDefault="00E631CE" w:rsidP="00E631CE">
      <w:pPr>
        <w:rPr>
          <w:rFonts w:ascii="Times New Roman" w:hAnsi="Times New Roman"/>
          <w:color w:val="767171"/>
        </w:rPr>
      </w:pPr>
      <w:r w:rsidRPr="001B0896">
        <w:rPr>
          <w:rFonts w:ascii="Times New Roman" w:hAnsi="Times New Roman"/>
          <w:noProof/>
          <w:color w:val="767171"/>
          <w:lang w:val="en-US"/>
        </w:rPr>
        <mc:AlternateContent>
          <mc:Choice Requires="wps">
            <w:drawing>
              <wp:anchor distT="0" distB="0" distL="114300" distR="114300" simplePos="0" relativeHeight="251687936" behindDoc="0" locked="0" layoutInCell="1" allowOverlap="1" wp14:anchorId="794523A8" wp14:editId="6C75CD14">
                <wp:simplePos x="0" y="0"/>
                <wp:positionH relativeFrom="margin">
                  <wp:posOffset>2280285</wp:posOffset>
                </wp:positionH>
                <wp:positionV relativeFrom="paragraph">
                  <wp:posOffset>15875</wp:posOffset>
                </wp:positionV>
                <wp:extent cx="463550" cy="0"/>
                <wp:effectExtent l="22860" t="15875" r="18415" b="22225"/>
                <wp:wrapNone/>
                <wp:docPr id="12"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0EADD" id="Conector recto 4"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9.55pt,1.25pt" to="216.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" strokecolor="#ee2a24" strokeweight="2.25pt">
                <v:stroke joinstyle="miter"/>
                <w10:wrap anchorx="margin"/>
              </v:line>
            </w:pict>
          </mc:Fallback>
        </mc:AlternateContent>
      </w:r>
    </w:p>
    <w:p w14:paraId="10C36588" w14:textId="77777777" w:rsidR="00E631CE" w:rsidRPr="001B0896" w:rsidRDefault="00E631CE" w:rsidP="00E631CE">
      <w:pPr>
        <w:jc w:val="center"/>
        <w:rPr>
          <w:rFonts w:ascii="Times New Roman" w:hAnsi="Times New Roman"/>
          <w:color w:val="767171"/>
          <w:spacing w:val="20"/>
          <w:sz w:val="24"/>
          <w:szCs w:val="36"/>
        </w:rPr>
      </w:pPr>
      <w:r w:rsidRPr="001B0896">
        <w:rPr>
          <w:rFonts w:ascii="Times New Roman" w:hAnsi="Times New Roman"/>
          <w:color w:val="767171"/>
          <w:spacing w:val="20"/>
          <w:sz w:val="24"/>
          <w:szCs w:val="36"/>
        </w:rPr>
        <w:t>Memoria institucional 2021</w:t>
      </w:r>
    </w:p>
    <w:p w14:paraId="331ACB94" w14:textId="77777777" w:rsidR="00E631CE" w:rsidRPr="001B0896" w:rsidRDefault="00E631CE" w:rsidP="00E631CE">
      <w:pPr>
        <w:spacing w:line="360" w:lineRule="auto"/>
        <w:rPr>
          <w:rFonts w:ascii="Times New Roman" w:hAnsi="Times New Roman"/>
          <w:sz w:val="16"/>
          <w:szCs w:val="16"/>
        </w:rPr>
      </w:pPr>
    </w:p>
    <w:p w14:paraId="2600B6F2" w14:textId="77777777" w:rsidR="00E631CE" w:rsidRPr="001B0896" w:rsidRDefault="00E631CE" w:rsidP="00E631CE">
      <w:pPr>
        <w:pStyle w:val="Ttulo2"/>
        <w:numPr>
          <w:ilvl w:val="1"/>
          <w:numId w:val="9"/>
        </w:numPr>
        <w:spacing w:before="0" w:after="160" w:line="360" w:lineRule="auto"/>
      </w:pPr>
      <w:bookmarkStart w:id="45" w:name="_Toc92216435"/>
      <w:bookmarkStart w:id="46" w:name="_Toc92226186"/>
      <w:r w:rsidRPr="001B0896">
        <w:t>Gestión Apoyo Administrativo</w:t>
      </w:r>
      <w:bookmarkEnd w:id="45"/>
      <w:bookmarkEnd w:id="46"/>
    </w:p>
    <w:p w14:paraId="04773503" w14:textId="77777777" w:rsidR="00E631CE" w:rsidRPr="001B0896" w:rsidRDefault="00E631CE" w:rsidP="00E631CE">
      <w:pPr>
        <w:spacing w:line="360" w:lineRule="auto"/>
        <w:rPr>
          <w:rFonts w:ascii="Times New Roman" w:hAnsi="Times New Roman"/>
          <w:color w:val="767171"/>
          <w:sz w:val="16"/>
          <w:szCs w:val="16"/>
        </w:rPr>
      </w:pPr>
    </w:p>
    <w:p w14:paraId="6C39786C"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En relación a las áreas de apoyo administrativo, las mismas tuvieron un notable desempeño, lo cual contribuyó a mantener la eficiencia en la gestión institucional del banco, garantizando el cumplimiento de los procesos y procedimientos en cada servicio brindado, a la vez que se aseguró el mantenimiento de la calidad como elemento fundamental del fortalecimiento organizacional. A raíz de la nueva normalidad generada por el toque de queda, establecido por el gobierno para enfrentar la pandemia del COVID-19, el banco ajustó su modelo de negocios e incorporó las tecnologías de la información, ciberseguridad y las telecomunicaciones, para poder lograr una mayor eficiencia y productividad en sus servicios, a través de la reducción de costos, disminución del tiempo de respuesta a los clientes, para una mejora en su satisfacción y experiencia del servicio que reciben.</w:t>
      </w:r>
    </w:p>
    <w:p w14:paraId="73CDBA3F"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Durante el 2021, se realizó un riguroso proceso de monitoreo y seguimiento a los indicadores que miden el desempeño de la gestión, 320 de estos fueron al banco y 155 a las empresas subsidiarias, relacionados a los procesos más estratégicos e importantes, con el objetivo de alinearlos con la estrategia y el modelo de negocios. En ese mismo orden, se participó en la medición de monitoreo de indicadores de procesos, KPI y acuerdos de nivel de servicio, SLA, en proyectos de impacto relacionados directamente a las iniciativas </w:t>
      </w:r>
      <w:r w:rsidRPr="001B0896">
        <w:rPr>
          <w:rFonts w:ascii="Times New Roman" w:hAnsi="Times New Roman"/>
          <w:color w:val="767171"/>
          <w:spacing w:val="20"/>
          <w:sz w:val="24"/>
          <w:szCs w:val="24"/>
        </w:rPr>
        <w:lastRenderedPageBreak/>
        <w:t>estratégicas, como son: Expo Fomenta Pymes, Gestión de Turnos y Mejoras al Servicio al Cliente Interno y Externo. Además, se actualizaron y formalizaron 25 acuerdos de nivel de servicio: 18 del banco y 7 de empresas subsidiarias. Hemos apoyamos alrededor de 27 proyectos operativos y estratégicos para el Banco y las empresas subsidiarias.</w:t>
      </w:r>
    </w:p>
    <w:p w14:paraId="366EFC32"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Como apoyo a los objetivos de nuestra organización enfocados a la mejora y eficiencia de nuestros procesos, tenemos en curso tres proyectos:</w:t>
      </w:r>
    </w:p>
    <w:p w14:paraId="5ACDE700" w14:textId="77777777" w:rsidR="00E631CE" w:rsidRPr="001B0896" w:rsidRDefault="00E631CE" w:rsidP="00E631CE">
      <w:pPr>
        <w:pStyle w:val="Prrafodelista"/>
        <w:numPr>
          <w:ilvl w:val="0"/>
          <w:numId w:val="4"/>
        </w:num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La escuela Lean que consiste en una plataforma didáctica virtual, con el objetivo de fomentar la cultura de mejora </w:t>
      </w:r>
      <w:proofErr w:type="gramStart"/>
      <w:r w:rsidRPr="001B0896">
        <w:rPr>
          <w:rFonts w:ascii="Times New Roman" w:hAnsi="Times New Roman"/>
          <w:color w:val="767171"/>
          <w:spacing w:val="20"/>
          <w:sz w:val="24"/>
          <w:szCs w:val="24"/>
        </w:rPr>
        <w:t>continua</w:t>
      </w:r>
      <w:proofErr w:type="gramEnd"/>
      <w:r w:rsidRPr="001B0896">
        <w:rPr>
          <w:rFonts w:ascii="Times New Roman" w:hAnsi="Times New Roman"/>
          <w:color w:val="767171"/>
          <w:spacing w:val="20"/>
          <w:sz w:val="24"/>
          <w:szCs w:val="24"/>
        </w:rPr>
        <w:t xml:space="preserve"> basado en la filosofía Lean </w:t>
      </w:r>
      <w:proofErr w:type="spellStart"/>
      <w:r w:rsidRPr="001B0896">
        <w:rPr>
          <w:rFonts w:ascii="Times New Roman" w:hAnsi="Times New Roman"/>
          <w:color w:val="767171"/>
          <w:spacing w:val="20"/>
          <w:sz w:val="24"/>
          <w:szCs w:val="24"/>
        </w:rPr>
        <w:t>Manufacturing</w:t>
      </w:r>
      <w:proofErr w:type="spellEnd"/>
      <w:r w:rsidRPr="001B0896">
        <w:rPr>
          <w:rFonts w:ascii="Times New Roman" w:hAnsi="Times New Roman"/>
          <w:color w:val="767171"/>
          <w:spacing w:val="20"/>
          <w:sz w:val="24"/>
          <w:szCs w:val="24"/>
        </w:rPr>
        <w:t xml:space="preserve">. </w:t>
      </w:r>
    </w:p>
    <w:p w14:paraId="2823C6DD" w14:textId="77777777" w:rsidR="00E631CE" w:rsidRPr="001B0896" w:rsidRDefault="00E631CE" w:rsidP="00E631CE">
      <w:pPr>
        <w:pStyle w:val="Prrafodelista"/>
        <w:numPr>
          <w:ilvl w:val="0"/>
          <w:numId w:val="4"/>
        </w:num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Proyecto Evolución busca la transformación de los principales procesos de la institución haciéndolos más eficientes e innovadores, disminuyendo los tiempos de ejecución y enfocados a mejorar el servicio a nuestros clientes.</w:t>
      </w:r>
    </w:p>
    <w:p w14:paraId="7F90DA48" w14:textId="77777777" w:rsidR="00E631CE" w:rsidRPr="001B0896" w:rsidRDefault="00E631CE" w:rsidP="00E631CE">
      <w:pPr>
        <w:pStyle w:val="Prrafodelista"/>
        <w:numPr>
          <w:ilvl w:val="0"/>
          <w:numId w:val="4"/>
        </w:num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Robótica de Procesos (RPA) consiste en aumentar la eficiencia de la institución a través del uso de la tecnología de RPA como parte de las mejores prácticas de innovación en el sector financiero. </w:t>
      </w:r>
    </w:p>
    <w:p w14:paraId="7312FFBA"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También, se implementaron cinco nuevos macro procesos como requisito para el alcance de un Sistema de Gestión de Calidad basado en la Norma ISO9001:2015, estos macro procesos son: i) Gestión Excelencia Operacional, ii) Gestión del Capital Humano, iii) Gestión Operativa, iv) Administración del Efectivo, y v) Gestión del Cliente; todos con un nivel de implementación de un 81%, y sin desviaciones respecto a lo planificado. Se realizaron adecuaciones y revisiones a </w:t>
      </w:r>
      <w:r w:rsidRPr="001B0896">
        <w:rPr>
          <w:rFonts w:ascii="Times New Roman" w:hAnsi="Times New Roman"/>
          <w:color w:val="767171"/>
          <w:spacing w:val="20"/>
          <w:sz w:val="24"/>
          <w:szCs w:val="24"/>
        </w:rPr>
        <w:lastRenderedPageBreak/>
        <w:t>los procesos del Proyecto Trabajo Remoto, actualizando el 95% de los procesos implementados a partir de la pandemia.</w:t>
      </w:r>
    </w:p>
    <w:p w14:paraId="3AE98146"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Asimismo, se fortaleció la estructura general del banco y empresas subsidiarias para apoyar la estrategia institucional, de cara a la gestión integral de riesgos, seguridad cibernética y de la información, control interno, gobierno corporativo, tecnología, canales, administración de fondo de pensiones, y de fideicomiso público y privado, así como la gestión comercial. Con estas acciones se aseguró el cumplimiento de los objetivos institucionales, mayor eficiencia en la toma de decisiones y fueron potencializadas las ventajas competitivas del banco en el sector.</w:t>
      </w:r>
    </w:p>
    <w:p w14:paraId="2B113A44"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Para el banco y las empresas subsidiarias las encuestas marcan un nivel de satisfacción promedio a clientes internos y externos de un 93.2%, y en aseguramiento de servicio, un índice promedio general de 92.7%.</w:t>
      </w:r>
    </w:p>
    <w:p w14:paraId="4EF50264" w14:textId="77777777" w:rsidR="00E631CE" w:rsidRPr="001B0896" w:rsidRDefault="00E631CE" w:rsidP="00E631CE">
      <w:pPr>
        <w:pStyle w:val="Ttulo2"/>
        <w:numPr>
          <w:ilvl w:val="1"/>
          <w:numId w:val="9"/>
        </w:numPr>
        <w:spacing w:before="0" w:after="160" w:line="360" w:lineRule="auto"/>
      </w:pPr>
      <w:bookmarkStart w:id="47" w:name="_Toc92216436"/>
      <w:bookmarkStart w:id="48" w:name="_Toc92226187"/>
      <w:r w:rsidRPr="001B0896">
        <w:t>Capital Humano</w:t>
      </w:r>
      <w:bookmarkEnd w:id="47"/>
      <w:bookmarkEnd w:id="48"/>
    </w:p>
    <w:p w14:paraId="28699F4E" w14:textId="77777777" w:rsidR="00E631CE" w:rsidRPr="001B0896" w:rsidRDefault="00E631CE" w:rsidP="00E631CE">
      <w:pPr>
        <w:spacing w:line="360" w:lineRule="auto"/>
        <w:rPr>
          <w:rFonts w:ascii="Times New Roman" w:hAnsi="Times New Roman"/>
          <w:sz w:val="16"/>
          <w:szCs w:val="16"/>
        </w:rPr>
      </w:pPr>
    </w:p>
    <w:p w14:paraId="7711392B"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Capital Humano fortaleció la gestión del talento humano y la cultura organizacional, ejecutó un extenso programa de capacitación que incluye la cultura de negocios, así como la cultura digital para potenciar el uso de la tecnología y profundizó los planes de compensación y reconocimiento fundamentados en el logro. Dando continuidad a las mejoras iniciadas en el 2020 en torno a transformación digital, con el objetivo de simplificar y automatizar los procesos, se implementó el expediente digital incorporando el uso de </w:t>
      </w:r>
      <w:proofErr w:type="spellStart"/>
      <w:r w:rsidRPr="001B0896">
        <w:rPr>
          <w:rFonts w:ascii="Times New Roman" w:hAnsi="Times New Roman"/>
          <w:color w:val="767171"/>
          <w:spacing w:val="20"/>
          <w:sz w:val="24"/>
          <w:szCs w:val="24"/>
        </w:rPr>
        <w:t>Viafirma</w:t>
      </w:r>
      <w:proofErr w:type="spellEnd"/>
      <w:r w:rsidRPr="001B0896">
        <w:rPr>
          <w:rFonts w:ascii="Times New Roman" w:hAnsi="Times New Roman"/>
          <w:color w:val="767171"/>
          <w:spacing w:val="20"/>
          <w:sz w:val="24"/>
          <w:szCs w:val="24"/>
        </w:rPr>
        <w:t xml:space="preserve"> en la documentación que conforma el expediente de </w:t>
      </w:r>
      <w:r w:rsidRPr="001B0896">
        <w:rPr>
          <w:rFonts w:ascii="Times New Roman" w:hAnsi="Times New Roman"/>
          <w:color w:val="767171"/>
          <w:spacing w:val="20"/>
          <w:sz w:val="24"/>
          <w:szCs w:val="24"/>
        </w:rPr>
        <w:lastRenderedPageBreak/>
        <w:t xml:space="preserve">candidatos, impactando de manera significativa en la eficiencia, tiempo de respuesta y reducción del uso del papel. A la vez, se ha digitalizado los expedientes del personal concentrando toda la información disponible en la plataforma digital </w:t>
      </w:r>
      <w:proofErr w:type="spellStart"/>
      <w:r w:rsidRPr="001B0896">
        <w:rPr>
          <w:rFonts w:ascii="Times New Roman" w:hAnsi="Times New Roman"/>
          <w:color w:val="767171"/>
          <w:spacing w:val="20"/>
          <w:sz w:val="24"/>
          <w:szCs w:val="24"/>
        </w:rPr>
        <w:t>Onbase</w:t>
      </w:r>
      <w:proofErr w:type="spellEnd"/>
      <w:r w:rsidRPr="001B0896">
        <w:rPr>
          <w:rFonts w:ascii="Times New Roman" w:hAnsi="Times New Roman"/>
          <w:color w:val="767171"/>
          <w:spacing w:val="20"/>
          <w:sz w:val="24"/>
          <w:szCs w:val="24"/>
        </w:rPr>
        <w:t>, reduciendo la necesidad de impresión de estos.</w:t>
      </w:r>
    </w:p>
    <w:p w14:paraId="6ACB0B8C"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De igual manera, continuamos con la implementación de entrevistas e inducción al personal de nuevo ingreso 100% virtuales, permitiendo mantener un ambiente seguro para nuestro equipo, a la par que garantizamos proveer a las áreas del talento idóneo para el cumplimiento de sus objetivos.  A la fecha hemos ingresado 1,285 nuevos colaboradores y realizado 2,396 promociones internas. Los colaboradores de nuevo ingreso que recibieron la capacitación de ¨Nuestras Reservas¨ suman 903, mientras que 356 colaboradores de nuevo ingreso recibieron inducciones regulatorias.</w:t>
      </w:r>
    </w:p>
    <w:p w14:paraId="0A86ED7A"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Atendiendo al Instructivo No. 010/17 de la Superintendencia de Bancos, que procura sanas prácticas de Gobierno Corporativo, el 100% de los empleados de nuevo ingreso son evaluados en su idoneidad al momento de su vinculación. Para este año 2021 estamos llevando a cabo la evaluación de idoneidad a todo el personal a través del Robot </w:t>
      </w:r>
      <w:proofErr w:type="spellStart"/>
      <w:r w:rsidRPr="001B0896">
        <w:rPr>
          <w:rFonts w:ascii="Times New Roman" w:hAnsi="Times New Roman"/>
          <w:color w:val="767171"/>
          <w:spacing w:val="20"/>
          <w:sz w:val="24"/>
          <w:szCs w:val="24"/>
        </w:rPr>
        <w:t>Onbase</w:t>
      </w:r>
      <w:proofErr w:type="spellEnd"/>
      <w:r w:rsidRPr="001B0896">
        <w:rPr>
          <w:rFonts w:ascii="Times New Roman" w:hAnsi="Times New Roman"/>
          <w:color w:val="767171"/>
          <w:spacing w:val="20"/>
          <w:sz w:val="24"/>
          <w:szCs w:val="24"/>
        </w:rPr>
        <w:t>, cuya búsqueda facilita la localización de incidencias, reduce tareas manuales y repetitivas.</w:t>
      </w:r>
    </w:p>
    <w:p w14:paraId="75511F48"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En el año 2021, el programa de capacitación impactó a 9,936 colaboradores, dentro de los cuales 14,928 empleados recibieron entrenamiento en apoyo a diversos proyectos; 11,822 relacionados con las disciplinas de negocios, 32,304 relacionado con el desarrollo de competencias, mientras que los programas de maestrías coordinadas se concedieron a 52 personas. </w:t>
      </w:r>
    </w:p>
    <w:p w14:paraId="442A15AD"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lastRenderedPageBreak/>
        <w:t xml:space="preserve">Nos mantenemos fomentando una cultura inclusiva en Banreservas, dando continuidad a la incorporación de recursos en igualdad de condiciones y en cumplimiento a la Ley 5-13 sobre los derechos de las personas con discapacidad. La organización cuenta con 121 empleados con discapacidad certificados por el CONADIS, los cuales ocupan puestos en la organización acorde a sus capacidades. Igualmente, contamos con un programa de pasantías en todo el territorio nacional, tanto en áreas administrativas como en oficinas comerciales. Muchos de los pasantes han sido fijados para ocupar puestos vacantes acordes a su perfil.   </w:t>
      </w:r>
    </w:p>
    <w:p w14:paraId="1D8E65E4"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Este año se ha iniciado el diagnóstico y alineación para la transformación cultural en Banreservas, a fin de definir e implementar acciones que permitan aumentar el perfil innovador en la organización, acelerar la transformación digital e impulsar el modelo de excelencia en el servicio, con miras a continuar siendo el referente bancario de la República Dominicana. </w:t>
      </w:r>
    </w:p>
    <w:p w14:paraId="7AE79FB6"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Con el propósito de promover una cultura de reconocimiento al talento de aquellos colaboradores que excedan las expectativas en sus funciones y que modelen consistentemente los comportamientos apreciados como positivos por la institución hemos reconocido a 6,239 colaboradores al buen trabajo y 123 colaboradores nominados a la Excelencia. A la vez, se generaron 26 nominaciones en la categoría </w:t>
      </w:r>
      <w:proofErr w:type="spellStart"/>
      <w:r w:rsidRPr="001B0896">
        <w:rPr>
          <w:rFonts w:ascii="Times New Roman" w:hAnsi="Times New Roman"/>
          <w:color w:val="767171"/>
          <w:spacing w:val="20"/>
          <w:sz w:val="24"/>
          <w:szCs w:val="24"/>
        </w:rPr>
        <w:t>InnovAcción</w:t>
      </w:r>
      <w:proofErr w:type="spellEnd"/>
      <w:r w:rsidRPr="001B0896">
        <w:rPr>
          <w:rFonts w:ascii="Times New Roman" w:hAnsi="Times New Roman"/>
          <w:color w:val="767171"/>
          <w:spacing w:val="20"/>
          <w:sz w:val="24"/>
          <w:szCs w:val="24"/>
        </w:rPr>
        <w:t xml:space="preserve"> y 75 en la categoría </w:t>
      </w:r>
      <w:proofErr w:type="spellStart"/>
      <w:r w:rsidRPr="001B0896">
        <w:rPr>
          <w:rFonts w:ascii="Times New Roman" w:hAnsi="Times New Roman"/>
          <w:color w:val="767171"/>
          <w:spacing w:val="20"/>
          <w:sz w:val="24"/>
          <w:szCs w:val="24"/>
        </w:rPr>
        <w:t>IdeAcción</w:t>
      </w:r>
      <w:proofErr w:type="spellEnd"/>
      <w:r w:rsidRPr="001B0896">
        <w:rPr>
          <w:rFonts w:ascii="Times New Roman" w:hAnsi="Times New Roman"/>
          <w:color w:val="767171"/>
          <w:spacing w:val="20"/>
          <w:sz w:val="24"/>
          <w:szCs w:val="24"/>
        </w:rPr>
        <w:t xml:space="preserve"> fomentando la generación e implementación de ideas transformadoras que se traduzcan en beneficios a favor de la institución.</w:t>
      </w:r>
    </w:p>
    <w:p w14:paraId="22E6F8B0"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Brindamos apoyo a los colaboradores a través de diferentes programas de ayudas, con la finalidad de mejorar su calidad de vida </w:t>
      </w:r>
      <w:r w:rsidRPr="001B0896">
        <w:rPr>
          <w:rFonts w:ascii="Times New Roman" w:hAnsi="Times New Roman"/>
          <w:color w:val="767171"/>
          <w:spacing w:val="20"/>
          <w:sz w:val="24"/>
          <w:szCs w:val="24"/>
        </w:rPr>
        <w:lastRenderedPageBreak/>
        <w:t xml:space="preserve">y la de su familia, así como incrementar los niveles de satisfacción y compromiso con la Institución. Dentro de los programas desarrollados destacan: donaciones de ayuda y gastos médicos para empleados y sus dependientes, subsidio de educación integral para hijos de empleados con discapacidad, plan de atención emocional, gestión y administración de pensiones, así como diversas actividades dirigidas a los colaboradores, pensionados y dependientes.  </w:t>
      </w:r>
    </w:p>
    <w:p w14:paraId="11DF3D40"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Diseñamos un modelo que contempla nuevas modalidades de trabajo remoto, semipresencial y horario flexible asegurando la continuidad de las operaciones, a fin de generar bienestar e incrementar los niveles de satisfacción y compromiso con la institución. A fin de mantener el seguimiento de la salud de los colaboradores, hemos aplicado los controles necesarios para reducir y/o prevenir los contagios de COVID-19.</w:t>
      </w:r>
    </w:p>
    <w:p w14:paraId="3C3D7467"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También se realizaron encuestas periódicas de clima organizacional a fin de conocer la percepción de los colaboradores en relación a las principales variables que afectan el ambiente laboral y construir posibles acciones a partir de los resultados, que permitan el mejoramiento del liderazgo del personal pertinente y cualquier otro aspecto identificado. La encuesta de termómetro laboral tuvo un alcance de 8,862 colaboradores. </w:t>
      </w:r>
    </w:p>
    <w:p w14:paraId="1CA75715" w14:textId="77777777" w:rsidR="00E631CE" w:rsidRPr="001B0896" w:rsidRDefault="00E631CE" w:rsidP="00E631CE">
      <w:pPr>
        <w:pStyle w:val="Ttulo2"/>
        <w:numPr>
          <w:ilvl w:val="1"/>
          <w:numId w:val="9"/>
        </w:numPr>
        <w:spacing w:before="0" w:after="160" w:line="360" w:lineRule="auto"/>
      </w:pPr>
      <w:bookmarkStart w:id="49" w:name="_Toc92216437"/>
      <w:bookmarkStart w:id="50" w:name="_Toc92226188"/>
      <w:r w:rsidRPr="001B0896">
        <w:t>Canales de Distribución</w:t>
      </w:r>
      <w:bookmarkEnd w:id="49"/>
      <w:bookmarkEnd w:id="50"/>
    </w:p>
    <w:p w14:paraId="5AC474ED" w14:textId="77777777" w:rsidR="00E631CE" w:rsidRPr="001B0896" w:rsidRDefault="00E631CE" w:rsidP="00E631CE">
      <w:pPr>
        <w:spacing w:line="360" w:lineRule="auto"/>
        <w:rPr>
          <w:rFonts w:ascii="Times New Roman" w:hAnsi="Times New Roman"/>
          <w:color w:val="767171"/>
          <w:spacing w:val="20"/>
          <w:sz w:val="16"/>
          <w:szCs w:val="16"/>
          <w:lang w:val="en-US"/>
        </w:rPr>
      </w:pPr>
    </w:p>
    <w:p w14:paraId="3DC6A00F"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Los canales de distribución han jugado un importante rol en este periodo de pandemia de COVID-19, en particular los canales digitales, enriqueciendo la propuesta de valor para los distintos </w:t>
      </w:r>
      <w:r w:rsidRPr="001B0896">
        <w:rPr>
          <w:rFonts w:ascii="Times New Roman" w:hAnsi="Times New Roman"/>
          <w:color w:val="767171"/>
          <w:spacing w:val="20"/>
          <w:sz w:val="24"/>
          <w:szCs w:val="24"/>
        </w:rPr>
        <w:lastRenderedPageBreak/>
        <w:t xml:space="preserve">segmentos mediante la oferta de nuevos servicios y funcionalidades. Esto fue posible al tratar de introducir nuevas opciones para que los clientes puedan cubrir sus necesidades financieras de manera remota, evitando los factores de riesgo y promoviendo el distanciamiento. Como parte de estos canales se encuentran los cajeros automáticos, los Subagentes Bancarios Cerca Banreservas, </w:t>
      </w:r>
      <w:proofErr w:type="spellStart"/>
      <w:r w:rsidRPr="001B0896">
        <w:rPr>
          <w:rFonts w:ascii="Times New Roman" w:hAnsi="Times New Roman"/>
          <w:color w:val="767171"/>
          <w:spacing w:val="20"/>
          <w:sz w:val="24"/>
          <w:szCs w:val="24"/>
        </w:rPr>
        <w:t>TuBanco</w:t>
      </w:r>
      <w:proofErr w:type="spellEnd"/>
      <w:r w:rsidRPr="001B0896">
        <w:rPr>
          <w:rFonts w:ascii="Times New Roman" w:hAnsi="Times New Roman"/>
          <w:color w:val="767171"/>
          <w:spacing w:val="20"/>
          <w:sz w:val="24"/>
          <w:szCs w:val="24"/>
        </w:rPr>
        <w:t xml:space="preserve"> (Personas y Empresas, en sus versiones App y Desktop), *960#, Aceleradores de Depósito, Centro de Contacto, entre otros.</w:t>
      </w:r>
    </w:p>
    <w:p w14:paraId="07F731E0" w14:textId="2D7906F6"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Dentro de los canales de distribución destacan 306 oficinas, 1,212 subagentes bancarios, así como </w:t>
      </w:r>
      <w:r w:rsidR="008B4F1C" w:rsidRPr="001B0896">
        <w:rPr>
          <w:rFonts w:ascii="Times New Roman" w:hAnsi="Times New Roman"/>
          <w:color w:val="767171"/>
          <w:spacing w:val="20"/>
          <w:sz w:val="24"/>
          <w:szCs w:val="24"/>
        </w:rPr>
        <w:t>76</w:t>
      </w:r>
      <w:r w:rsidR="00F14369" w:rsidRPr="001B0896">
        <w:rPr>
          <w:rFonts w:ascii="Times New Roman" w:hAnsi="Times New Roman"/>
          <w:color w:val="767171"/>
          <w:spacing w:val="20"/>
          <w:sz w:val="24"/>
          <w:szCs w:val="24"/>
        </w:rPr>
        <w:t>1</w:t>
      </w:r>
      <w:r w:rsidRPr="001B0896">
        <w:rPr>
          <w:rFonts w:ascii="Times New Roman" w:hAnsi="Times New Roman"/>
          <w:color w:val="767171"/>
          <w:spacing w:val="20"/>
          <w:sz w:val="24"/>
          <w:szCs w:val="24"/>
        </w:rPr>
        <w:t xml:space="preserve"> cajeros automáticos disponibles para los clientes, los cuales junto a UNARED suman más de 1,579 </w:t>
      </w:r>
      <w:proofErr w:type="spellStart"/>
      <w:r w:rsidRPr="001B0896">
        <w:rPr>
          <w:rFonts w:ascii="Times New Roman" w:hAnsi="Times New Roman"/>
          <w:color w:val="767171"/>
          <w:spacing w:val="20"/>
          <w:sz w:val="24"/>
          <w:szCs w:val="24"/>
        </w:rPr>
        <w:t>ATMs</w:t>
      </w:r>
      <w:proofErr w:type="spellEnd"/>
      <w:r w:rsidRPr="001B0896">
        <w:rPr>
          <w:rFonts w:ascii="Times New Roman" w:hAnsi="Times New Roman"/>
          <w:color w:val="767171"/>
          <w:spacing w:val="20"/>
          <w:sz w:val="24"/>
          <w:szCs w:val="24"/>
        </w:rPr>
        <w:t xml:space="preserve"> libres de cargos.</w:t>
      </w:r>
    </w:p>
    <w:p w14:paraId="31410A5C"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La incidencia de la pandemia de COVID-19 aceleró la migración de transacciones a los canales alternos. El banco desarrolla de manera continua una estrategia de comunicación y derivación orientada a promover las funcionalidades y atractivos de estos, mezclando estas campañas con estrategias educativas dirigidas, para acercar más a los clientes al uso de los mismos. Apoyados en la tecnología, desarrollamos una propuesta de valor que transforme la experiencia de los clientes, incentivando el autoservicio y la gestión manera rápida, segura y fluida de sus transacciones financieras.</w:t>
      </w:r>
    </w:p>
    <w:p w14:paraId="273736CD" w14:textId="4FB4DB83" w:rsidR="00E631CE" w:rsidRPr="001B0896" w:rsidRDefault="008B4F1C" w:rsidP="008B4F1C">
      <w:pPr>
        <w:spacing w:afterLines="160" w:after="384" w:line="360" w:lineRule="auto"/>
        <w:jc w:val="center"/>
        <w:rPr>
          <w:rFonts w:ascii="Times New Roman" w:hAnsi="Times New Roman"/>
          <w:color w:val="767171"/>
          <w:spacing w:val="20"/>
          <w:sz w:val="24"/>
          <w:szCs w:val="24"/>
        </w:rPr>
      </w:pPr>
      <w:r w:rsidRPr="001B0896">
        <w:rPr>
          <w:rFonts w:ascii="Times New Roman" w:hAnsi="Times New Roman"/>
          <w:noProof/>
          <w:color w:val="767171"/>
          <w:spacing w:val="20"/>
          <w:sz w:val="24"/>
          <w:szCs w:val="24"/>
          <w:lang w:val="en-US"/>
        </w:rPr>
        <w:lastRenderedPageBreak/>
        <w:drawing>
          <wp:inline distT="0" distB="0" distL="0" distR="0" wp14:anchorId="6F46B7BC" wp14:editId="5D293622">
            <wp:extent cx="3838575" cy="2809875"/>
            <wp:effectExtent l="0" t="0" r="9525"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l="6448" t="2725" r="19307" b="7952"/>
                    <a:stretch/>
                  </pic:blipFill>
                  <pic:spPr bwMode="auto">
                    <a:xfrm>
                      <a:off x="0" y="0"/>
                      <a:ext cx="3838575" cy="2809875"/>
                    </a:xfrm>
                    <a:prstGeom prst="rect">
                      <a:avLst/>
                    </a:prstGeom>
                    <a:noFill/>
                    <a:ln>
                      <a:noFill/>
                    </a:ln>
                    <a:extLst>
                      <a:ext uri="{53640926-AAD7-44D8-BBD7-CCE9431645EC}">
                        <a14:shadowObscured xmlns:a14="http://schemas.microsoft.com/office/drawing/2010/main"/>
                      </a:ext>
                    </a:extLst>
                  </pic:spPr>
                </pic:pic>
              </a:graphicData>
            </a:graphic>
          </wp:inline>
        </w:drawing>
      </w:r>
    </w:p>
    <w:p w14:paraId="0C3E25FA" w14:textId="03A8A6FC"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Las transacciones totales realizadas por los canales de distribución aumentaron un </w:t>
      </w:r>
      <w:r w:rsidR="009B2992" w:rsidRPr="001B0896">
        <w:rPr>
          <w:rFonts w:ascii="Times New Roman" w:hAnsi="Times New Roman"/>
          <w:color w:val="767171"/>
          <w:spacing w:val="20"/>
          <w:sz w:val="24"/>
          <w:szCs w:val="24"/>
        </w:rPr>
        <w:t>34</w:t>
      </w:r>
      <w:r w:rsidRPr="001B0896">
        <w:rPr>
          <w:rFonts w:ascii="Times New Roman" w:hAnsi="Times New Roman"/>
          <w:color w:val="767171"/>
          <w:spacing w:val="20"/>
          <w:sz w:val="24"/>
          <w:szCs w:val="24"/>
        </w:rPr>
        <w:t>.</w:t>
      </w:r>
      <w:r w:rsidR="009B2992" w:rsidRPr="001B0896">
        <w:rPr>
          <w:rFonts w:ascii="Times New Roman" w:hAnsi="Times New Roman"/>
          <w:color w:val="767171"/>
          <w:spacing w:val="20"/>
          <w:sz w:val="24"/>
          <w:szCs w:val="24"/>
        </w:rPr>
        <w:t>9</w:t>
      </w:r>
      <w:r w:rsidRPr="001B0896">
        <w:rPr>
          <w:rFonts w:ascii="Times New Roman" w:hAnsi="Times New Roman"/>
          <w:color w:val="767171"/>
          <w:spacing w:val="20"/>
          <w:sz w:val="24"/>
          <w:szCs w:val="24"/>
        </w:rPr>
        <w:t>% comparado con el 2020; una muestra del dinamismo de las actividades económicas. El 7</w:t>
      </w:r>
      <w:r w:rsidR="009B2992" w:rsidRPr="001B0896">
        <w:rPr>
          <w:rFonts w:ascii="Times New Roman" w:hAnsi="Times New Roman"/>
          <w:color w:val="767171"/>
          <w:spacing w:val="20"/>
          <w:sz w:val="24"/>
          <w:szCs w:val="24"/>
        </w:rPr>
        <w:t>5.7</w:t>
      </w:r>
      <w:r w:rsidRPr="001B0896">
        <w:rPr>
          <w:rFonts w:ascii="Times New Roman" w:hAnsi="Times New Roman"/>
          <w:color w:val="767171"/>
          <w:spacing w:val="20"/>
          <w:sz w:val="24"/>
          <w:szCs w:val="24"/>
        </w:rPr>
        <w:t>% de las transacciones efectuadas por los clientes de Banreservas se realizó a través de los canales alternos comparado con un 71.</w:t>
      </w:r>
      <w:r w:rsidR="009B2992" w:rsidRPr="001B0896">
        <w:rPr>
          <w:rFonts w:ascii="Times New Roman" w:hAnsi="Times New Roman"/>
          <w:color w:val="767171"/>
          <w:spacing w:val="20"/>
          <w:sz w:val="24"/>
          <w:szCs w:val="24"/>
        </w:rPr>
        <w:t>9</w:t>
      </w:r>
      <w:r w:rsidRPr="001B0896">
        <w:rPr>
          <w:rFonts w:ascii="Times New Roman" w:hAnsi="Times New Roman"/>
          <w:color w:val="767171"/>
          <w:spacing w:val="20"/>
          <w:sz w:val="24"/>
          <w:szCs w:val="24"/>
        </w:rPr>
        <w:t>% en igual intervalo del pasado año. Mientras que por caja se realizó el 2</w:t>
      </w:r>
      <w:r w:rsidR="009B2992" w:rsidRPr="001B0896">
        <w:rPr>
          <w:rFonts w:ascii="Times New Roman" w:hAnsi="Times New Roman"/>
          <w:color w:val="767171"/>
          <w:spacing w:val="20"/>
          <w:sz w:val="24"/>
          <w:szCs w:val="24"/>
        </w:rPr>
        <w:t>4.3</w:t>
      </w:r>
      <w:r w:rsidRPr="001B0896">
        <w:rPr>
          <w:rFonts w:ascii="Times New Roman" w:hAnsi="Times New Roman"/>
          <w:color w:val="767171"/>
          <w:spacing w:val="20"/>
          <w:sz w:val="24"/>
          <w:szCs w:val="24"/>
        </w:rPr>
        <w:t>% de las transacciones con respecto al 28.</w:t>
      </w:r>
      <w:r w:rsidR="009B2992" w:rsidRPr="001B0896">
        <w:rPr>
          <w:rFonts w:ascii="Times New Roman" w:hAnsi="Times New Roman"/>
          <w:color w:val="767171"/>
          <w:spacing w:val="20"/>
          <w:sz w:val="24"/>
          <w:szCs w:val="24"/>
        </w:rPr>
        <w:t>1</w:t>
      </w:r>
      <w:r w:rsidRPr="001B0896">
        <w:rPr>
          <w:rFonts w:ascii="Times New Roman" w:hAnsi="Times New Roman"/>
          <w:color w:val="767171"/>
          <w:spacing w:val="20"/>
          <w:sz w:val="24"/>
          <w:szCs w:val="24"/>
        </w:rPr>
        <w:t>% el año anterior, lo cual evidencia el cambio que se está operando en las preferencias de los clientes.</w:t>
      </w:r>
    </w:p>
    <w:p w14:paraId="47439095" w14:textId="2678D44F"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Cabe destacar que el App Banreservas continúa un crecimiento exponencial en su </w:t>
      </w:r>
      <w:proofErr w:type="spellStart"/>
      <w:r w:rsidRPr="001B0896">
        <w:rPr>
          <w:rFonts w:ascii="Times New Roman" w:hAnsi="Times New Roman"/>
          <w:color w:val="767171"/>
          <w:spacing w:val="20"/>
          <w:sz w:val="24"/>
          <w:szCs w:val="24"/>
        </w:rPr>
        <w:t>transaccionalidad</w:t>
      </w:r>
      <w:proofErr w:type="spellEnd"/>
      <w:r w:rsidRPr="001B0896">
        <w:rPr>
          <w:rFonts w:ascii="Times New Roman" w:hAnsi="Times New Roman"/>
          <w:color w:val="767171"/>
          <w:spacing w:val="20"/>
          <w:sz w:val="24"/>
          <w:szCs w:val="24"/>
        </w:rPr>
        <w:t>, alcanzando desde su lanzamiento más de 3.</w:t>
      </w:r>
      <w:r w:rsidR="00E14C75" w:rsidRPr="001B0896">
        <w:rPr>
          <w:rFonts w:ascii="Times New Roman" w:hAnsi="Times New Roman"/>
          <w:color w:val="767171"/>
          <w:spacing w:val="20"/>
          <w:sz w:val="24"/>
          <w:szCs w:val="24"/>
        </w:rPr>
        <w:t>6</w:t>
      </w:r>
      <w:r w:rsidRPr="001B0896">
        <w:rPr>
          <w:rFonts w:ascii="Times New Roman" w:hAnsi="Times New Roman"/>
          <w:color w:val="767171"/>
          <w:spacing w:val="20"/>
          <w:sz w:val="24"/>
          <w:szCs w:val="24"/>
        </w:rPr>
        <w:t xml:space="preserve"> millones de descargas en sus diferentes versiones y más de 3</w:t>
      </w:r>
      <w:r w:rsidR="00E14C75" w:rsidRPr="001B0896">
        <w:rPr>
          <w:rFonts w:ascii="Times New Roman" w:hAnsi="Times New Roman"/>
          <w:color w:val="767171"/>
          <w:spacing w:val="20"/>
          <w:sz w:val="24"/>
          <w:szCs w:val="24"/>
        </w:rPr>
        <w:t>3.9</w:t>
      </w:r>
      <w:r w:rsidRPr="001B0896">
        <w:rPr>
          <w:rFonts w:ascii="Times New Roman" w:hAnsi="Times New Roman"/>
          <w:color w:val="767171"/>
          <w:spacing w:val="20"/>
          <w:sz w:val="24"/>
          <w:szCs w:val="24"/>
        </w:rPr>
        <w:t xml:space="preserve"> millones de transacciones a diciembre de 2021. También continúa creciendo y desarrollándose el canal *960# de tecnología móvil USSD, por el cual los clientes pueden realizar consultas y transacciones de manera gratuita sin necesidad de consumir datos de internet, llegando a una población de menores </w:t>
      </w:r>
      <w:r w:rsidRPr="001B0896">
        <w:rPr>
          <w:rFonts w:ascii="Times New Roman" w:hAnsi="Times New Roman"/>
          <w:color w:val="767171"/>
          <w:spacing w:val="20"/>
          <w:sz w:val="24"/>
          <w:szCs w:val="24"/>
        </w:rPr>
        <w:lastRenderedPageBreak/>
        <w:t xml:space="preserve">recursos y alcanzando más de </w:t>
      </w:r>
      <w:r w:rsidR="00E14C75" w:rsidRPr="001B0896">
        <w:rPr>
          <w:rFonts w:ascii="Times New Roman" w:hAnsi="Times New Roman"/>
          <w:color w:val="767171"/>
          <w:spacing w:val="20"/>
          <w:sz w:val="24"/>
          <w:szCs w:val="24"/>
        </w:rPr>
        <w:t>28</w:t>
      </w:r>
      <w:r w:rsidRPr="001B0896">
        <w:rPr>
          <w:rFonts w:ascii="Times New Roman" w:hAnsi="Times New Roman"/>
          <w:color w:val="767171"/>
          <w:spacing w:val="20"/>
          <w:sz w:val="24"/>
          <w:szCs w:val="24"/>
        </w:rPr>
        <w:t xml:space="preserve"> millones de consultas y 1.</w:t>
      </w:r>
      <w:r w:rsidR="00E14C75" w:rsidRPr="001B0896">
        <w:rPr>
          <w:rFonts w:ascii="Times New Roman" w:hAnsi="Times New Roman"/>
          <w:color w:val="767171"/>
          <w:spacing w:val="20"/>
          <w:sz w:val="24"/>
          <w:szCs w:val="24"/>
        </w:rPr>
        <w:t>8</w:t>
      </w:r>
      <w:r w:rsidRPr="001B0896">
        <w:rPr>
          <w:rFonts w:ascii="Times New Roman" w:hAnsi="Times New Roman"/>
          <w:color w:val="767171"/>
          <w:spacing w:val="20"/>
          <w:sz w:val="24"/>
          <w:szCs w:val="24"/>
        </w:rPr>
        <w:t xml:space="preserve"> millones transacciones en el 2021. El canal Subagentes Cerca Banreservas presenta un crecimiento sostenido de </w:t>
      </w:r>
      <w:r w:rsidR="00E14C75" w:rsidRPr="001B0896">
        <w:rPr>
          <w:rFonts w:ascii="Times New Roman" w:hAnsi="Times New Roman"/>
          <w:color w:val="767171"/>
          <w:spacing w:val="20"/>
          <w:sz w:val="24"/>
          <w:szCs w:val="24"/>
        </w:rPr>
        <w:t>36</w:t>
      </w:r>
      <w:r w:rsidRPr="001B0896">
        <w:rPr>
          <w:rFonts w:ascii="Times New Roman" w:hAnsi="Times New Roman"/>
          <w:color w:val="767171"/>
          <w:spacing w:val="20"/>
          <w:sz w:val="24"/>
          <w:szCs w:val="24"/>
        </w:rPr>
        <w:t>.</w:t>
      </w:r>
      <w:r w:rsidR="00E14C75" w:rsidRPr="001B0896">
        <w:rPr>
          <w:rFonts w:ascii="Times New Roman" w:hAnsi="Times New Roman"/>
          <w:color w:val="767171"/>
          <w:spacing w:val="20"/>
          <w:sz w:val="24"/>
          <w:szCs w:val="24"/>
        </w:rPr>
        <w:t>3</w:t>
      </w:r>
      <w:r w:rsidRPr="001B0896">
        <w:rPr>
          <w:rFonts w:ascii="Times New Roman" w:hAnsi="Times New Roman"/>
          <w:color w:val="767171"/>
          <w:spacing w:val="20"/>
          <w:sz w:val="24"/>
          <w:szCs w:val="24"/>
        </w:rPr>
        <w:t xml:space="preserve">% frente al 2020. </w:t>
      </w:r>
    </w:p>
    <w:p w14:paraId="060E76C7"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La estrategia digital de Banreservas continúa desarrollándose priorizando las necesidades de sus clientes y todos los dominicanos, persiguiendo los siguientes objetivos: </w:t>
      </w:r>
    </w:p>
    <w:p w14:paraId="73EF712E" w14:textId="77777777" w:rsidR="00E631CE" w:rsidRPr="001B0896" w:rsidRDefault="00E631CE" w:rsidP="00E631CE">
      <w:pPr>
        <w:pStyle w:val="Prrafodelista"/>
        <w:numPr>
          <w:ilvl w:val="0"/>
          <w:numId w:val="2"/>
        </w:num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Inclusión Financiera: con acciones enfocadas a la meta país de bancarización.</w:t>
      </w:r>
    </w:p>
    <w:p w14:paraId="43D5D717" w14:textId="77777777" w:rsidR="00E631CE" w:rsidRPr="001B0896" w:rsidRDefault="00E631CE" w:rsidP="00E631CE">
      <w:pPr>
        <w:pStyle w:val="Prrafodelista"/>
        <w:numPr>
          <w:ilvl w:val="0"/>
          <w:numId w:val="2"/>
        </w:num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Experiencia del Cliente Memorable: con innovaciones que fidelizan a los clientes existentes y atraen nuevos clientes, reconociendo en Banreservas la transformación digital de sus servicios.</w:t>
      </w:r>
    </w:p>
    <w:p w14:paraId="7DA95E0D" w14:textId="77777777" w:rsidR="00E631CE" w:rsidRPr="001B0896" w:rsidRDefault="00E631CE" w:rsidP="00E631CE">
      <w:pPr>
        <w:pStyle w:val="Prrafodelista"/>
        <w:numPr>
          <w:ilvl w:val="0"/>
          <w:numId w:val="2"/>
        </w:num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Maximización de Rentabilidad: con funcionalidades que generan mayor tráfico en nuestros canales y mayores beneficios. </w:t>
      </w:r>
    </w:p>
    <w:p w14:paraId="658A0A9D"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Dentro de las principales iniciativas implementadas durante el 2021, que buscan alcanzar los objetivos planteados anteriormente se encuentran:</w:t>
      </w:r>
    </w:p>
    <w:p w14:paraId="464B7A21" w14:textId="77777777" w:rsidR="00B51558" w:rsidRPr="001B0896" w:rsidRDefault="00B51558" w:rsidP="00703748">
      <w:pPr>
        <w:pStyle w:val="Prrafodelista"/>
        <w:numPr>
          <w:ilvl w:val="0"/>
          <w:numId w:val="2"/>
        </w:numPr>
        <w:spacing w:afterLines="160" w:after="384" w:line="360" w:lineRule="auto"/>
        <w:rPr>
          <w:rFonts w:ascii="Times New Roman" w:hAnsi="Times New Roman"/>
          <w:color w:val="767171"/>
          <w:spacing w:val="20"/>
          <w:sz w:val="24"/>
          <w:szCs w:val="24"/>
        </w:rPr>
      </w:pPr>
      <w:proofErr w:type="spellStart"/>
      <w:r w:rsidRPr="001B0896">
        <w:rPr>
          <w:rFonts w:ascii="Times New Roman" w:hAnsi="Times New Roman"/>
          <w:color w:val="767171"/>
          <w:spacing w:val="20"/>
          <w:sz w:val="24"/>
          <w:szCs w:val="24"/>
        </w:rPr>
        <w:t>TuEfectivo</w:t>
      </w:r>
      <w:proofErr w:type="spellEnd"/>
      <w:r w:rsidRPr="001B0896">
        <w:rPr>
          <w:rFonts w:ascii="Times New Roman" w:hAnsi="Times New Roman"/>
          <w:color w:val="767171"/>
          <w:spacing w:val="20"/>
          <w:sz w:val="24"/>
          <w:szCs w:val="24"/>
        </w:rPr>
        <w:t xml:space="preserve">: Funcionalidad de </w:t>
      </w:r>
      <w:proofErr w:type="spellStart"/>
      <w:r w:rsidRPr="001B0896">
        <w:rPr>
          <w:rFonts w:ascii="Times New Roman" w:hAnsi="Times New Roman"/>
          <w:color w:val="767171"/>
          <w:spacing w:val="20"/>
          <w:sz w:val="24"/>
          <w:szCs w:val="24"/>
        </w:rPr>
        <w:t>multicanalidad</w:t>
      </w:r>
      <w:proofErr w:type="spellEnd"/>
      <w:r w:rsidRPr="001B0896">
        <w:rPr>
          <w:rFonts w:ascii="Times New Roman" w:hAnsi="Times New Roman"/>
          <w:color w:val="767171"/>
          <w:spacing w:val="20"/>
          <w:sz w:val="24"/>
          <w:szCs w:val="24"/>
        </w:rPr>
        <w:t xml:space="preserve"> en donde el cliente inicia una transacción desde App Banreservas y/o </w:t>
      </w:r>
      <w:proofErr w:type="spellStart"/>
      <w:r w:rsidRPr="001B0896">
        <w:rPr>
          <w:rFonts w:ascii="Times New Roman" w:hAnsi="Times New Roman"/>
          <w:color w:val="767171"/>
          <w:spacing w:val="20"/>
          <w:sz w:val="24"/>
          <w:szCs w:val="24"/>
        </w:rPr>
        <w:t>TuBanco</w:t>
      </w:r>
      <w:proofErr w:type="spellEnd"/>
      <w:r w:rsidRPr="001B0896">
        <w:rPr>
          <w:rFonts w:ascii="Times New Roman" w:hAnsi="Times New Roman"/>
          <w:color w:val="767171"/>
          <w:spacing w:val="20"/>
          <w:sz w:val="24"/>
          <w:szCs w:val="24"/>
        </w:rPr>
        <w:t xml:space="preserve"> Desktop Personas, y completa la misma en Cajeros Automáticos o Subagentes Cerca Banreservas, sin la necesidad de una tarjeta de débito. El cliente puede programar retiros propios o envíos a terceros, sin la necesidad de que éste sea cliente o tenga una cuenta bancaria.</w:t>
      </w:r>
    </w:p>
    <w:p w14:paraId="5813CDA0" w14:textId="77777777" w:rsidR="00B51558" w:rsidRPr="001B0896" w:rsidRDefault="00B51558" w:rsidP="00B51558">
      <w:pPr>
        <w:pStyle w:val="Prrafodelista"/>
        <w:numPr>
          <w:ilvl w:val="0"/>
          <w:numId w:val="2"/>
        </w:num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Depósitos de cheques en App Empresas </w:t>
      </w:r>
    </w:p>
    <w:p w14:paraId="76F316D6" w14:textId="0EB8D152" w:rsidR="00E631CE" w:rsidRPr="001B0896" w:rsidRDefault="00E631CE" w:rsidP="00E631CE">
      <w:pPr>
        <w:pStyle w:val="Prrafodelista"/>
        <w:numPr>
          <w:ilvl w:val="0"/>
          <w:numId w:val="2"/>
        </w:num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lastRenderedPageBreak/>
        <w:t>Nuevas transacciones en nuestros Cajeros Automáticos de Depósito</w:t>
      </w:r>
    </w:p>
    <w:p w14:paraId="66C009A6" w14:textId="77777777" w:rsidR="00E631CE" w:rsidRPr="001B0896" w:rsidRDefault="00E631CE" w:rsidP="00E631CE">
      <w:pPr>
        <w:pStyle w:val="Prrafodelista"/>
        <w:numPr>
          <w:ilvl w:val="1"/>
          <w:numId w:val="2"/>
        </w:num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Pagos de Tarjeta de Crédito </w:t>
      </w:r>
    </w:p>
    <w:p w14:paraId="703F1386" w14:textId="77777777" w:rsidR="00E631CE" w:rsidRPr="001B0896" w:rsidRDefault="00E631CE" w:rsidP="00E631CE">
      <w:pPr>
        <w:pStyle w:val="Prrafodelista"/>
        <w:numPr>
          <w:ilvl w:val="1"/>
          <w:numId w:val="2"/>
        </w:num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Pagos de Multas</w:t>
      </w:r>
    </w:p>
    <w:p w14:paraId="3EDCDCF0" w14:textId="77777777" w:rsidR="00E631CE" w:rsidRPr="001B0896" w:rsidRDefault="00E631CE" w:rsidP="00E631CE">
      <w:pPr>
        <w:pStyle w:val="Prrafodelista"/>
        <w:numPr>
          <w:ilvl w:val="1"/>
          <w:numId w:val="2"/>
        </w:num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Pagos de Servicios de la Procuraduría</w:t>
      </w:r>
    </w:p>
    <w:p w14:paraId="3A14B456" w14:textId="77777777" w:rsidR="00E631CE" w:rsidRPr="001B0896" w:rsidRDefault="00E631CE" w:rsidP="00E631CE">
      <w:pPr>
        <w:pStyle w:val="Prrafodelista"/>
        <w:numPr>
          <w:ilvl w:val="1"/>
          <w:numId w:val="2"/>
        </w:num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Depósitos de Terceros: Depósitos de clientes de otros bancos a cuentas Banreservas </w:t>
      </w:r>
    </w:p>
    <w:p w14:paraId="47571637" w14:textId="77777777" w:rsidR="00E631CE" w:rsidRPr="001B0896" w:rsidRDefault="00E631CE" w:rsidP="00E631CE">
      <w:pPr>
        <w:pStyle w:val="Prrafodelista"/>
        <w:numPr>
          <w:ilvl w:val="0"/>
          <w:numId w:val="2"/>
        </w:num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Sustitución de </w:t>
      </w:r>
      <w:proofErr w:type="spellStart"/>
      <w:r w:rsidRPr="001B0896">
        <w:rPr>
          <w:rFonts w:ascii="Times New Roman" w:hAnsi="Times New Roman"/>
          <w:color w:val="767171"/>
          <w:spacing w:val="20"/>
          <w:sz w:val="24"/>
          <w:szCs w:val="24"/>
        </w:rPr>
        <w:t>Token</w:t>
      </w:r>
      <w:proofErr w:type="spellEnd"/>
      <w:r w:rsidRPr="001B0896">
        <w:rPr>
          <w:rFonts w:ascii="Times New Roman" w:hAnsi="Times New Roman"/>
          <w:color w:val="767171"/>
          <w:spacing w:val="20"/>
          <w:sz w:val="24"/>
          <w:szCs w:val="24"/>
        </w:rPr>
        <w:t xml:space="preserve"> Físico para clientes Empresariales mediante la implementación de un nuevo mecanismo digital de doble-autenticación para las empresas.</w:t>
      </w:r>
    </w:p>
    <w:p w14:paraId="72FC270D" w14:textId="77777777" w:rsidR="00E631CE" w:rsidRPr="001B0896" w:rsidRDefault="00E631CE" w:rsidP="00E631CE">
      <w:pPr>
        <w:pStyle w:val="Prrafodelista"/>
        <w:numPr>
          <w:ilvl w:val="0"/>
          <w:numId w:val="2"/>
        </w:num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Nuevas transacciones en App Empresas: </w:t>
      </w:r>
    </w:p>
    <w:p w14:paraId="4E730D37" w14:textId="77777777" w:rsidR="00E631CE" w:rsidRPr="001B0896" w:rsidRDefault="00E631CE" w:rsidP="00E631CE">
      <w:pPr>
        <w:pStyle w:val="Prrafodelista"/>
        <w:numPr>
          <w:ilvl w:val="1"/>
          <w:numId w:val="2"/>
        </w:num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Transferencias internacionales </w:t>
      </w:r>
    </w:p>
    <w:p w14:paraId="2ECEDB9C" w14:textId="77777777" w:rsidR="00E631CE" w:rsidRPr="001B0896" w:rsidRDefault="00E631CE" w:rsidP="00E631CE">
      <w:pPr>
        <w:pStyle w:val="Prrafodelista"/>
        <w:numPr>
          <w:ilvl w:val="1"/>
          <w:numId w:val="2"/>
        </w:num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Pago de préstamos </w:t>
      </w:r>
    </w:p>
    <w:p w14:paraId="50CBC756" w14:textId="77777777" w:rsidR="00E631CE" w:rsidRPr="001B0896" w:rsidRDefault="00E631CE" w:rsidP="00E631CE">
      <w:pPr>
        <w:pStyle w:val="Prrafodelista"/>
        <w:numPr>
          <w:ilvl w:val="1"/>
          <w:numId w:val="2"/>
        </w:num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Compra y venta de divisas </w:t>
      </w:r>
    </w:p>
    <w:p w14:paraId="34AB1C03" w14:textId="77777777" w:rsidR="00E631CE" w:rsidRPr="001B0896" w:rsidRDefault="00E631CE" w:rsidP="00E631CE">
      <w:pPr>
        <w:pStyle w:val="Prrafodelista"/>
        <w:numPr>
          <w:ilvl w:val="1"/>
          <w:numId w:val="2"/>
        </w:num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Apple </w:t>
      </w:r>
      <w:proofErr w:type="spellStart"/>
      <w:r w:rsidRPr="001B0896">
        <w:rPr>
          <w:rFonts w:ascii="Times New Roman" w:hAnsi="Times New Roman"/>
          <w:color w:val="767171"/>
          <w:spacing w:val="20"/>
          <w:sz w:val="24"/>
          <w:szCs w:val="24"/>
        </w:rPr>
        <w:t>Watch</w:t>
      </w:r>
      <w:proofErr w:type="spellEnd"/>
      <w:r w:rsidRPr="001B0896">
        <w:rPr>
          <w:rFonts w:ascii="Times New Roman" w:hAnsi="Times New Roman"/>
          <w:color w:val="767171"/>
          <w:spacing w:val="20"/>
          <w:sz w:val="24"/>
          <w:szCs w:val="24"/>
        </w:rPr>
        <w:t xml:space="preserve"> </w:t>
      </w:r>
    </w:p>
    <w:p w14:paraId="235E7CE7" w14:textId="77777777" w:rsidR="00E631CE" w:rsidRPr="001B0896" w:rsidRDefault="00E631CE" w:rsidP="00E631CE">
      <w:pPr>
        <w:pStyle w:val="Prrafodelista"/>
        <w:numPr>
          <w:ilvl w:val="1"/>
          <w:numId w:val="2"/>
        </w:num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Transferencias múltiples </w:t>
      </w:r>
    </w:p>
    <w:p w14:paraId="7AEA6D46" w14:textId="77777777" w:rsidR="00E631CE" w:rsidRPr="001B0896" w:rsidRDefault="00E631CE" w:rsidP="00E631CE">
      <w:pPr>
        <w:pStyle w:val="Prrafodelista"/>
        <w:numPr>
          <w:ilvl w:val="0"/>
          <w:numId w:val="2"/>
        </w:num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Visualización ordenante y beneficiario de transferencias en </w:t>
      </w:r>
      <w:proofErr w:type="spellStart"/>
      <w:r w:rsidRPr="001B0896">
        <w:rPr>
          <w:rFonts w:ascii="Times New Roman" w:hAnsi="Times New Roman"/>
          <w:color w:val="767171"/>
          <w:spacing w:val="20"/>
          <w:sz w:val="24"/>
          <w:szCs w:val="24"/>
        </w:rPr>
        <w:t>TuBanco</w:t>
      </w:r>
      <w:proofErr w:type="spellEnd"/>
      <w:r w:rsidRPr="001B0896">
        <w:rPr>
          <w:rFonts w:ascii="Times New Roman" w:hAnsi="Times New Roman"/>
          <w:color w:val="767171"/>
          <w:spacing w:val="20"/>
          <w:sz w:val="24"/>
          <w:szCs w:val="24"/>
        </w:rPr>
        <w:t xml:space="preserve">, App Empresas y App Personas. </w:t>
      </w:r>
    </w:p>
    <w:p w14:paraId="0E6F21F3" w14:textId="77777777" w:rsidR="00E631CE" w:rsidRPr="001B0896" w:rsidRDefault="00E631CE" w:rsidP="00E631CE">
      <w:pPr>
        <w:pStyle w:val="Prrafodelista"/>
        <w:numPr>
          <w:ilvl w:val="0"/>
          <w:numId w:val="2"/>
        </w:numPr>
        <w:spacing w:afterLines="160" w:after="384" w:line="360" w:lineRule="auto"/>
        <w:rPr>
          <w:rFonts w:ascii="Times New Roman" w:hAnsi="Times New Roman"/>
          <w:color w:val="767171"/>
          <w:spacing w:val="20"/>
          <w:sz w:val="24"/>
          <w:szCs w:val="24"/>
        </w:rPr>
      </w:pPr>
      <w:proofErr w:type="spellStart"/>
      <w:r w:rsidRPr="001B0896">
        <w:rPr>
          <w:rFonts w:ascii="Times New Roman" w:hAnsi="Times New Roman"/>
          <w:color w:val="767171"/>
          <w:spacing w:val="20"/>
          <w:sz w:val="24"/>
          <w:szCs w:val="24"/>
        </w:rPr>
        <w:t>Onboarding</w:t>
      </w:r>
      <w:proofErr w:type="spellEnd"/>
      <w:r w:rsidRPr="001B0896">
        <w:rPr>
          <w:rFonts w:ascii="Times New Roman" w:hAnsi="Times New Roman"/>
          <w:color w:val="767171"/>
          <w:spacing w:val="20"/>
          <w:sz w:val="24"/>
          <w:szCs w:val="24"/>
        </w:rPr>
        <w:t xml:space="preserve"> a </w:t>
      </w:r>
      <w:proofErr w:type="spellStart"/>
      <w:r w:rsidRPr="001B0896">
        <w:rPr>
          <w:rFonts w:ascii="Times New Roman" w:hAnsi="Times New Roman"/>
          <w:color w:val="767171"/>
          <w:spacing w:val="20"/>
          <w:sz w:val="24"/>
          <w:szCs w:val="24"/>
        </w:rPr>
        <w:t>TuBanco</w:t>
      </w:r>
      <w:proofErr w:type="spellEnd"/>
      <w:r w:rsidRPr="001B0896">
        <w:rPr>
          <w:rFonts w:ascii="Times New Roman" w:hAnsi="Times New Roman"/>
          <w:color w:val="767171"/>
          <w:spacing w:val="20"/>
          <w:sz w:val="24"/>
          <w:szCs w:val="24"/>
        </w:rPr>
        <w:t xml:space="preserve"> desde el App Banreservas, proceso de afiliación auto asistido.</w:t>
      </w:r>
    </w:p>
    <w:p w14:paraId="58762325" w14:textId="77777777" w:rsidR="00E631CE" w:rsidRPr="001B0896" w:rsidRDefault="00E631CE" w:rsidP="00E631CE">
      <w:pPr>
        <w:pStyle w:val="Prrafodelista"/>
        <w:numPr>
          <w:ilvl w:val="0"/>
          <w:numId w:val="2"/>
        </w:num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Oficina Dual; una oficina con doble modalidad, tradicional y digital, que pone a disposición de nuestros clientes todos los servicios actuales de manera conveniente y auto-asistida. </w:t>
      </w:r>
    </w:p>
    <w:p w14:paraId="472F214D" w14:textId="77777777" w:rsidR="00E631CE" w:rsidRPr="001B0896" w:rsidRDefault="00E631CE" w:rsidP="00E631CE">
      <w:pPr>
        <w:pStyle w:val="Prrafodelista"/>
        <w:numPr>
          <w:ilvl w:val="1"/>
          <w:numId w:val="2"/>
        </w:num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7 Cajeros Multifuncionales: posicionándonos como el único banco en el cual los clientes pueden realizar pagos de multas y servicios de la Procuraduría General a través de cajeros automáticos.</w:t>
      </w:r>
    </w:p>
    <w:p w14:paraId="761D5F29" w14:textId="77777777" w:rsidR="00E631CE" w:rsidRPr="001B0896" w:rsidRDefault="00E631CE" w:rsidP="00E631CE">
      <w:pPr>
        <w:pStyle w:val="Prrafodelista"/>
        <w:numPr>
          <w:ilvl w:val="1"/>
          <w:numId w:val="2"/>
        </w:num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Sistema de Gestión de Turnos y Citas: Los clientes pueden gestionar sus turnos de manera automatizada, y </w:t>
      </w:r>
      <w:r w:rsidRPr="001B0896">
        <w:rPr>
          <w:rFonts w:ascii="Times New Roman" w:hAnsi="Times New Roman"/>
          <w:color w:val="767171"/>
          <w:spacing w:val="20"/>
          <w:sz w:val="24"/>
          <w:szCs w:val="24"/>
        </w:rPr>
        <w:lastRenderedPageBreak/>
        <w:t>esperar cómodamente en un ambiente acogedor, provisto por internet gratuito. Y, en caso de que lo deseen, tienen la posibilidad de obtener un turno antes de salir de casa.</w:t>
      </w:r>
    </w:p>
    <w:p w14:paraId="5FD8A014" w14:textId="77777777" w:rsidR="00E631CE" w:rsidRPr="001B0896" w:rsidRDefault="00E631CE" w:rsidP="00E631CE">
      <w:pPr>
        <w:pStyle w:val="Prrafodelista"/>
        <w:numPr>
          <w:ilvl w:val="1"/>
          <w:numId w:val="2"/>
        </w:num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Embozado Instantáneo de Tarjetas de Crédito MasterCard: Posibilitando la inmediatez al entregar los plásticos de reemplazo de manera instantánea.</w:t>
      </w:r>
    </w:p>
    <w:p w14:paraId="14820698" w14:textId="77777777" w:rsidR="00E631CE" w:rsidRPr="001B0896" w:rsidRDefault="00E631CE" w:rsidP="00E631CE">
      <w:pPr>
        <w:pStyle w:val="Prrafodelista"/>
        <w:numPr>
          <w:ilvl w:val="1"/>
          <w:numId w:val="2"/>
        </w:num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Tabletas Electrónicas: Para realizar transacciones y consultas a través de </w:t>
      </w:r>
      <w:proofErr w:type="spellStart"/>
      <w:r w:rsidRPr="001B0896">
        <w:rPr>
          <w:rFonts w:ascii="Times New Roman" w:hAnsi="Times New Roman"/>
          <w:color w:val="767171"/>
          <w:spacing w:val="20"/>
          <w:sz w:val="24"/>
          <w:szCs w:val="24"/>
        </w:rPr>
        <w:t>TuBanco</w:t>
      </w:r>
      <w:proofErr w:type="spellEnd"/>
      <w:r w:rsidRPr="001B0896">
        <w:rPr>
          <w:rFonts w:ascii="Times New Roman" w:hAnsi="Times New Roman"/>
          <w:color w:val="767171"/>
          <w:spacing w:val="20"/>
          <w:sz w:val="24"/>
          <w:szCs w:val="24"/>
        </w:rPr>
        <w:t xml:space="preserve"> </w:t>
      </w:r>
    </w:p>
    <w:p w14:paraId="5B43BB33" w14:textId="77777777" w:rsidR="00E631CE" w:rsidRPr="001B0896" w:rsidRDefault="00E631CE" w:rsidP="00E631CE">
      <w:pPr>
        <w:pStyle w:val="Prrafodelista"/>
        <w:numPr>
          <w:ilvl w:val="1"/>
          <w:numId w:val="2"/>
        </w:num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Pantallas Interactivas: Para conocer informaciones relevantes sobre los productos y servicios del banco.</w:t>
      </w:r>
    </w:p>
    <w:p w14:paraId="50718664" w14:textId="77777777" w:rsidR="00E631CE" w:rsidRPr="001B0896" w:rsidRDefault="00E631CE" w:rsidP="00E631CE">
      <w:pPr>
        <w:pStyle w:val="Prrafodelista"/>
        <w:numPr>
          <w:ilvl w:val="1"/>
          <w:numId w:val="2"/>
        </w:num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Línea directa al Centro de Contacto</w:t>
      </w:r>
    </w:p>
    <w:p w14:paraId="2E3D95A0" w14:textId="7A40928F" w:rsidR="00E631CE" w:rsidRPr="001B0896" w:rsidRDefault="00E631CE" w:rsidP="00E631CE">
      <w:pPr>
        <w:pStyle w:val="Prrafodelista"/>
        <w:numPr>
          <w:ilvl w:val="1"/>
          <w:numId w:val="2"/>
        </w:num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Salón de Reuniones: Para ser reservado por nuestros clientes mediante una cita, en el cuál pueden disponer de un espacio acogedor para sostener reuniones personales o de negocios.</w:t>
      </w:r>
    </w:p>
    <w:p w14:paraId="394327C3" w14:textId="77777777" w:rsidR="006C4F57" w:rsidRPr="001B0896" w:rsidRDefault="006C4F57" w:rsidP="006C4F57">
      <w:pPr>
        <w:rPr>
          <w:rFonts w:ascii="Times New Roman" w:hAnsi="Times New Roman"/>
          <w:color w:val="767171"/>
          <w:spacing w:val="20"/>
          <w:sz w:val="24"/>
          <w:szCs w:val="24"/>
        </w:rPr>
      </w:pPr>
      <w:bookmarkStart w:id="51" w:name="_Toc92216438"/>
      <w:bookmarkStart w:id="52" w:name="_Toc92226189"/>
    </w:p>
    <w:p w14:paraId="0BA1F92A" w14:textId="60D54D04" w:rsidR="00E631CE" w:rsidRPr="001B0896" w:rsidRDefault="00E631CE" w:rsidP="00E631CE">
      <w:pPr>
        <w:pStyle w:val="Ttulo2"/>
        <w:numPr>
          <w:ilvl w:val="1"/>
          <w:numId w:val="9"/>
        </w:numPr>
        <w:spacing w:before="0" w:after="160" w:line="360" w:lineRule="auto"/>
      </w:pPr>
      <w:r w:rsidRPr="001B0896">
        <w:t>Gestión de Cumplimiento y Control</w:t>
      </w:r>
      <w:bookmarkEnd w:id="51"/>
      <w:bookmarkEnd w:id="52"/>
    </w:p>
    <w:p w14:paraId="5FE07229" w14:textId="77777777" w:rsidR="00E631CE" w:rsidRPr="001B0896" w:rsidRDefault="00E631CE" w:rsidP="00E631CE">
      <w:pPr>
        <w:spacing w:line="360" w:lineRule="auto"/>
        <w:rPr>
          <w:rFonts w:ascii="Times New Roman" w:hAnsi="Times New Roman"/>
          <w:color w:val="767171"/>
          <w:spacing w:val="20"/>
          <w:sz w:val="16"/>
          <w:szCs w:val="16"/>
        </w:rPr>
      </w:pPr>
    </w:p>
    <w:p w14:paraId="408867AF"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En relación al ámbito de Gestión de Cumplimiento y Control, el Banco de Reservas estableció los controles internos para la prevención de lavado de activos y financiamiento del terrorismo, cuya aplicación es obligatoria para todas las áreas de la institución, en cumplimiento de la Ley 155-17, promulgada por el Poder Ejecutivo el primero de junio de 2017, y sus reglamentos de aplicación 407-17 y 408-17. El banco se mantiene alineado a los estándares internacionales establecidos por el Grupo de Acción Financiera Internacional (GAFI), así como al tratamiento exigido por las Naciones Unidas al delito de lavado de activos y del terrorismo.</w:t>
      </w:r>
    </w:p>
    <w:p w14:paraId="4BFE87C7"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lastRenderedPageBreak/>
        <w:t>Se trabajó conjuntamente en el cumplimiento de las disposiciones normativas relacionadas a la estructuración de la matriz de eventos potenciales de riesgos en prevención de lavado de activos, financiamiento del terrorismo y de la proliferación de armas de destrucción masiva, logrando fortalecer en la institución controles internos para una mejor gestión de los clientes y riesgos asociados, adicional al fortalecimiento de cara al regulador. Adicionalmente, el Manual de Políticas y Procedimientos para la Prevención del Lavado de Activos, Financiamiento del Terrorismo y la Proliferación de Armas de Destrucción Masiva del Banco de Reservas, se encuentra en proceso de revisión, a los fines de cumplir con nuevos requerimientos de la normativa vigente y por oportunidades identificadas en el desarrollo de nuevos productos y servicios.</w:t>
      </w:r>
    </w:p>
    <w:p w14:paraId="7EABCA03"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En el año 2021, se formalizó el proceso de evaluación del programa de cumplimiento ético y anticorrupción, a los efectos de desarrollar las correspondientes políticas, procedimientos y procesos implementadas por Banreservas en materia de ética y anticorrupción alineadas a la ISO 37001 (Sistema de Gestión </w:t>
      </w:r>
      <w:proofErr w:type="spellStart"/>
      <w:r w:rsidRPr="001B0896">
        <w:rPr>
          <w:rFonts w:ascii="Times New Roman" w:hAnsi="Times New Roman"/>
          <w:color w:val="767171"/>
          <w:spacing w:val="20"/>
          <w:sz w:val="24"/>
          <w:szCs w:val="24"/>
        </w:rPr>
        <w:t>Antisoborno</w:t>
      </w:r>
      <w:proofErr w:type="spellEnd"/>
      <w:r w:rsidRPr="001B0896">
        <w:rPr>
          <w:rFonts w:ascii="Times New Roman" w:hAnsi="Times New Roman"/>
          <w:color w:val="767171"/>
          <w:spacing w:val="20"/>
          <w:sz w:val="24"/>
          <w:szCs w:val="24"/>
        </w:rPr>
        <w:t>) y acelerar el proceso de madurez en los temas que se requieran. En base a lo mencionado, se desarrolló y aprobó el primer Manual de Políticas Anticorrupción en el Banco de Reservas y empresas Subsidiarias.</w:t>
      </w:r>
    </w:p>
    <w:p w14:paraId="1F71C470"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Banreservas llevó a cabo más de 15 evaluaciones en materia de cumplimiento regulatorio y de prevención de lavado de activos, en el banco y sus empresas subsidiarias. Asimismo, se monitoreó el cumplimiento en la remisión de reportes e informaciones regulatorias requeridas por los distintos entes reguladores, supervisores y fiscalizadores, resultando en el seguimiento a la remisión efectiva de más de 9,500 reportes entre el Banco de Reservas y sus empresas, de </w:t>
      </w:r>
      <w:r w:rsidRPr="001B0896">
        <w:rPr>
          <w:rFonts w:ascii="Times New Roman" w:hAnsi="Times New Roman"/>
          <w:color w:val="767171"/>
          <w:spacing w:val="20"/>
          <w:sz w:val="24"/>
          <w:szCs w:val="24"/>
        </w:rPr>
        <w:lastRenderedPageBreak/>
        <w:t>los cuales hemos revisado y analizado 1,882 reportes regulatorios, con el propósito de identificar posibles incumplimientos normativos. A través de la Dirección de Cumplimiento Regulatorio se identificó y analizó 31 nuevas normativas emitidas por el Banco Central y la Superintendencia de Bancos, así como otros 73 cambios normativos ocurridos en los distintos sectores que participan las empresas subsidiarias del banco.</w:t>
      </w:r>
    </w:p>
    <w:p w14:paraId="6A89AD2A"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Con el propósito de vigilar y asegurar el cumplimiento de los controles internos, corregir debilidades y mejorar la eficacia de los procesos, el área de auditoría general y sus dependencias realizaron evaluaciones en diferentes oficinas y departamentos del banco, en las cuales se evaluó la eficiencia de los procesos de gestión de riesgo, control interno y gobierno de la institución.</w:t>
      </w:r>
    </w:p>
    <w:p w14:paraId="3EC5121A"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La Dirección General de Auditoría avanzó en el cumplimiento de la planificación anual, con un 80% al cierre de diciembre de 2021, para un total de 141 auditorías, evaluando y comprobado la eficiencia de los procesos de gestión de riesgo, control interno y gobierno de la institución. Dichas evaluaciones constituyen un soporte importante para las revisiones de los auditores externos, la Superintendencia de Bancos, el Comité de Auditoría, el Comité de Operaciones, la Administración General y otras áreas del banco, así como denuncias recibidas a través de la línea de transparencia. Asimismo, se realizaron 29 auditorías de tecnología de información, a componentes de la infraestructura tecnológica del banco, detectando oportunidades de mejora para el fortalecimiento del sistema integral de control interno, la gestión oportuna de riesgos y una efectiva gobernanza corporativa. También se realizaron 52 auditorías financieras para evaluar y evidenciar la eficiencia de los procesos de riesgos de </w:t>
      </w:r>
      <w:r w:rsidRPr="001B0896">
        <w:rPr>
          <w:rFonts w:ascii="Times New Roman" w:hAnsi="Times New Roman"/>
          <w:color w:val="767171"/>
          <w:spacing w:val="20"/>
          <w:sz w:val="24"/>
          <w:szCs w:val="24"/>
        </w:rPr>
        <w:lastRenderedPageBreak/>
        <w:t>crédito, riesgos de mercado y liquidez, gestión financiera, gestión de capital humano, direccionamiento empresarial y gestión comercial y corporativa. Se ejecutaron 31 auditorías corporativas, de las cuales 19 corresponden a operacional y financiera, y 12 a tecnología de la información.</w:t>
      </w:r>
    </w:p>
    <w:p w14:paraId="2954543A"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Como parte de una filosofía de mejora continua, contamos con una unidad especializada de Calidad de Auditoría la cual mantiene un programa de aseguramiento y mejora de la calidad, enfocado en los aspectos del desarrollo de la actividad de Auditoría Interna, basados en las Normas para la Práctica Profesional de Auditoría y en la Norma ISO 9001:2015. Adicionalmente, contamos con la Certificación Internacional de la Norma ISO 9001:2015, la cual fue ratificada por la empresa AENOR en el 2021 (certificación revalidada), avalando nuestro programa de Calidad.</w:t>
      </w:r>
    </w:p>
    <w:p w14:paraId="232FF450"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Fue ejecutada una auditoría especial, que corresponde a Inversiones &amp; Reservas, S.A.-Puesto de Bolsa y Sociedad Administradora de Fondos de Inversión Reservas, S.A., sobre elementos tecnológicos y de cumplimiento. Se realizaron jornadas de capacitación, distribuidas en cursos, talleres, conferencias, congresos internacionales, maestrías, control interno, cursos de preparación para certificación </w:t>
      </w:r>
      <w:proofErr w:type="spellStart"/>
      <w:r w:rsidRPr="001B0896">
        <w:rPr>
          <w:rFonts w:ascii="Times New Roman" w:hAnsi="Times New Roman"/>
          <w:color w:val="767171"/>
          <w:spacing w:val="20"/>
          <w:sz w:val="24"/>
          <w:szCs w:val="24"/>
        </w:rPr>
        <w:t>Certified</w:t>
      </w:r>
      <w:proofErr w:type="spellEnd"/>
      <w:r w:rsidRPr="001B0896">
        <w:rPr>
          <w:rFonts w:ascii="Times New Roman" w:hAnsi="Times New Roman"/>
          <w:color w:val="767171"/>
          <w:spacing w:val="20"/>
          <w:sz w:val="24"/>
          <w:szCs w:val="24"/>
        </w:rPr>
        <w:t xml:space="preserve"> </w:t>
      </w:r>
      <w:proofErr w:type="spellStart"/>
      <w:r w:rsidRPr="001B0896">
        <w:rPr>
          <w:rFonts w:ascii="Times New Roman" w:hAnsi="Times New Roman"/>
          <w:color w:val="767171"/>
          <w:spacing w:val="20"/>
          <w:sz w:val="24"/>
          <w:szCs w:val="24"/>
        </w:rPr>
        <w:t>Intenal</w:t>
      </w:r>
      <w:proofErr w:type="spellEnd"/>
      <w:r w:rsidRPr="001B0896">
        <w:rPr>
          <w:rFonts w:ascii="Times New Roman" w:hAnsi="Times New Roman"/>
          <w:color w:val="767171"/>
          <w:spacing w:val="20"/>
          <w:sz w:val="24"/>
          <w:szCs w:val="24"/>
        </w:rPr>
        <w:t xml:space="preserve"> Auditor (CIA del IIA), diplomados, cursos de la Escuela de Ciberseguridad y de la Escuela Regulatoria, jornadas de la Academia Banreservas y </w:t>
      </w:r>
      <w:proofErr w:type="spellStart"/>
      <w:r w:rsidRPr="001B0896">
        <w:rPr>
          <w:rFonts w:ascii="Times New Roman" w:hAnsi="Times New Roman"/>
          <w:color w:val="767171"/>
          <w:spacing w:val="20"/>
          <w:sz w:val="24"/>
          <w:szCs w:val="24"/>
        </w:rPr>
        <w:t>webinarios</w:t>
      </w:r>
      <w:proofErr w:type="spellEnd"/>
      <w:r w:rsidRPr="001B0896">
        <w:rPr>
          <w:rFonts w:ascii="Times New Roman" w:hAnsi="Times New Roman"/>
          <w:color w:val="767171"/>
          <w:spacing w:val="20"/>
          <w:sz w:val="24"/>
          <w:szCs w:val="24"/>
        </w:rPr>
        <w:t xml:space="preserve">. Se destaca la obtención de la Certificación Internacional en Privacidad de Datos (CDPSE). Estas acciones han contribuido al fortalecimiento de la cultura ética y mejora del ambiente de control de la institución. </w:t>
      </w:r>
    </w:p>
    <w:p w14:paraId="01BC603B"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lastRenderedPageBreak/>
        <w:t>Para la planificación y supervisión de los límites de riesgos, el banco cuenta con un Comité de Gestión Integral de Riesgos, cuyo propósito general es diseñar y evaluar las políticas y estrategias que afectan los niveles de riesgo del banco, tomar decisiones relativas a los sistemas de administración de riesgo de la entidad, conocer la exposición a los distintos riesgos, desarrollar y mantener los planes de continuidad de negocios y contingencias, entre otros. Las funciones de Riesgo, Control Interno, Cumplimiento y Auditoría Interna cuentan con el nivel de separación e independencia suficiente entre sí y respecto de aquellas otras a las que controlan o supervisan, para el desempeño de sus funciones y tienen acceso al Consejo de Directores y sus comités de trabajo a través de sus máximos responsables.</w:t>
      </w:r>
    </w:p>
    <w:p w14:paraId="32C46FA2" w14:textId="77777777" w:rsidR="00E631CE" w:rsidRPr="001B0896" w:rsidRDefault="00E631CE" w:rsidP="00E631CE">
      <w:pPr>
        <w:spacing w:after="0" w:line="240" w:lineRule="auto"/>
        <w:jc w:val="left"/>
        <w:rPr>
          <w:rFonts w:ascii="Times New Roman" w:hAnsi="Times New Roman"/>
          <w:color w:val="767171"/>
          <w:spacing w:val="20"/>
          <w:sz w:val="24"/>
          <w:szCs w:val="24"/>
        </w:rPr>
      </w:pPr>
      <w:r w:rsidRPr="001B0896">
        <w:rPr>
          <w:rFonts w:ascii="Times New Roman" w:hAnsi="Times New Roman"/>
          <w:color w:val="767171"/>
          <w:spacing w:val="20"/>
          <w:sz w:val="24"/>
          <w:szCs w:val="24"/>
        </w:rPr>
        <w:br w:type="page"/>
      </w:r>
    </w:p>
    <w:p w14:paraId="34FB562C" w14:textId="77777777" w:rsidR="00E631CE" w:rsidRPr="001B0896" w:rsidRDefault="00E631CE" w:rsidP="00E631CE">
      <w:pPr>
        <w:pStyle w:val="Ttulo1"/>
        <w:numPr>
          <w:ilvl w:val="0"/>
          <w:numId w:val="1"/>
        </w:numPr>
        <w:ind w:left="450" w:hanging="360"/>
      </w:pPr>
      <w:bookmarkStart w:id="53" w:name="_Toc92216439"/>
      <w:bookmarkStart w:id="54" w:name="_Toc92226190"/>
      <w:r w:rsidRPr="001B0896">
        <w:lastRenderedPageBreak/>
        <w:t>SERVICIO AL CIUDADANO Y TRANSPARENCIA INSTITUCIONAL</w:t>
      </w:r>
      <w:bookmarkEnd w:id="53"/>
      <w:bookmarkEnd w:id="54"/>
    </w:p>
    <w:p w14:paraId="2925A8EF" w14:textId="77777777" w:rsidR="00E631CE" w:rsidRPr="001B0896" w:rsidRDefault="00E631CE" w:rsidP="00E631CE">
      <w:pPr>
        <w:rPr>
          <w:rFonts w:ascii="Times New Roman" w:hAnsi="Times New Roman"/>
          <w:color w:val="767171"/>
        </w:rPr>
      </w:pPr>
      <w:r w:rsidRPr="001B0896">
        <w:rPr>
          <w:rFonts w:ascii="Times New Roman" w:hAnsi="Times New Roman"/>
          <w:noProof/>
          <w:color w:val="767171"/>
          <w:lang w:val="en-US"/>
        </w:rPr>
        <mc:AlternateContent>
          <mc:Choice Requires="wps">
            <w:drawing>
              <wp:anchor distT="0" distB="0" distL="114300" distR="114300" simplePos="0" relativeHeight="251688960" behindDoc="0" locked="0" layoutInCell="1" allowOverlap="1" wp14:anchorId="5DB075D8" wp14:editId="55A5BCD4">
                <wp:simplePos x="0" y="0"/>
                <wp:positionH relativeFrom="margin">
                  <wp:posOffset>2280285</wp:posOffset>
                </wp:positionH>
                <wp:positionV relativeFrom="paragraph">
                  <wp:posOffset>15875</wp:posOffset>
                </wp:positionV>
                <wp:extent cx="463550" cy="0"/>
                <wp:effectExtent l="22860" t="19050" r="18415" b="19050"/>
                <wp:wrapNone/>
                <wp:docPr id="11"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50057" id="Conector recto 4" o:spid="_x0000_s1026" style="position:absolute;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9.55pt,1.25pt" to="216.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" strokecolor="#ee2a24" strokeweight="2.25pt">
                <v:stroke joinstyle="miter"/>
                <w10:wrap anchorx="margin"/>
              </v:line>
            </w:pict>
          </mc:Fallback>
        </mc:AlternateContent>
      </w:r>
    </w:p>
    <w:p w14:paraId="24CE8F39" w14:textId="77777777" w:rsidR="00E631CE" w:rsidRPr="001B0896" w:rsidRDefault="00E631CE" w:rsidP="00E631CE">
      <w:pPr>
        <w:jc w:val="center"/>
        <w:rPr>
          <w:rFonts w:ascii="Times New Roman" w:hAnsi="Times New Roman"/>
          <w:color w:val="767171"/>
          <w:spacing w:val="20"/>
          <w:sz w:val="24"/>
          <w:szCs w:val="36"/>
        </w:rPr>
      </w:pPr>
      <w:r w:rsidRPr="001B0896">
        <w:rPr>
          <w:rFonts w:ascii="Times New Roman" w:hAnsi="Times New Roman"/>
          <w:color w:val="767171"/>
          <w:spacing w:val="20"/>
          <w:sz w:val="24"/>
          <w:szCs w:val="36"/>
        </w:rPr>
        <w:t>Memoria institucional 2021</w:t>
      </w:r>
    </w:p>
    <w:p w14:paraId="2359529A" w14:textId="77777777" w:rsidR="00E631CE" w:rsidRPr="001B0896" w:rsidRDefault="00E631CE" w:rsidP="00E631CE">
      <w:pPr>
        <w:spacing w:line="360" w:lineRule="auto"/>
        <w:rPr>
          <w:rFonts w:ascii="Times New Roman" w:hAnsi="Times New Roman"/>
          <w:color w:val="767171"/>
          <w:spacing w:val="20"/>
          <w:sz w:val="16"/>
          <w:szCs w:val="16"/>
        </w:rPr>
      </w:pPr>
    </w:p>
    <w:p w14:paraId="34C2B011" w14:textId="77777777" w:rsidR="00E631CE" w:rsidRPr="001B0896" w:rsidRDefault="00E631CE" w:rsidP="00E631CE">
      <w:pPr>
        <w:pStyle w:val="Ttulo2"/>
        <w:numPr>
          <w:ilvl w:val="1"/>
          <w:numId w:val="10"/>
        </w:numPr>
        <w:spacing w:before="0" w:after="160" w:line="360" w:lineRule="auto"/>
      </w:pPr>
      <w:bookmarkStart w:id="55" w:name="_Toc92216440"/>
      <w:bookmarkStart w:id="56" w:name="_Toc92226191"/>
      <w:r w:rsidRPr="001B0896">
        <w:t>Responsabilidad Social Corporativa</w:t>
      </w:r>
      <w:bookmarkEnd w:id="55"/>
      <w:bookmarkEnd w:id="56"/>
    </w:p>
    <w:p w14:paraId="2BE95903" w14:textId="77777777" w:rsidR="00E631CE" w:rsidRPr="001B0896" w:rsidRDefault="00E631CE" w:rsidP="00E631CE">
      <w:pPr>
        <w:spacing w:line="360" w:lineRule="auto"/>
        <w:rPr>
          <w:rFonts w:ascii="Times New Roman" w:hAnsi="Times New Roman"/>
          <w:sz w:val="16"/>
          <w:szCs w:val="16"/>
        </w:rPr>
      </w:pPr>
    </w:p>
    <w:p w14:paraId="3208A3F4"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Banreservas ha trabajado de manera continua en favor de la prosperidad de todos los dominicanos y de los sectores más necesitados. Luego de la llegada de la crisis sanitaria causada por el COVID- 19, la institución asumió retos para seguir llevando a cabo acciones que contribuyan al desarrollo socioeconómico del país.</w:t>
      </w:r>
    </w:p>
    <w:p w14:paraId="108695A5"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La institución a través de la campaña “A esta historia, pongámosle punto final”, se sumó a los esfuerzos del Plan Nacional de Vacunación, aplicando más de 61,054 dosis de vacunas contra el COVID-19 a sus colaboradores y dependientes. Los espacios destinados a la inoculación están ubicados en 12 puntos estratégicos a nivel nacional para beneficio de clientes y personas de las zonas aledañas a estos.</w:t>
      </w:r>
    </w:p>
    <w:p w14:paraId="162791CB"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Banreservas realizó cambios en la plataforma operativa de sus programas de responsabilidad social, con el propósito de seguir realizando acciones que impacten los Objetivos de Desarrollo Sostenible (ODS), procurando la seguridad física y económica de los clientes y colaboradores, así como también la rentabilidad de las operaciones.</w:t>
      </w:r>
    </w:p>
    <w:p w14:paraId="0710CABA"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Se lanzó el programa Bancarizar es Patria, el cual busca en los próximos dos años dotar de un producto financiero a más de un millón </w:t>
      </w:r>
      <w:r w:rsidRPr="001B0896">
        <w:rPr>
          <w:rFonts w:ascii="Times New Roman" w:hAnsi="Times New Roman"/>
          <w:color w:val="767171"/>
          <w:spacing w:val="20"/>
          <w:sz w:val="24"/>
          <w:szCs w:val="24"/>
        </w:rPr>
        <w:lastRenderedPageBreak/>
        <w:t>de dominicanos, fomentando la inclusión y la democratización de los servicios financieros a los sectores de la población más vulnerables de la República Dominicana. El programa también tiene como prioridad bancarizar y promover la educación financiera, de forma que los ciudadanos puedan usar de manera sistemática productos y servicios bancarios, como son: canales alternos, préstamos y tarjetas de crédito y débito, entre otros beneficios.</w:t>
      </w:r>
    </w:p>
    <w:p w14:paraId="2A3DFAF8"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Estas acciones buscan respaldar la Estrategia Nacional de Educación Económica Financiera (ENEEF), la de Inclusión Financiera (ENIF) y los programas especiales del gobierno, tendentes a garantizar que todos los dominicanos puedan tener acceso a productos y servicios financieros; y en consecuencia a mejorar su calidad de vida. Desde hace varios años, la entidad bancaria tiene en marcha el programa Preserva, destinado a promover una cultura de ahorro para facilitar el bienestar económico sostenible, con lo cual ratifica su compromiso de contribuir a bancarizar la población, como parte de los Objetivos de Desarrollo Sostenible (ODS) y al Pacto Global de las Nacionales Unidas, al cual está adherido.</w:t>
      </w:r>
    </w:p>
    <w:p w14:paraId="26D1B4D1"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El programa Preserva brinda la oportunidad de inserción o reinserción financiera a través de sus talleres de educación y del acceso a productos bancarios de bajo costo que fomentan el ahorro y el buen crédito. Por medio de este se logró capacitar a 17,808 personas en 508 talleres en el año 2021 y un total de 220,048 personas han participado en unos 7,061 talleres, desde inicios del programa en junio 2014. Se colocaron 4,769 productos de bajo costo en el periodo enero – diciembre 2021, acumulando un total de 99,971 productos desde el inicio del programa.</w:t>
      </w:r>
    </w:p>
    <w:p w14:paraId="56127CA8"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lastRenderedPageBreak/>
        <w:t xml:space="preserve">Los beneficiarios han podido poner en práctica las herramientas y conocimientos recibidos durante el taller para la adopción de una cultura de ahorro y la recuperación de su historial crediticio. Siendo el objetivo elevar la capacidad de la población para tomar decisiones económicas y financieras responsables e informadas, a fin de mejorar sus condiciones de vida, contribuir con el desarrollo socioeconómico del país y promover una cultura de ahorro para el bienestar económico sostenible. </w:t>
      </w:r>
    </w:p>
    <w:p w14:paraId="1E4524DB"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Por medio del Programa Preserva Colaboradores se realizaron talleres de educación financiera dentro de la familia </w:t>
      </w:r>
      <w:proofErr w:type="spellStart"/>
      <w:r w:rsidRPr="001B0896">
        <w:rPr>
          <w:rFonts w:ascii="Times New Roman" w:hAnsi="Times New Roman"/>
          <w:color w:val="767171"/>
          <w:spacing w:val="20"/>
          <w:sz w:val="24"/>
          <w:szCs w:val="24"/>
        </w:rPr>
        <w:t>Rerservas</w:t>
      </w:r>
      <w:proofErr w:type="spellEnd"/>
      <w:r w:rsidRPr="001B0896">
        <w:rPr>
          <w:rFonts w:ascii="Times New Roman" w:hAnsi="Times New Roman"/>
          <w:color w:val="767171"/>
          <w:spacing w:val="20"/>
          <w:sz w:val="24"/>
          <w:szCs w:val="24"/>
        </w:rPr>
        <w:t xml:space="preserve">, capacitando a 1,788 colaboradores en 55 talleres y 53 </w:t>
      </w:r>
      <w:proofErr w:type="spellStart"/>
      <w:r w:rsidRPr="001B0896">
        <w:rPr>
          <w:rFonts w:ascii="Times New Roman" w:hAnsi="Times New Roman"/>
          <w:color w:val="767171"/>
          <w:spacing w:val="20"/>
          <w:sz w:val="24"/>
          <w:szCs w:val="24"/>
        </w:rPr>
        <w:t>mentorías</w:t>
      </w:r>
      <w:proofErr w:type="spellEnd"/>
      <w:r w:rsidRPr="001B0896">
        <w:rPr>
          <w:rFonts w:ascii="Times New Roman" w:hAnsi="Times New Roman"/>
          <w:color w:val="767171"/>
          <w:spacing w:val="20"/>
          <w:sz w:val="24"/>
          <w:szCs w:val="24"/>
        </w:rPr>
        <w:t>. Adicionalmente, se realizaron dos talleres Preserva para colaboradores con discapacidad, en el cual participaron 31 personas con discapacidad auditiva. El taller fue impartido bajo la modalidad virtual, a través de la plataforma Zoom y contó con un intérprete de lengua de señas para el entendimiento de los participantes.</w:t>
      </w:r>
    </w:p>
    <w:p w14:paraId="5DA3A7A5"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Cree Banreservas es el programa de emprendimiento que apoya el desarrollo sostenible de proyectos innovadores de emprendedores dominicanos, involucrándolos con el ecosistema de emprendimiento local, potenciales inversionistas, mentores, técnicos y empresarios expertos en las áreas que requieran sus proyectos. Este programa provee los recursos necesarios para el desarrollo de prototipos y el capital de trabajo para la puesta en marcha de sus emprendimientos. </w:t>
      </w:r>
    </w:p>
    <w:p w14:paraId="6A6346B8"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En el 2021, el programa Cree Banreservas evaluó 503 proyectos de emprendimiento, totalizando 3,876 que han sido evaluados desde el año 2014. De igual manera, apoyó 63 eventos, con un total acumulado de 559 eventos desde su creación. El programa cuenta actualmente </w:t>
      </w:r>
      <w:r w:rsidRPr="001B0896">
        <w:rPr>
          <w:rFonts w:ascii="Times New Roman" w:hAnsi="Times New Roman"/>
          <w:color w:val="767171"/>
          <w:spacing w:val="20"/>
          <w:sz w:val="24"/>
          <w:szCs w:val="24"/>
        </w:rPr>
        <w:lastRenderedPageBreak/>
        <w:t xml:space="preserve">con 16 proyectos aprobados con recursos ascendentes a RD$43.2 millones para inversión. </w:t>
      </w:r>
    </w:p>
    <w:p w14:paraId="7D9D029E"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De las iniciativas llevadas a cabo por </w:t>
      </w:r>
      <w:proofErr w:type="spellStart"/>
      <w:r w:rsidRPr="001B0896">
        <w:rPr>
          <w:rFonts w:ascii="Times New Roman" w:hAnsi="Times New Roman"/>
          <w:color w:val="767171"/>
          <w:spacing w:val="20"/>
          <w:sz w:val="24"/>
          <w:szCs w:val="24"/>
        </w:rPr>
        <w:t>Cree</w:t>
      </w:r>
      <w:proofErr w:type="spellEnd"/>
      <w:r w:rsidRPr="001B0896">
        <w:rPr>
          <w:rFonts w:ascii="Times New Roman" w:hAnsi="Times New Roman"/>
          <w:color w:val="767171"/>
          <w:spacing w:val="20"/>
          <w:sz w:val="24"/>
          <w:szCs w:val="24"/>
        </w:rPr>
        <w:t xml:space="preserve"> Banreservas, se destaca la creación de su Programa de Pre-Aceleración, estructurado para respaldar con asesoría técnica y acompañamiento, a proyectos emprendedores con potencial de convertirse en empresas sostenibles.</w:t>
      </w:r>
    </w:p>
    <w:p w14:paraId="0B7A5852"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Cree Banreservas formó parte del grupo de expositores del evento “Mujeres Emprendedoras &amp; Empresarias” presentando temas relacionados a inversión de capital y emprendimiento. Dicho evento reunió a más de 400 participantes, quienes escucharon anécdotas, historias y consejos de mujeres emprendedoras y empresarias para poder llevar a cabo proyectos a nivel profesional y personal. Adicionalmente, participó como jurado en el Global </w:t>
      </w:r>
      <w:proofErr w:type="spellStart"/>
      <w:r w:rsidRPr="001B0896">
        <w:rPr>
          <w:rFonts w:ascii="Times New Roman" w:hAnsi="Times New Roman"/>
          <w:color w:val="767171"/>
          <w:spacing w:val="20"/>
          <w:sz w:val="24"/>
          <w:szCs w:val="24"/>
        </w:rPr>
        <w:t>Student</w:t>
      </w:r>
      <w:proofErr w:type="spellEnd"/>
      <w:r w:rsidRPr="001B0896">
        <w:rPr>
          <w:rFonts w:ascii="Times New Roman" w:hAnsi="Times New Roman"/>
          <w:color w:val="767171"/>
          <w:spacing w:val="20"/>
          <w:sz w:val="24"/>
          <w:szCs w:val="24"/>
        </w:rPr>
        <w:t xml:space="preserve"> </w:t>
      </w:r>
      <w:proofErr w:type="spellStart"/>
      <w:r w:rsidRPr="001B0896">
        <w:rPr>
          <w:rFonts w:ascii="Times New Roman" w:hAnsi="Times New Roman"/>
          <w:color w:val="767171"/>
          <w:spacing w:val="20"/>
          <w:sz w:val="24"/>
          <w:szCs w:val="24"/>
        </w:rPr>
        <w:t>Entrepeneur</w:t>
      </w:r>
      <w:proofErr w:type="spellEnd"/>
      <w:r w:rsidRPr="001B0896">
        <w:rPr>
          <w:rFonts w:ascii="Times New Roman" w:hAnsi="Times New Roman"/>
          <w:color w:val="767171"/>
          <w:spacing w:val="20"/>
          <w:sz w:val="24"/>
          <w:szCs w:val="24"/>
        </w:rPr>
        <w:t xml:space="preserve"> </w:t>
      </w:r>
      <w:proofErr w:type="spellStart"/>
      <w:r w:rsidRPr="001B0896">
        <w:rPr>
          <w:rFonts w:ascii="Times New Roman" w:hAnsi="Times New Roman"/>
          <w:color w:val="767171"/>
          <w:spacing w:val="20"/>
          <w:sz w:val="24"/>
          <w:szCs w:val="24"/>
        </w:rPr>
        <w:t>Award</w:t>
      </w:r>
      <w:proofErr w:type="spellEnd"/>
      <w:r w:rsidRPr="001B0896">
        <w:rPr>
          <w:rFonts w:ascii="Times New Roman" w:hAnsi="Times New Roman"/>
          <w:color w:val="767171"/>
          <w:spacing w:val="20"/>
          <w:sz w:val="24"/>
          <w:szCs w:val="24"/>
        </w:rPr>
        <w:t xml:space="preserve">, realizado de manera virtual, seleccionando al proyecto ganador que representaría a la República Dominicana en la final global, y otorgándole </w:t>
      </w:r>
      <w:proofErr w:type="gramStart"/>
      <w:r w:rsidRPr="001B0896">
        <w:rPr>
          <w:rFonts w:ascii="Times New Roman" w:hAnsi="Times New Roman"/>
          <w:color w:val="767171"/>
          <w:spacing w:val="20"/>
          <w:sz w:val="24"/>
          <w:szCs w:val="24"/>
        </w:rPr>
        <w:t>un capital semilla</w:t>
      </w:r>
      <w:proofErr w:type="gramEnd"/>
      <w:r w:rsidRPr="001B0896">
        <w:rPr>
          <w:rFonts w:ascii="Times New Roman" w:hAnsi="Times New Roman"/>
          <w:color w:val="767171"/>
          <w:spacing w:val="20"/>
          <w:sz w:val="24"/>
          <w:szCs w:val="24"/>
        </w:rPr>
        <w:t>.</w:t>
      </w:r>
    </w:p>
    <w:p w14:paraId="6F9AEB12"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La iniciativa mi </w:t>
      </w:r>
      <w:proofErr w:type="spellStart"/>
      <w:r w:rsidRPr="001B0896">
        <w:rPr>
          <w:rFonts w:ascii="Times New Roman" w:hAnsi="Times New Roman"/>
          <w:color w:val="767171"/>
          <w:spacing w:val="20"/>
          <w:sz w:val="24"/>
          <w:szCs w:val="24"/>
        </w:rPr>
        <w:t>TierraE’RD</w:t>
      </w:r>
      <w:proofErr w:type="spellEnd"/>
      <w:r w:rsidRPr="001B0896">
        <w:rPr>
          <w:rFonts w:ascii="Times New Roman" w:hAnsi="Times New Roman"/>
          <w:color w:val="767171"/>
          <w:spacing w:val="20"/>
          <w:sz w:val="24"/>
          <w:szCs w:val="24"/>
        </w:rPr>
        <w:t xml:space="preserve"> fue apoyada con RD$500,000 con la finalidad de que 24 proyectos puedan recibir acompañamiento, </w:t>
      </w:r>
      <w:proofErr w:type="spellStart"/>
      <w:r w:rsidRPr="001B0896">
        <w:rPr>
          <w:rFonts w:ascii="Times New Roman" w:hAnsi="Times New Roman"/>
          <w:color w:val="767171"/>
          <w:spacing w:val="20"/>
          <w:sz w:val="24"/>
          <w:szCs w:val="24"/>
        </w:rPr>
        <w:t>mentorías</w:t>
      </w:r>
      <w:proofErr w:type="spellEnd"/>
      <w:r w:rsidRPr="001B0896">
        <w:rPr>
          <w:rFonts w:ascii="Times New Roman" w:hAnsi="Times New Roman"/>
          <w:color w:val="767171"/>
          <w:spacing w:val="20"/>
          <w:sz w:val="24"/>
          <w:szCs w:val="24"/>
        </w:rPr>
        <w:t xml:space="preserve">, </w:t>
      </w:r>
      <w:proofErr w:type="spellStart"/>
      <w:r w:rsidRPr="001B0896">
        <w:rPr>
          <w:rFonts w:ascii="Times New Roman" w:hAnsi="Times New Roman"/>
          <w:color w:val="767171"/>
          <w:spacing w:val="20"/>
          <w:sz w:val="24"/>
          <w:szCs w:val="24"/>
        </w:rPr>
        <w:t>bootcamps</w:t>
      </w:r>
      <w:proofErr w:type="spellEnd"/>
      <w:r w:rsidRPr="001B0896">
        <w:rPr>
          <w:rFonts w:ascii="Times New Roman" w:hAnsi="Times New Roman"/>
          <w:color w:val="767171"/>
          <w:spacing w:val="20"/>
          <w:sz w:val="24"/>
          <w:szCs w:val="24"/>
        </w:rPr>
        <w:t xml:space="preserve">, asesoría y tener la oportunidad de hacer </w:t>
      </w:r>
      <w:proofErr w:type="spellStart"/>
      <w:r w:rsidRPr="001B0896">
        <w:rPr>
          <w:rFonts w:ascii="Times New Roman" w:hAnsi="Times New Roman"/>
          <w:color w:val="767171"/>
          <w:spacing w:val="20"/>
          <w:sz w:val="24"/>
          <w:szCs w:val="24"/>
        </w:rPr>
        <w:t>networking</w:t>
      </w:r>
      <w:proofErr w:type="spellEnd"/>
      <w:r w:rsidRPr="001B0896">
        <w:rPr>
          <w:rFonts w:ascii="Times New Roman" w:hAnsi="Times New Roman"/>
          <w:color w:val="767171"/>
          <w:spacing w:val="20"/>
          <w:sz w:val="24"/>
          <w:szCs w:val="24"/>
        </w:rPr>
        <w:t xml:space="preserve">. Durante este año se llevó a cabo la firma de acuerdos de inversión de los proyectos </w:t>
      </w:r>
      <w:proofErr w:type="spellStart"/>
      <w:r w:rsidRPr="001B0896">
        <w:rPr>
          <w:rFonts w:ascii="Times New Roman" w:hAnsi="Times New Roman"/>
          <w:color w:val="767171"/>
          <w:spacing w:val="20"/>
          <w:sz w:val="24"/>
          <w:szCs w:val="24"/>
        </w:rPr>
        <w:t>Tagshelf</w:t>
      </w:r>
      <w:proofErr w:type="spellEnd"/>
      <w:r w:rsidRPr="001B0896">
        <w:rPr>
          <w:rFonts w:ascii="Times New Roman" w:hAnsi="Times New Roman"/>
          <w:color w:val="767171"/>
          <w:spacing w:val="20"/>
          <w:sz w:val="24"/>
          <w:szCs w:val="24"/>
        </w:rPr>
        <w:t xml:space="preserve"> y Mina Verde, donde ambas iniciativas recibieron importantes aportes económicos por concepto de inversión de capital inteligente para continuar con el desarrollo de sus emprendimientos.</w:t>
      </w:r>
    </w:p>
    <w:p w14:paraId="253914F7"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El programa Coopera impulsa el desarrollo socio económico de los productores nacionales, mediante el fomento de proyectos sociales de </w:t>
      </w:r>
      <w:r w:rsidRPr="001B0896">
        <w:rPr>
          <w:rFonts w:ascii="Times New Roman" w:hAnsi="Times New Roman"/>
          <w:color w:val="767171"/>
          <w:spacing w:val="20"/>
          <w:sz w:val="24"/>
          <w:szCs w:val="24"/>
        </w:rPr>
        <w:lastRenderedPageBreak/>
        <w:t>producción de bienes y servicios ubicados en comunidades vulnerables. Este programa promueve la asociación y las mejores prácticas a las empresas de economía social, dotándolas de las capacidades técnicas, asesoría y el acompañamiento requerido para garantizar su sostenibilidad.</w:t>
      </w:r>
    </w:p>
    <w:p w14:paraId="19E61249" w14:textId="57EF5FF8"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En el año 2021, se </w:t>
      </w:r>
      <w:r w:rsidR="00A27055" w:rsidRPr="001B0896">
        <w:rPr>
          <w:rFonts w:ascii="Times New Roman" w:hAnsi="Times New Roman"/>
          <w:color w:val="767171"/>
          <w:spacing w:val="20"/>
          <w:sz w:val="24"/>
          <w:szCs w:val="24"/>
        </w:rPr>
        <w:t>capacitaron</w:t>
      </w:r>
      <w:r w:rsidRPr="001B0896">
        <w:rPr>
          <w:rFonts w:ascii="Times New Roman" w:hAnsi="Times New Roman"/>
          <w:color w:val="767171"/>
          <w:spacing w:val="20"/>
          <w:sz w:val="24"/>
          <w:szCs w:val="24"/>
        </w:rPr>
        <w:t xml:space="preserve"> 2,254 personas, para un total de 3,386 personas desde el año 2019. Adicionalmente, se han realizado 147 diagnósticos situacionales, totalizando 318 desde el año 2019. Coopera ha impactado a 109 proyectos, los cuales han totalizado 215 desde el año 2019. Los grupos que han sido gestionados ascienden a 111, totalizando 210 desde el año 2019 </w:t>
      </w:r>
    </w:p>
    <w:p w14:paraId="2A584A18"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El Instituto de Desarrollo y Crédito Cooperativo (IDECOOP) y el programa Coopera, celebraron 17 Asambleas Extraordinarias y Constituyentes de cooperativas durante este período, en la que participaron más de 1,000 socios. Adicionalmente, gracias al apoyo del Programa Coopera, 25 cooperativas obtuvieron su decreto presidencial.</w:t>
      </w:r>
    </w:p>
    <w:p w14:paraId="181F50D0"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El Programa Coopera junto a la Fundación Reservas del País, realizaron la donación e instalación de sistemas contables a 22 cooperativas. Esta aplicación de sistema contable contribuye al desarrollo sostenible de las mismas, permitiendo gestionar el control de las operaciones financieras de manera más eficiente.</w:t>
      </w:r>
    </w:p>
    <w:p w14:paraId="046C0A17"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Banreservas Accesible es un programa creado con la finalidad de permitir que personas con discapacidad puedan realizar sus transacciones bancarias en oficinas comerciales de forma autónoma, cómoda y adecuada, además de dar cumplimiento a la Ley 5-13 sobre </w:t>
      </w:r>
      <w:r w:rsidRPr="001B0896">
        <w:rPr>
          <w:rFonts w:ascii="Times New Roman" w:hAnsi="Times New Roman"/>
          <w:color w:val="767171"/>
          <w:spacing w:val="20"/>
          <w:sz w:val="24"/>
          <w:szCs w:val="24"/>
        </w:rPr>
        <w:lastRenderedPageBreak/>
        <w:t xml:space="preserve">discapacidad. Este apoya la implementación de políticas y procedimientos para garantizar el acceso a oportunidades laborales en la institución de personas con discapacidad. </w:t>
      </w:r>
      <w:r w:rsidRPr="001B0896">
        <w:t xml:space="preserve"> </w:t>
      </w:r>
      <w:r w:rsidRPr="001B0896">
        <w:rPr>
          <w:rFonts w:ascii="Times New Roman" w:hAnsi="Times New Roman"/>
          <w:color w:val="767171"/>
          <w:spacing w:val="20"/>
          <w:sz w:val="24"/>
          <w:szCs w:val="24"/>
        </w:rPr>
        <w:t>El Consejo Nacional de la Empresa Privada (CONEP) y el Programa de las Naciones Unidas para el Desarrollo (PNUD), otorgaron a Banreservas el reconocimiento “Prácticas Prometedoras 2021” por su proyecto Banreservas Accesible, que contribuye al avance del cumplimiento de los Objetivos de Desarrollo Sostenible</w:t>
      </w:r>
    </w:p>
    <w:p w14:paraId="3FCBD59E"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El Banco de Reservas cuenta con 109 oficinas totalmente accesibles, así como 105 cajeros automáticos para personas con discapacidad físico-motora. Dentro de las acciones a favor de las personas con discapacidad, se realizó el lanzamiento de la plataforma institucional de lengua de señas, mediante la cual, los colaboradores que han tomado los talleres de lengua de señas pueden consultar lo aprendido, así como motivar a más personas a conocer de esta forma de comunicación. </w:t>
      </w:r>
    </w:p>
    <w:p w14:paraId="09CEF042"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Al cierre de 2021, se alcanzaron los siguientes hitos: 121 colaboradores con discapacidad laborando de manera fija en la institución; más de 400 personas con discapacidad formadas en educación financiera; 922 colaboradores capacitados en talleres de trato digno a personas con discapacidad, acumulando 8,337 desde el año 2017; 53 pasantes con discapacidad han ingresado al Programa de Pasantías; más de 265 colaboradores formados en lengua de señas; 117 colaboradores reciben Subsidio Integral para dependientes con discapacidad. </w:t>
      </w:r>
    </w:p>
    <w:p w14:paraId="62E3CFFE"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El Banco de Reservas recibió 42 certificaciones del Sello de Buenas Prácticas Inclusivas "RD Incluye", por la adecuación física de 41 </w:t>
      </w:r>
      <w:r w:rsidRPr="001B0896">
        <w:rPr>
          <w:rFonts w:ascii="Times New Roman" w:hAnsi="Times New Roman"/>
          <w:color w:val="767171"/>
          <w:spacing w:val="20"/>
          <w:sz w:val="24"/>
          <w:szCs w:val="24"/>
        </w:rPr>
        <w:lastRenderedPageBreak/>
        <w:t>oficinas comerciales y la creación de una plataforma interna de lengua de señas, galardones otorgados por el Consejo Nacional de Discapacidad (CONADIS). Banreservas acumula a la fecha 98 reconocimientos siendo por quinto año consecutivo, la institución más reconocida a nivel nacional por sus buenas prácticas inclusivas hacia las personas con discapacidad.</w:t>
      </w:r>
    </w:p>
    <w:p w14:paraId="58AF3011"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Banreservas firmó el documento compromiso al Sello Igualando RD, iniciativa del Programa de las Naciones Unidas para el Desarrollo (PNUD) y el Ministerio de la Mujer, en el que la institución se compromete a implementar políticas que favorezcan la autonomía de la mujer, contribuyendo a eliminar desigualdades en temas de género y acercándonos al logro de los Objetivos de Desarrollo Sostenible.</w:t>
      </w:r>
    </w:p>
    <w:p w14:paraId="53D3F27D"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En la primera y segunda etapa de talleres sobre Banca Responsable, más de 300 directores, gerentes y colaboradores participaron de manera virtual dentro de un espacio de sensibilización, formación, debate y empoderamiento sobre la sostenibilidad institucional desde el enfoque de la Agenda 2030, el Pacto Global, y los principios rectores sobre responsabilidad de las empresas y derechos humanos.</w:t>
      </w:r>
    </w:p>
    <w:p w14:paraId="050A77FC"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Banreservas recibió cuatro certificaciones en Sostenibilidad 3R's, mención oro, por sus buenas prácticas medioambientales en tres oficinas y en la sede de Seguros Reservas; instalaciones que cumplen con parámetros de inclusión, manejo adecuado de residuos y cuidado del medio ambiente.</w:t>
      </w:r>
    </w:p>
    <w:p w14:paraId="7DA9B877"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Por otra parte, el Voluntariado Banreservas se mantuvo enfocado en acciones de asistencia a sectores necesitados, especialmente en las áreas de salud, educación, tercera edad, discapacidad y medio </w:t>
      </w:r>
      <w:r w:rsidRPr="001B0896">
        <w:rPr>
          <w:rFonts w:ascii="Times New Roman" w:hAnsi="Times New Roman"/>
          <w:color w:val="767171"/>
          <w:spacing w:val="20"/>
          <w:sz w:val="24"/>
          <w:szCs w:val="24"/>
        </w:rPr>
        <w:lastRenderedPageBreak/>
        <w:t xml:space="preserve">ambiente. Dentro de estas destacan su participación en el levantamiento de la primera eco vivienda ubicada en el Parque Nacional Los </w:t>
      </w:r>
      <w:proofErr w:type="spellStart"/>
      <w:r w:rsidRPr="001B0896">
        <w:rPr>
          <w:rFonts w:ascii="Times New Roman" w:hAnsi="Times New Roman"/>
          <w:color w:val="767171"/>
          <w:spacing w:val="20"/>
          <w:sz w:val="24"/>
          <w:szCs w:val="24"/>
        </w:rPr>
        <w:t>Haitises</w:t>
      </w:r>
      <w:proofErr w:type="spellEnd"/>
      <w:r w:rsidRPr="001B0896">
        <w:rPr>
          <w:rFonts w:ascii="Times New Roman" w:hAnsi="Times New Roman"/>
          <w:color w:val="767171"/>
          <w:spacing w:val="20"/>
          <w:sz w:val="24"/>
          <w:szCs w:val="24"/>
        </w:rPr>
        <w:t>; donación de dos ordenadores portátiles al Conservatorio Nacional de Música, contribuyendo con las clases semipresenciales; firma de acuerdo con la Fundación Yo También Puedo en favor de personas con discapacidad, reiterando el compromiso con la inclusión y la capacitación. Adicionalmente, destaca la donación de medicamentos e insumos al Hospital General Regional Dr. Marcelino Vélez Santana.</w:t>
      </w:r>
    </w:p>
    <w:p w14:paraId="731696BA"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Fueron donados mascarillas y kits de higiene a diferentes fundaciones sin fines de lucro y sectores vulnerables del país, favoreciendo a niños desamparados, personas con discapacidad y adultos mayores. </w:t>
      </w:r>
    </w:p>
    <w:p w14:paraId="44A1542F"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A través de los programas “Vida para el Ozama” y “Vida para el </w:t>
      </w:r>
      <w:proofErr w:type="spellStart"/>
      <w:r w:rsidRPr="001B0896">
        <w:rPr>
          <w:rFonts w:ascii="Times New Roman" w:hAnsi="Times New Roman"/>
          <w:color w:val="767171"/>
          <w:spacing w:val="20"/>
          <w:sz w:val="24"/>
          <w:szCs w:val="24"/>
        </w:rPr>
        <w:t>Yaque</w:t>
      </w:r>
      <w:proofErr w:type="spellEnd"/>
      <w:r w:rsidRPr="001B0896">
        <w:rPr>
          <w:rFonts w:ascii="Times New Roman" w:hAnsi="Times New Roman"/>
          <w:color w:val="767171"/>
          <w:spacing w:val="20"/>
          <w:sz w:val="24"/>
          <w:szCs w:val="24"/>
        </w:rPr>
        <w:t>” se fomenta una cultura de respeto hacia el medio ambiente, estimulando el trabajo comunitario y el desarrollo sostenible del reciclaje en nuestro país. Durante las jornadas se cambian raciones de alimentos por la recolección de desechos plásticos, impactando a familias de la ribera de ambos ríos en Santo Domingo y en Santiago.</w:t>
      </w:r>
    </w:p>
    <w:p w14:paraId="7C27573A"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Este año debido a las restricciones por la Pandemia del </w:t>
      </w:r>
      <w:proofErr w:type="spellStart"/>
      <w:r w:rsidRPr="001B0896">
        <w:rPr>
          <w:rFonts w:ascii="Times New Roman" w:hAnsi="Times New Roman"/>
          <w:color w:val="767171"/>
          <w:spacing w:val="20"/>
          <w:sz w:val="24"/>
          <w:szCs w:val="24"/>
        </w:rPr>
        <w:t>Covid</w:t>
      </w:r>
      <w:proofErr w:type="spellEnd"/>
      <w:r w:rsidRPr="001B0896">
        <w:rPr>
          <w:rFonts w:ascii="Times New Roman" w:hAnsi="Times New Roman"/>
          <w:color w:val="767171"/>
          <w:spacing w:val="20"/>
          <w:sz w:val="24"/>
          <w:szCs w:val="24"/>
        </w:rPr>
        <w:t xml:space="preserve"> 19, hemos llevado a cabo 9 operativos de intercambios, donde hemos entregado 2,835 raciones de alimentos y recuperado 39,785 libras de plásticos e impactados unas 4,252 familias de unas 25 comunidades aledañas a las riberas de los ríos antes citados.</w:t>
      </w:r>
    </w:p>
    <w:p w14:paraId="0C4A4934"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Las comunidades impactadas en la parte este del rio Ozama son: El Dique, Oxigeno, </w:t>
      </w:r>
      <w:proofErr w:type="spellStart"/>
      <w:r w:rsidRPr="001B0896">
        <w:rPr>
          <w:rFonts w:ascii="Times New Roman" w:hAnsi="Times New Roman"/>
          <w:color w:val="767171"/>
          <w:spacing w:val="20"/>
          <w:sz w:val="24"/>
          <w:szCs w:val="24"/>
        </w:rPr>
        <w:t>Maquiteria</w:t>
      </w:r>
      <w:proofErr w:type="spellEnd"/>
      <w:r w:rsidRPr="001B0896">
        <w:rPr>
          <w:rFonts w:ascii="Times New Roman" w:hAnsi="Times New Roman"/>
          <w:color w:val="767171"/>
          <w:spacing w:val="20"/>
          <w:sz w:val="24"/>
          <w:szCs w:val="24"/>
        </w:rPr>
        <w:t xml:space="preserve">, Los Platanitos, Las Enfermeras, Ensanche Ozama y Villa Duarte; mientras que en el margen </w:t>
      </w:r>
      <w:r w:rsidRPr="001B0896">
        <w:rPr>
          <w:rFonts w:ascii="Times New Roman" w:hAnsi="Times New Roman"/>
          <w:color w:val="767171"/>
          <w:spacing w:val="20"/>
          <w:sz w:val="24"/>
          <w:szCs w:val="24"/>
        </w:rPr>
        <w:lastRenderedPageBreak/>
        <w:t xml:space="preserve">occidental del río se benefician La Ciénaga, Los Arroces, Los </w:t>
      </w:r>
      <w:proofErr w:type="spellStart"/>
      <w:r w:rsidRPr="001B0896">
        <w:rPr>
          <w:rFonts w:ascii="Times New Roman" w:hAnsi="Times New Roman"/>
          <w:color w:val="767171"/>
          <w:spacing w:val="20"/>
          <w:sz w:val="24"/>
          <w:szCs w:val="24"/>
        </w:rPr>
        <w:t>Guandules</w:t>
      </w:r>
      <w:proofErr w:type="spellEnd"/>
      <w:r w:rsidRPr="001B0896">
        <w:rPr>
          <w:rFonts w:ascii="Times New Roman" w:hAnsi="Times New Roman"/>
          <w:color w:val="767171"/>
          <w:spacing w:val="20"/>
          <w:sz w:val="24"/>
          <w:szCs w:val="24"/>
        </w:rPr>
        <w:t xml:space="preserve">, Los Cocos y Domingo </w:t>
      </w:r>
      <w:proofErr w:type="spellStart"/>
      <w:r w:rsidRPr="001B0896">
        <w:rPr>
          <w:rFonts w:ascii="Times New Roman" w:hAnsi="Times New Roman"/>
          <w:color w:val="767171"/>
          <w:spacing w:val="20"/>
          <w:sz w:val="24"/>
          <w:szCs w:val="24"/>
        </w:rPr>
        <w:t>Savio</w:t>
      </w:r>
      <w:proofErr w:type="spellEnd"/>
      <w:r w:rsidRPr="001B0896">
        <w:rPr>
          <w:rFonts w:ascii="Times New Roman" w:hAnsi="Times New Roman"/>
          <w:color w:val="767171"/>
          <w:spacing w:val="20"/>
          <w:sz w:val="24"/>
          <w:szCs w:val="24"/>
        </w:rPr>
        <w:t>.</w:t>
      </w:r>
    </w:p>
    <w:p w14:paraId="18E7108E"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En el río </w:t>
      </w:r>
      <w:proofErr w:type="spellStart"/>
      <w:r w:rsidRPr="001B0896">
        <w:rPr>
          <w:rFonts w:ascii="Times New Roman" w:hAnsi="Times New Roman"/>
          <w:color w:val="767171"/>
          <w:spacing w:val="20"/>
          <w:sz w:val="24"/>
          <w:szCs w:val="24"/>
        </w:rPr>
        <w:t>Yaque</w:t>
      </w:r>
      <w:proofErr w:type="spellEnd"/>
      <w:r w:rsidRPr="001B0896">
        <w:rPr>
          <w:rFonts w:ascii="Times New Roman" w:hAnsi="Times New Roman"/>
          <w:color w:val="767171"/>
          <w:spacing w:val="20"/>
          <w:sz w:val="24"/>
          <w:szCs w:val="24"/>
        </w:rPr>
        <w:t xml:space="preserve"> del Norte, en su paso por la ciudad de Santiago, todo el sector de La Otra Banda, así como las comunidades de Barrio Lindo, Los Letreros, Praderas del </w:t>
      </w:r>
      <w:proofErr w:type="spellStart"/>
      <w:r w:rsidRPr="001B0896">
        <w:rPr>
          <w:rFonts w:ascii="Times New Roman" w:hAnsi="Times New Roman"/>
          <w:color w:val="767171"/>
          <w:spacing w:val="20"/>
          <w:sz w:val="24"/>
          <w:szCs w:val="24"/>
        </w:rPr>
        <w:t>Yaque</w:t>
      </w:r>
      <w:proofErr w:type="spellEnd"/>
      <w:r w:rsidRPr="001B0896">
        <w:rPr>
          <w:rFonts w:ascii="Times New Roman" w:hAnsi="Times New Roman"/>
          <w:color w:val="767171"/>
          <w:spacing w:val="20"/>
          <w:sz w:val="24"/>
          <w:szCs w:val="24"/>
        </w:rPr>
        <w:t xml:space="preserve">, La Herradura, La Mina, entre otros barrios, participan del programa. </w:t>
      </w:r>
    </w:p>
    <w:p w14:paraId="7372E80E"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Cada año celebramos las jornadas reforestación, en varias zonas del país, con las cuales buscamos mitigar nuestros impactos en el uso del papel. Este año hemos plantado 6,750 árboles en la cual participación 159 voluntarios siendo las cuencas impactadas: río Haina y afluentes, </w:t>
      </w:r>
      <w:proofErr w:type="spellStart"/>
      <w:r w:rsidRPr="001B0896">
        <w:rPr>
          <w:rFonts w:ascii="Times New Roman" w:hAnsi="Times New Roman"/>
          <w:color w:val="767171"/>
          <w:spacing w:val="20"/>
          <w:sz w:val="24"/>
          <w:szCs w:val="24"/>
        </w:rPr>
        <w:t>Yaque</w:t>
      </w:r>
      <w:proofErr w:type="spellEnd"/>
      <w:r w:rsidRPr="001B0896">
        <w:rPr>
          <w:rFonts w:ascii="Times New Roman" w:hAnsi="Times New Roman"/>
          <w:color w:val="767171"/>
          <w:spacing w:val="20"/>
          <w:sz w:val="24"/>
          <w:szCs w:val="24"/>
        </w:rPr>
        <w:t xml:space="preserve"> del Norte, así como río Ozama y sus afluentes.</w:t>
      </w:r>
    </w:p>
    <w:p w14:paraId="1A3D6470"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El programa la Ruta de Reciclaje tiene como objetivo fomentar una cultura de reutilización y reducción de consumo de los materiales que los colaboradores utilizan diariamente en las oficinas comerciales y administrativas a nivel nacional. El Voluntariado en conjunto con la Dirección de Servicios Generales y en alianza con la recicladora Green </w:t>
      </w:r>
      <w:proofErr w:type="spellStart"/>
      <w:r w:rsidRPr="001B0896">
        <w:rPr>
          <w:rFonts w:ascii="Times New Roman" w:hAnsi="Times New Roman"/>
          <w:color w:val="767171"/>
          <w:spacing w:val="20"/>
          <w:sz w:val="24"/>
          <w:szCs w:val="24"/>
        </w:rPr>
        <w:t>Love</w:t>
      </w:r>
      <w:proofErr w:type="spellEnd"/>
      <w:r w:rsidRPr="001B0896">
        <w:rPr>
          <w:rFonts w:ascii="Times New Roman" w:hAnsi="Times New Roman"/>
          <w:color w:val="767171"/>
          <w:spacing w:val="20"/>
          <w:sz w:val="24"/>
          <w:szCs w:val="24"/>
        </w:rPr>
        <w:t xml:space="preserve"> y </w:t>
      </w:r>
      <w:proofErr w:type="spellStart"/>
      <w:r w:rsidRPr="001B0896">
        <w:rPr>
          <w:rFonts w:ascii="Times New Roman" w:hAnsi="Times New Roman"/>
          <w:color w:val="767171"/>
          <w:spacing w:val="20"/>
          <w:sz w:val="24"/>
          <w:szCs w:val="24"/>
        </w:rPr>
        <w:t>Cilpen</w:t>
      </w:r>
      <w:proofErr w:type="spellEnd"/>
      <w:r w:rsidRPr="001B0896">
        <w:rPr>
          <w:rFonts w:ascii="Times New Roman" w:hAnsi="Times New Roman"/>
          <w:color w:val="767171"/>
          <w:spacing w:val="20"/>
          <w:sz w:val="24"/>
          <w:szCs w:val="24"/>
        </w:rPr>
        <w:t xml:space="preserve"> </w:t>
      </w:r>
      <w:proofErr w:type="spellStart"/>
      <w:r w:rsidRPr="001B0896">
        <w:rPr>
          <w:rFonts w:ascii="Times New Roman" w:hAnsi="Times New Roman"/>
          <w:color w:val="767171"/>
          <w:spacing w:val="20"/>
          <w:sz w:val="24"/>
          <w:szCs w:val="24"/>
        </w:rPr>
        <w:t>Group</w:t>
      </w:r>
      <w:proofErr w:type="spellEnd"/>
      <w:r w:rsidRPr="001B0896">
        <w:rPr>
          <w:rFonts w:ascii="Times New Roman" w:hAnsi="Times New Roman"/>
          <w:color w:val="767171"/>
          <w:spacing w:val="20"/>
          <w:sz w:val="24"/>
          <w:szCs w:val="24"/>
        </w:rPr>
        <w:t>, retiramos todos los materiales y documentos para su posterior reciclaje.</w:t>
      </w:r>
    </w:p>
    <w:p w14:paraId="4042E033"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Los principales materiales reciclados son: papel, cartón, plástico, metal, cartuchos y los archivos procesados. En este 2021 hemos recolectado 60,737 kilogramos de papel, 4,710 kilogramos de cartón, 400 libras de plástico y los archivos procesados unos 122,249 kilogramos, 49 unidades de tóner y 195 kilogramos de chatarra electrónica que representa un aporte importante en el cuidado del medio ambiente.  </w:t>
      </w:r>
    </w:p>
    <w:p w14:paraId="609FD141"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lastRenderedPageBreak/>
        <w:t>Lanzamos el programa piloto Eco-ADN en colaboración con la Alcaldía del Distrito Nacional para la clasificación de residuos. El piloto busca que los ciudadanos asuman su responsabilidad en la clasificación de los residuos con un sistema de gestión en el que las personas desde sus casas, negocios o lugares de trabajo preparan y clasifican los desechos no orgánicos antes de sacarlos para su recogida por parte del cabildo, en camiones especializados.</w:t>
      </w:r>
    </w:p>
    <w:p w14:paraId="6E2B8473"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El Voluntariado Banreservas, en alianza con </w:t>
      </w:r>
      <w:proofErr w:type="spellStart"/>
      <w:r w:rsidRPr="001B0896">
        <w:rPr>
          <w:rFonts w:ascii="Times New Roman" w:hAnsi="Times New Roman"/>
          <w:color w:val="767171"/>
          <w:spacing w:val="20"/>
          <w:sz w:val="24"/>
          <w:szCs w:val="24"/>
        </w:rPr>
        <w:t>Nature</w:t>
      </w:r>
      <w:proofErr w:type="spellEnd"/>
      <w:r w:rsidRPr="001B0896">
        <w:rPr>
          <w:rFonts w:ascii="Times New Roman" w:hAnsi="Times New Roman"/>
          <w:color w:val="767171"/>
          <w:spacing w:val="20"/>
          <w:sz w:val="24"/>
          <w:szCs w:val="24"/>
        </w:rPr>
        <w:t xml:space="preserve"> </w:t>
      </w:r>
      <w:proofErr w:type="spellStart"/>
      <w:r w:rsidRPr="001B0896">
        <w:rPr>
          <w:rFonts w:ascii="Times New Roman" w:hAnsi="Times New Roman"/>
          <w:color w:val="767171"/>
          <w:spacing w:val="20"/>
          <w:sz w:val="24"/>
          <w:szCs w:val="24"/>
        </w:rPr>
        <w:t>Power</w:t>
      </w:r>
      <w:proofErr w:type="spellEnd"/>
      <w:r w:rsidRPr="001B0896">
        <w:rPr>
          <w:rFonts w:ascii="Times New Roman" w:hAnsi="Times New Roman"/>
          <w:color w:val="767171"/>
          <w:spacing w:val="20"/>
          <w:sz w:val="24"/>
          <w:szCs w:val="24"/>
        </w:rPr>
        <w:t xml:space="preserve"> </w:t>
      </w:r>
      <w:proofErr w:type="spellStart"/>
      <w:r w:rsidRPr="001B0896">
        <w:rPr>
          <w:rFonts w:ascii="Times New Roman" w:hAnsi="Times New Roman"/>
          <w:color w:val="767171"/>
          <w:spacing w:val="20"/>
          <w:sz w:val="24"/>
          <w:szCs w:val="24"/>
        </w:rPr>
        <w:t>Foundation</w:t>
      </w:r>
      <w:proofErr w:type="spellEnd"/>
      <w:r w:rsidRPr="001B0896">
        <w:rPr>
          <w:rFonts w:ascii="Times New Roman" w:hAnsi="Times New Roman"/>
          <w:color w:val="767171"/>
          <w:spacing w:val="20"/>
          <w:sz w:val="24"/>
          <w:szCs w:val="24"/>
        </w:rPr>
        <w:t xml:space="preserve">, se encuentra trabajando en la primera comunidad sostenible de República Dominicana, en la zona de Sabana Yegua Viejo, ubicada en la provincia de Azua. Las casas construidas con plástico reciclado a los fines de contribuir con el desarrollo sostenible, mejorando las condiciones socioeconómicas y medio ambientales de la comunidad. </w:t>
      </w:r>
      <w:proofErr w:type="spellStart"/>
      <w:r w:rsidRPr="001B0896">
        <w:rPr>
          <w:rFonts w:ascii="Times New Roman" w:hAnsi="Times New Roman"/>
          <w:color w:val="767171"/>
          <w:spacing w:val="20"/>
          <w:sz w:val="24"/>
          <w:szCs w:val="24"/>
        </w:rPr>
        <w:t>Nature</w:t>
      </w:r>
      <w:proofErr w:type="spellEnd"/>
      <w:r w:rsidRPr="001B0896">
        <w:rPr>
          <w:rFonts w:ascii="Times New Roman" w:hAnsi="Times New Roman"/>
          <w:color w:val="767171"/>
          <w:spacing w:val="20"/>
          <w:sz w:val="24"/>
          <w:szCs w:val="24"/>
        </w:rPr>
        <w:t xml:space="preserve"> </w:t>
      </w:r>
      <w:proofErr w:type="spellStart"/>
      <w:r w:rsidRPr="001B0896">
        <w:rPr>
          <w:rFonts w:ascii="Times New Roman" w:hAnsi="Times New Roman"/>
          <w:color w:val="767171"/>
          <w:spacing w:val="20"/>
          <w:sz w:val="24"/>
          <w:szCs w:val="24"/>
        </w:rPr>
        <w:t>Village</w:t>
      </w:r>
      <w:proofErr w:type="spellEnd"/>
      <w:r w:rsidRPr="001B0896">
        <w:rPr>
          <w:rFonts w:ascii="Times New Roman" w:hAnsi="Times New Roman"/>
          <w:color w:val="767171"/>
          <w:spacing w:val="20"/>
          <w:sz w:val="24"/>
          <w:szCs w:val="24"/>
        </w:rPr>
        <w:t xml:space="preserve"> brinda el acceso por primera vez a energía, agua potable, viviendas ecológicas dignas, oportunidad de emprendimiento y acceso a tecnología, para beneficiar a 50 familias que viven desde hace más de 40 años en la zona con carencia de los servicios básicos.</w:t>
      </w:r>
    </w:p>
    <w:p w14:paraId="168527D1"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Lanzamos la plataforma educativa para toda la familia </w:t>
      </w:r>
      <w:proofErr w:type="spellStart"/>
      <w:r w:rsidRPr="001B0896">
        <w:rPr>
          <w:rFonts w:ascii="Times New Roman" w:hAnsi="Times New Roman"/>
          <w:color w:val="767171"/>
          <w:spacing w:val="20"/>
          <w:sz w:val="24"/>
          <w:szCs w:val="24"/>
        </w:rPr>
        <w:t>Educlic</w:t>
      </w:r>
      <w:proofErr w:type="spellEnd"/>
      <w:r w:rsidRPr="001B0896">
        <w:rPr>
          <w:rFonts w:ascii="Times New Roman" w:hAnsi="Times New Roman"/>
          <w:color w:val="767171"/>
          <w:spacing w:val="20"/>
          <w:sz w:val="24"/>
          <w:szCs w:val="24"/>
        </w:rPr>
        <w:t>, una herramienta destinada a proporcionar formación virtual, social y cultural para dominicanos de todas las edades.</w:t>
      </w:r>
    </w:p>
    <w:p w14:paraId="0D55301B"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Finalmente, nuestro Voluntariado recibió un reconocimiento por el apoyo brindado en el proceso de adaptación, traslado al mar y reintegración a su hábitat de los manatíes Juanita, Pepe y Lupita. </w:t>
      </w:r>
    </w:p>
    <w:p w14:paraId="1823319C" w14:textId="77777777" w:rsidR="00E631CE" w:rsidRPr="001B0896" w:rsidRDefault="00E631CE" w:rsidP="00E631CE">
      <w:pPr>
        <w:spacing w:afterLines="160" w:after="384" w:line="360" w:lineRule="auto"/>
        <w:rPr>
          <w:rFonts w:ascii="Times New Roman" w:hAnsi="Times New Roman"/>
          <w:color w:val="767171"/>
          <w:spacing w:val="20"/>
          <w:sz w:val="24"/>
          <w:szCs w:val="24"/>
        </w:rPr>
      </w:pPr>
    </w:p>
    <w:p w14:paraId="1932F12F" w14:textId="77777777" w:rsidR="00E631CE" w:rsidRPr="001B0896" w:rsidRDefault="00E631CE" w:rsidP="00E631CE">
      <w:pPr>
        <w:pStyle w:val="Ttulo2"/>
        <w:numPr>
          <w:ilvl w:val="1"/>
          <w:numId w:val="10"/>
        </w:numPr>
        <w:spacing w:before="0" w:after="160" w:line="360" w:lineRule="auto"/>
      </w:pPr>
      <w:bookmarkStart w:id="57" w:name="_Toc92216441"/>
      <w:bookmarkStart w:id="58" w:name="_Toc92226192"/>
      <w:r w:rsidRPr="001B0896">
        <w:lastRenderedPageBreak/>
        <w:t>Transparencia</w:t>
      </w:r>
      <w:bookmarkEnd w:id="57"/>
      <w:bookmarkEnd w:id="58"/>
      <w:r w:rsidRPr="001B0896">
        <w:t xml:space="preserve"> </w:t>
      </w:r>
    </w:p>
    <w:p w14:paraId="525B64CD" w14:textId="77777777" w:rsidR="00E631CE" w:rsidRPr="001B0896" w:rsidRDefault="00E631CE" w:rsidP="00E631CE">
      <w:pPr>
        <w:spacing w:line="360" w:lineRule="auto"/>
        <w:rPr>
          <w:rFonts w:ascii="Times New Roman" w:hAnsi="Times New Roman"/>
          <w:color w:val="767171"/>
          <w:spacing w:val="20"/>
          <w:sz w:val="16"/>
          <w:szCs w:val="16"/>
        </w:rPr>
      </w:pPr>
    </w:p>
    <w:p w14:paraId="1736E651" w14:textId="77777777" w:rsidR="00E631CE" w:rsidRPr="001B0896" w:rsidRDefault="00E631CE" w:rsidP="00E631CE">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 xml:space="preserve">El Banco de Reservas de la República Dominicana cumple con los principios de transparencia requeridos por las entidades reguladoras y supervisoras del país, tales como el Banco Central, la Superintendencia de Bancos, Superintendencia de Valores, la Superintendencia de Pensiones y por las agencias calificadoras internacionales y locales, tales como </w:t>
      </w:r>
      <w:proofErr w:type="spellStart"/>
      <w:r w:rsidRPr="001B0896">
        <w:rPr>
          <w:rFonts w:ascii="Times New Roman" w:hAnsi="Times New Roman"/>
          <w:color w:val="767171"/>
          <w:spacing w:val="20"/>
          <w:sz w:val="24"/>
          <w:szCs w:val="24"/>
        </w:rPr>
        <w:t>Moody’s</w:t>
      </w:r>
      <w:proofErr w:type="spellEnd"/>
      <w:r w:rsidRPr="001B0896">
        <w:rPr>
          <w:rFonts w:ascii="Times New Roman" w:hAnsi="Times New Roman"/>
          <w:color w:val="767171"/>
          <w:spacing w:val="20"/>
          <w:sz w:val="24"/>
          <w:szCs w:val="24"/>
        </w:rPr>
        <w:t xml:space="preserve">, </w:t>
      </w:r>
      <w:proofErr w:type="spellStart"/>
      <w:r w:rsidRPr="001B0896">
        <w:rPr>
          <w:rFonts w:ascii="Times New Roman" w:hAnsi="Times New Roman"/>
          <w:color w:val="767171"/>
          <w:spacing w:val="20"/>
          <w:sz w:val="24"/>
          <w:szCs w:val="24"/>
        </w:rPr>
        <w:t>Fitch</w:t>
      </w:r>
      <w:proofErr w:type="spellEnd"/>
      <w:r w:rsidRPr="001B0896">
        <w:rPr>
          <w:rFonts w:ascii="Times New Roman" w:hAnsi="Times New Roman"/>
          <w:color w:val="767171"/>
          <w:spacing w:val="20"/>
          <w:sz w:val="24"/>
          <w:szCs w:val="24"/>
        </w:rPr>
        <w:t xml:space="preserve"> Ratings y </w:t>
      </w:r>
      <w:proofErr w:type="spellStart"/>
      <w:r w:rsidRPr="001B0896">
        <w:rPr>
          <w:rFonts w:ascii="Times New Roman" w:hAnsi="Times New Roman"/>
          <w:color w:val="767171"/>
          <w:spacing w:val="20"/>
          <w:sz w:val="24"/>
          <w:szCs w:val="24"/>
        </w:rPr>
        <w:t>Feller-Rate</w:t>
      </w:r>
      <w:proofErr w:type="spellEnd"/>
      <w:r w:rsidRPr="001B0896">
        <w:rPr>
          <w:rFonts w:ascii="Times New Roman" w:hAnsi="Times New Roman"/>
          <w:color w:val="767171"/>
          <w:spacing w:val="20"/>
          <w:sz w:val="24"/>
          <w:szCs w:val="24"/>
        </w:rPr>
        <w:t>. Por las razones mencionadas anteriormente, Banreservas pone a disposición de las entidades reguladoras, de los inversionistas y del público en general toda información financiera, calificaciones de riesgo y otras publicaciones que considere importantes. En la página web de la institución se publican los estados financieros mensuales, la memoria anual e informaciones relevantes.</w:t>
      </w:r>
    </w:p>
    <w:p w14:paraId="79E52B53" w14:textId="1CB6DDB0" w:rsidR="003F1777" w:rsidRPr="00547759" w:rsidRDefault="00E631CE" w:rsidP="00554A7F">
      <w:pPr>
        <w:spacing w:afterLines="160" w:after="384" w:line="360" w:lineRule="auto"/>
        <w:rPr>
          <w:rFonts w:ascii="Times New Roman" w:hAnsi="Times New Roman"/>
          <w:color w:val="767171"/>
          <w:spacing w:val="20"/>
          <w:sz w:val="24"/>
          <w:szCs w:val="24"/>
        </w:rPr>
      </w:pPr>
      <w:r w:rsidRPr="001B0896">
        <w:rPr>
          <w:rFonts w:ascii="Times New Roman" w:hAnsi="Times New Roman"/>
          <w:color w:val="767171"/>
          <w:spacing w:val="20"/>
          <w:sz w:val="24"/>
          <w:szCs w:val="24"/>
        </w:rPr>
        <w:t>De igual manera, el Banco tiene a disposición de todos los empleados del Grupo Reservas la Línea de Transparencia, el cual es un canal de comunicación, para que estos comuniquen de forma anónima y confidencial, cualquier situación o actos que afecten la moral, la ética y que atente contra los intereses del banco o cualquiera de las empresas filiales.</w:t>
      </w:r>
    </w:p>
    <w:sectPr w:rsidR="003F1777" w:rsidRPr="00547759" w:rsidSect="008572D7">
      <w:footerReference w:type="default" r:id="rId19"/>
      <w:type w:val="continuous"/>
      <w:pgSz w:w="12242" w:h="15842" w:code="1"/>
      <w:pgMar w:top="1440" w:right="2160" w:bottom="1440" w:left="2160" w:header="709" w:footer="11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A547E" w14:textId="77777777" w:rsidR="00B00B97" w:rsidRDefault="00B00B97" w:rsidP="0089322F">
      <w:pPr>
        <w:spacing w:after="0" w:line="240" w:lineRule="auto"/>
      </w:pPr>
      <w:r>
        <w:separator/>
      </w:r>
    </w:p>
  </w:endnote>
  <w:endnote w:type="continuationSeparator" w:id="0">
    <w:p w14:paraId="59053994" w14:textId="77777777" w:rsidR="00B00B97" w:rsidRDefault="00B00B97" w:rsidP="00893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tifex CF Extra Light">
    <w:altName w:val="Courier New"/>
    <w:panose1 w:val="00000000000000000000"/>
    <w:charset w:val="00"/>
    <w:family w:val="modern"/>
    <w:notTrueType/>
    <w:pitch w:val="variable"/>
    <w:sig w:usb0="00000001" w:usb1="00000000" w:usb2="00000000" w:usb3="00000000" w:csb0="00000093" w:csb1="00000000"/>
  </w:font>
  <w:font w:name="Gotham">
    <w:altName w:val="Calibri"/>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Gotham Thin">
    <w:altName w:val="Calibri"/>
    <w:panose1 w:val="00000000000000000000"/>
    <w:charset w:val="00"/>
    <w:family w:val="modern"/>
    <w:notTrueType/>
    <w:pitch w:val="variable"/>
    <w:sig w:usb0="A00000AF" w:usb1="5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Arial 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3C2D3" w14:textId="77777777" w:rsidR="00B00B97" w:rsidRDefault="00B00B97">
    <w:pPr>
      <w:pStyle w:val="Piedepgina"/>
      <w:jc w:val="center"/>
    </w:pPr>
  </w:p>
  <w:p w14:paraId="0C4612A4" w14:textId="77777777" w:rsidR="00B00B97" w:rsidRDefault="00B00B97">
    <w:pPr>
      <w:pStyle w:val="Piedepgina"/>
      <w:jc w:val="center"/>
    </w:pPr>
  </w:p>
  <w:p w14:paraId="7745C5F6" w14:textId="77777777" w:rsidR="00B00B97" w:rsidRPr="006F0C62" w:rsidRDefault="00B00B97">
    <w:pPr>
      <w:pStyle w:val="Piedepgina"/>
      <w:jc w:val="center"/>
      <w:rPr>
        <w:rFonts w:ascii="Times New Roman" w:hAnsi="Times New Roman"/>
        <w:color w:val="767171"/>
      </w:rPr>
    </w:pPr>
  </w:p>
  <w:p w14:paraId="4AC86AE6" w14:textId="77777777" w:rsidR="00B00B97" w:rsidRDefault="00B00B9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EA29B" w14:textId="77777777" w:rsidR="00B00B97" w:rsidRDefault="00B00B97">
    <w:pPr>
      <w:pStyle w:val="Piedepgina"/>
      <w:jc w:val="center"/>
    </w:pPr>
  </w:p>
  <w:p w14:paraId="17C0EE4D" w14:textId="77777777" w:rsidR="00B00B97" w:rsidRDefault="00B00B97">
    <w:pPr>
      <w:pStyle w:val="Piedepgina"/>
      <w:jc w:val="center"/>
    </w:pPr>
    <w:r>
      <w:rPr>
        <w:noProof/>
        <w:lang w:val="en-US"/>
      </w:rPr>
      <w:drawing>
        <wp:inline distT="0" distB="0" distL="0" distR="0" wp14:anchorId="1E7CDC00" wp14:editId="3710AA44">
          <wp:extent cx="3000375" cy="400050"/>
          <wp:effectExtent l="0" t="0" r="0" b="0"/>
          <wp:docPr id="7" name="Imagen 7" descr="Elemento-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mento-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400050"/>
                  </a:xfrm>
                  <a:prstGeom prst="rect">
                    <a:avLst/>
                  </a:prstGeom>
                  <a:noFill/>
                  <a:ln>
                    <a:noFill/>
                  </a:ln>
                </pic:spPr>
              </pic:pic>
            </a:graphicData>
          </a:graphic>
        </wp:inline>
      </w:drawing>
    </w:r>
  </w:p>
  <w:p w14:paraId="5F82B937" w14:textId="767EECD8" w:rsidR="00B00B97" w:rsidRPr="006F0C62" w:rsidRDefault="00B00B97">
    <w:pPr>
      <w:pStyle w:val="Piedepgina"/>
      <w:jc w:val="center"/>
      <w:rPr>
        <w:rFonts w:ascii="Times New Roman" w:hAnsi="Times New Roman"/>
        <w:color w:val="767171"/>
      </w:rPr>
    </w:pPr>
    <w:r w:rsidRPr="006F0C62">
      <w:rPr>
        <w:rFonts w:ascii="Times New Roman" w:hAnsi="Times New Roman"/>
        <w:color w:val="767171"/>
      </w:rPr>
      <w:fldChar w:fldCharType="begin"/>
    </w:r>
    <w:r w:rsidRPr="006F0C62">
      <w:rPr>
        <w:rFonts w:ascii="Times New Roman" w:hAnsi="Times New Roman"/>
        <w:color w:val="767171"/>
      </w:rPr>
      <w:instrText>PAGE   \* MERGEFORMAT</w:instrText>
    </w:r>
    <w:r w:rsidRPr="006F0C62">
      <w:rPr>
        <w:rFonts w:ascii="Times New Roman" w:hAnsi="Times New Roman"/>
        <w:color w:val="767171"/>
      </w:rPr>
      <w:fldChar w:fldCharType="separate"/>
    </w:r>
    <w:r w:rsidR="003006DD">
      <w:rPr>
        <w:rFonts w:ascii="Times New Roman" w:hAnsi="Times New Roman"/>
        <w:noProof/>
        <w:color w:val="767171"/>
      </w:rPr>
      <w:t>20</w:t>
    </w:r>
    <w:r w:rsidRPr="006F0C62">
      <w:rPr>
        <w:rFonts w:ascii="Times New Roman" w:hAnsi="Times New Roman"/>
        <w:color w:val="767171"/>
      </w:rPr>
      <w:fldChar w:fldCharType="end"/>
    </w:r>
  </w:p>
  <w:p w14:paraId="35086A7E" w14:textId="77777777" w:rsidR="00B00B97" w:rsidRDefault="00B00B9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228B1" w14:textId="77777777" w:rsidR="00B00B97" w:rsidRDefault="00B00B97" w:rsidP="0089322F">
      <w:pPr>
        <w:spacing w:after="0" w:line="240" w:lineRule="auto"/>
      </w:pPr>
      <w:r>
        <w:separator/>
      </w:r>
    </w:p>
  </w:footnote>
  <w:footnote w:type="continuationSeparator" w:id="0">
    <w:p w14:paraId="10FF0295" w14:textId="77777777" w:rsidR="00B00B97" w:rsidRDefault="00B00B97" w:rsidP="00893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5975"/>
    <w:multiLevelType w:val="multilevel"/>
    <w:tmpl w:val="4EB612E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DEC12E4"/>
    <w:multiLevelType w:val="hybridMultilevel"/>
    <w:tmpl w:val="AB32310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1FE145A7"/>
    <w:multiLevelType w:val="hybridMultilevel"/>
    <w:tmpl w:val="21B46370"/>
    <w:lvl w:ilvl="0" w:tplc="5694F52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7530D"/>
    <w:multiLevelType w:val="multilevel"/>
    <w:tmpl w:val="A2F8B5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79F0929"/>
    <w:multiLevelType w:val="hybridMultilevel"/>
    <w:tmpl w:val="936039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37A15"/>
    <w:multiLevelType w:val="hybridMultilevel"/>
    <w:tmpl w:val="DFC04F82"/>
    <w:lvl w:ilvl="0" w:tplc="04090013">
      <w:start w:val="1"/>
      <w:numFmt w:val="upperRoman"/>
      <w:lvlText w:val="%1."/>
      <w:lvlJc w:val="righ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A0246"/>
    <w:multiLevelType w:val="hybridMultilevel"/>
    <w:tmpl w:val="426A51A2"/>
    <w:lvl w:ilvl="0" w:tplc="4266AA8E">
      <w:start w:val="1"/>
      <w:numFmt w:val="bullet"/>
      <w:lvlText w:val=""/>
      <w:lvlJc w:val="left"/>
      <w:pPr>
        <w:ind w:left="644" w:hanging="360"/>
      </w:pPr>
      <w:rPr>
        <w:rFonts w:ascii="Symbol" w:hAnsi="Symbol" w:hint="default"/>
        <w:color w:val="000000"/>
      </w:rPr>
    </w:lvl>
    <w:lvl w:ilvl="1" w:tplc="1C0A0003" w:tentative="1">
      <w:start w:val="1"/>
      <w:numFmt w:val="bullet"/>
      <w:lvlText w:val="o"/>
      <w:lvlJc w:val="left"/>
      <w:pPr>
        <w:ind w:left="1364" w:hanging="360"/>
      </w:pPr>
      <w:rPr>
        <w:rFonts w:ascii="Courier New" w:hAnsi="Courier New" w:cs="Courier New" w:hint="default"/>
      </w:rPr>
    </w:lvl>
    <w:lvl w:ilvl="2" w:tplc="1C0A0005" w:tentative="1">
      <w:start w:val="1"/>
      <w:numFmt w:val="bullet"/>
      <w:lvlText w:val=""/>
      <w:lvlJc w:val="left"/>
      <w:pPr>
        <w:ind w:left="2084" w:hanging="360"/>
      </w:pPr>
      <w:rPr>
        <w:rFonts w:ascii="Wingdings" w:hAnsi="Wingdings" w:hint="default"/>
      </w:rPr>
    </w:lvl>
    <w:lvl w:ilvl="3" w:tplc="1C0A0001" w:tentative="1">
      <w:start w:val="1"/>
      <w:numFmt w:val="bullet"/>
      <w:lvlText w:val=""/>
      <w:lvlJc w:val="left"/>
      <w:pPr>
        <w:ind w:left="2804" w:hanging="360"/>
      </w:pPr>
      <w:rPr>
        <w:rFonts w:ascii="Symbol" w:hAnsi="Symbol" w:hint="default"/>
      </w:rPr>
    </w:lvl>
    <w:lvl w:ilvl="4" w:tplc="1C0A0003" w:tentative="1">
      <w:start w:val="1"/>
      <w:numFmt w:val="bullet"/>
      <w:lvlText w:val="o"/>
      <w:lvlJc w:val="left"/>
      <w:pPr>
        <w:ind w:left="3524" w:hanging="360"/>
      </w:pPr>
      <w:rPr>
        <w:rFonts w:ascii="Courier New" w:hAnsi="Courier New" w:cs="Courier New" w:hint="default"/>
      </w:rPr>
    </w:lvl>
    <w:lvl w:ilvl="5" w:tplc="1C0A0005" w:tentative="1">
      <w:start w:val="1"/>
      <w:numFmt w:val="bullet"/>
      <w:lvlText w:val=""/>
      <w:lvlJc w:val="left"/>
      <w:pPr>
        <w:ind w:left="4244" w:hanging="360"/>
      </w:pPr>
      <w:rPr>
        <w:rFonts w:ascii="Wingdings" w:hAnsi="Wingdings" w:hint="default"/>
      </w:rPr>
    </w:lvl>
    <w:lvl w:ilvl="6" w:tplc="1C0A0001" w:tentative="1">
      <w:start w:val="1"/>
      <w:numFmt w:val="bullet"/>
      <w:lvlText w:val=""/>
      <w:lvlJc w:val="left"/>
      <w:pPr>
        <w:ind w:left="4964" w:hanging="360"/>
      </w:pPr>
      <w:rPr>
        <w:rFonts w:ascii="Symbol" w:hAnsi="Symbol" w:hint="default"/>
      </w:rPr>
    </w:lvl>
    <w:lvl w:ilvl="7" w:tplc="1C0A0003" w:tentative="1">
      <w:start w:val="1"/>
      <w:numFmt w:val="bullet"/>
      <w:lvlText w:val="o"/>
      <w:lvlJc w:val="left"/>
      <w:pPr>
        <w:ind w:left="5684" w:hanging="360"/>
      </w:pPr>
      <w:rPr>
        <w:rFonts w:ascii="Courier New" w:hAnsi="Courier New" w:cs="Courier New" w:hint="default"/>
      </w:rPr>
    </w:lvl>
    <w:lvl w:ilvl="8" w:tplc="1C0A0005" w:tentative="1">
      <w:start w:val="1"/>
      <w:numFmt w:val="bullet"/>
      <w:lvlText w:val=""/>
      <w:lvlJc w:val="left"/>
      <w:pPr>
        <w:ind w:left="6404" w:hanging="360"/>
      </w:pPr>
      <w:rPr>
        <w:rFonts w:ascii="Wingdings" w:hAnsi="Wingdings" w:hint="default"/>
      </w:rPr>
    </w:lvl>
  </w:abstractNum>
  <w:abstractNum w:abstractNumId="7" w15:restartNumberingAfterBreak="0">
    <w:nsid w:val="545912A9"/>
    <w:multiLevelType w:val="multilevel"/>
    <w:tmpl w:val="0472FF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B86386E"/>
    <w:multiLevelType w:val="multilevel"/>
    <w:tmpl w:val="2ECC9E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7F3679E"/>
    <w:multiLevelType w:val="hybridMultilevel"/>
    <w:tmpl w:val="A42CCE54"/>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2"/>
  </w:num>
  <w:num w:numId="5">
    <w:abstractNumId w:val="4"/>
  </w:num>
  <w:num w:numId="6">
    <w:abstractNumId w:val="6"/>
  </w:num>
  <w:num w:numId="7">
    <w:abstractNumId w:val="7"/>
  </w:num>
  <w:num w:numId="8">
    <w:abstractNumId w:val="3"/>
  </w:num>
  <w:num w:numId="9">
    <w:abstractNumId w:val="8"/>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8065">
      <o:colormru v:ext="edit" colors="#ee2a2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16B"/>
    <w:rsid w:val="0000160B"/>
    <w:rsid w:val="00002356"/>
    <w:rsid w:val="00002CEF"/>
    <w:rsid w:val="00005A5E"/>
    <w:rsid w:val="00006DF8"/>
    <w:rsid w:val="000124BD"/>
    <w:rsid w:val="0001295D"/>
    <w:rsid w:val="00013F21"/>
    <w:rsid w:val="0002131D"/>
    <w:rsid w:val="00022FCD"/>
    <w:rsid w:val="00024294"/>
    <w:rsid w:val="0002439A"/>
    <w:rsid w:val="00030307"/>
    <w:rsid w:val="000330F2"/>
    <w:rsid w:val="00034EAD"/>
    <w:rsid w:val="00035290"/>
    <w:rsid w:val="000361A7"/>
    <w:rsid w:val="00037621"/>
    <w:rsid w:val="00040183"/>
    <w:rsid w:val="00041684"/>
    <w:rsid w:val="00043007"/>
    <w:rsid w:val="000437CA"/>
    <w:rsid w:val="00044394"/>
    <w:rsid w:val="00044CCD"/>
    <w:rsid w:val="000500E3"/>
    <w:rsid w:val="0005094F"/>
    <w:rsid w:val="0005209A"/>
    <w:rsid w:val="00065182"/>
    <w:rsid w:val="000664CF"/>
    <w:rsid w:val="00066B7A"/>
    <w:rsid w:val="00071FAA"/>
    <w:rsid w:val="000740C3"/>
    <w:rsid w:val="000816DB"/>
    <w:rsid w:val="0008363F"/>
    <w:rsid w:val="00083880"/>
    <w:rsid w:val="000838BB"/>
    <w:rsid w:val="00083ABF"/>
    <w:rsid w:val="00084DF2"/>
    <w:rsid w:val="00084FDC"/>
    <w:rsid w:val="00085538"/>
    <w:rsid w:val="0008623E"/>
    <w:rsid w:val="00091BEE"/>
    <w:rsid w:val="00091E3B"/>
    <w:rsid w:val="00092117"/>
    <w:rsid w:val="0009329A"/>
    <w:rsid w:val="00094126"/>
    <w:rsid w:val="000944E7"/>
    <w:rsid w:val="00095D44"/>
    <w:rsid w:val="00096995"/>
    <w:rsid w:val="000A097B"/>
    <w:rsid w:val="000A26CF"/>
    <w:rsid w:val="000A2759"/>
    <w:rsid w:val="000A330E"/>
    <w:rsid w:val="000A6044"/>
    <w:rsid w:val="000A72DC"/>
    <w:rsid w:val="000B3DB5"/>
    <w:rsid w:val="000C1071"/>
    <w:rsid w:val="000C1176"/>
    <w:rsid w:val="000C5DC1"/>
    <w:rsid w:val="000D10D3"/>
    <w:rsid w:val="000D18A5"/>
    <w:rsid w:val="000D7475"/>
    <w:rsid w:val="000E1B80"/>
    <w:rsid w:val="000E3F1B"/>
    <w:rsid w:val="000E4FB0"/>
    <w:rsid w:val="000E60E1"/>
    <w:rsid w:val="000E7C6A"/>
    <w:rsid w:val="000F2840"/>
    <w:rsid w:val="000F47AA"/>
    <w:rsid w:val="000F5FC2"/>
    <w:rsid w:val="000F6FC9"/>
    <w:rsid w:val="00101FD7"/>
    <w:rsid w:val="00102147"/>
    <w:rsid w:val="00104A1B"/>
    <w:rsid w:val="00116225"/>
    <w:rsid w:val="00116648"/>
    <w:rsid w:val="0012139B"/>
    <w:rsid w:val="001217CB"/>
    <w:rsid w:val="00124133"/>
    <w:rsid w:val="00125865"/>
    <w:rsid w:val="00126E01"/>
    <w:rsid w:val="00126E1C"/>
    <w:rsid w:val="0013368A"/>
    <w:rsid w:val="001354EE"/>
    <w:rsid w:val="00136846"/>
    <w:rsid w:val="00137F9A"/>
    <w:rsid w:val="00142EB1"/>
    <w:rsid w:val="00143911"/>
    <w:rsid w:val="0014427F"/>
    <w:rsid w:val="00150BA3"/>
    <w:rsid w:val="00151EE9"/>
    <w:rsid w:val="00156FB5"/>
    <w:rsid w:val="00160650"/>
    <w:rsid w:val="00166DA0"/>
    <w:rsid w:val="001710C8"/>
    <w:rsid w:val="00172228"/>
    <w:rsid w:val="001733A1"/>
    <w:rsid w:val="00173840"/>
    <w:rsid w:val="00174A21"/>
    <w:rsid w:val="00174D00"/>
    <w:rsid w:val="00181040"/>
    <w:rsid w:val="00184407"/>
    <w:rsid w:val="00187697"/>
    <w:rsid w:val="00190158"/>
    <w:rsid w:val="00194A8C"/>
    <w:rsid w:val="00196E69"/>
    <w:rsid w:val="00197D54"/>
    <w:rsid w:val="001B0896"/>
    <w:rsid w:val="001B43C2"/>
    <w:rsid w:val="001B6855"/>
    <w:rsid w:val="001C2CF0"/>
    <w:rsid w:val="001C377C"/>
    <w:rsid w:val="001C7BA4"/>
    <w:rsid w:val="001C7C64"/>
    <w:rsid w:val="001D0402"/>
    <w:rsid w:val="001D05CC"/>
    <w:rsid w:val="001D1F89"/>
    <w:rsid w:val="001D458B"/>
    <w:rsid w:val="001D491C"/>
    <w:rsid w:val="001D4BDB"/>
    <w:rsid w:val="001D56C7"/>
    <w:rsid w:val="001D6C1E"/>
    <w:rsid w:val="001E0D03"/>
    <w:rsid w:val="001E10F9"/>
    <w:rsid w:val="001E1379"/>
    <w:rsid w:val="001E39BD"/>
    <w:rsid w:val="001E39CB"/>
    <w:rsid w:val="001F076D"/>
    <w:rsid w:val="001F1AC5"/>
    <w:rsid w:val="001F1DF6"/>
    <w:rsid w:val="001F4CE0"/>
    <w:rsid w:val="001F67C5"/>
    <w:rsid w:val="001F7BC9"/>
    <w:rsid w:val="00200BA0"/>
    <w:rsid w:val="00202AD6"/>
    <w:rsid w:val="002065A9"/>
    <w:rsid w:val="00206E2C"/>
    <w:rsid w:val="00207990"/>
    <w:rsid w:val="0020799D"/>
    <w:rsid w:val="00210E96"/>
    <w:rsid w:val="00220663"/>
    <w:rsid w:val="00227DDE"/>
    <w:rsid w:val="0023398A"/>
    <w:rsid w:val="002342AE"/>
    <w:rsid w:val="0023719D"/>
    <w:rsid w:val="00240DC0"/>
    <w:rsid w:val="0024123B"/>
    <w:rsid w:val="00245E33"/>
    <w:rsid w:val="00253EEC"/>
    <w:rsid w:val="00256406"/>
    <w:rsid w:val="0025792B"/>
    <w:rsid w:val="002600FC"/>
    <w:rsid w:val="002601AD"/>
    <w:rsid w:val="00265DA0"/>
    <w:rsid w:val="00266E44"/>
    <w:rsid w:val="00270FE2"/>
    <w:rsid w:val="00271FA1"/>
    <w:rsid w:val="00271FB3"/>
    <w:rsid w:val="00275102"/>
    <w:rsid w:val="00276CF8"/>
    <w:rsid w:val="00280BB0"/>
    <w:rsid w:val="00280FCD"/>
    <w:rsid w:val="00281329"/>
    <w:rsid w:val="002824E5"/>
    <w:rsid w:val="00282E49"/>
    <w:rsid w:val="0028305C"/>
    <w:rsid w:val="002830DD"/>
    <w:rsid w:val="0028353B"/>
    <w:rsid w:val="002847CF"/>
    <w:rsid w:val="00287011"/>
    <w:rsid w:val="00291829"/>
    <w:rsid w:val="00293838"/>
    <w:rsid w:val="00293C6D"/>
    <w:rsid w:val="00295554"/>
    <w:rsid w:val="00295573"/>
    <w:rsid w:val="00295754"/>
    <w:rsid w:val="00295A2B"/>
    <w:rsid w:val="002A09D6"/>
    <w:rsid w:val="002A0E54"/>
    <w:rsid w:val="002A1D3A"/>
    <w:rsid w:val="002A34F9"/>
    <w:rsid w:val="002A505C"/>
    <w:rsid w:val="002A6BD8"/>
    <w:rsid w:val="002B0BA3"/>
    <w:rsid w:val="002B10DE"/>
    <w:rsid w:val="002B1995"/>
    <w:rsid w:val="002B1AE8"/>
    <w:rsid w:val="002B5317"/>
    <w:rsid w:val="002B6D7C"/>
    <w:rsid w:val="002B79A3"/>
    <w:rsid w:val="002C0272"/>
    <w:rsid w:val="002C224A"/>
    <w:rsid w:val="002C257C"/>
    <w:rsid w:val="002C44E6"/>
    <w:rsid w:val="002C6CA0"/>
    <w:rsid w:val="002C6F0B"/>
    <w:rsid w:val="002C7CBA"/>
    <w:rsid w:val="002D087F"/>
    <w:rsid w:val="002D2161"/>
    <w:rsid w:val="002D2AF3"/>
    <w:rsid w:val="002D420C"/>
    <w:rsid w:val="002D5317"/>
    <w:rsid w:val="002E25D3"/>
    <w:rsid w:val="002E7202"/>
    <w:rsid w:val="002F0843"/>
    <w:rsid w:val="002F0C46"/>
    <w:rsid w:val="002F30C3"/>
    <w:rsid w:val="002F48B5"/>
    <w:rsid w:val="002F603A"/>
    <w:rsid w:val="003006DD"/>
    <w:rsid w:val="003017D3"/>
    <w:rsid w:val="00302BF0"/>
    <w:rsid w:val="003042F4"/>
    <w:rsid w:val="00304BCE"/>
    <w:rsid w:val="003115A0"/>
    <w:rsid w:val="00312147"/>
    <w:rsid w:val="00316EEB"/>
    <w:rsid w:val="0031750E"/>
    <w:rsid w:val="00325D48"/>
    <w:rsid w:val="0032732A"/>
    <w:rsid w:val="00327804"/>
    <w:rsid w:val="00327CAB"/>
    <w:rsid w:val="00330733"/>
    <w:rsid w:val="00330B2A"/>
    <w:rsid w:val="00331468"/>
    <w:rsid w:val="003316E5"/>
    <w:rsid w:val="00331E74"/>
    <w:rsid w:val="003325E6"/>
    <w:rsid w:val="0033291B"/>
    <w:rsid w:val="00334BF3"/>
    <w:rsid w:val="00337030"/>
    <w:rsid w:val="00337D0F"/>
    <w:rsid w:val="0034097A"/>
    <w:rsid w:val="003421C5"/>
    <w:rsid w:val="003429E7"/>
    <w:rsid w:val="00344C8F"/>
    <w:rsid w:val="00345E5A"/>
    <w:rsid w:val="003525E7"/>
    <w:rsid w:val="00353772"/>
    <w:rsid w:val="00355B67"/>
    <w:rsid w:val="00355BA1"/>
    <w:rsid w:val="00360899"/>
    <w:rsid w:val="003629D2"/>
    <w:rsid w:val="003638DA"/>
    <w:rsid w:val="00370299"/>
    <w:rsid w:val="00373987"/>
    <w:rsid w:val="00374F53"/>
    <w:rsid w:val="00382143"/>
    <w:rsid w:val="003830B0"/>
    <w:rsid w:val="003830DF"/>
    <w:rsid w:val="003855B5"/>
    <w:rsid w:val="003858CA"/>
    <w:rsid w:val="0038794A"/>
    <w:rsid w:val="003879EA"/>
    <w:rsid w:val="00395E2C"/>
    <w:rsid w:val="00396775"/>
    <w:rsid w:val="003A136A"/>
    <w:rsid w:val="003A1D08"/>
    <w:rsid w:val="003A27EB"/>
    <w:rsid w:val="003A406B"/>
    <w:rsid w:val="003A47C9"/>
    <w:rsid w:val="003A53B0"/>
    <w:rsid w:val="003A752E"/>
    <w:rsid w:val="003B020C"/>
    <w:rsid w:val="003B30D0"/>
    <w:rsid w:val="003B6DFA"/>
    <w:rsid w:val="003B7B18"/>
    <w:rsid w:val="003C281C"/>
    <w:rsid w:val="003C297F"/>
    <w:rsid w:val="003C46BA"/>
    <w:rsid w:val="003C542A"/>
    <w:rsid w:val="003C62BA"/>
    <w:rsid w:val="003C65C3"/>
    <w:rsid w:val="003C6DEA"/>
    <w:rsid w:val="003C7607"/>
    <w:rsid w:val="003C7852"/>
    <w:rsid w:val="003D0CF5"/>
    <w:rsid w:val="003D1668"/>
    <w:rsid w:val="003D34A6"/>
    <w:rsid w:val="003D642E"/>
    <w:rsid w:val="003D6C92"/>
    <w:rsid w:val="003D7E9C"/>
    <w:rsid w:val="003E0369"/>
    <w:rsid w:val="003E0E49"/>
    <w:rsid w:val="003E15CB"/>
    <w:rsid w:val="003E24D4"/>
    <w:rsid w:val="003E2988"/>
    <w:rsid w:val="003E2F7D"/>
    <w:rsid w:val="003E33CF"/>
    <w:rsid w:val="003E3902"/>
    <w:rsid w:val="003E41CF"/>
    <w:rsid w:val="003E5E87"/>
    <w:rsid w:val="003E7603"/>
    <w:rsid w:val="003F1777"/>
    <w:rsid w:val="003F1E7C"/>
    <w:rsid w:val="0040003A"/>
    <w:rsid w:val="00400BE4"/>
    <w:rsid w:val="00403018"/>
    <w:rsid w:val="00403BEC"/>
    <w:rsid w:val="00403D67"/>
    <w:rsid w:val="00404D5E"/>
    <w:rsid w:val="004063F0"/>
    <w:rsid w:val="00407970"/>
    <w:rsid w:val="00407BFC"/>
    <w:rsid w:val="00410B01"/>
    <w:rsid w:val="00411D22"/>
    <w:rsid w:val="00412962"/>
    <w:rsid w:val="004135C0"/>
    <w:rsid w:val="00414B4E"/>
    <w:rsid w:val="00416BF5"/>
    <w:rsid w:val="00420039"/>
    <w:rsid w:val="00420B40"/>
    <w:rsid w:val="00422064"/>
    <w:rsid w:val="00425611"/>
    <w:rsid w:val="004258FD"/>
    <w:rsid w:val="00427025"/>
    <w:rsid w:val="00430C9D"/>
    <w:rsid w:val="0043120D"/>
    <w:rsid w:val="0043176D"/>
    <w:rsid w:val="004329F9"/>
    <w:rsid w:val="00434158"/>
    <w:rsid w:val="00434A7E"/>
    <w:rsid w:val="00434B4C"/>
    <w:rsid w:val="004358D2"/>
    <w:rsid w:val="00436EB5"/>
    <w:rsid w:val="004404D8"/>
    <w:rsid w:val="004430EA"/>
    <w:rsid w:val="0044358A"/>
    <w:rsid w:val="004460B2"/>
    <w:rsid w:val="0044633C"/>
    <w:rsid w:val="004509BB"/>
    <w:rsid w:val="00451724"/>
    <w:rsid w:val="004525B1"/>
    <w:rsid w:val="0045369B"/>
    <w:rsid w:val="00455B11"/>
    <w:rsid w:val="004568F5"/>
    <w:rsid w:val="00460E92"/>
    <w:rsid w:val="00465198"/>
    <w:rsid w:val="00471440"/>
    <w:rsid w:val="004720E0"/>
    <w:rsid w:val="004730A3"/>
    <w:rsid w:val="004733E8"/>
    <w:rsid w:val="00474462"/>
    <w:rsid w:val="00474AAE"/>
    <w:rsid w:val="00474EF5"/>
    <w:rsid w:val="00475F09"/>
    <w:rsid w:val="00475F0E"/>
    <w:rsid w:val="0048077D"/>
    <w:rsid w:val="00484E17"/>
    <w:rsid w:val="004859F3"/>
    <w:rsid w:val="00486378"/>
    <w:rsid w:val="004878DD"/>
    <w:rsid w:val="0049107C"/>
    <w:rsid w:val="00491762"/>
    <w:rsid w:val="004972A7"/>
    <w:rsid w:val="00497E81"/>
    <w:rsid w:val="004A1EF7"/>
    <w:rsid w:val="004A2B43"/>
    <w:rsid w:val="004A317F"/>
    <w:rsid w:val="004A3F7A"/>
    <w:rsid w:val="004A4512"/>
    <w:rsid w:val="004B01EA"/>
    <w:rsid w:val="004B2CF3"/>
    <w:rsid w:val="004B2EBB"/>
    <w:rsid w:val="004B620F"/>
    <w:rsid w:val="004B726F"/>
    <w:rsid w:val="004B7CB4"/>
    <w:rsid w:val="004B7D36"/>
    <w:rsid w:val="004C0342"/>
    <w:rsid w:val="004C2D73"/>
    <w:rsid w:val="004C567E"/>
    <w:rsid w:val="004D3579"/>
    <w:rsid w:val="004D3B59"/>
    <w:rsid w:val="004D4154"/>
    <w:rsid w:val="004D50FA"/>
    <w:rsid w:val="004D71C1"/>
    <w:rsid w:val="004E19D5"/>
    <w:rsid w:val="004E569B"/>
    <w:rsid w:val="004E6E75"/>
    <w:rsid w:val="004E71D8"/>
    <w:rsid w:val="004E7225"/>
    <w:rsid w:val="004E75C7"/>
    <w:rsid w:val="004F01EE"/>
    <w:rsid w:val="004F3B36"/>
    <w:rsid w:val="004F51C9"/>
    <w:rsid w:val="0050035F"/>
    <w:rsid w:val="0050072C"/>
    <w:rsid w:val="0050125D"/>
    <w:rsid w:val="005018CF"/>
    <w:rsid w:val="0050265D"/>
    <w:rsid w:val="00502CCC"/>
    <w:rsid w:val="0050598A"/>
    <w:rsid w:val="0050676D"/>
    <w:rsid w:val="00507B36"/>
    <w:rsid w:val="00512A40"/>
    <w:rsid w:val="00512AC1"/>
    <w:rsid w:val="00513B15"/>
    <w:rsid w:val="0052325D"/>
    <w:rsid w:val="00524E54"/>
    <w:rsid w:val="005251AF"/>
    <w:rsid w:val="00525DD4"/>
    <w:rsid w:val="00535621"/>
    <w:rsid w:val="0053604C"/>
    <w:rsid w:val="00537033"/>
    <w:rsid w:val="00537B44"/>
    <w:rsid w:val="00537E86"/>
    <w:rsid w:val="00540769"/>
    <w:rsid w:val="00543B7B"/>
    <w:rsid w:val="005445B4"/>
    <w:rsid w:val="00547759"/>
    <w:rsid w:val="00551A63"/>
    <w:rsid w:val="00552B7B"/>
    <w:rsid w:val="00554A7F"/>
    <w:rsid w:val="005559DB"/>
    <w:rsid w:val="00560D0E"/>
    <w:rsid w:val="00561239"/>
    <w:rsid w:val="0056727C"/>
    <w:rsid w:val="005677C1"/>
    <w:rsid w:val="00570D64"/>
    <w:rsid w:val="00574BF9"/>
    <w:rsid w:val="00574E3C"/>
    <w:rsid w:val="00574E58"/>
    <w:rsid w:val="0057695E"/>
    <w:rsid w:val="00576D31"/>
    <w:rsid w:val="00580222"/>
    <w:rsid w:val="00585299"/>
    <w:rsid w:val="005864D0"/>
    <w:rsid w:val="00591251"/>
    <w:rsid w:val="005922C6"/>
    <w:rsid w:val="00596136"/>
    <w:rsid w:val="00596D30"/>
    <w:rsid w:val="005979D9"/>
    <w:rsid w:val="005A1FA4"/>
    <w:rsid w:val="005A2404"/>
    <w:rsid w:val="005A34FF"/>
    <w:rsid w:val="005A35FD"/>
    <w:rsid w:val="005A38C5"/>
    <w:rsid w:val="005A4138"/>
    <w:rsid w:val="005A5EFC"/>
    <w:rsid w:val="005A66B1"/>
    <w:rsid w:val="005B2B85"/>
    <w:rsid w:val="005B7794"/>
    <w:rsid w:val="005B7CE4"/>
    <w:rsid w:val="005C0D43"/>
    <w:rsid w:val="005C34CC"/>
    <w:rsid w:val="005D009E"/>
    <w:rsid w:val="005D02E9"/>
    <w:rsid w:val="005D22AC"/>
    <w:rsid w:val="005D3FC5"/>
    <w:rsid w:val="005D6C2F"/>
    <w:rsid w:val="005D7317"/>
    <w:rsid w:val="005D7C9A"/>
    <w:rsid w:val="005E19D1"/>
    <w:rsid w:val="005E2208"/>
    <w:rsid w:val="005E2C9E"/>
    <w:rsid w:val="005E431A"/>
    <w:rsid w:val="005E4475"/>
    <w:rsid w:val="005E45AC"/>
    <w:rsid w:val="005E7D3A"/>
    <w:rsid w:val="005E7E29"/>
    <w:rsid w:val="005F2799"/>
    <w:rsid w:val="005F2A72"/>
    <w:rsid w:val="005F31AA"/>
    <w:rsid w:val="005F36B0"/>
    <w:rsid w:val="005F4733"/>
    <w:rsid w:val="005F7A6C"/>
    <w:rsid w:val="006008D6"/>
    <w:rsid w:val="006054C3"/>
    <w:rsid w:val="00610A34"/>
    <w:rsid w:val="00611149"/>
    <w:rsid w:val="006125DE"/>
    <w:rsid w:val="006207F6"/>
    <w:rsid w:val="00622F61"/>
    <w:rsid w:val="00623377"/>
    <w:rsid w:val="006269CE"/>
    <w:rsid w:val="00626F5D"/>
    <w:rsid w:val="006314ED"/>
    <w:rsid w:val="00634D60"/>
    <w:rsid w:val="00636F90"/>
    <w:rsid w:val="0064138E"/>
    <w:rsid w:val="006421A0"/>
    <w:rsid w:val="00643158"/>
    <w:rsid w:val="0064403A"/>
    <w:rsid w:val="00645DA8"/>
    <w:rsid w:val="006527FD"/>
    <w:rsid w:val="0065365D"/>
    <w:rsid w:val="006553A1"/>
    <w:rsid w:val="00656034"/>
    <w:rsid w:val="0065789A"/>
    <w:rsid w:val="00664B0E"/>
    <w:rsid w:val="00665953"/>
    <w:rsid w:val="00665EE2"/>
    <w:rsid w:val="00667C43"/>
    <w:rsid w:val="00667F21"/>
    <w:rsid w:val="006757D9"/>
    <w:rsid w:val="006817A4"/>
    <w:rsid w:val="00682B7F"/>
    <w:rsid w:val="00684E9C"/>
    <w:rsid w:val="00685F63"/>
    <w:rsid w:val="006869E2"/>
    <w:rsid w:val="006875CF"/>
    <w:rsid w:val="0069247D"/>
    <w:rsid w:val="00694E47"/>
    <w:rsid w:val="00695D59"/>
    <w:rsid w:val="0069633F"/>
    <w:rsid w:val="0069740E"/>
    <w:rsid w:val="006A4493"/>
    <w:rsid w:val="006A539F"/>
    <w:rsid w:val="006B124B"/>
    <w:rsid w:val="006B259C"/>
    <w:rsid w:val="006B28A4"/>
    <w:rsid w:val="006B3766"/>
    <w:rsid w:val="006B3985"/>
    <w:rsid w:val="006B3A3B"/>
    <w:rsid w:val="006B522F"/>
    <w:rsid w:val="006B59C6"/>
    <w:rsid w:val="006B68F0"/>
    <w:rsid w:val="006B7D16"/>
    <w:rsid w:val="006C2C62"/>
    <w:rsid w:val="006C409C"/>
    <w:rsid w:val="006C4522"/>
    <w:rsid w:val="006C4F57"/>
    <w:rsid w:val="006C58FE"/>
    <w:rsid w:val="006C669E"/>
    <w:rsid w:val="006C74E2"/>
    <w:rsid w:val="006C7847"/>
    <w:rsid w:val="006D31DA"/>
    <w:rsid w:val="006D37A2"/>
    <w:rsid w:val="006D39BF"/>
    <w:rsid w:val="006D3A2F"/>
    <w:rsid w:val="006D6B6B"/>
    <w:rsid w:val="006D7173"/>
    <w:rsid w:val="006E0572"/>
    <w:rsid w:val="006E05B1"/>
    <w:rsid w:val="006E4DFE"/>
    <w:rsid w:val="006E69EB"/>
    <w:rsid w:val="006F0C62"/>
    <w:rsid w:val="006F1C35"/>
    <w:rsid w:val="006F1EE8"/>
    <w:rsid w:val="006F3A5D"/>
    <w:rsid w:val="006F4F52"/>
    <w:rsid w:val="006F5F00"/>
    <w:rsid w:val="006F5F88"/>
    <w:rsid w:val="006F6A09"/>
    <w:rsid w:val="007000A9"/>
    <w:rsid w:val="00701180"/>
    <w:rsid w:val="00702769"/>
    <w:rsid w:val="00703748"/>
    <w:rsid w:val="00707AD4"/>
    <w:rsid w:val="007122EA"/>
    <w:rsid w:val="007125B3"/>
    <w:rsid w:val="007145B2"/>
    <w:rsid w:val="0071538C"/>
    <w:rsid w:val="007212A6"/>
    <w:rsid w:val="007221FF"/>
    <w:rsid w:val="00727040"/>
    <w:rsid w:val="0073185F"/>
    <w:rsid w:val="007323C1"/>
    <w:rsid w:val="007363BC"/>
    <w:rsid w:val="00741477"/>
    <w:rsid w:val="0074271A"/>
    <w:rsid w:val="00742A7B"/>
    <w:rsid w:val="0074329B"/>
    <w:rsid w:val="007451AD"/>
    <w:rsid w:val="0074539C"/>
    <w:rsid w:val="00745447"/>
    <w:rsid w:val="00750B19"/>
    <w:rsid w:val="00753A82"/>
    <w:rsid w:val="00755089"/>
    <w:rsid w:val="0075748C"/>
    <w:rsid w:val="00760518"/>
    <w:rsid w:val="00761369"/>
    <w:rsid w:val="007646ED"/>
    <w:rsid w:val="00765A8C"/>
    <w:rsid w:val="00767064"/>
    <w:rsid w:val="00774037"/>
    <w:rsid w:val="00774CF9"/>
    <w:rsid w:val="0077500C"/>
    <w:rsid w:val="00775563"/>
    <w:rsid w:val="0077610F"/>
    <w:rsid w:val="00781C28"/>
    <w:rsid w:val="00782C69"/>
    <w:rsid w:val="00786180"/>
    <w:rsid w:val="00790F2F"/>
    <w:rsid w:val="007913DC"/>
    <w:rsid w:val="007A0C23"/>
    <w:rsid w:val="007A28EA"/>
    <w:rsid w:val="007A292E"/>
    <w:rsid w:val="007A43E4"/>
    <w:rsid w:val="007A71D0"/>
    <w:rsid w:val="007A745A"/>
    <w:rsid w:val="007B06E9"/>
    <w:rsid w:val="007B2E44"/>
    <w:rsid w:val="007B31D2"/>
    <w:rsid w:val="007B3CF8"/>
    <w:rsid w:val="007B4012"/>
    <w:rsid w:val="007B638E"/>
    <w:rsid w:val="007B6DCF"/>
    <w:rsid w:val="007B6EF0"/>
    <w:rsid w:val="007C06F5"/>
    <w:rsid w:val="007C19C0"/>
    <w:rsid w:val="007C358E"/>
    <w:rsid w:val="007C36C7"/>
    <w:rsid w:val="007C3BB9"/>
    <w:rsid w:val="007C5848"/>
    <w:rsid w:val="007D2476"/>
    <w:rsid w:val="007D3A8C"/>
    <w:rsid w:val="007D4209"/>
    <w:rsid w:val="007D50F2"/>
    <w:rsid w:val="007D51BC"/>
    <w:rsid w:val="007D58D7"/>
    <w:rsid w:val="007D7F8F"/>
    <w:rsid w:val="007E6A80"/>
    <w:rsid w:val="007E7432"/>
    <w:rsid w:val="007E7A4D"/>
    <w:rsid w:val="007F0B1F"/>
    <w:rsid w:val="007F4023"/>
    <w:rsid w:val="007F7C6C"/>
    <w:rsid w:val="0080180B"/>
    <w:rsid w:val="008023A8"/>
    <w:rsid w:val="008024DA"/>
    <w:rsid w:val="00810EE3"/>
    <w:rsid w:val="00811487"/>
    <w:rsid w:val="00813D4A"/>
    <w:rsid w:val="0081629F"/>
    <w:rsid w:val="008179AA"/>
    <w:rsid w:val="0082132F"/>
    <w:rsid w:val="008215AC"/>
    <w:rsid w:val="0082192E"/>
    <w:rsid w:val="00821A1E"/>
    <w:rsid w:val="00822B12"/>
    <w:rsid w:val="00823F4C"/>
    <w:rsid w:val="008279B4"/>
    <w:rsid w:val="0083021D"/>
    <w:rsid w:val="008353DD"/>
    <w:rsid w:val="008436F2"/>
    <w:rsid w:val="00852DF3"/>
    <w:rsid w:val="00853633"/>
    <w:rsid w:val="0085363E"/>
    <w:rsid w:val="008572D7"/>
    <w:rsid w:val="008573C7"/>
    <w:rsid w:val="00865436"/>
    <w:rsid w:val="0086629F"/>
    <w:rsid w:val="00866EA3"/>
    <w:rsid w:val="00870213"/>
    <w:rsid w:val="00871379"/>
    <w:rsid w:val="008716E2"/>
    <w:rsid w:val="008717B6"/>
    <w:rsid w:val="00871935"/>
    <w:rsid w:val="00874B2F"/>
    <w:rsid w:val="00874E6D"/>
    <w:rsid w:val="00875BD9"/>
    <w:rsid w:val="0087698E"/>
    <w:rsid w:val="00876AF9"/>
    <w:rsid w:val="0088077F"/>
    <w:rsid w:val="00882766"/>
    <w:rsid w:val="00883852"/>
    <w:rsid w:val="00884401"/>
    <w:rsid w:val="00885947"/>
    <w:rsid w:val="0089322F"/>
    <w:rsid w:val="00893EE8"/>
    <w:rsid w:val="008942FF"/>
    <w:rsid w:val="008978A0"/>
    <w:rsid w:val="008A0374"/>
    <w:rsid w:val="008A256C"/>
    <w:rsid w:val="008A2B37"/>
    <w:rsid w:val="008A4563"/>
    <w:rsid w:val="008A4C72"/>
    <w:rsid w:val="008B06CA"/>
    <w:rsid w:val="008B2136"/>
    <w:rsid w:val="008B491E"/>
    <w:rsid w:val="008B4F1C"/>
    <w:rsid w:val="008B634A"/>
    <w:rsid w:val="008C0482"/>
    <w:rsid w:val="008C1C25"/>
    <w:rsid w:val="008C3029"/>
    <w:rsid w:val="008C3CFD"/>
    <w:rsid w:val="008C458D"/>
    <w:rsid w:val="008D04DF"/>
    <w:rsid w:val="008D5A38"/>
    <w:rsid w:val="008D5EF6"/>
    <w:rsid w:val="008D71B1"/>
    <w:rsid w:val="008E6F17"/>
    <w:rsid w:val="008E7461"/>
    <w:rsid w:val="008F0AF9"/>
    <w:rsid w:val="008F0F54"/>
    <w:rsid w:val="008F16F9"/>
    <w:rsid w:val="008F5597"/>
    <w:rsid w:val="00903787"/>
    <w:rsid w:val="00903DD3"/>
    <w:rsid w:val="00903F7D"/>
    <w:rsid w:val="0091026A"/>
    <w:rsid w:val="0091168F"/>
    <w:rsid w:val="009135EC"/>
    <w:rsid w:val="00913859"/>
    <w:rsid w:val="00916DB0"/>
    <w:rsid w:val="00922A63"/>
    <w:rsid w:val="00927F83"/>
    <w:rsid w:val="00930197"/>
    <w:rsid w:val="009302C3"/>
    <w:rsid w:val="009303A6"/>
    <w:rsid w:val="009326C6"/>
    <w:rsid w:val="00936259"/>
    <w:rsid w:val="00937472"/>
    <w:rsid w:val="009418A1"/>
    <w:rsid w:val="0094275F"/>
    <w:rsid w:val="00943B26"/>
    <w:rsid w:val="00945B3F"/>
    <w:rsid w:val="00950229"/>
    <w:rsid w:val="00950909"/>
    <w:rsid w:val="00951084"/>
    <w:rsid w:val="00952D2B"/>
    <w:rsid w:val="009602B7"/>
    <w:rsid w:val="00960C6C"/>
    <w:rsid w:val="00962C30"/>
    <w:rsid w:val="00963825"/>
    <w:rsid w:val="009662DE"/>
    <w:rsid w:val="00971757"/>
    <w:rsid w:val="00972407"/>
    <w:rsid w:val="00974562"/>
    <w:rsid w:val="00975DA5"/>
    <w:rsid w:val="009801E4"/>
    <w:rsid w:val="0098162E"/>
    <w:rsid w:val="009818F8"/>
    <w:rsid w:val="00983C12"/>
    <w:rsid w:val="00990F60"/>
    <w:rsid w:val="00996DB2"/>
    <w:rsid w:val="00997F67"/>
    <w:rsid w:val="009A20D1"/>
    <w:rsid w:val="009A48CE"/>
    <w:rsid w:val="009A5B0C"/>
    <w:rsid w:val="009A655F"/>
    <w:rsid w:val="009A6996"/>
    <w:rsid w:val="009B074F"/>
    <w:rsid w:val="009B1F81"/>
    <w:rsid w:val="009B2992"/>
    <w:rsid w:val="009C0B3D"/>
    <w:rsid w:val="009C2329"/>
    <w:rsid w:val="009C4083"/>
    <w:rsid w:val="009C4806"/>
    <w:rsid w:val="009C763C"/>
    <w:rsid w:val="009D1067"/>
    <w:rsid w:val="009D31FD"/>
    <w:rsid w:val="009D4089"/>
    <w:rsid w:val="009D7F07"/>
    <w:rsid w:val="009E0E6A"/>
    <w:rsid w:val="009E1F8A"/>
    <w:rsid w:val="009E389A"/>
    <w:rsid w:val="009F317C"/>
    <w:rsid w:val="00A04715"/>
    <w:rsid w:val="00A04814"/>
    <w:rsid w:val="00A04DFD"/>
    <w:rsid w:val="00A05A13"/>
    <w:rsid w:val="00A06C34"/>
    <w:rsid w:val="00A07988"/>
    <w:rsid w:val="00A133AF"/>
    <w:rsid w:val="00A146AC"/>
    <w:rsid w:val="00A21230"/>
    <w:rsid w:val="00A27055"/>
    <w:rsid w:val="00A27D30"/>
    <w:rsid w:val="00A301EA"/>
    <w:rsid w:val="00A3069D"/>
    <w:rsid w:val="00A3217A"/>
    <w:rsid w:val="00A3389A"/>
    <w:rsid w:val="00A3477F"/>
    <w:rsid w:val="00A35EC5"/>
    <w:rsid w:val="00A36D17"/>
    <w:rsid w:val="00A41CA6"/>
    <w:rsid w:val="00A46847"/>
    <w:rsid w:val="00A476F2"/>
    <w:rsid w:val="00A5154C"/>
    <w:rsid w:val="00A54071"/>
    <w:rsid w:val="00A565A1"/>
    <w:rsid w:val="00A600DC"/>
    <w:rsid w:val="00A60150"/>
    <w:rsid w:val="00A61659"/>
    <w:rsid w:val="00A64F70"/>
    <w:rsid w:val="00A6561D"/>
    <w:rsid w:val="00A700DC"/>
    <w:rsid w:val="00A75F8B"/>
    <w:rsid w:val="00A80B15"/>
    <w:rsid w:val="00A81E85"/>
    <w:rsid w:val="00A8239A"/>
    <w:rsid w:val="00A82736"/>
    <w:rsid w:val="00A837A0"/>
    <w:rsid w:val="00A91981"/>
    <w:rsid w:val="00A92F38"/>
    <w:rsid w:val="00A94425"/>
    <w:rsid w:val="00A94A8B"/>
    <w:rsid w:val="00A94DA6"/>
    <w:rsid w:val="00A974AF"/>
    <w:rsid w:val="00AA1132"/>
    <w:rsid w:val="00AA17C1"/>
    <w:rsid w:val="00AA481C"/>
    <w:rsid w:val="00AA4DD2"/>
    <w:rsid w:val="00AA6344"/>
    <w:rsid w:val="00AA6577"/>
    <w:rsid w:val="00AA69D7"/>
    <w:rsid w:val="00AB01D5"/>
    <w:rsid w:val="00AB2ADF"/>
    <w:rsid w:val="00AB6F93"/>
    <w:rsid w:val="00AC19B4"/>
    <w:rsid w:val="00AC1BB0"/>
    <w:rsid w:val="00AC34E5"/>
    <w:rsid w:val="00AC5005"/>
    <w:rsid w:val="00AD4977"/>
    <w:rsid w:val="00AD52E0"/>
    <w:rsid w:val="00AD5F62"/>
    <w:rsid w:val="00AD6F40"/>
    <w:rsid w:val="00AE3334"/>
    <w:rsid w:val="00AE64DE"/>
    <w:rsid w:val="00AF012F"/>
    <w:rsid w:val="00AF775C"/>
    <w:rsid w:val="00B00B97"/>
    <w:rsid w:val="00B01BF6"/>
    <w:rsid w:val="00B06112"/>
    <w:rsid w:val="00B06CE0"/>
    <w:rsid w:val="00B117C3"/>
    <w:rsid w:val="00B1198D"/>
    <w:rsid w:val="00B128B5"/>
    <w:rsid w:val="00B15F51"/>
    <w:rsid w:val="00B20547"/>
    <w:rsid w:val="00B20C13"/>
    <w:rsid w:val="00B210EC"/>
    <w:rsid w:val="00B221CD"/>
    <w:rsid w:val="00B25EB4"/>
    <w:rsid w:val="00B25F0D"/>
    <w:rsid w:val="00B26E3F"/>
    <w:rsid w:val="00B3070A"/>
    <w:rsid w:val="00B32DFC"/>
    <w:rsid w:val="00B35216"/>
    <w:rsid w:val="00B3546F"/>
    <w:rsid w:val="00B379A2"/>
    <w:rsid w:val="00B40A48"/>
    <w:rsid w:val="00B42D6E"/>
    <w:rsid w:val="00B44506"/>
    <w:rsid w:val="00B4473D"/>
    <w:rsid w:val="00B4541B"/>
    <w:rsid w:val="00B47456"/>
    <w:rsid w:val="00B47C46"/>
    <w:rsid w:val="00B51558"/>
    <w:rsid w:val="00B52B22"/>
    <w:rsid w:val="00B60B23"/>
    <w:rsid w:val="00B6796E"/>
    <w:rsid w:val="00B70BEC"/>
    <w:rsid w:val="00B70E3F"/>
    <w:rsid w:val="00B7316D"/>
    <w:rsid w:val="00B735F2"/>
    <w:rsid w:val="00B74504"/>
    <w:rsid w:val="00B75C87"/>
    <w:rsid w:val="00B7607C"/>
    <w:rsid w:val="00B81F99"/>
    <w:rsid w:val="00B83A9A"/>
    <w:rsid w:val="00B83EB1"/>
    <w:rsid w:val="00B85748"/>
    <w:rsid w:val="00B91041"/>
    <w:rsid w:val="00B9354F"/>
    <w:rsid w:val="00B95895"/>
    <w:rsid w:val="00B95D0F"/>
    <w:rsid w:val="00B960D1"/>
    <w:rsid w:val="00B9679F"/>
    <w:rsid w:val="00BA07DD"/>
    <w:rsid w:val="00BA2C82"/>
    <w:rsid w:val="00BA75AB"/>
    <w:rsid w:val="00BB3582"/>
    <w:rsid w:val="00BB54E3"/>
    <w:rsid w:val="00BB5FC8"/>
    <w:rsid w:val="00BB763F"/>
    <w:rsid w:val="00BC0C5C"/>
    <w:rsid w:val="00BC13D9"/>
    <w:rsid w:val="00BC2A21"/>
    <w:rsid w:val="00BC2C8D"/>
    <w:rsid w:val="00BC5F02"/>
    <w:rsid w:val="00BC60C6"/>
    <w:rsid w:val="00BC693F"/>
    <w:rsid w:val="00BC7B37"/>
    <w:rsid w:val="00BD15BD"/>
    <w:rsid w:val="00BD39A9"/>
    <w:rsid w:val="00BD46D3"/>
    <w:rsid w:val="00BE00CE"/>
    <w:rsid w:val="00BE2D46"/>
    <w:rsid w:val="00BE3E7A"/>
    <w:rsid w:val="00BF04F3"/>
    <w:rsid w:val="00BF360D"/>
    <w:rsid w:val="00BF3FF7"/>
    <w:rsid w:val="00BF7B3E"/>
    <w:rsid w:val="00C00B06"/>
    <w:rsid w:val="00C02159"/>
    <w:rsid w:val="00C073BA"/>
    <w:rsid w:val="00C07CD1"/>
    <w:rsid w:val="00C12673"/>
    <w:rsid w:val="00C1323D"/>
    <w:rsid w:val="00C15F02"/>
    <w:rsid w:val="00C16679"/>
    <w:rsid w:val="00C20E58"/>
    <w:rsid w:val="00C21331"/>
    <w:rsid w:val="00C21823"/>
    <w:rsid w:val="00C222C6"/>
    <w:rsid w:val="00C2302A"/>
    <w:rsid w:val="00C2725F"/>
    <w:rsid w:val="00C27710"/>
    <w:rsid w:val="00C31A18"/>
    <w:rsid w:val="00C33217"/>
    <w:rsid w:val="00C335F4"/>
    <w:rsid w:val="00C352D7"/>
    <w:rsid w:val="00C41ACD"/>
    <w:rsid w:val="00C4508F"/>
    <w:rsid w:val="00C47FD8"/>
    <w:rsid w:val="00C500C2"/>
    <w:rsid w:val="00C527F0"/>
    <w:rsid w:val="00C6016B"/>
    <w:rsid w:val="00C66E3B"/>
    <w:rsid w:val="00C700F8"/>
    <w:rsid w:val="00C71E6C"/>
    <w:rsid w:val="00C74175"/>
    <w:rsid w:val="00C744F4"/>
    <w:rsid w:val="00C7509C"/>
    <w:rsid w:val="00C76AFF"/>
    <w:rsid w:val="00C8018C"/>
    <w:rsid w:val="00C8199C"/>
    <w:rsid w:val="00C82A81"/>
    <w:rsid w:val="00C8410D"/>
    <w:rsid w:val="00C86484"/>
    <w:rsid w:val="00C9043C"/>
    <w:rsid w:val="00C9130B"/>
    <w:rsid w:val="00C92719"/>
    <w:rsid w:val="00C9480D"/>
    <w:rsid w:val="00CA12EC"/>
    <w:rsid w:val="00CA30A1"/>
    <w:rsid w:val="00CA5D54"/>
    <w:rsid w:val="00CA6695"/>
    <w:rsid w:val="00CA6FE2"/>
    <w:rsid w:val="00CA7657"/>
    <w:rsid w:val="00CB1894"/>
    <w:rsid w:val="00CB193C"/>
    <w:rsid w:val="00CB408B"/>
    <w:rsid w:val="00CB4725"/>
    <w:rsid w:val="00CB70EF"/>
    <w:rsid w:val="00CB7531"/>
    <w:rsid w:val="00CB784E"/>
    <w:rsid w:val="00CC0463"/>
    <w:rsid w:val="00CC179F"/>
    <w:rsid w:val="00CC520B"/>
    <w:rsid w:val="00CC605C"/>
    <w:rsid w:val="00CC7123"/>
    <w:rsid w:val="00CD2235"/>
    <w:rsid w:val="00CD4790"/>
    <w:rsid w:val="00CD627D"/>
    <w:rsid w:val="00CD65F0"/>
    <w:rsid w:val="00CD6BC2"/>
    <w:rsid w:val="00CE373F"/>
    <w:rsid w:val="00CE3C72"/>
    <w:rsid w:val="00CF0E10"/>
    <w:rsid w:val="00CF136C"/>
    <w:rsid w:val="00CF271D"/>
    <w:rsid w:val="00CF30CE"/>
    <w:rsid w:val="00CF335A"/>
    <w:rsid w:val="00CF5420"/>
    <w:rsid w:val="00CF71ED"/>
    <w:rsid w:val="00CF7998"/>
    <w:rsid w:val="00D03696"/>
    <w:rsid w:val="00D05098"/>
    <w:rsid w:val="00D10AAC"/>
    <w:rsid w:val="00D15216"/>
    <w:rsid w:val="00D160E7"/>
    <w:rsid w:val="00D1685A"/>
    <w:rsid w:val="00D16D30"/>
    <w:rsid w:val="00D20B1E"/>
    <w:rsid w:val="00D2524C"/>
    <w:rsid w:val="00D26479"/>
    <w:rsid w:val="00D31008"/>
    <w:rsid w:val="00D323AD"/>
    <w:rsid w:val="00D33C8B"/>
    <w:rsid w:val="00D33D00"/>
    <w:rsid w:val="00D35098"/>
    <w:rsid w:val="00D37FDF"/>
    <w:rsid w:val="00D453F1"/>
    <w:rsid w:val="00D45BF5"/>
    <w:rsid w:val="00D4616C"/>
    <w:rsid w:val="00D603D2"/>
    <w:rsid w:val="00D616CB"/>
    <w:rsid w:val="00D6240F"/>
    <w:rsid w:val="00D65560"/>
    <w:rsid w:val="00D65CD9"/>
    <w:rsid w:val="00D7038B"/>
    <w:rsid w:val="00D7116B"/>
    <w:rsid w:val="00D75298"/>
    <w:rsid w:val="00D77F4A"/>
    <w:rsid w:val="00D807A2"/>
    <w:rsid w:val="00D82C7D"/>
    <w:rsid w:val="00D8344F"/>
    <w:rsid w:val="00D84988"/>
    <w:rsid w:val="00D855A5"/>
    <w:rsid w:val="00D864CD"/>
    <w:rsid w:val="00D9060A"/>
    <w:rsid w:val="00D91DF2"/>
    <w:rsid w:val="00D92F03"/>
    <w:rsid w:val="00D933F5"/>
    <w:rsid w:val="00D942BB"/>
    <w:rsid w:val="00D959D9"/>
    <w:rsid w:val="00D96482"/>
    <w:rsid w:val="00DA0D7F"/>
    <w:rsid w:val="00DB0602"/>
    <w:rsid w:val="00DB3428"/>
    <w:rsid w:val="00DB425C"/>
    <w:rsid w:val="00DB434F"/>
    <w:rsid w:val="00DB69CD"/>
    <w:rsid w:val="00DB6B0C"/>
    <w:rsid w:val="00DB77A5"/>
    <w:rsid w:val="00DC20C8"/>
    <w:rsid w:val="00DC33CC"/>
    <w:rsid w:val="00DC3D05"/>
    <w:rsid w:val="00DC3E27"/>
    <w:rsid w:val="00DC4CD4"/>
    <w:rsid w:val="00DC76F0"/>
    <w:rsid w:val="00DD64E4"/>
    <w:rsid w:val="00DE4DDD"/>
    <w:rsid w:val="00DE6BBB"/>
    <w:rsid w:val="00DE7A4C"/>
    <w:rsid w:val="00DF5B7B"/>
    <w:rsid w:val="00DF7135"/>
    <w:rsid w:val="00DF7352"/>
    <w:rsid w:val="00DF775D"/>
    <w:rsid w:val="00E01711"/>
    <w:rsid w:val="00E0547B"/>
    <w:rsid w:val="00E1233D"/>
    <w:rsid w:val="00E147A1"/>
    <w:rsid w:val="00E14C0C"/>
    <w:rsid w:val="00E14C75"/>
    <w:rsid w:val="00E220D7"/>
    <w:rsid w:val="00E22543"/>
    <w:rsid w:val="00E243D7"/>
    <w:rsid w:val="00E24F02"/>
    <w:rsid w:val="00E27487"/>
    <w:rsid w:val="00E31377"/>
    <w:rsid w:val="00E3152A"/>
    <w:rsid w:val="00E318D2"/>
    <w:rsid w:val="00E32D28"/>
    <w:rsid w:val="00E350E1"/>
    <w:rsid w:val="00E35247"/>
    <w:rsid w:val="00E411DD"/>
    <w:rsid w:val="00E426D3"/>
    <w:rsid w:val="00E46384"/>
    <w:rsid w:val="00E46834"/>
    <w:rsid w:val="00E47BA4"/>
    <w:rsid w:val="00E52A8E"/>
    <w:rsid w:val="00E533D8"/>
    <w:rsid w:val="00E5522E"/>
    <w:rsid w:val="00E55312"/>
    <w:rsid w:val="00E5538A"/>
    <w:rsid w:val="00E6070C"/>
    <w:rsid w:val="00E61E54"/>
    <w:rsid w:val="00E631CE"/>
    <w:rsid w:val="00E65F32"/>
    <w:rsid w:val="00E709FE"/>
    <w:rsid w:val="00E75E9A"/>
    <w:rsid w:val="00E76DD0"/>
    <w:rsid w:val="00E81BB0"/>
    <w:rsid w:val="00E87B8C"/>
    <w:rsid w:val="00E90534"/>
    <w:rsid w:val="00E91372"/>
    <w:rsid w:val="00E93761"/>
    <w:rsid w:val="00E93E53"/>
    <w:rsid w:val="00E946BB"/>
    <w:rsid w:val="00E95F7C"/>
    <w:rsid w:val="00E963B8"/>
    <w:rsid w:val="00E96B51"/>
    <w:rsid w:val="00E96B7B"/>
    <w:rsid w:val="00E975B7"/>
    <w:rsid w:val="00EA18B6"/>
    <w:rsid w:val="00EA4F1F"/>
    <w:rsid w:val="00EA7910"/>
    <w:rsid w:val="00EA7B79"/>
    <w:rsid w:val="00EB0215"/>
    <w:rsid w:val="00EB082B"/>
    <w:rsid w:val="00EB1BAF"/>
    <w:rsid w:val="00EC3F5D"/>
    <w:rsid w:val="00ED003B"/>
    <w:rsid w:val="00ED2C2B"/>
    <w:rsid w:val="00ED2E8A"/>
    <w:rsid w:val="00ED7657"/>
    <w:rsid w:val="00EE569D"/>
    <w:rsid w:val="00EE62A6"/>
    <w:rsid w:val="00EE672C"/>
    <w:rsid w:val="00EF24E6"/>
    <w:rsid w:val="00EF37BD"/>
    <w:rsid w:val="00EF39AD"/>
    <w:rsid w:val="00EF47B0"/>
    <w:rsid w:val="00EF49C6"/>
    <w:rsid w:val="00EF58C5"/>
    <w:rsid w:val="00EF5F05"/>
    <w:rsid w:val="00EF66A0"/>
    <w:rsid w:val="00F00095"/>
    <w:rsid w:val="00F002F5"/>
    <w:rsid w:val="00F0573F"/>
    <w:rsid w:val="00F066B6"/>
    <w:rsid w:val="00F0799D"/>
    <w:rsid w:val="00F07B25"/>
    <w:rsid w:val="00F1080B"/>
    <w:rsid w:val="00F111F1"/>
    <w:rsid w:val="00F11B16"/>
    <w:rsid w:val="00F14369"/>
    <w:rsid w:val="00F1487A"/>
    <w:rsid w:val="00F152D0"/>
    <w:rsid w:val="00F15457"/>
    <w:rsid w:val="00F15967"/>
    <w:rsid w:val="00F1651F"/>
    <w:rsid w:val="00F17535"/>
    <w:rsid w:val="00F272D0"/>
    <w:rsid w:val="00F30C3C"/>
    <w:rsid w:val="00F3128C"/>
    <w:rsid w:val="00F33647"/>
    <w:rsid w:val="00F40B04"/>
    <w:rsid w:val="00F42A59"/>
    <w:rsid w:val="00F45E28"/>
    <w:rsid w:val="00F46775"/>
    <w:rsid w:val="00F513AC"/>
    <w:rsid w:val="00F534F4"/>
    <w:rsid w:val="00F56C84"/>
    <w:rsid w:val="00F56D53"/>
    <w:rsid w:val="00F577B8"/>
    <w:rsid w:val="00F61D7A"/>
    <w:rsid w:val="00F65EB2"/>
    <w:rsid w:val="00F67D43"/>
    <w:rsid w:val="00F70D9B"/>
    <w:rsid w:val="00F70F10"/>
    <w:rsid w:val="00F71DB1"/>
    <w:rsid w:val="00F7324F"/>
    <w:rsid w:val="00F73307"/>
    <w:rsid w:val="00F765A2"/>
    <w:rsid w:val="00F7795A"/>
    <w:rsid w:val="00F80DB1"/>
    <w:rsid w:val="00F81AA0"/>
    <w:rsid w:val="00F86131"/>
    <w:rsid w:val="00F868BB"/>
    <w:rsid w:val="00F86E3A"/>
    <w:rsid w:val="00F95653"/>
    <w:rsid w:val="00FA1393"/>
    <w:rsid w:val="00FB1624"/>
    <w:rsid w:val="00FB252D"/>
    <w:rsid w:val="00FB5FA5"/>
    <w:rsid w:val="00FC0CE3"/>
    <w:rsid w:val="00FC140E"/>
    <w:rsid w:val="00FC27BE"/>
    <w:rsid w:val="00FC4338"/>
    <w:rsid w:val="00FC5496"/>
    <w:rsid w:val="00FD08C5"/>
    <w:rsid w:val="00FD2D71"/>
    <w:rsid w:val="00FD3063"/>
    <w:rsid w:val="00FD3953"/>
    <w:rsid w:val="00FD45A3"/>
    <w:rsid w:val="00FD5013"/>
    <w:rsid w:val="00FE1C2B"/>
    <w:rsid w:val="00FE3567"/>
    <w:rsid w:val="00FE4FCC"/>
    <w:rsid w:val="00FE7028"/>
    <w:rsid w:val="00FE7C48"/>
    <w:rsid w:val="00FF0126"/>
    <w:rsid w:val="00FF4A74"/>
    <w:rsid w:val="00FF7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8065">
      <o:colormru v:ext="edit" colors="#ee2a24"/>
    </o:shapedefaults>
    <o:shapelayout v:ext="edit">
      <o:idmap v:ext="edit" data="1"/>
    </o:shapelayout>
  </w:shapeDefaults>
  <w:decimalSymbol w:val="."/>
  <w:listSeparator w:val=","/>
  <w14:docId w14:val="56E00620"/>
  <w15:chartTrackingRefBased/>
  <w15:docId w15:val="{4B93B399-B175-4AB4-9297-97B4D053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uerpo texto"/>
    <w:qFormat/>
    <w:rsid w:val="004C567E"/>
    <w:pPr>
      <w:spacing w:after="160" w:line="259" w:lineRule="auto"/>
      <w:jc w:val="both"/>
    </w:pPr>
    <w:rPr>
      <w:rFonts w:ascii="Artifex CF Extra Light" w:hAnsi="Artifex CF Extra Light"/>
      <w:color w:val="003876"/>
      <w:sz w:val="18"/>
      <w:szCs w:val="22"/>
      <w:lang w:val="es-ES"/>
    </w:rPr>
  </w:style>
  <w:style w:type="paragraph" w:styleId="Ttulo1">
    <w:name w:val="heading 1"/>
    <w:basedOn w:val="Normal"/>
    <w:next w:val="Normal"/>
    <w:link w:val="Ttulo1Car"/>
    <w:uiPriority w:val="9"/>
    <w:qFormat/>
    <w:rsid w:val="00174D00"/>
    <w:pPr>
      <w:keepNext/>
      <w:keepLines/>
      <w:spacing w:before="240" w:after="0"/>
      <w:jc w:val="center"/>
      <w:outlineLvl w:val="0"/>
    </w:pPr>
    <w:rPr>
      <w:rFonts w:ascii="Times New Roman" w:eastAsia="Times New Roman" w:hAnsi="Times New Roman"/>
      <w:color w:val="767171"/>
      <w:sz w:val="28"/>
      <w:szCs w:val="32"/>
    </w:rPr>
  </w:style>
  <w:style w:type="paragraph" w:styleId="Ttulo2">
    <w:name w:val="heading 2"/>
    <w:basedOn w:val="Normal"/>
    <w:next w:val="Normal"/>
    <w:link w:val="Ttulo2Car"/>
    <w:uiPriority w:val="9"/>
    <w:unhideWhenUsed/>
    <w:rsid w:val="00E31377"/>
    <w:pPr>
      <w:keepNext/>
      <w:keepLines/>
      <w:spacing w:before="40" w:after="0"/>
      <w:outlineLvl w:val="1"/>
    </w:pPr>
    <w:rPr>
      <w:rFonts w:ascii="Times New Roman" w:eastAsiaTheme="majorEastAsia" w:hAnsi="Times New Roman" w:cstheme="majorBidi"/>
      <w:b/>
      <w:color w:val="767171"/>
      <w:sz w:val="24"/>
      <w:szCs w:val="26"/>
    </w:rPr>
  </w:style>
  <w:style w:type="paragraph" w:styleId="Ttulo3">
    <w:name w:val="heading 3"/>
    <w:basedOn w:val="Normal"/>
    <w:next w:val="Normal"/>
    <w:link w:val="Ttulo3Car"/>
    <w:uiPriority w:val="9"/>
    <w:unhideWhenUsed/>
    <w:qFormat/>
    <w:rsid w:val="00CB1894"/>
    <w:pPr>
      <w:keepNext/>
      <w:keepLines/>
      <w:spacing w:before="40" w:after="0"/>
      <w:outlineLvl w:val="2"/>
    </w:pPr>
    <w:rPr>
      <w:rFonts w:ascii="Times New Roman" w:eastAsiaTheme="majorEastAsia" w:hAnsi="Times New Roman" w:cstheme="majorBidi"/>
      <w:b/>
      <w:color w:val="767171"/>
      <w:sz w:val="24"/>
      <w:szCs w:val="24"/>
    </w:rPr>
  </w:style>
  <w:style w:type="paragraph" w:styleId="Ttulo4">
    <w:name w:val="heading 4"/>
    <w:basedOn w:val="Normal"/>
    <w:next w:val="Normal"/>
    <w:link w:val="Ttulo4Car"/>
    <w:uiPriority w:val="9"/>
    <w:unhideWhenUsed/>
    <w:qFormat/>
    <w:rsid w:val="007B31D2"/>
    <w:pPr>
      <w:keepNext/>
      <w:keepLines/>
      <w:spacing w:before="40" w:after="0"/>
      <w:outlineLvl w:val="3"/>
    </w:pPr>
    <w:rPr>
      <w:rFonts w:ascii="Times New Roman" w:eastAsiaTheme="majorEastAsia" w:hAnsi="Times New Roman" w:cstheme="majorBidi"/>
      <w:b/>
      <w:iCs/>
      <w:color w:val="767171"/>
      <w:sz w:val="24"/>
    </w:rPr>
  </w:style>
  <w:style w:type="paragraph" w:styleId="Ttulo5">
    <w:name w:val="heading 5"/>
    <w:basedOn w:val="Normal"/>
    <w:next w:val="Normal"/>
    <w:link w:val="Ttulo5Car"/>
    <w:uiPriority w:val="9"/>
    <w:unhideWhenUsed/>
    <w:qFormat/>
    <w:rsid w:val="004A4512"/>
    <w:pPr>
      <w:keepNext/>
      <w:keepLines/>
      <w:spacing w:before="40" w:after="0"/>
      <w:outlineLvl w:val="4"/>
    </w:pPr>
    <w:rPr>
      <w:rFonts w:ascii="Times New Roman" w:eastAsiaTheme="majorEastAsia" w:hAnsi="Times New Roman" w:cstheme="majorBidi"/>
      <w:b/>
      <w:color w:val="76717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74D00"/>
    <w:rPr>
      <w:rFonts w:ascii="Times New Roman" w:eastAsia="Times New Roman" w:hAnsi="Times New Roman"/>
      <w:color w:val="767171"/>
      <w:sz w:val="28"/>
      <w:szCs w:val="32"/>
      <w:lang w:val="es-ES"/>
    </w:rPr>
  </w:style>
  <w:style w:type="character" w:styleId="nfasisintenso">
    <w:name w:val="Intense Emphasis"/>
    <w:uiPriority w:val="21"/>
    <w:rsid w:val="00E1233D"/>
    <w:rPr>
      <w:i/>
      <w:iCs/>
      <w:color w:val="5B9BD5"/>
    </w:rPr>
  </w:style>
  <w:style w:type="paragraph" w:styleId="Subttulo">
    <w:name w:val="Subtitle"/>
    <w:basedOn w:val="Normal"/>
    <w:next w:val="Normal"/>
    <w:link w:val="SubttuloCar"/>
    <w:uiPriority w:val="11"/>
    <w:qFormat/>
    <w:rsid w:val="004C567E"/>
    <w:pPr>
      <w:numPr>
        <w:ilvl w:val="1"/>
      </w:numPr>
      <w:jc w:val="center"/>
    </w:pPr>
    <w:rPr>
      <w:rFonts w:ascii="Gotham" w:eastAsia="Times New Roman" w:hAnsi="Gotham"/>
      <w:color w:val="2F5496"/>
      <w:spacing w:val="15"/>
      <w:sz w:val="16"/>
    </w:rPr>
  </w:style>
  <w:style w:type="character" w:customStyle="1" w:styleId="SubttuloCar">
    <w:name w:val="Subtítulo Car"/>
    <w:link w:val="Subttulo"/>
    <w:uiPriority w:val="11"/>
    <w:rsid w:val="004C567E"/>
    <w:rPr>
      <w:rFonts w:ascii="Gotham" w:eastAsia="Times New Roman" w:hAnsi="Gotham"/>
      <w:color w:val="2F5496"/>
      <w:spacing w:val="15"/>
      <w:sz w:val="16"/>
      <w:szCs w:val="22"/>
      <w:lang w:eastAsia="en-US"/>
    </w:rPr>
  </w:style>
  <w:style w:type="paragraph" w:styleId="TtuloTDC">
    <w:name w:val="TOC Heading"/>
    <w:basedOn w:val="Ttulo1"/>
    <w:next w:val="Normal"/>
    <w:uiPriority w:val="39"/>
    <w:unhideWhenUsed/>
    <w:qFormat/>
    <w:rsid w:val="000437CA"/>
    <w:pPr>
      <w:jc w:val="left"/>
      <w:outlineLvl w:val="9"/>
    </w:pPr>
    <w:rPr>
      <w:rFonts w:ascii="Calibri Light" w:hAnsi="Calibri Light"/>
      <w:color w:val="2E74B5"/>
      <w:sz w:val="32"/>
      <w:lang w:eastAsia="es-ES"/>
    </w:rPr>
  </w:style>
  <w:style w:type="paragraph" w:styleId="Encabezado">
    <w:name w:val="header"/>
    <w:basedOn w:val="Normal"/>
    <w:link w:val="EncabezadoCar"/>
    <w:uiPriority w:val="99"/>
    <w:unhideWhenUsed/>
    <w:rsid w:val="0089322F"/>
    <w:pPr>
      <w:tabs>
        <w:tab w:val="center" w:pos="4252"/>
        <w:tab w:val="right" w:pos="8504"/>
      </w:tabs>
    </w:pPr>
  </w:style>
  <w:style w:type="character" w:customStyle="1" w:styleId="EncabezadoCar">
    <w:name w:val="Encabezado Car"/>
    <w:link w:val="Encabezado"/>
    <w:uiPriority w:val="99"/>
    <w:rsid w:val="0089322F"/>
    <w:rPr>
      <w:rFonts w:ascii="Artifex CF Extra Light" w:hAnsi="Artifex CF Extra Light"/>
      <w:sz w:val="18"/>
      <w:szCs w:val="22"/>
      <w:lang w:eastAsia="en-US"/>
    </w:rPr>
  </w:style>
  <w:style w:type="paragraph" w:styleId="Piedepgina">
    <w:name w:val="footer"/>
    <w:basedOn w:val="Normal"/>
    <w:link w:val="PiedepginaCar"/>
    <w:unhideWhenUsed/>
    <w:rsid w:val="0089322F"/>
    <w:pPr>
      <w:tabs>
        <w:tab w:val="center" w:pos="4252"/>
        <w:tab w:val="right" w:pos="8504"/>
      </w:tabs>
    </w:pPr>
  </w:style>
  <w:style w:type="character" w:customStyle="1" w:styleId="PiedepginaCar">
    <w:name w:val="Pie de página Car"/>
    <w:link w:val="Piedepgina"/>
    <w:rsid w:val="0089322F"/>
    <w:rPr>
      <w:rFonts w:ascii="Artifex CF Extra Light" w:hAnsi="Artifex CF Extra Light"/>
      <w:sz w:val="18"/>
      <w:szCs w:val="22"/>
      <w:lang w:eastAsia="en-US"/>
    </w:rPr>
  </w:style>
  <w:style w:type="paragraph" w:customStyle="1" w:styleId="Textonotasalpie">
    <w:name w:val="Texto notas al pie"/>
    <w:basedOn w:val="Normal"/>
    <w:link w:val="TextonotasalpieCar"/>
    <w:qFormat/>
    <w:rsid w:val="004C567E"/>
    <w:rPr>
      <w:rFonts w:ascii="Gotham Thin" w:hAnsi="Gotham Thin"/>
      <w:sz w:val="15"/>
    </w:rPr>
  </w:style>
  <w:style w:type="paragraph" w:styleId="Sinespaciado">
    <w:name w:val="No Spacing"/>
    <w:uiPriority w:val="1"/>
    <w:qFormat/>
    <w:rsid w:val="002F603A"/>
    <w:rPr>
      <w:sz w:val="22"/>
      <w:szCs w:val="22"/>
    </w:rPr>
  </w:style>
  <w:style w:type="character" w:customStyle="1" w:styleId="TextonotasalpieCar">
    <w:name w:val="Texto notas al pie Car"/>
    <w:link w:val="Textonotasalpie"/>
    <w:rsid w:val="004C567E"/>
    <w:rPr>
      <w:rFonts w:ascii="Gotham Thin" w:hAnsi="Gotham Thin"/>
      <w:color w:val="003876"/>
      <w:sz w:val="15"/>
      <w:szCs w:val="22"/>
      <w:lang w:eastAsia="en-US"/>
    </w:rPr>
  </w:style>
  <w:style w:type="paragraph" w:styleId="Prrafodelista">
    <w:name w:val="List Paragraph"/>
    <w:basedOn w:val="Normal"/>
    <w:uiPriority w:val="34"/>
    <w:qFormat/>
    <w:rsid w:val="003E33CF"/>
    <w:pPr>
      <w:ind w:left="720"/>
      <w:contextualSpacing/>
    </w:pPr>
  </w:style>
  <w:style w:type="character" w:customStyle="1" w:styleId="Ttulo2Car">
    <w:name w:val="Título 2 Car"/>
    <w:basedOn w:val="Fuentedeprrafopredeter"/>
    <w:link w:val="Ttulo2"/>
    <w:uiPriority w:val="9"/>
    <w:rsid w:val="00E31377"/>
    <w:rPr>
      <w:rFonts w:ascii="Times New Roman" w:eastAsiaTheme="majorEastAsia" w:hAnsi="Times New Roman" w:cstheme="majorBidi"/>
      <w:b/>
      <w:color w:val="767171"/>
      <w:sz w:val="24"/>
      <w:szCs w:val="26"/>
      <w:lang w:val="es-ES"/>
    </w:rPr>
  </w:style>
  <w:style w:type="paragraph" w:styleId="TDC1">
    <w:name w:val="toc 1"/>
    <w:basedOn w:val="Normal"/>
    <w:next w:val="Normal"/>
    <w:autoRedefine/>
    <w:uiPriority w:val="39"/>
    <w:unhideWhenUsed/>
    <w:rsid w:val="00101FD7"/>
    <w:pPr>
      <w:spacing w:after="100"/>
    </w:pPr>
  </w:style>
  <w:style w:type="paragraph" w:styleId="TDC2">
    <w:name w:val="toc 2"/>
    <w:basedOn w:val="Normal"/>
    <w:next w:val="Normal"/>
    <w:autoRedefine/>
    <w:uiPriority w:val="39"/>
    <w:unhideWhenUsed/>
    <w:rsid w:val="00101FD7"/>
    <w:pPr>
      <w:spacing w:after="100"/>
      <w:ind w:left="180"/>
    </w:pPr>
  </w:style>
  <w:style w:type="character" w:styleId="Hipervnculo">
    <w:name w:val="Hyperlink"/>
    <w:basedOn w:val="Fuentedeprrafopredeter"/>
    <w:uiPriority w:val="99"/>
    <w:unhideWhenUsed/>
    <w:rsid w:val="00101FD7"/>
    <w:rPr>
      <w:color w:val="0563C1" w:themeColor="hyperlink"/>
      <w:u w:val="single"/>
    </w:rPr>
  </w:style>
  <w:style w:type="character" w:customStyle="1" w:styleId="Ttulo3Car">
    <w:name w:val="Título 3 Car"/>
    <w:basedOn w:val="Fuentedeprrafopredeter"/>
    <w:link w:val="Ttulo3"/>
    <w:uiPriority w:val="9"/>
    <w:rsid w:val="00CB1894"/>
    <w:rPr>
      <w:rFonts w:ascii="Times New Roman" w:eastAsiaTheme="majorEastAsia" w:hAnsi="Times New Roman" w:cstheme="majorBidi"/>
      <w:b/>
      <w:color w:val="767171"/>
      <w:sz w:val="24"/>
      <w:szCs w:val="24"/>
      <w:lang w:val="es-ES"/>
    </w:rPr>
  </w:style>
  <w:style w:type="paragraph" w:styleId="TDC3">
    <w:name w:val="toc 3"/>
    <w:basedOn w:val="Normal"/>
    <w:next w:val="Normal"/>
    <w:autoRedefine/>
    <w:uiPriority w:val="39"/>
    <w:unhideWhenUsed/>
    <w:rsid w:val="000F2840"/>
    <w:pPr>
      <w:spacing w:after="100"/>
      <w:ind w:left="360"/>
    </w:pPr>
  </w:style>
  <w:style w:type="character" w:customStyle="1" w:styleId="Ttulo4Car">
    <w:name w:val="Título 4 Car"/>
    <w:basedOn w:val="Fuentedeprrafopredeter"/>
    <w:link w:val="Ttulo4"/>
    <w:uiPriority w:val="9"/>
    <w:rsid w:val="007B31D2"/>
    <w:rPr>
      <w:rFonts w:ascii="Times New Roman" w:eastAsiaTheme="majorEastAsia" w:hAnsi="Times New Roman" w:cstheme="majorBidi"/>
      <w:b/>
      <w:iCs/>
      <w:color w:val="767171"/>
      <w:sz w:val="24"/>
      <w:szCs w:val="22"/>
      <w:lang w:val="es-ES"/>
    </w:rPr>
  </w:style>
  <w:style w:type="character" w:customStyle="1" w:styleId="Ttulo5Car">
    <w:name w:val="Título 5 Car"/>
    <w:basedOn w:val="Fuentedeprrafopredeter"/>
    <w:link w:val="Ttulo5"/>
    <w:uiPriority w:val="9"/>
    <w:rsid w:val="004A4512"/>
    <w:rPr>
      <w:rFonts w:ascii="Times New Roman" w:eastAsiaTheme="majorEastAsia" w:hAnsi="Times New Roman" w:cstheme="majorBidi"/>
      <w:b/>
      <w:color w:val="767171"/>
      <w:sz w:val="24"/>
      <w:szCs w:val="22"/>
      <w:lang w:val="es-ES"/>
    </w:rPr>
  </w:style>
  <w:style w:type="paragraph" w:customStyle="1" w:styleId="Textodenotaalfinal">
    <w:name w:val="Texto de nota al final"/>
    <w:basedOn w:val="Normal"/>
    <w:rsid w:val="003C65C3"/>
    <w:pPr>
      <w:widowControl w:val="0"/>
      <w:spacing w:after="0" w:line="240" w:lineRule="auto"/>
      <w:jc w:val="left"/>
    </w:pPr>
    <w:rPr>
      <w:rFonts w:ascii="Times New Roman" w:eastAsia="Times New Roman" w:hAnsi="Times New Roman"/>
      <w:color w:val="auto"/>
      <w:sz w:val="24"/>
      <w:szCs w:val="20"/>
      <w:lang w:val="es-DO"/>
    </w:rPr>
  </w:style>
  <w:style w:type="paragraph" w:styleId="Textoindependiente3">
    <w:name w:val="Body Text 3"/>
    <w:basedOn w:val="Normal"/>
    <w:link w:val="Textoindependiente3Car"/>
    <w:rsid w:val="003C65C3"/>
    <w:pPr>
      <w:widowControl w:val="0"/>
      <w:tabs>
        <w:tab w:val="left" w:pos="0"/>
      </w:tabs>
      <w:suppressAutoHyphens/>
      <w:spacing w:after="0" w:line="360" w:lineRule="auto"/>
    </w:pPr>
    <w:rPr>
      <w:rFonts w:ascii="Times New Roman" w:eastAsia="Times New Roman" w:hAnsi="Times New Roman"/>
      <w:color w:val="auto"/>
      <w:spacing w:val="-2"/>
      <w:sz w:val="24"/>
      <w:szCs w:val="20"/>
      <w:u w:val="single"/>
      <w:lang w:val="es-DO"/>
    </w:rPr>
  </w:style>
  <w:style w:type="character" w:customStyle="1" w:styleId="Textoindependiente3Car">
    <w:name w:val="Texto independiente 3 Car"/>
    <w:basedOn w:val="Fuentedeprrafopredeter"/>
    <w:link w:val="Textoindependiente3"/>
    <w:rsid w:val="003C65C3"/>
    <w:rPr>
      <w:rFonts w:ascii="Times New Roman" w:eastAsia="Times New Roman" w:hAnsi="Times New Roman"/>
      <w:spacing w:val="-2"/>
      <w:sz w:val="24"/>
      <w:u w:val="single"/>
      <w:lang w:val="es-DO"/>
    </w:rPr>
  </w:style>
  <w:style w:type="paragraph" w:styleId="TDC4">
    <w:name w:val="toc 4"/>
    <w:basedOn w:val="Normal"/>
    <w:next w:val="Normal"/>
    <w:autoRedefine/>
    <w:uiPriority w:val="39"/>
    <w:unhideWhenUsed/>
    <w:rsid w:val="00B379A2"/>
    <w:pPr>
      <w:spacing w:after="100"/>
      <w:ind w:left="540"/>
    </w:pPr>
  </w:style>
  <w:style w:type="paragraph" w:styleId="TDC5">
    <w:name w:val="toc 5"/>
    <w:basedOn w:val="Normal"/>
    <w:next w:val="Normal"/>
    <w:autoRedefine/>
    <w:uiPriority w:val="39"/>
    <w:unhideWhenUsed/>
    <w:rsid w:val="00B379A2"/>
    <w:pPr>
      <w:spacing w:after="100"/>
      <w:ind w:left="720"/>
    </w:pPr>
  </w:style>
  <w:style w:type="table" w:styleId="Tablaconcuadrcula">
    <w:name w:val="Table Grid"/>
    <w:basedOn w:val="Tablanormal"/>
    <w:uiPriority w:val="39"/>
    <w:rsid w:val="00D6240F"/>
    <w:rPr>
      <w:rFonts w:asciiTheme="minorHAnsi" w:eastAsiaTheme="minorHAnsi" w:hAnsiTheme="minorHAnsi" w:cstheme="minorBidi"/>
      <w:sz w:val="22"/>
      <w:szCs w:val="22"/>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81BB0"/>
    <w:rPr>
      <w:sz w:val="16"/>
      <w:szCs w:val="16"/>
    </w:rPr>
  </w:style>
  <w:style w:type="paragraph" w:styleId="Textocomentario">
    <w:name w:val="annotation text"/>
    <w:basedOn w:val="Normal"/>
    <w:link w:val="TextocomentarioCar"/>
    <w:uiPriority w:val="99"/>
    <w:unhideWhenUsed/>
    <w:rsid w:val="00E81BB0"/>
    <w:pPr>
      <w:spacing w:line="240" w:lineRule="auto"/>
    </w:pPr>
    <w:rPr>
      <w:sz w:val="20"/>
      <w:szCs w:val="20"/>
    </w:rPr>
  </w:style>
  <w:style w:type="character" w:customStyle="1" w:styleId="TextocomentarioCar">
    <w:name w:val="Texto comentario Car"/>
    <w:basedOn w:val="Fuentedeprrafopredeter"/>
    <w:link w:val="Textocomentario"/>
    <w:uiPriority w:val="99"/>
    <w:rsid w:val="00E81BB0"/>
    <w:rPr>
      <w:rFonts w:ascii="Artifex CF Extra Light" w:hAnsi="Artifex CF Extra Light"/>
      <w:color w:val="003876"/>
      <w:lang w:val="es-ES"/>
    </w:rPr>
  </w:style>
  <w:style w:type="paragraph" w:styleId="Asuntodelcomentario">
    <w:name w:val="annotation subject"/>
    <w:basedOn w:val="Textocomentario"/>
    <w:next w:val="Textocomentario"/>
    <w:link w:val="AsuntodelcomentarioCar"/>
    <w:uiPriority w:val="99"/>
    <w:semiHidden/>
    <w:unhideWhenUsed/>
    <w:rsid w:val="00E81BB0"/>
    <w:rPr>
      <w:b/>
      <w:bCs/>
    </w:rPr>
  </w:style>
  <w:style w:type="character" w:customStyle="1" w:styleId="AsuntodelcomentarioCar">
    <w:name w:val="Asunto del comentario Car"/>
    <w:basedOn w:val="TextocomentarioCar"/>
    <w:link w:val="Asuntodelcomentario"/>
    <w:uiPriority w:val="99"/>
    <w:semiHidden/>
    <w:rsid w:val="00E81BB0"/>
    <w:rPr>
      <w:rFonts w:ascii="Artifex CF Extra Light" w:hAnsi="Artifex CF Extra Light"/>
      <w:b/>
      <w:bCs/>
      <w:color w:val="003876"/>
      <w:lang w:val="es-ES"/>
    </w:rPr>
  </w:style>
  <w:style w:type="paragraph" w:styleId="Textodeglobo">
    <w:name w:val="Balloon Text"/>
    <w:basedOn w:val="Normal"/>
    <w:link w:val="TextodegloboCar"/>
    <w:uiPriority w:val="99"/>
    <w:semiHidden/>
    <w:unhideWhenUsed/>
    <w:rsid w:val="00E81BB0"/>
    <w:pPr>
      <w:spacing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E81BB0"/>
    <w:rPr>
      <w:rFonts w:ascii="Segoe UI" w:hAnsi="Segoe UI" w:cs="Segoe UI"/>
      <w:color w:val="003876"/>
      <w:sz w:val="18"/>
      <w:szCs w:val="18"/>
      <w:lang w:val="es-ES"/>
    </w:rPr>
  </w:style>
  <w:style w:type="character" w:styleId="Nmerodepgina">
    <w:name w:val="page number"/>
    <w:basedOn w:val="Fuentedeprrafopredeter"/>
    <w:rsid w:val="00E63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77628">
      <w:bodyDiv w:val="1"/>
      <w:marLeft w:val="0"/>
      <w:marRight w:val="0"/>
      <w:marTop w:val="0"/>
      <w:marBottom w:val="0"/>
      <w:divBdr>
        <w:top w:val="none" w:sz="0" w:space="0" w:color="auto"/>
        <w:left w:val="none" w:sz="0" w:space="0" w:color="auto"/>
        <w:bottom w:val="none" w:sz="0" w:space="0" w:color="auto"/>
        <w:right w:val="none" w:sz="0" w:space="0" w:color="auto"/>
      </w:divBdr>
      <w:divsChild>
        <w:div w:id="1644627271">
          <w:marLeft w:val="0"/>
          <w:marRight w:val="0"/>
          <w:marTop w:val="0"/>
          <w:marBottom w:val="0"/>
          <w:divBdr>
            <w:top w:val="none" w:sz="0" w:space="0" w:color="auto"/>
            <w:left w:val="none" w:sz="0" w:space="0" w:color="auto"/>
            <w:bottom w:val="none" w:sz="0" w:space="0" w:color="auto"/>
            <w:right w:val="none" w:sz="0" w:space="0" w:color="auto"/>
          </w:divBdr>
        </w:div>
      </w:divsChild>
    </w:div>
    <w:div w:id="340548135">
      <w:bodyDiv w:val="1"/>
      <w:marLeft w:val="0"/>
      <w:marRight w:val="0"/>
      <w:marTop w:val="0"/>
      <w:marBottom w:val="0"/>
      <w:divBdr>
        <w:top w:val="none" w:sz="0" w:space="0" w:color="auto"/>
        <w:left w:val="none" w:sz="0" w:space="0" w:color="auto"/>
        <w:bottom w:val="none" w:sz="0" w:space="0" w:color="auto"/>
        <w:right w:val="none" w:sz="0" w:space="0" w:color="auto"/>
      </w:divBdr>
    </w:div>
    <w:div w:id="615260152">
      <w:bodyDiv w:val="1"/>
      <w:marLeft w:val="0"/>
      <w:marRight w:val="0"/>
      <w:marTop w:val="0"/>
      <w:marBottom w:val="0"/>
      <w:divBdr>
        <w:top w:val="none" w:sz="0" w:space="0" w:color="auto"/>
        <w:left w:val="none" w:sz="0" w:space="0" w:color="auto"/>
        <w:bottom w:val="none" w:sz="0" w:space="0" w:color="auto"/>
        <w:right w:val="none" w:sz="0" w:space="0" w:color="auto"/>
      </w:divBdr>
    </w:div>
    <w:div w:id="183024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FA3A2-9E49-4107-98F8-D1DBA0BB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2063</TotalTime>
  <Pages>51</Pages>
  <Words>10308</Words>
  <Characters>58756</Characters>
  <Application>Microsoft Office Word</Application>
  <DocSecurity>0</DocSecurity>
  <Lines>489</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De la Cruz</dc:creator>
  <cp:keywords/>
  <dc:description/>
  <cp:lastModifiedBy>Masiel Josefina Garcia Rojas</cp:lastModifiedBy>
  <cp:revision>599</cp:revision>
  <cp:lastPrinted>2022-01-05T16:57:00Z</cp:lastPrinted>
  <dcterms:created xsi:type="dcterms:W3CDTF">2021-10-18T15:31:00Z</dcterms:created>
  <dcterms:modified xsi:type="dcterms:W3CDTF">2022-01-05T16:57:00Z</dcterms:modified>
</cp:coreProperties>
</file>